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4508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450850"/>
                    </a:xfrm>
                    <a:prstGeom prst="rect"/>
                  </pic:spPr>
                </pic:pic>
              </a:graphicData>
            </a:graphic>
          </wp:inline>
        </w:drawing>
      </w:r>
    </w:p>
    <w:p>
      <w:pPr>
        <w:widowControl w:val="0"/>
        <w:spacing w:after="219" w:line="1" w:lineRule="exact"/>
      </w:pPr>
    </w:p>
    <w:p>
      <w:pPr>
        <w:pStyle w:val="Style5"/>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珠海汇金科技股份有限公司</w:t>
      </w:r>
    </w:p>
    <w:p>
      <w:pPr>
        <w:pStyle w:val="Style7"/>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2022-024</w:t>
      </w:r>
    </w:p>
    <w:p>
      <w:pPr>
        <w:pStyle w:val="Style1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36" w:right="1110" w:bottom="2636" w:left="1100"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公司负责人陈喆、主管会计工作负责人孙玉玲及会计机构负责人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孙玉玲声明：保证本年度报告中财务报告的真实、准确、完整。</w:t>
      </w:r>
    </w:p>
    <w:p>
      <w:pPr>
        <w:pStyle w:val="Style17"/>
        <w:keepNext w:val="0"/>
        <w:keepLines w:val="0"/>
        <w:widowControl w:val="0"/>
        <w:shd w:val="clear" w:color="auto" w:fill="auto"/>
        <w:bidi w:val="0"/>
        <w:spacing w:before="0" w:line="627"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02" w:lineRule="exact"/>
        <w:ind w:left="0" w:right="0"/>
        <w:jc w:val="both"/>
      </w:pPr>
      <w:r>
        <w:rPr>
          <w:color w:val="000000"/>
          <w:spacing w:val="0"/>
          <w:w w:val="100"/>
          <w:position w:val="0"/>
        </w:rPr>
        <w:t>本报告中涉及未来计划或经营规划等前瞻性陈述的，不构成公司对投资者 的实质承诺，投资者及相关人士均应对此保持足够的风险认识，并且应当理解 计划、预测与承诺之间的差异，敬请投资者注意投资风险。</w:t>
      </w:r>
    </w:p>
    <w:p>
      <w:pPr>
        <w:pStyle w:val="Style17"/>
        <w:keepNext w:val="0"/>
        <w:keepLines w:val="0"/>
        <w:widowControl w:val="0"/>
        <w:shd w:val="clear" w:color="auto" w:fill="auto"/>
        <w:bidi w:val="0"/>
        <w:spacing w:before="0" w:line="625" w:lineRule="exact"/>
        <w:ind w:left="0" w:right="0"/>
        <w:jc w:val="both"/>
      </w:pPr>
      <w:r>
        <w:rPr>
          <w:color w:val="000000"/>
          <w:spacing w:val="0"/>
          <w:w w:val="100"/>
          <w:position w:val="0"/>
        </w:rPr>
        <w:t>公司在发展过程中，可能存在产品创新开发风险、市场开拓风险、对银行 业依赖的风险、毛利率下降的风险、核心技术人才稳定风险、募集资金投资项 目募投项目不达预期效益的风险等，具体请参阅本报告第三节“管理层讨论与 分析”中“十一、公司未来发展的展望”部分，详细描述了公司经营中可能存 在的风险及应对措施，敬请投资者关注相关内容。</w:t>
      </w:r>
    </w:p>
    <w:p>
      <w:pPr>
        <w:pStyle w:val="Style17"/>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328,107,975</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5"/>
        <w:keepNext w:val="0"/>
        <w:keepLines w:val="0"/>
        <w:widowControl w:val="0"/>
        <w:shd w:val="clear" w:color="auto" w:fill="auto"/>
        <w:bidi w:val="0"/>
        <w:spacing w:before="0" w:after="168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pos="910" w:val="left"/>
          <w:tab w:leader="dot" w:pos="962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245"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407"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428"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574"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642"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646"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20"/>
        <w:keepNext w:val="0"/>
        <w:keepLines w:val="0"/>
        <w:widowControl w:val="0"/>
        <w:shd w:val="clear" w:color="auto" w:fill="auto"/>
        <w:tabs>
          <w:tab w:leader="dot" w:pos="962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40" w:right="1110" w:bottom="2996" w:left="1100" w:header="0" w:footer="3" w:gutter="0"/>
          <w:cols w:space="720"/>
          <w:noEndnote/>
          <w:rtlGutter w:val="0"/>
          <w:docGrid w:linePitch="360"/>
        </w:sectPr>
      </w:pPr>
      <w:hyperlink w:anchor="bookmark65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r>
        <w:fldChar w:fldCharType="end"/>
      </w:r>
    </w:p>
    <w:p>
      <w:pPr>
        <w:pStyle w:val="Style7"/>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备查文件目录</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载有公司负责人、主管会计工作负责人及会计机构负责人签名并盖章的财务报表。</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p>
    <w:p>
      <w:pPr>
        <w:pStyle w:val="Style23"/>
        <w:keepNext w:val="0"/>
        <w:keepLines w:val="0"/>
        <w:widowControl w:val="0"/>
        <w:shd w:val="clear" w:color="auto" w:fill="auto"/>
        <w:tabs>
          <w:tab w:pos="531" w:val="left"/>
        </w:tabs>
        <w:bidi w:val="0"/>
        <w:spacing w:before="0" w:after="140" w:line="240" w:lineRule="auto"/>
        <w:ind w:left="0" w:right="0" w:firstLine="0"/>
        <w:jc w:val="left"/>
        <w:sectPr>
          <w:footnotePr>
            <w:pos w:val="pageBottom"/>
            <w:numFmt w:val="decimal"/>
            <w:numRestart w:val="continuous"/>
          </w:footnotePr>
          <w:pgSz w:w="11900" w:h="16840"/>
          <w:pgMar w:top="2228" w:right="1114" w:bottom="2228" w:left="1104" w:header="0" w:footer="3" w:gutter="0"/>
          <w:cols w:space="720"/>
          <w:noEndnote/>
          <w:rtlGutter w:val="0"/>
          <w:docGrid w:linePitch="360"/>
        </w:sectPr>
      </w:pPr>
      <w:bookmarkStart w:id="7" w:name="bookmark7"/>
      <w:r>
        <w:rPr>
          <w:color w:val="000000"/>
          <w:spacing w:val="0"/>
          <w:w w:val="100"/>
          <w:position w:val="0"/>
        </w:rPr>
        <w:t>（</w:t>
      </w:r>
      <w:bookmarkEnd w:id="7"/>
      <w:r>
        <w:rPr>
          <w:color w:val="000000"/>
          <w:spacing w:val="0"/>
          <w:w w:val="100"/>
          <w:position w:val="0"/>
        </w:rPr>
        <w:t>四）</w:t>
        <w:tab/>
        <w:t>经公司法定代表人签署的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7"/>
        <w:keepNext w:val="0"/>
        <w:keepLines w:val="0"/>
        <w:widowControl w:val="0"/>
        <w:shd w:val="clear" w:color="auto" w:fill="auto"/>
        <w:bidi w:val="0"/>
        <w:spacing w:before="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公司、本公司、本集团、汇金科技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陈喆女士</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瑞信投资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珠海瑞信投资管理有限公司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贵金科技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贵安新区贵金科技有限公司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证券交易所、深交所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《珠海汇金科技股份有限公司章程》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《限制性股票激励计划（草案）》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珠海汇金科技股份有限公司股东大会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珠海汇金科技股份有限公司董事会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珠海汇金科技股份有限公司监事会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期末、本期末、报告期末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9"/>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汇金科技</w:t>
              <w:tab/>
              <w:t>股票代码</w:t>
              <w:tab/>
            </w:r>
            <w:r>
              <w:rPr>
                <w:rFonts w:ascii="Times New Roman" w:eastAsia="Times New Roman" w:hAnsi="Times New Roman" w:cs="Times New Roman"/>
                <w:color w:val="000000"/>
                <w:spacing w:val="0"/>
                <w:w w:val="100"/>
                <w:position w:val="0"/>
                <w:sz w:val="18"/>
                <w:szCs w:val="18"/>
              </w:rPr>
              <w:t>300561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汇金科技</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SGSG Science&amp;Technology Co., Ltd. Zhuhai</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SGSG</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珠海市软件园路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号会展中心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第三层</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519085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珠海市软件园路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号会展中心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第三层</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sgsg.cc</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"mailto:investor@sgsg.cc" </w:instrText>
            </w:r>
            <w:r>
              <w:fldChar w:fldCharType="separate"/>
            </w:r>
            <w:r>
              <w:rPr>
                <w:rFonts w:ascii="Times New Roman" w:eastAsia="Times New Roman" w:hAnsi="Times New Roman" w:cs="Times New Roman"/>
                <w:color w:val="000000"/>
                <w:spacing w:val="0"/>
                <w:w w:val="100"/>
                <w:position w:val="0"/>
                <w:sz w:val="18"/>
                <w:szCs w:val="18"/>
              </w:rPr>
              <w:t>investor@sgsg.cc</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孙玉玲</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李佳星</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珠海市软件园路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号会展中心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 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珠海市软件园路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号会展中心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 层</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0756-3236673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0756-3236673-667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0756-3236667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0756-3236667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"mailto:investor@sgsg.cc" </w:instrText>
            </w:r>
            <w:r>
              <w:fldChar w:fldCharType="separate"/>
            </w:r>
            <w:r>
              <w:rPr>
                <w:rFonts w:ascii="Times New Roman" w:eastAsia="Times New Roman" w:hAnsi="Times New Roman" w:cs="Times New Roman"/>
                <w:color w:val="000000"/>
                <w:spacing w:val="0"/>
                <w:w w:val="100"/>
                <w:position w:val="0"/>
                <w:sz w:val="18"/>
                <w:szCs w:val="18"/>
              </w:rPr>
              <w:t>investor@sgsg.cc</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"mailto:investor@sgsg.cc" </w:instrText>
            </w:r>
            <w:r>
              <w:fldChar w:fldCharType="separate"/>
            </w:r>
            <w:r>
              <w:rPr>
                <w:rFonts w:ascii="Times New Roman" w:eastAsia="Times New Roman" w:hAnsi="Times New Roman" w:cs="Times New Roman"/>
                <w:color w:val="000000"/>
                <w:spacing w:val="0"/>
                <w:w w:val="100"/>
                <w:position w:val="0"/>
                <w:sz w:val="18"/>
                <w:szCs w:val="18"/>
              </w:rPr>
              <w:t>investor@sgsg.cc</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珠海市软件园路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号会展中心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第三层</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邵桂荣、胡静</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申万宏源证券承销保荐有限 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北京市西城区太平桥大街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花宇、丁相堃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至公司募集资金使用完毕为 止。</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203,926,202.98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196,542,876.01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14,183,070.66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17,285,190.02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20,118,329.09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7,221,515.88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7,618,046.04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7,383,347.52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-21,311,512.61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48,893,909.05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52,417,303.66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736,607,619.49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757,055,186.51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783,491,877.45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660,663,086.89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666,671,271.63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669,725,192.26</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i/>
          <w:iCs/>
          <w:color w:val="000000"/>
          <w:spacing w:val="0"/>
          <w:w w:val="100"/>
          <w:position w:val="0"/>
        </w:rPr>
        <w:t>是</w:t>
      </w:r>
      <w:r>
        <w:rPr>
          <w:i/>
          <w:iCs/>
          <w:color w:val="000000"/>
          <w:spacing w:val="0"/>
          <w:w w:val="100"/>
          <w:position w:val="0"/>
        </w:rPr>
        <w:t>J</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39,014,583.97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44,280,646.86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51,605,769.37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32,330,209.12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6,213,267.05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6,609,264.85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4,996,892.89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-3,636,354.13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5,009,190.91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3,586,337.70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3,215,908.73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-4,589,921.46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-22,721,288.45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-4,631,193.06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-17,528,913.54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23,569,882.44</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29"/>
        <w:keepNext/>
        <w:keepLines/>
        <w:widowControl w:val="0"/>
        <w:shd w:val="clear" w:color="auto" w:fill="auto"/>
        <w:tabs>
          <w:tab w:pos="522"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5"/>
        <w:keepNext/>
        <w:keepLines/>
        <w:widowControl w:val="0"/>
        <w:shd w:val="clear" w:color="auto" w:fill="auto"/>
        <w:tabs>
          <w:tab w:pos="403"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3"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越权审批或无正式批准文件的税收返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476,125.14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135,420.67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企业所得税返还</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3,130,445.27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5,927,032.97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4,661,265.00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6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 保值业务外，持有交易性金融资产、交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4,498,476.11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5,517,786.05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262,498.63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30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-150,556.91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10,081,359.46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1,145,094.98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1,687,454.18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2,121,882.69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6,961,554.78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9,667,143.98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12,734,981.57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441" w:right="1136" w:bottom="1547" w:left="1086"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5"/>
        <w:keepNext/>
        <w:keepLines/>
        <w:widowControl w:val="0"/>
        <w:shd w:val="clear" w:color="auto" w:fill="auto"/>
        <w:bidi w:val="0"/>
        <w:spacing w:before="54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9"/>
        <w:keepNext/>
        <w:keepLines/>
        <w:widowControl w:val="0"/>
        <w:shd w:val="clear" w:color="auto" w:fill="auto"/>
        <w:tabs>
          <w:tab w:pos="480" w:val="left"/>
        </w:tabs>
        <w:bidi w:val="0"/>
        <w:spacing w:before="0" w:after="260" w:line="240" w:lineRule="auto"/>
        <w:ind w:left="0" w:right="0" w:firstLine="0"/>
        <w:jc w:val="both"/>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报告期内公司所处行业情况</w:t>
      </w:r>
      <w:bookmarkEnd w:id="56"/>
      <w:bookmarkEnd w:id="57"/>
      <w:bookmarkEnd w:id="59"/>
      <w:bookmarkEnd w:id="55"/>
    </w:p>
    <w:p>
      <w:pPr>
        <w:pStyle w:val="Style23"/>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公司所处行业属于“软件与信息技术服务业”。公司自成立以来，一直深耕金融领域，通过科技手段，助力降低客户运 营成本、系统性地控制风险、创新业务模式，协助金融行业客户转型和变革。</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随着大数据、云计算、人工智能、物联网等技术的快速发展，数字化浪潮的不断推动、金融行业监管的日益加强，金融 与科技融合发展已经成为行业发展趋势。银行业传统的发展模式正发生颠覆性变革，各大商业银行因势而动，加大金融科技 及数字化建设的投入，探索打造适合数字经济时代发展需要的商业模式。在此背景下，银行等金融业客户更注重平衡稳增长 和防风险的关系，升级内控风险管理体系，精准有效的处置重点领域风险势在必行。从科技在金融行业应用的深度和变革影 响来看，金融领域的科技应用已发展到强调业务前、中、后台的全流程科技应用变革的阶段。大数据、云计算、人工智能、 物联网等技术已广泛应用于金融行业典型业务场景。</w:t>
      </w:r>
    </w:p>
    <w:p>
      <w:pPr>
        <w:pStyle w:val="Style23"/>
        <w:keepNext w:val="0"/>
        <w:keepLines w:val="0"/>
        <w:widowControl w:val="0"/>
        <w:shd w:val="clear" w:color="auto" w:fill="auto"/>
        <w:bidi w:val="0"/>
        <w:spacing w:before="0" w:after="0" w:line="318"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月，公安部颁布</w:t>
      </w:r>
      <w:r>
        <w:rPr>
          <w:color w:val="000000"/>
          <w:spacing w:val="0"/>
          <w:w w:val="100"/>
          <w:position w:val="0"/>
          <w:sz w:val="18"/>
          <w:szCs w:val="18"/>
        </w:rPr>
        <w:t>GA38-2021</w:t>
      </w:r>
      <w:r>
        <w:rPr>
          <w:color w:val="000000"/>
          <w:spacing w:val="0"/>
          <w:w w:val="100"/>
          <w:position w:val="0"/>
        </w:rPr>
        <w:t>《银行安全防范要求》，并于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日正式实施。该标准规定了银行业金融机构 的总体安全防范要求和营业场所、自助设备、业务库、保管箱库、联网监控中心等重点防范场所和部门的安全防范要求，进 一步明确了智能业务库的行业标准，触发了银行客户针对智能业务库产品的市场需求。</w:t>
      </w:r>
    </w:p>
    <w:p>
      <w:pPr>
        <w:pStyle w:val="Style23"/>
        <w:keepNext w:val="0"/>
        <w:keepLines w:val="0"/>
        <w:widowControl w:val="0"/>
        <w:shd w:val="clear" w:color="auto" w:fill="auto"/>
        <w:bidi w:val="0"/>
        <w:spacing w:before="0" w:after="0" w:line="318"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月，国务院发布《“十四五”数字经济发展规划》，明确指出加快金融领域数字化转型，合理推动大数据、人工 智能、区块链等技术在银行、证券、保险等领域的深化应用，发展智能支付、智慧网点、智能投顾、数字化融资等新模式， 稳妥推进数字人民币研发，有序开展可控试点。“十四五”时期，我国数字经济转向深化应用、规范发展、普惠共享的新阶 段，数字经济必将为国民经济发展提供重要支撑。</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月，中国人民银行发布《金融科技发展规划</w:t>
      </w:r>
      <w:r>
        <w:rPr>
          <w:color w:val="000000"/>
          <w:spacing w:val="0"/>
          <w:w w:val="100"/>
          <w:position w:val="0"/>
          <w:sz w:val="18"/>
          <w:szCs w:val="18"/>
        </w:rPr>
        <w:t>（</w:t>
      </w:r>
      <w:r>
        <w:rPr>
          <w:color w:val="000000"/>
          <w:spacing w:val="0"/>
          <w:w w:val="100"/>
          <w:position w:val="0"/>
          <w:sz w:val="18"/>
          <w:szCs w:val="18"/>
        </w:rPr>
        <w:t>2022-2025</w:t>
      </w:r>
      <w:r>
        <w:rPr>
          <w:color w:val="000000"/>
          <w:spacing w:val="0"/>
          <w:w w:val="100"/>
          <w:position w:val="0"/>
        </w:rPr>
        <w:t>年）》（银发</w:t>
      </w:r>
      <w:r>
        <w:rPr>
          <w:color w:val="000000"/>
          <w:spacing w:val="0"/>
          <w:w w:val="100"/>
          <w:position w:val="0"/>
          <w:sz w:val="18"/>
          <w:szCs w:val="18"/>
        </w:rPr>
        <w:t>[2021]335</w:t>
      </w:r>
      <w:r>
        <w:rPr>
          <w:color w:val="000000"/>
          <w:spacing w:val="0"/>
          <w:w w:val="100"/>
          <w:position w:val="0"/>
        </w:rPr>
        <w:t>号），提出新时期金融科技发展 指导意见，我国金融科技总体定位从“立柱架梁”全面迈入“积厚成势”新阶段，“以加快推进金融机构数字化转型为主线”， 从治理结构、发展战略、数据要素、敏捷创新、中台建设、风控机制、智能营销、智慧服务等多个层面全方位服务金融机构 数字化转型。</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上述政策的推出，为金融科技行业营造了良好的政策环境，带来新发展机遇，将促进行业的发展壮大与转型升级。</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公司为银行客户运营安全防范、现金及重控物品管理等业务提供智能化集中管控的整体解决方案，形成了以一体化服务 为特点的经营模式，业务涵盖方案设计、软件开发、硬件设计、系统集成、安装调试、技术支持、培训及售后服务全过程， 是国内最早拓展金融行业现金及重控物品管理解决方案的专业公司之一，基于该领域的业务特点和管理要求率先开发了银行 自助设备现金管理系统、银行现金及重控物品管理系统、银行智能业务库管理系统等解决方案。</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公司用户覆盖国内国有大型商业银行、股份制商业银行、城市商业银行、农村商业银行、农村信用社及外资银行等，上 述解决方案在银行营业网点覆盖率上处于同类产品领先地位。</w:t>
      </w:r>
    </w:p>
    <w:p>
      <w:pPr>
        <w:pStyle w:val="Style23"/>
        <w:keepNext w:val="0"/>
        <w:keepLines w:val="0"/>
        <w:widowControl w:val="0"/>
        <w:shd w:val="clear" w:color="auto" w:fill="auto"/>
        <w:bidi w:val="0"/>
        <w:spacing w:before="0" w:after="400" w:line="312" w:lineRule="exact"/>
        <w:ind w:left="0" w:right="0"/>
        <w:jc w:val="both"/>
      </w:pPr>
      <w:r>
        <w:rPr>
          <w:color w:val="000000"/>
          <w:spacing w:val="0"/>
          <w:w w:val="100"/>
          <w:position w:val="0"/>
        </w:rPr>
        <w:t>公司所处行业为软件和信息技术服务业，受经济周期的影响比传统行业要小，具有较强的抗周期性。公司业务直接受下 游银行客户变化影响，银行业客户的投资和采购计划、风险控制模式、经营情况等对公司业务有直接影响，随着银行业务的 变革和转型，公司没有明显周期性特征。</w:t>
      </w:r>
    </w:p>
    <w:p>
      <w:pPr>
        <w:pStyle w:val="Style29"/>
        <w:keepNext/>
        <w:keepLines/>
        <w:widowControl w:val="0"/>
        <w:shd w:val="clear" w:color="auto" w:fill="auto"/>
        <w:tabs>
          <w:tab w:pos="480" w:val="left"/>
        </w:tabs>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报告期内公司从事的主要业务</w:t>
      </w:r>
      <w:bookmarkEnd w:id="60"/>
      <w:bookmarkEnd w:id="61"/>
      <w:bookmarkEnd w:id="63"/>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公司做为国内最早拓展金融行业现金及重控物品管理解决方案的专业公司之一，随着金融信息技术的不断创新，主营业 务是运用物联网、移动互联网、人工智能、动态密码等技术，为金融行业客户提供运营管理、风险控制、网点转型、渠道建 设等“云+端”整体解决方案和服务。公司客户覆盖国内国有大型商业银行、股份制商业银行、城市商业银行、农村商业 银行、农村信用社及外资银行等。</w:t>
      </w:r>
    </w:p>
    <w:p>
      <w:pPr>
        <w:pStyle w:val="Style23"/>
        <w:keepNext w:val="0"/>
        <w:keepLines w:val="0"/>
        <w:widowControl w:val="0"/>
        <w:shd w:val="clear" w:color="auto" w:fill="auto"/>
        <w:bidi w:val="0"/>
        <w:spacing w:before="0" w:after="320" w:line="312" w:lineRule="exact"/>
        <w:ind w:left="0" w:right="0"/>
        <w:jc w:val="both"/>
      </w:pPr>
      <w:bookmarkStart w:id="64" w:name="bookmark64"/>
      <w:r>
        <w:rPr>
          <w:color w:val="000000"/>
          <w:spacing w:val="0"/>
          <w:w w:val="100"/>
          <w:position w:val="0"/>
          <w:sz w:val="18"/>
          <w:szCs w:val="18"/>
        </w:rPr>
        <w:t>1</w:t>
      </w:r>
      <w:bookmarkEnd w:id="64"/>
      <w:r>
        <w:rPr>
          <w:color w:val="000000"/>
          <w:spacing w:val="0"/>
          <w:w w:val="100"/>
          <w:position w:val="0"/>
        </w:rPr>
        <w:t>、公司主要产品解决方案</w:t>
      </w:r>
    </w:p>
    <w:p>
      <w:pPr>
        <w:pStyle w:val="Style23"/>
        <w:keepNext w:val="0"/>
        <w:keepLines w:val="0"/>
        <w:widowControl w:val="0"/>
        <w:shd w:val="clear" w:color="auto" w:fill="auto"/>
        <w:tabs>
          <w:tab w:pos="765" w:val="left"/>
        </w:tabs>
        <w:bidi w:val="0"/>
        <w:spacing w:before="0" w:after="0" w:line="312" w:lineRule="exact"/>
        <w:ind w:left="0" w:right="0"/>
        <w:jc w:val="both"/>
      </w:pPr>
      <w:bookmarkStart w:id="65" w:name="bookmark65"/>
      <w:r>
        <w:rPr>
          <w:color w:val="000000"/>
          <w:spacing w:val="0"/>
          <w:w w:val="100"/>
          <w:position w:val="0"/>
          <w:sz w:val="18"/>
          <w:szCs w:val="18"/>
        </w:rPr>
        <w:t>（</w:t>
      </w:r>
      <w:bookmarkEnd w:id="65"/>
      <w:r>
        <w:rPr>
          <w:color w:val="000000"/>
          <w:spacing w:val="0"/>
          <w:w w:val="100"/>
          <w:position w:val="0"/>
          <w:sz w:val="18"/>
          <w:szCs w:val="18"/>
        </w:rPr>
        <w:t>1）</w:t>
        <w:tab/>
      </w:r>
      <w:r>
        <w:rPr>
          <w:color w:val="000000"/>
          <w:spacing w:val="0"/>
          <w:w w:val="100"/>
          <w:position w:val="0"/>
        </w:rPr>
        <w:t>银行自助设备现金管理系统</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通过物联网、人工智能、动态密码等技术整合运用，有效控制管理风险，提高运营效率，满足银行附行式设备、离行式 设备以及外包自助设备、网点、金库的各种管理要求。</w:t>
      </w:r>
    </w:p>
    <w:p>
      <w:pPr>
        <w:pStyle w:val="Style23"/>
        <w:keepNext w:val="0"/>
        <w:keepLines w:val="0"/>
        <w:widowControl w:val="0"/>
        <w:shd w:val="clear" w:color="auto" w:fill="auto"/>
        <w:tabs>
          <w:tab w:pos="765" w:val="left"/>
        </w:tabs>
        <w:bidi w:val="0"/>
        <w:spacing w:before="0" w:after="0" w:line="312" w:lineRule="exact"/>
        <w:ind w:left="0" w:right="0"/>
        <w:jc w:val="both"/>
      </w:pPr>
      <w:bookmarkStart w:id="66" w:name="bookmark66"/>
      <w:r>
        <w:rPr>
          <w:color w:val="000000"/>
          <w:spacing w:val="0"/>
          <w:w w:val="100"/>
          <w:position w:val="0"/>
          <w:sz w:val="18"/>
          <w:szCs w:val="18"/>
        </w:rPr>
        <w:t>（</w:t>
      </w:r>
      <w:bookmarkEnd w:id="66"/>
      <w:r>
        <w:rPr>
          <w:color w:val="000000"/>
          <w:spacing w:val="0"/>
          <w:w w:val="100"/>
          <w:position w:val="0"/>
          <w:sz w:val="18"/>
          <w:szCs w:val="18"/>
        </w:rPr>
        <w:t>2）</w:t>
        <w:tab/>
      </w:r>
      <w:r>
        <w:rPr>
          <w:color w:val="000000"/>
          <w:spacing w:val="0"/>
          <w:w w:val="100"/>
          <w:position w:val="0"/>
        </w:rPr>
        <w:t>银行现金及重控物品管理解决方案</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综合运用物联网技术、无线通讯技术、生物识别技术等，对银行机构、人员、款箱、现金、票据、贵金属、抵质押品等 进行系统化身份识别，通过不可逆的状态确认技术及产品，实现流转过程的内控安全和智能化管理，降低银行营运成本，为 客户提供银行现金及重控物品管理的全方位一体化的整体解决方案及服务。</w:t>
      </w:r>
    </w:p>
    <w:p>
      <w:pPr>
        <w:pStyle w:val="Style23"/>
        <w:keepNext w:val="0"/>
        <w:keepLines w:val="0"/>
        <w:widowControl w:val="0"/>
        <w:shd w:val="clear" w:color="auto" w:fill="auto"/>
        <w:tabs>
          <w:tab w:pos="765" w:val="left"/>
        </w:tabs>
        <w:bidi w:val="0"/>
        <w:spacing w:before="0" w:after="0" w:line="312" w:lineRule="exact"/>
        <w:ind w:left="0" w:right="0"/>
        <w:jc w:val="both"/>
      </w:pPr>
      <w:bookmarkStart w:id="67" w:name="bookmark67"/>
      <w:r>
        <w:rPr>
          <w:color w:val="000000"/>
          <w:spacing w:val="0"/>
          <w:w w:val="100"/>
          <w:position w:val="0"/>
          <w:sz w:val="18"/>
          <w:szCs w:val="18"/>
        </w:rPr>
        <w:t>（</w:t>
      </w:r>
      <w:bookmarkEnd w:id="67"/>
      <w:r>
        <w:rPr>
          <w:color w:val="000000"/>
          <w:spacing w:val="0"/>
          <w:w w:val="100"/>
          <w:position w:val="0"/>
          <w:sz w:val="18"/>
          <w:szCs w:val="18"/>
        </w:rPr>
        <w:t>3）</w:t>
        <w:tab/>
      </w:r>
      <w:r>
        <w:rPr>
          <w:color w:val="000000"/>
          <w:spacing w:val="0"/>
          <w:w w:val="100"/>
          <w:position w:val="0"/>
        </w:rPr>
        <w:t>银行智能业务库管理系统</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目前银行客户普遍存在现金及重控物品需要每日由押运公司运送到银行网点而面临的运营成本过高，营业时间受影响等 痛点，为解决客户痛点，同时满足银行客户系统化、痕迹化、授权规范、一体化控制银行网点营运风险，提升银行网点管理 水平，提高银行网点营运效率的需求，公司综合运用物联网技术、无线通讯技术、生物识别技术和动态密码技术等，研发了 银行网点智能业务库管理系统解决方案。该方案满足银行智能化运营的需求及公安部</w:t>
      </w:r>
      <w:r>
        <w:rPr>
          <w:color w:val="000000"/>
          <w:spacing w:val="0"/>
          <w:w w:val="100"/>
          <w:position w:val="0"/>
          <w:sz w:val="18"/>
          <w:szCs w:val="18"/>
        </w:rPr>
        <w:t>GA38-2021</w:t>
      </w:r>
      <w:r>
        <w:rPr>
          <w:color w:val="000000"/>
          <w:spacing w:val="0"/>
          <w:w w:val="100"/>
          <w:position w:val="0"/>
        </w:rPr>
        <w:t>《银行安全防范要求》行业 标准，为客户解决银行守押社会化存在的问题，提高银行网点营运效率、降低运营成本、减少网点员工无效工作时间、防范 网点运营风险提供了整体解决方案。</w:t>
      </w:r>
    </w:p>
    <w:p>
      <w:pPr>
        <w:pStyle w:val="Style23"/>
        <w:keepNext w:val="0"/>
        <w:keepLines w:val="0"/>
        <w:widowControl w:val="0"/>
        <w:shd w:val="clear" w:color="auto" w:fill="auto"/>
        <w:tabs>
          <w:tab w:pos="765" w:val="left"/>
        </w:tabs>
        <w:bidi w:val="0"/>
        <w:spacing w:before="0" w:after="0" w:line="312" w:lineRule="exact"/>
        <w:ind w:left="0" w:right="0"/>
        <w:jc w:val="both"/>
      </w:pPr>
      <w:bookmarkStart w:id="68" w:name="bookmark68"/>
      <w:r>
        <w:rPr>
          <w:color w:val="000000"/>
          <w:spacing w:val="0"/>
          <w:w w:val="100"/>
          <w:position w:val="0"/>
          <w:sz w:val="18"/>
          <w:szCs w:val="18"/>
        </w:rPr>
        <w:t>（</w:t>
      </w:r>
      <w:bookmarkEnd w:id="68"/>
      <w:r>
        <w:rPr>
          <w:color w:val="000000"/>
          <w:spacing w:val="0"/>
          <w:w w:val="100"/>
          <w:position w:val="0"/>
          <w:sz w:val="18"/>
          <w:szCs w:val="18"/>
        </w:rPr>
        <w:t>4）</w:t>
        <w:tab/>
      </w:r>
      <w:r>
        <w:rPr>
          <w:color w:val="000000"/>
          <w:spacing w:val="0"/>
          <w:w w:val="100"/>
          <w:position w:val="0"/>
        </w:rPr>
        <w:t>银行支付系统人脸识别、语音识别及安全解决方案</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公司将人工智能技术、物联网技术与传统金融服务场景相结合，针对银行自助机具、网点柜面、信贷风控、运营授权等 业务场景，开发研制了一系列具备</w:t>
      </w:r>
      <w:r>
        <w:rPr>
          <w:color w:val="000000"/>
          <w:spacing w:val="0"/>
          <w:w w:val="100"/>
          <w:position w:val="0"/>
          <w:sz w:val="18"/>
          <w:szCs w:val="18"/>
        </w:rPr>
        <w:t>AI</w:t>
      </w:r>
      <w:r>
        <w:rPr>
          <w:color w:val="000000"/>
          <w:spacing w:val="0"/>
          <w:w w:val="100"/>
          <w:position w:val="0"/>
        </w:rPr>
        <w:t>人脸识别、语音识别、国密安全控制等核心功能的系统解决方案，助力银行网点的智能 化转型和智慧金融建设。</w:t>
      </w:r>
    </w:p>
    <w:p>
      <w:pPr>
        <w:pStyle w:val="Style23"/>
        <w:keepNext w:val="0"/>
        <w:keepLines w:val="0"/>
        <w:widowControl w:val="0"/>
        <w:shd w:val="clear" w:color="auto" w:fill="auto"/>
        <w:tabs>
          <w:tab w:pos="765" w:val="left"/>
        </w:tabs>
        <w:bidi w:val="0"/>
        <w:spacing w:before="0" w:after="0" w:line="312" w:lineRule="exact"/>
        <w:ind w:left="0" w:right="0"/>
        <w:jc w:val="both"/>
      </w:pPr>
      <w:bookmarkStart w:id="69" w:name="bookmark69"/>
      <w:r>
        <w:rPr>
          <w:color w:val="000000"/>
          <w:spacing w:val="0"/>
          <w:w w:val="100"/>
          <w:position w:val="0"/>
          <w:sz w:val="18"/>
          <w:szCs w:val="18"/>
        </w:rPr>
        <w:t>（</w:t>
      </w:r>
      <w:bookmarkEnd w:id="69"/>
      <w:r>
        <w:rPr>
          <w:color w:val="000000"/>
          <w:spacing w:val="0"/>
          <w:w w:val="100"/>
          <w:position w:val="0"/>
          <w:sz w:val="18"/>
          <w:szCs w:val="18"/>
        </w:rPr>
        <w:t>5）</w:t>
        <w:tab/>
      </w:r>
      <w:r>
        <w:rPr>
          <w:color w:val="000000"/>
          <w:spacing w:val="0"/>
          <w:w w:val="100"/>
          <w:position w:val="0"/>
        </w:rPr>
        <w:t>银行印章管理系统</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应用物联网技术、</w:t>
      </w:r>
      <w:r>
        <w:rPr>
          <w:color w:val="000000"/>
          <w:spacing w:val="0"/>
          <w:w w:val="100"/>
          <w:position w:val="0"/>
          <w:sz w:val="18"/>
          <w:szCs w:val="18"/>
        </w:rPr>
        <w:t>OCR</w:t>
      </w:r>
      <w:r>
        <w:rPr>
          <w:color w:val="000000"/>
          <w:spacing w:val="0"/>
          <w:w w:val="100"/>
          <w:position w:val="0"/>
        </w:rPr>
        <w:t>影像识别技术、机电一体化等技术，结合图形图像处理技术和工作流技术，为金融机构印章改革 提供了软硬件一体化的解决方案。方案在业务处理上兼顾效率与服务，在有效提升客户体验的同时提升员工体验。方案实现 金融机构业务印章统一管理，及“全范围、全流程、集中化”的管理。目前，随着电子印章管理系统在银行网点的普及，实 体印章管理产品的市场需求不断下降，公司将根据市场需求变化调整相关策略。</w:t>
      </w:r>
    </w:p>
    <w:p>
      <w:pPr>
        <w:pStyle w:val="Style23"/>
        <w:keepNext w:val="0"/>
        <w:keepLines w:val="0"/>
        <w:widowControl w:val="0"/>
        <w:shd w:val="clear" w:color="auto" w:fill="auto"/>
        <w:tabs>
          <w:tab w:pos="765" w:val="left"/>
        </w:tabs>
        <w:bidi w:val="0"/>
        <w:spacing w:before="0" w:after="0" w:line="312" w:lineRule="exact"/>
        <w:ind w:left="0" w:right="0"/>
        <w:jc w:val="both"/>
      </w:pPr>
      <w:bookmarkStart w:id="70" w:name="bookmark70"/>
      <w:r>
        <w:rPr>
          <w:color w:val="000000"/>
          <w:spacing w:val="0"/>
          <w:w w:val="100"/>
          <w:position w:val="0"/>
          <w:sz w:val="18"/>
          <w:szCs w:val="18"/>
        </w:rPr>
        <w:t>（</w:t>
      </w:r>
      <w:bookmarkEnd w:id="70"/>
      <w:r>
        <w:rPr>
          <w:color w:val="000000"/>
          <w:spacing w:val="0"/>
          <w:w w:val="100"/>
          <w:position w:val="0"/>
          <w:sz w:val="18"/>
          <w:szCs w:val="18"/>
        </w:rPr>
        <w:t>6）</w:t>
        <w:tab/>
      </w:r>
      <w:r>
        <w:rPr>
          <w:color w:val="000000"/>
          <w:spacing w:val="0"/>
          <w:w w:val="100"/>
          <w:position w:val="0"/>
        </w:rPr>
        <w:t>银行移动金融解决方案</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根据银行客户对于普惠金融和移动营销的需求，综合运用移动互联网、人工智能、生物识别、动态密码等技术，为银行 提供安全、高效的移动金融解决方案，拓展业务应用渠道、延伸服务网络、拉近银行和客户的距离，丰富交易手段，实现业 务创新和流程优化。目前，银行客户对移动金融载体标准化产品需求呈现变化较快、个性化多的特点，公司将根据市场需求 的变化，适时调整相关产品策略。</w:t>
      </w:r>
    </w:p>
    <w:p>
      <w:pPr>
        <w:pStyle w:val="Style23"/>
        <w:keepNext w:val="0"/>
        <w:keepLines w:val="0"/>
        <w:widowControl w:val="0"/>
        <w:shd w:val="clear" w:color="auto" w:fill="auto"/>
        <w:bidi w:val="0"/>
        <w:spacing w:before="0" w:after="0" w:line="312" w:lineRule="exact"/>
        <w:ind w:left="0" w:right="0"/>
        <w:jc w:val="both"/>
      </w:pPr>
      <w:bookmarkStart w:id="71" w:name="bookmark71"/>
      <w:r>
        <w:rPr>
          <w:color w:val="000000"/>
          <w:spacing w:val="0"/>
          <w:w w:val="100"/>
          <w:position w:val="0"/>
          <w:sz w:val="18"/>
          <w:szCs w:val="18"/>
        </w:rPr>
        <w:t>2</w:t>
      </w:r>
      <w:bookmarkEnd w:id="71"/>
      <w:r>
        <w:rPr>
          <w:color w:val="000000"/>
          <w:spacing w:val="0"/>
          <w:w w:val="100"/>
          <w:position w:val="0"/>
        </w:rPr>
        <w:t>、公司经营模式</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公司自成立以来，坚持同心多元化发展，自主创新，为客户提供一体化整体服务方案。深入分析金融科技的发展方向， 关注新技术的发展和应用，前瞻性的开发贴合行业发展趋势的解决方案，引导行业相关产品发展方向，持续巩固市场先入的 品牌优势。深入对客户业务模式及需求的调研，不断打造涵盖方案设计、制度及流程优化、软硬件设计、系统集成、安装、 技术支持、培训全过程的整体服务方案。同时，深度研究国家政策及导向，积极探索符合行业发展趋势、自身技术优势的新 业务、新产品，实现研发成果高转化率。</w:t>
      </w:r>
    </w:p>
    <w:p>
      <w:pPr>
        <w:pStyle w:val="Style23"/>
        <w:keepNext w:val="0"/>
        <w:keepLines w:val="0"/>
        <w:widowControl w:val="0"/>
        <w:shd w:val="clear" w:color="auto" w:fill="auto"/>
        <w:tabs>
          <w:tab w:pos="765" w:val="left"/>
        </w:tabs>
        <w:bidi w:val="0"/>
        <w:spacing w:before="0" w:after="0" w:line="312" w:lineRule="exact"/>
        <w:ind w:left="0" w:right="0"/>
        <w:jc w:val="both"/>
      </w:pPr>
      <w:bookmarkStart w:id="72" w:name="bookmark72"/>
      <w:r>
        <w:rPr>
          <w:color w:val="000000"/>
          <w:spacing w:val="0"/>
          <w:w w:val="100"/>
          <w:position w:val="0"/>
          <w:sz w:val="18"/>
          <w:szCs w:val="18"/>
        </w:rPr>
        <w:t>（</w:t>
      </w:r>
      <w:bookmarkEnd w:id="72"/>
      <w:r>
        <w:rPr>
          <w:color w:val="000000"/>
          <w:spacing w:val="0"/>
          <w:w w:val="100"/>
          <w:position w:val="0"/>
          <w:sz w:val="18"/>
          <w:szCs w:val="18"/>
        </w:rPr>
        <w:t>1）</w:t>
        <w:tab/>
      </w:r>
      <w:r>
        <w:rPr>
          <w:color w:val="000000"/>
          <w:spacing w:val="0"/>
          <w:w w:val="100"/>
          <w:position w:val="0"/>
        </w:rPr>
        <w:t>开发模式</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公司产品开发围绕国家政策导向，贴合行业发展趋势，从客户需求出发，了解、分析、参与设计客户业务操作的流程及 关键控制点，独立自主设计研发适用的解决方案。公司拥有熟悉银行运营具体业务流程及掌握物联网、移动互联网、人工智 能、动态密码等技术的研发队伍，以集成产品开发模式</w:t>
      </w:r>
      <w:r>
        <w:rPr>
          <w:color w:val="000000"/>
          <w:spacing w:val="0"/>
          <w:w w:val="100"/>
          <w:position w:val="0"/>
          <w:sz w:val="18"/>
          <w:szCs w:val="18"/>
        </w:rPr>
        <w:t>（IPD</w:t>
      </w:r>
      <w:r>
        <w:rPr>
          <w:color w:val="000000"/>
          <w:spacing w:val="0"/>
          <w:w w:val="100"/>
          <w:position w:val="0"/>
        </w:rPr>
        <w:t>）和</w:t>
      </w:r>
      <w:r>
        <w:rPr>
          <w:color w:val="000000"/>
          <w:spacing w:val="0"/>
          <w:w w:val="100"/>
          <w:position w:val="0"/>
          <w:sz w:val="18"/>
          <w:szCs w:val="18"/>
        </w:rPr>
        <w:t>RDM</w:t>
      </w:r>
      <w:r>
        <w:rPr>
          <w:color w:val="000000"/>
          <w:spacing w:val="0"/>
          <w:w w:val="100"/>
          <w:position w:val="0"/>
        </w:rPr>
        <w:t>信息化管理系统，运用流程管理及信息化工具来规范研 发工作，实现产品适配市场，开发过程高效可控，产品成本符合设计等管理要求。公司注重技术预研，秉承产品销售一代， 研发一代，预研一代的经营策略，持续对研发进行投入。</w:t>
      </w:r>
    </w:p>
    <w:p>
      <w:pPr>
        <w:pStyle w:val="Style23"/>
        <w:keepNext w:val="0"/>
        <w:keepLines w:val="0"/>
        <w:widowControl w:val="0"/>
        <w:shd w:val="clear" w:color="auto" w:fill="auto"/>
        <w:tabs>
          <w:tab w:pos="765" w:val="left"/>
        </w:tabs>
        <w:bidi w:val="0"/>
        <w:spacing w:before="0" w:after="0" w:line="312" w:lineRule="exact"/>
        <w:ind w:left="0" w:right="0"/>
        <w:jc w:val="both"/>
      </w:pPr>
      <w:bookmarkStart w:id="73" w:name="bookmark73"/>
      <w:r>
        <w:rPr>
          <w:color w:val="000000"/>
          <w:spacing w:val="0"/>
          <w:w w:val="100"/>
          <w:position w:val="0"/>
          <w:sz w:val="18"/>
          <w:szCs w:val="18"/>
        </w:rPr>
        <w:t>（</w:t>
      </w:r>
      <w:bookmarkEnd w:id="73"/>
      <w:r>
        <w:rPr>
          <w:color w:val="000000"/>
          <w:spacing w:val="0"/>
          <w:w w:val="100"/>
          <w:position w:val="0"/>
          <w:sz w:val="18"/>
          <w:szCs w:val="18"/>
        </w:rPr>
        <w:t>2）</w:t>
        <w:tab/>
      </w:r>
      <w:r>
        <w:rPr>
          <w:color w:val="000000"/>
          <w:spacing w:val="0"/>
          <w:w w:val="100"/>
          <w:position w:val="0"/>
        </w:rPr>
        <w:t>采购模式</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公司以高品质、稳交付出发制定采购策略，建立了材料品质有保障，交付按计划、研发工作配合度高的供应体系。以市 场需求为导向进行滚动销售预测，基于客户订单采用安全库存和经济批量订购等科学合理的方法确定采购计划和采购模式。 通过持续优化项目管理、供销平衡管理，弹性供应链建设等手段不断提高市场需求响应率，保证供应安全。保持对国内外大 </w:t>
      </w:r>
      <w:r>
        <w:rPr>
          <w:color w:val="000000"/>
          <w:spacing w:val="0"/>
          <w:w w:val="100"/>
          <w:position w:val="0"/>
        </w:rPr>
        <w:t>宗材料和电子物料市场行情变化的关注，持续对国产可替代方案进行研究和应用，通过战略性备料等手段建立起高保障的供 应体系。</w:t>
      </w:r>
    </w:p>
    <w:p>
      <w:pPr>
        <w:pStyle w:val="Style23"/>
        <w:keepNext w:val="0"/>
        <w:keepLines w:val="0"/>
        <w:widowControl w:val="0"/>
        <w:shd w:val="clear" w:color="auto" w:fill="auto"/>
        <w:tabs>
          <w:tab w:pos="776" w:val="left"/>
        </w:tabs>
        <w:bidi w:val="0"/>
        <w:spacing w:before="0" w:after="0" w:line="314" w:lineRule="exact"/>
        <w:ind w:left="0" w:right="0"/>
        <w:jc w:val="left"/>
      </w:pPr>
      <w:bookmarkStart w:id="74" w:name="bookmark74"/>
      <w:r>
        <w:rPr>
          <w:color w:val="000000"/>
          <w:spacing w:val="0"/>
          <w:w w:val="100"/>
          <w:position w:val="0"/>
          <w:sz w:val="18"/>
          <w:szCs w:val="18"/>
        </w:rPr>
        <w:t>（</w:t>
      </w:r>
      <w:bookmarkEnd w:id="74"/>
      <w:r>
        <w:rPr>
          <w:color w:val="000000"/>
          <w:spacing w:val="0"/>
          <w:w w:val="100"/>
          <w:position w:val="0"/>
          <w:sz w:val="18"/>
          <w:szCs w:val="18"/>
        </w:rPr>
        <w:t>3）</w:t>
        <w:tab/>
      </w:r>
      <w:r>
        <w:rPr>
          <w:color w:val="000000"/>
          <w:spacing w:val="0"/>
          <w:w w:val="100"/>
          <w:position w:val="0"/>
        </w:rPr>
        <w:t>生产体系</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公司拥有完整的生产体系、产品供应链管理系统，推行</w:t>
      </w:r>
      <w:r>
        <w:rPr>
          <w:color w:val="000000"/>
          <w:spacing w:val="0"/>
          <w:w w:val="100"/>
          <w:position w:val="0"/>
          <w:sz w:val="18"/>
          <w:szCs w:val="18"/>
        </w:rPr>
        <w:t>6S</w:t>
      </w:r>
      <w:r>
        <w:rPr>
          <w:color w:val="000000"/>
          <w:spacing w:val="0"/>
          <w:w w:val="100"/>
          <w:position w:val="0"/>
        </w:rPr>
        <w:t>精益管理，培育核心竞争能力。拥有成熟、完整的质量体系， 先后通过了</w:t>
      </w:r>
      <w:r>
        <w:rPr>
          <w:color w:val="000000"/>
          <w:spacing w:val="0"/>
          <w:w w:val="100"/>
          <w:position w:val="0"/>
          <w:sz w:val="18"/>
          <w:szCs w:val="18"/>
        </w:rPr>
        <w:t>ISO9001</w:t>
      </w:r>
      <w:r>
        <w:rPr>
          <w:color w:val="000000"/>
          <w:spacing w:val="0"/>
          <w:w w:val="100"/>
          <w:position w:val="0"/>
          <w:sz w:val="18"/>
          <w:szCs w:val="18"/>
        </w:rPr>
        <w:t>:2015</w:t>
      </w:r>
      <w:r>
        <w:rPr>
          <w:color w:val="000000"/>
          <w:spacing w:val="0"/>
          <w:w w:val="100"/>
          <w:position w:val="0"/>
        </w:rPr>
        <w:t>质量管理体系认证、</w:t>
      </w:r>
      <w:r>
        <w:rPr>
          <w:color w:val="000000"/>
          <w:spacing w:val="0"/>
          <w:w w:val="100"/>
          <w:position w:val="0"/>
          <w:sz w:val="18"/>
          <w:szCs w:val="18"/>
        </w:rPr>
        <w:t>ISO14001</w:t>
      </w:r>
      <w:r>
        <w:rPr>
          <w:color w:val="000000"/>
          <w:spacing w:val="0"/>
          <w:w w:val="100"/>
          <w:position w:val="0"/>
          <w:sz w:val="18"/>
          <w:szCs w:val="18"/>
        </w:rPr>
        <w:t>:2015</w:t>
      </w:r>
      <w:r>
        <w:rPr>
          <w:color w:val="000000"/>
          <w:spacing w:val="0"/>
          <w:w w:val="100"/>
          <w:position w:val="0"/>
        </w:rPr>
        <w:t>环境管理体系认证、</w:t>
      </w:r>
      <w:r>
        <w:rPr>
          <w:color w:val="000000"/>
          <w:spacing w:val="0"/>
          <w:w w:val="100"/>
          <w:position w:val="0"/>
          <w:sz w:val="18"/>
          <w:szCs w:val="18"/>
        </w:rPr>
        <w:t>OHSAS18001</w:t>
      </w:r>
      <w:r>
        <w:rPr>
          <w:color w:val="000000"/>
          <w:spacing w:val="0"/>
          <w:w w:val="100"/>
          <w:position w:val="0"/>
          <w:sz w:val="18"/>
          <w:szCs w:val="18"/>
        </w:rPr>
        <w:t>:2007</w:t>
      </w:r>
      <w:r>
        <w:rPr>
          <w:color w:val="000000"/>
          <w:spacing w:val="0"/>
          <w:w w:val="100"/>
          <w:position w:val="0"/>
        </w:rPr>
        <w:t>职业健康安全管理体系认 证。公司建立了以质量考核为抓手的质量认证机制，产品通过公安部检测、国家信息安全评测、德国</w:t>
      </w:r>
      <w:r>
        <w:rPr>
          <w:color w:val="000000"/>
          <w:spacing w:val="0"/>
          <w:w w:val="100"/>
          <w:position w:val="0"/>
          <w:sz w:val="18"/>
          <w:szCs w:val="18"/>
        </w:rPr>
        <w:t>VDS</w:t>
      </w:r>
      <w:r>
        <w:rPr>
          <w:color w:val="000000"/>
          <w:spacing w:val="0"/>
          <w:w w:val="100"/>
          <w:position w:val="0"/>
        </w:rPr>
        <w:t>安全质量认证、美 国</w:t>
      </w:r>
      <w:r>
        <w:rPr>
          <w:color w:val="000000"/>
          <w:spacing w:val="0"/>
          <w:w w:val="100"/>
          <w:position w:val="0"/>
          <w:sz w:val="18"/>
          <w:szCs w:val="18"/>
        </w:rPr>
        <w:t>UL</w:t>
      </w:r>
      <w:r>
        <w:rPr>
          <w:color w:val="000000"/>
          <w:spacing w:val="0"/>
          <w:w w:val="100"/>
          <w:position w:val="0"/>
        </w:rPr>
        <w:t>安全认证、欧盟</w:t>
      </w:r>
      <w:r>
        <w:rPr>
          <w:color w:val="000000"/>
          <w:spacing w:val="0"/>
          <w:w w:val="100"/>
          <w:position w:val="0"/>
          <w:sz w:val="18"/>
          <w:szCs w:val="18"/>
        </w:rPr>
        <w:t>CE</w:t>
      </w:r>
      <w:r>
        <w:rPr>
          <w:color w:val="000000"/>
          <w:spacing w:val="0"/>
          <w:w w:val="100"/>
          <w:position w:val="0"/>
        </w:rPr>
        <w:t>安全及质量认证，以满足客户对产品的质量需求，提升产品竞争力。</w:t>
      </w:r>
    </w:p>
    <w:p>
      <w:pPr>
        <w:pStyle w:val="Style23"/>
        <w:keepNext w:val="0"/>
        <w:keepLines w:val="0"/>
        <w:widowControl w:val="0"/>
        <w:shd w:val="clear" w:color="auto" w:fill="auto"/>
        <w:tabs>
          <w:tab w:pos="776" w:val="left"/>
        </w:tabs>
        <w:bidi w:val="0"/>
        <w:spacing w:before="0" w:after="0" w:line="314" w:lineRule="exact"/>
        <w:ind w:left="0" w:right="0"/>
        <w:jc w:val="both"/>
      </w:pPr>
      <w:bookmarkStart w:id="75" w:name="bookmark75"/>
      <w:r>
        <w:rPr>
          <w:color w:val="000000"/>
          <w:spacing w:val="0"/>
          <w:w w:val="100"/>
          <w:position w:val="0"/>
          <w:sz w:val="18"/>
          <w:szCs w:val="18"/>
        </w:rPr>
        <w:t>（</w:t>
      </w:r>
      <w:bookmarkEnd w:id="75"/>
      <w:r>
        <w:rPr>
          <w:color w:val="000000"/>
          <w:spacing w:val="0"/>
          <w:w w:val="100"/>
          <w:position w:val="0"/>
          <w:sz w:val="18"/>
          <w:szCs w:val="18"/>
        </w:rPr>
        <w:t>4）</w:t>
        <w:tab/>
      </w:r>
      <w:r>
        <w:rPr>
          <w:color w:val="000000"/>
          <w:spacing w:val="0"/>
          <w:w w:val="100"/>
          <w:position w:val="0"/>
        </w:rPr>
        <w:t>销售模式</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公司向银行业客户提供银行风险管理整体解决方案的销售模式主要为直销，并向金融行业主流供应商提供核心技术产品 或模块。</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公司在北京设立了营销总部，聚焦主要客户和重点项目，同时在全国建立区域销售队伍，分别在东北、华北、西北、西 南、华东、华中、华南区域成立了 </w:t>
      </w:r>
      <w:r>
        <w:rPr>
          <w:color w:val="000000"/>
          <w:spacing w:val="0"/>
          <w:w w:val="100"/>
          <w:position w:val="0"/>
          <w:sz w:val="18"/>
          <w:szCs w:val="18"/>
        </w:rPr>
        <w:t>7</w:t>
      </w:r>
      <w:r>
        <w:rPr>
          <w:color w:val="000000"/>
          <w:spacing w:val="0"/>
          <w:w w:val="100"/>
          <w:position w:val="0"/>
        </w:rPr>
        <w:t>家分公司，并建立遍布全国的售后服务网点，及时响应客户需求，为工、农、中、建、 交、邮储银行、招商、光大、浦发、兴业、民生、华夏、平安、中信等国有银行及股份制银行，各地城商行、农信农商等区 域性银行及南洋商业银行、汇丰等外资银行提供了优质、安全的解决方案和服务。</w:t>
      </w:r>
    </w:p>
    <w:p>
      <w:pPr>
        <w:pStyle w:val="Style23"/>
        <w:keepNext w:val="0"/>
        <w:keepLines w:val="0"/>
        <w:widowControl w:val="0"/>
        <w:shd w:val="clear" w:color="auto" w:fill="auto"/>
        <w:tabs>
          <w:tab w:pos="776" w:val="left"/>
        </w:tabs>
        <w:bidi w:val="0"/>
        <w:spacing w:before="0" w:after="0" w:line="314" w:lineRule="exact"/>
        <w:ind w:left="0" w:right="0"/>
        <w:jc w:val="both"/>
      </w:pPr>
      <w:bookmarkStart w:id="76" w:name="bookmark76"/>
      <w:r>
        <w:rPr>
          <w:color w:val="000000"/>
          <w:spacing w:val="0"/>
          <w:w w:val="100"/>
          <w:position w:val="0"/>
          <w:sz w:val="18"/>
          <w:szCs w:val="18"/>
        </w:rPr>
        <w:t>（</w:t>
      </w:r>
      <w:bookmarkEnd w:id="76"/>
      <w:r>
        <w:rPr>
          <w:color w:val="000000"/>
          <w:spacing w:val="0"/>
          <w:w w:val="100"/>
          <w:position w:val="0"/>
          <w:sz w:val="18"/>
          <w:szCs w:val="18"/>
        </w:rPr>
        <w:t>5）</w:t>
        <w:tab/>
      </w:r>
      <w:r>
        <w:rPr>
          <w:color w:val="000000"/>
          <w:spacing w:val="0"/>
          <w:w w:val="100"/>
          <w:position w:val="0"/>
        </w:rPr>
        <w:t>技术支持</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汇金科技客户服务团队经过多年的培养和沉淀，技术力量雄厚，均经过高水平、严要求的系统培训及考核，具备同行业 内领先的技术水平和综合服务素质。</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公司建立了四级服务体系架构，在全国</w:t>
      </w:r>
      <w:r>
        <w:rPr>
          <w:color w:val="000000"/>
          <w:spacing w:val="0"/>
          <w:w w:val="100"/>
          <w:position w:val="0"/>
          <w:sz w:val="18"/>
          <w:szCs w:val="18"/>
        </w:rPr>
        <w:t>31</w:t>
      </w:r>
      <w:r>
        <w:rPr>
          <w:color w:val="000000"/>
          <w:spacing w:val="0"/>
          <w:w w:val="100"/>
          <w:position w:val="0"/>
        </w:rPr>
        <w:t>个省、直辖市、自治区设立了直属分支机构和服务站，客户服务可覆盖</w:t>
      </w:r>
      <w:r>
        <w:rPr>
          <w:color w:val="000000"/>
          <w:spacing w:val="0"/>
          <w:w w:val="100"/>
          <w:position w:val="0"/>
          <w:sz w:val="18"/>
          <w:szCs w:val="18"/>
        </w:rPr>
        <w:t>300</w:t>
      </w:r>
      <w:r>
        <w:rPr>
          <w:color w:val="000000"/>
          <w:spacing w:val="0"/>
          <w:w w:val="100"/>
          <w:position w:val="0"/>
        </w:rPr>
        <w:t>余 个地级市，服务网点遍布全国。公司客户服务团队经过多年的培养和沉淀，技术力量雄厚，具备同行业内领先的技术水平和 综合服务素质，同时，公司设立了</w:t>
      </w:r>
      <w:r>
        <w:rPr>
          <w:color w:val="000000"/>
          <w:spacing w:val="0"/>
          <w:w w:val="100"/>
          <w:position w:val="0"/>
          <w:sz w:val="18"/>
          <w:szCs w:val="18"/>
        </w:rPr>
        <w:t>400</w:t>
      </w:r>
      <w:r>
        <w:rPr>
          <w:color w:val="000000"/>
          <w:spacing w:val="0"/>
          <w:w w:val="100"/>
          <w:position w:val="0"/>
        </w:rPr>
        <w:t>呼叫中心</w:t>
      </w:r>
      <w:r>
        <w:rPr>
          <w:color w:val="000000"/>
          <w:spacing w:val="0"/>
          <w:w w:val="100"/>
          <w:position w:val="0"/>
          <w:sz w:val="18"/>
          <w:szCs w:val="18"/>
        </w:rPr>
        <w:t>（400-8163-233）</w:t>
      </w:r>
      <w:r>
        <w:rPr>
          <w:color w:val="000000"/>
          <w:spacing w:val="0"/>
          <w:w w:val="100"/>
          <w:position w:val="0"/>
        </w:rPr>
        <w:t>，通过</w:t>
      </w:r>
      <w:r>
        <w:rPr>
          <w:color w:val="000000"/>
          <w:spacing w:val="0"/>
          <w:w w:val="100"/>
          <w:position w:val="0"/>
          <w:sz w:val="18"/>
          <w:szCs w:val="18"/>
        </w:rPr>
        <w:t>CRM-CSS</w:t>
      </w:r>
      <w:r>
        <w:rPr>
          <w:color w:val="000000"/>
          <w:spacing w:val="0"/>
          <w:w w:val="100"/>
          <w:position w:val="0"/>
        </w:rPr>
        <w:t>信息化管理平台实现集中受理、集中调度、 集中管理手段来实现一体化管理目标，以提高服务实施效率，提高信息交互准确度，提升服务主动性及质量标准。</w:t>
      </w:r>
    </w:p>
    <w:p>
      <w:pPr>
        <w:pStyle w:val="Style23"/>
        <w:keepNext w:val="0"/>
        <w:keepLines w:val="0"/>
        <w:widowControl w:val="0"/>
        <w:shd w:val="clear" w:color="auto" w:fill="auto"/>
        <w:bidi w:val="0"/>
        <w:spacing w:before="0" w:after="0" w:line="314" w:lineRule="exact"/>
        <w:ind w:left="0" w:right="0"/>
        <w:jc w:val="both"/>
      </w:pPr>
      <w:bookmarkStart w:id="77" w:name="bookmark77"/>
      <w:r>
        <w:rPr>
          <w:color w:val="000000"/>
          <w:spacing w:val="0"/>
          <w:w w:val="100"/>
          <w:position w:val="0"/>
          <w:sz w:val="18"/>
          <w:szCs w:val="18"/>
        </w:rPr>
        <w:t>3</w:t>
      </w:r>
      <w:bookmarkEnd w:id="77"/>
      <w:r>
        <w:rPr>
          <w:color w:val="000000"/>
          <w:spacing w:val="0"/>
          <w:w w:val="100"/>
          <w:position w:val="0"/>
        </w:rPr>
        <w:t>、主要的业绩驱动因素</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公司秉承“以客户为中心、市场为导向，为客户创造价值”的核心价值理念，立足于金融行业内控风险防范领域，坚持 自主研发、持续创新，不断完善金融内控风险管理整体解决方案体系，产品销售一代、研发一代、预研一代，形成了从系统 解决方案、软件和硬件产品、关键部件和模块等多层面的核心技术体系。</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为保证公司持续、健康发展，公司进行了中长期战略规划，加大科研投入力度，提升产品储备质量，持续投入企业管理 信息化体系建设。注重研发团队的培养，公司拥有一批对银行运营管理制度、业务流程有深刻认识，对新技术在金融行业落 地有前瞻视角的研发人员，对技术预研持续投入，保持持续创新能力，使公司为客户能够稳定、持续的提供优质、适配的产 品和解决方案，不断增强企业的核心竞争力。</w:t>
      </w:r>
    </w:p>
    <w:p>
      <w:pPr>
        <w:pStyle w:val="Style29"/>
        <w:keepNext/>
        <w:keepLines/>
        <w:widowControl w:val="0"/>
        <w:shd w:val="clear" w:color="auto" w:fill="auto"/>
        <w:bidi w:val="0"/>
        <w:spacing w:before="0" w:after="2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三</w:t>
      </w:r>
      <w:bookmarkEnd w:id="80"/>
      <w:r>
        <w:rPr>
          <w:color w:val="000000"/>
          <w:spacing w:val="0"/>
          <w:w w:val="100"/>
          <w:position w:val="0"/>
        </w:rPr>
        <w:t>、核心竞争力分析</w:t>
      </w:r>
      <w:bookmarkEnd w:id="78"/>
      <w:bookmarkEnd w:id="79"/>
      <w:bookmarkEnd w:id="81"/>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公司自成立以来，一直深耕金融领域，通过科技手段，降低客户运营成本、系统性地控制风险、创新业务模式，助力金 融行业客户转型和变革，矢志成为中国领先的金融领域的专业科技企业。</w:t>
      </w:r>
    </w:p>
    <w:p>
      <w:pPr>
        <w:pStyle w:val="Style23"/>
        <w:keepNext w:val="0"/>
        <w:keepLines w:val="0"/>
        <w:widowControl w:val="0"/>
        <w:shd w:val="clear" w:color="auto" w:fill="auto"/>
        <w:tabs>
          <w:tab w:pos="701" w:val="left"/>
        </w:tabs>
        <w:bidi w:val="0"/>
        <w:spacing w:before="0" w:after="0" w:line="312" w:lineRule="exact"/>
        <w:ind w:left="0" w:right="0"/>
        <w:jc w:val="both"/>
      </w:pPr>
      <w:bookmarkStart w:id="82" w:name="bookmark82"/>
      <w:r>
        <w:rPr>
          <w:color w:val="000000"/>
          <w:spacing w:val="0"/>
          <w:w w:val="100"/>
          <w:position w:val="0"/>
          <w:sz w:val="18"/>
          <w:szCs w:val="18"/>
        </w:rPr>
        <w:t>1</w:t>
      </w:r>
      <w:bookmarkEnd w:id="82"/>
      <w:r>
        <w:rPr>
          <w:color w:val="000000"/>
          <w:spacing w:val="0"/>
          <w:w w:val="100"/>
          <w:position w:val="0"/>
        </w:rPr>
        <w:t>、</w:t>
        <w:tab/>
        <w:t>前瞻开发贴合客户业务流程的内控风险管理解决方案</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公司凭借自身对银行运营板块管理制度、业务流程及主要风险点的认知、理解，通过对客户潜在需求的分析，推出了一 系列内控风险解决方案，在帮助银行对业务流程进行优化完善的基础上，以具体的技术手段实现了对相关内控操作风险的有 效管控。</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公司关注金融业改革和金融科技的发展动向，聚焦市场需求，积极研究和开发适应金融发展需求的新产品。凭借着产品、 服务的前瞻性、适用性，引导着银行内控风险管理主要产品的发展方向。</w:t>
      </w:r>
    </w:p>
    <w:p>
      <w:pPr>
        <w:pStyle w:val="Style23"/>
        <w:keepNext w:val="0"/>
        <w:keepLines w:val="0"/>
        <w:widowControl w:val="0"/>
        <w:shd w:val="clear" w:color="auto" w:fill="auto"/>
        <w:tabs>
          <w:tab w:pos="701" w:val="left"/>
        </w:tabs>
        <w:bidi w:val="0"/>
        <w:spacing w:before="0" w:after="0" w:line="312" w:lineRule="exact"/>
        <w:ind w:left="0" w:right="0"/>
        <w:jc w:val="both"/>
      </w:pPr>
      <w:bookmarkStart w:id="83" w:name="bookmark83"/>
      <w:r>
        <w:rPr>
          <w:color w:val="000000"/>
          <w:spacing w:val="0"/>
          <w:w w:val="100"/>
          <w:position w:val="0"/>
          <w:sz w:val="18"/>
          <w:szCs w:val="18"/>
        </w:rPr>
        <w:t>2</w:t>
      </w:r>
      <w:bookmarkEnd w:id="83"/>
      <w:r>
        <w:rPr>
          <w:color w:val="000000"/>
          <w:spacing w:val="0"/>
          <w:w w:val="100"/>
          <w:position w:val="0"/>
        </w:rPr>
        <w:t>、</w:t>
        <w:tab/>
        <w:t>产品研发自主创新，持续推进技术创新</w:t>
      </w:r>
    </w:p>
    <w:p>
      <w:pPr>
        <w:pStyle w:val="Style23"/>
        <w:keepNext w:val="0"/>
        <w:keepLines w:val="0"/>
        <w:widowControl w:val="0"/>
        <w:shd w:val="clear" w:color="auto" w:fill="auto"/>
        <w:bidi w:val="0"/>
        <w:spacing w:before="0" w:after="80" w:line="312" w:lineRule="exact"/>
        <w:ind w:left="0" w:right="0"/>
        <w:jc w:val="both"/>
      </w:pPr>
      <w:r>
        <w:rPr>
          <w:color w:val="000000"/>
          <w:spacing w:val="0"/>
          <w:w w:val="100"/>
          <w:position w:val="0"/>
        </w:rPr>
        <w:t>公司以自主研发为主，重视科研创新，产品开发能力和持续服务能力受到众多银行客户的认可。公司凭借对于研发的持 续投入以及对于产品创新能力的不断追求，先后获得国家高新技术企业、广东省战略性新兴产业骨干企业等资质及荣誉，建 设有“广东省企业工程中心”、“广东省企业技术中心”、“珠海市物联网技术研究开发中心”等高水平研发平台，研究领域涉</w:t>
        <w:br w:type="page"/>
      </w:r>
      <w:r>
        <w:rPr>
          <w:color w:val="000000"/>
          <w:spacing w:val="0"/>
          <w:w w:val="100"/>
          <w:position w:val="0"/>
        </w:rPr>
        <w:t>及人工智能、物联网、动态密码、加密通信等高新技术在金融领域的应用。同时，公司设立了产学研部，与包括中山大学、 华南理工大学、北京理工大学（珠海学院）在内的多家高校及科研机构建立了研究合作关系，切实开展技术研发和应用落地 的研究开发合作，具备较好的合作研发基础。截至报告期末，公司已经取得发明专利</w:t>
      </w:r>
      <w:r>
        <w:rPr>
          <w:color w:val="000000"/>
          <w:spacing w:val="0"/>
          <w:w w:val="100"/>
          <w:position w:val="0"/>
          <w:sz w:val="18"/>
          <w:szCs w:val="18"/>
        </w:rPr>
        <w:t>26</w:t>
      </w:r>
      <w:r>
        <w:rPr>
          <w:color w:val="000000"/>
          <w:spacing w:val="0"/>
          <w:w w:val="100"/>
          <w:position w:val="0"/>
        </w:rPr>
        <w:t>项、实用新型专利</w:t>
      </w:r>
      <w:r>
        <w:rPr>
          <w:color w:val="000000"/>
          <w:spacing w:val="0"/>
          <w:w w:val="100"/>
          <w:position w:val="0"/>
          <w:sz w:val="18"/>
          <w:szCs w:val="18"/>
        </w:rPr>
        <w:t>80</w:t>
      </w:r>
      <w:r>
        <w:rPr>
          <w:color w:val="000000"/>
          <w:spacing w:val="0"/>
          <w:w w:val="100"/>
          <w:position w:val="0"/>
        </w:rPr>
        <w:t>项、外观设计专 利</w:t>
      </w:r>
      <w:r>
        <w:rPr>
          <w:color w:val="000000"/>
          <w:spacing w:val="0"/>
          <w:w w:val="100"/>
          <w:position w:val="0"/>
          <w:sz w:val="18"/>
          <w:szCs w:val="18"/>
        </w:rPr>
        <w:t>23</w:t>
      </w:r>
      <w:r>
        <w:rPr>
          <w:color w:val="000000"/>
          <w:spacing w:val="0"/>
          <w:w w:val="100"/>
          <w:position w:val="0"/>
        </w:rPr>
        <w:t>项、计算机软件著作权</w:t>
      </w:r>
      <w:r>
        <w:rPr>
          <w:color w:val="000000"/>
          <w:spacing w:val="0"/>
          <w:w w:val="100"/>
          <w:position w:val="0"/>
          <w:sz w:val="18"/>
          <w:szCs w:val="18"/>
        </w:rPr>
        <w:t>41</w:t>
      </w:r>
      <w:r>
        <w:rPr>
          <w:color w:val="000000"/>
          <w:spacing w:val="0"/>
          <w:w w:val="100"/>
          <w:position w:val="0"/>
        </w:rPr>
        <w:t>项，具有较强的持续研究开发能力。报告期内，公司新增授权专利</w:t>
      </w:r>
      <w:r>
        <w:rPr>
          <w:color w:val="000000"/>
          <w:spacing w:val="0"/>
          <w:w w:val="100"/>
          <w:position w:val="0"/>
          <w:sz w:val="18"/>
          <w:szCs w:val="18"/>
        </w:rPr>
        <w:t>23</w:t>
      </w:r>
      <w:r>
        <w:rPr>
          <w:color w:val="000000"/>
          <w:spacing w:val="0"/>
          <w:w w:val="100"/>
          <w:position w:val="0"/>
        </w:rPr>
        <w:t>项、计算机软件著作权</w:t>
      </w:r>
      <w:r>
        <w:rPr>
          <w:color w:val="000000"/>
          <w:spacing w:val="0"/>
          <w:w w:val="100"/>
          <w:position w:val="0"/>
          <w:sz w:val="18"/>
          <w:szCs w:val="18"/>
        </w:rPr>
        <w:t xml:space="preserve">5 </w:t>
      </w:r>
      <w:r>
        <w:rPr>
          <w:color w:val="000000"/>
          <w:spacing w:val="0"/>
          <w:w w:val="100"/>
          <w:position w:val="0"/>
        </w:rPr>
        <w:t>项，具体如下所示：</w:t>
      </w:r>
    </w:p>
    <w:p>
      <w:pPr>
        <w:pStyle w:val="Style31"/>
        <w:keepNext w:val="0"/>
        <w:keepLines w:val="0"/>
        <w:widowControl w:val="0"/>
        <w:shd w:val="clear" w:color="auto" w:fill="auto"/>
        <w:bidi w:val="0"/>
        <w:spacing w:before="0" w:after="0" w:line="240" w:lineRule="auto"/>
        <w:ind w:left="370" w:right="0" w:firstLine="0"/>
        <w:jc w:val="left"/>
      </w:pPr>
      <w:r>
        <w:rPr>
          <w:color w:val="000000"/>
          <w:spacing w:val="0"/>
          <w:w w:val="100"/>
          <w:position w:val="0"/>
          <w:sz w:val="18"/>
          <w:szCs w:val="18"/>
        </w:rPr>
        <w:t>（1）</w:t>
      </w:r>
      <w:r>
        <w:rPr>
          <w:color w:val="000000"/>
          <w:spacing w:val="0"/>
          <w:w w:val="100"/>
          <w:position w:val="0"/>
        </w:rPr>
        <w:t>报告期内公司新增授权专利:</w:t>
      </w:r>
    </w:p>
    <w:tbl>
      <w:tblPr>
        <w:tblOverlap w:val="never"/>
        <w:jc w:val="center"/>
        <w:tblLayout w:type="fixed"/>
      </w:tblPr>
      <w:tblGrid>
        <w:gridCol w:w="696"/>
        <w:gridCol w:w="1714"/>
        <w:gridCol w:w="1272"/>
        <w:gridCol w:w="4584"/>
        <w:gridCol w:w="1392"/>
      </w:tblGrid>
      <w:tr>
        <w:trPr>
          <w:trHeight w:val="5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专利类型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授权公告日</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202021333548.5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一种设有开锁机构的保管箱和保管柜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2021/6/15</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201911417089.0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锁具的开锁方法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201922500991.0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带有过载保护机构的驱动装置、锁具及带锁设备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2021/1/5</w:t>
            </w:r>
          </w:p>
        </w:tc>
      </w:tr>
      <w:tr>
        <w:trPr>
          <w:trHeight w:val="5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201922501420.9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挡件和联动机构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2021/1/5</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202020642853.6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一种锁具控制系统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202020642855.5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一种锁具传动装置及锁具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202020785319.0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一种存放箱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2021/2/19</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202020785361.2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2021/4/16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202021041150.4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一种设有二道门的保管柜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2021/5/28</w:t>
            </w:r>
          </w:p>
        </w:tc>
      </w:tr>
      <w:tr>
        <w:trPr>
          <w:trHeight w:val="5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202021048347.0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保护结构及锁具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2021/3/16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202021800265.7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一种线缆收纳装置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2021/5/28</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202021806343.4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一种具有线缆收纳功能的保管柜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2021/7/9</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202021952474.3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一种设有顶柜的保管柜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2021/7/27</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202021952814.2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一种顶柜柜体分离式可调节空间的保管柜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2021/7/27</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202022101068.2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一种设有推拉箱的保管柜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2021/7/27</w:t>
            </w:r>
          </w:p>
        </w:tc>
      </w:tr>
      <w:tr>
        <w:trPr>
          <w:trHeight w:val="5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202022496712.0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一种提款箱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2021/11/16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202022616940.7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一种实物流转控制系统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2021/7/27</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202022694501.8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一种一次性卡封片及锁具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2021/11/16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202030700999.7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指静脉控制器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2021/6/25</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202120039472.3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一种现金封装袋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2021/11/16</w:t>
            </w:r>
          </w:p>
        </w:tc>
      </w:tr>
      <w:tr>
        <w:trPr>
          <w:trHeight w:val="4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202130166554.X</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手持终端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2021/7/27</w:t>
            </w:r>
          </w:p>
        </w:tc>
      </w:tr>
      <w:tr>
        <w:trPr>
          <w:trHeight w:val="5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202130374592.4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金库门锁联动机构（带盖板）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2021/11/16</w:t>
            </w:r>
          </w:p>
        </w:tc>
      </w:tr>
      <w:tr>
        <w:trPr>
          <w:trHeight w:val="55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202130401446.6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一种业务库设备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2021/12/10</w:t>
            </w:r>
          </w:p>
        </w:tc>
      </w:tr>
    </w:tbl>
    <w:p>
      <w:pPr>
        <w:pStyle w:val="Style31"/>
        <w:keepNext w:val="0"/>
        <w:keepLines w:val="0"/>
        <w:widowControl w:val="0"/>
        <w:shd w:val="clear" w:color="auto" w:fill="auto"/>
        <w:bidi w:val="0"/>
        <w:spacing w:before="0" w:after="0" w:line="240" w:lineRule="auto"/>
        <w:ind w:left="370" w:right="0" w:firstLine="0"/>
        <w:jc w:val="left"/>
      </w:pPr>
      <w:r>
        <w:rPr>
          <w:color w:val="000000"/>
          <w:spacing w:val="0"/>
          <w:w w:val="100"/>
          <w:position w:val="0"/>
          <w:sz w:val="18"/>
          <w:szCs w:val="18"/>
        </w:rPr>
        <w:t>(2)</w:t>
      </w:r>
      <w:r>
        <w:rPr>
          <w:color w:val="000000"/>
          <w:spacing w:val="0"/>
          <w:w w:val="100"/>
          <w:position w:val="0"/>
        </w:rPr>
        <w:t>报告期内新增计算机软件著作权</w:t>
      </w:r>
    </w:p>
    <w:tbl>
      <w:tblPr>
        <w:tblOverlap w:val="never"/>
        <w:jc w:val="center"/>
        <w:tblLayout w:type="fixed"/>
      </w:tblPr>
      <w:tblGrid>
        <w:gridCol w:w="739"/>
        <w:gridCol w:w="2314"/>
        <w:gridCol w:w="4282"/>
        <w:gridCol w:w="1109"/>
        <w:gridCol w:w="1133"/>
      </w:tblGrid>
      <w:tr>
        <w:trPr>
          <w:trHeight w:val="6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著作权登记号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著作权 登记日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7027953</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汇金业务库动态密码锁三开二联动控制软件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2021/2/26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70522816</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汇金银行网点业务库控制软件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2021/5/31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70530860</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汇金银行网点业务库管理软件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7928297</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汇金双目摄像头图像检测控制软件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2021/8/16</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7928428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汇金双目摄像头加解密检测控制软件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2021/8/16</w:t>
            </w:r>
          </w:p>
        </w:tc>
      </w:tr>
    </w:tbl>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sz w:val="18"/>
          <w:szCs w:val="18"/>
        </w:rPr>
        <w:t>3</w:t>
      </w:r>
      <w:r>
        <w:rPr>
          <w:color w:val="000000"/>
          <w:spacing w:val="0"/>
          <w:w w:val="100"/>
          <w:position w:val="0"/>
        </w:rPr>
        <w:t>、行业资质齐全，项目经验丰富</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公司已获得</w:t>
      </w:r>
      <w:r>
        <w:rPr>
          <w:color w:val="000000"/>
          <w:spacing w:val="0"/>
          <w:w w:val="100"/>
          <w:position w:val="0"/>
          <w:sz w:val="18"/>
          <w:szCs w:val="18"/>
        </w:rPr>
        <w:t>ISO9000</w:t>
      </w:r>
      <w:r>
        <w:rPr>
          <w:color w:val="000000"/>
          <w:spacing w:val="0"/>
          <w:w w:val="100"/>
          <w:position w:val="0"/>
          <w:sz w:val="18"/>
          <w:szCs w:val="18"/>
        </w:rPr>
        <w:t>:2015</w:t>
      </w:r>
      <w:r>
        <w:rPr>
          <w:color w:val="000000"/>
          <w:spacing w:val="0"/>
          <w:w w:val="100"/>
          <w:position w:val="0"/>
        </w:rPr>
        <w:t>质量管理体系认证、</w:t>
      </w:r>
      <w:r>
        <w:rPr>
          <w:color w:val="000000"/>
          <w:spacing w:val="0"/>
          <w:w w:val="100"/>
          <w:position w:val="0"/>
          <w:sz w:val="18"/>
          <w:szCs w:val="18"/>
        </w:rPr>
        <w:t>ISO14001</w:t>
      </w:r>
      <w:r>
        <w:rPr>
          <w:color w:val="000000"/>
          <w:spacing w:val="0"/>
          <w:w w:val="100"/>
          <w:position w:val="0"/>
          <w:sz w:val="18"/>
          <w:szCs w:val="18"/>
        </w:rPr>
        <w:t>:2015</w:t>
      </w:r>
      <w:r>
        <w:rPr>
          <w:color w:val="000000"/>
          <w:spacing w:val="0"/>
          <w:w w:val="100"/>
          <w:position w:val="0"/>
        </w:rPr>
        <w:t>环境管理体系认证、</w:t>
      </w:r>
      <w:r>
        <w:rPr>
          <w:color w:val="000000"/>
          <w:spacing w:val="0"/>
          <w:w w:val="100"/>
          <w:position w:val="0"/>
          <w:sz w:val="18"/>
          <w:szCs w:val="18"/>
        </w:rPr>
        <w:t>ISO45001:2018</w:t>
      </w:r>
      <w:r>
        <w:rPr>
          <w:color w:val="000000"/>
          <w:spacing w:val="0"/>
          <w:w w:val="100"/>
          <w:position w:val="0"/>
        </w:rPr>
        <w:t>职业健康安全管理体系 认证、</w:t>
      </w:r>
      <w:r>
        <w:rPr>
          <w:color w:val="000000"/>
          <w:spacing w:val="0"/>
          <w:w w:val="100"/>
          <w:position w:val="0"/>
          <w:sz w:val="18"/>
          <w:szCs w:val="18"/>
        </w:rPr>
        <w:t>ISO27001:2013</w:t>
      </w:r>
      <w:r>
        <w:rPr>
          <w:color w:val="000000"/>
          <w:spacing w:val="0"/>
          <w:w w:val="100"/>
          <w:position w:val="0"/>
        </w:rPr>
        <w:t>信息安全管理体系认证、</w:t>
      </w:r>
      <w:r>
        <w:rPr>
          <w:color w:val="000000"/>
          <w:spacing w:val="0"/>
          <w:w w:val="100"/>
          <w:position w:val="0"/>
          <w:sz w:val="18"/>
          <w:szCs w:val="18"/>
        </w:rPr>
        <w:t>ISO20000-1:2018</w:t>
      </w:r>
      <w:r>
        <w:rPr>
          <w:color w:val="000000"/>
          <w:spacing w:val="0"/>
          <w:w w:val="100"/>
          <w:position w:val="0"/>
        </w:rPr>
        <w:t xml:space="preserve">信息技术服务管理体系认证等标准体系认证证书，通过了 </w:t>
      </w:r>
      <w:r>
        <w:rPr>
          <w:color w:val="000000"/>
          <w:spacing w:val="0"/>
          <w:w w:val="100"/>
          <w:position w:val="0"/>
          <w:sz w:val="18"/>
          <w:szCs w:val="18"/>
        </w:rPr>
        <w:t xml:space="preserve">“CMMI </w:t>
      </w:r>
      <w:r>
        <w:rPr>
          <w:color w:val="000000"/>
          <w:spacing w:val="0"/>
          <w:w w:val="100"/>
          <w:position w:val="0"/>
          <w:sz w:val="18"/>
          <w:szCs w:val="18"/>
        </w:rPr>
        <w:t>3</w:t>
      </w:r>
      <w:r>
        <w:rPr>
          <w:color w:val="000000"/>
          <w:spacing w:val="0"/>
          <w:w w:val="100"/>
          <w:position w:val="0"/>
        </w:rPr>
        <w:t>级”、安防工程企业设计施工维护能力证书(壹级)等资质认证。</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公司拥有丰富的项目经验且已经具备较强的自主创新能力，充分了解行业用户的管理制度、业务流程、应用系统现状， 全程参与客户信息系统需求调研、规划设计、开发测试、安装调试、运营维护等各个环节，近年来相继为多家银行交付了现 金及重控物品管理解决方案及各类产品，得到了客户的广泛认可。</w:t>
      </w:r>
    </w:p>
    <w:p>
      <w:pPr>
        <w:pStyle w:val="Style23"/>
        <w:keepNext w:val="0"/>
        <w:keepLines w:val="0"/>
        <w:widowControl w:val="0"/>
        <w:shd w:val="clear" w:color="auto" w:fill="auto"/>
        <w:tabs>
          <w:tab w:pos="669" w:val="left"/>
        </w:tabs>
        <w:bidi w:val="0"/>
        <w:spacing w:before="0" w:after="0" w:line="311" w:lineRule="exact"/>
        <w:ind w:left="0" w:right="0"/>
        <w:jc w:val="both"/>
      </w:pPr>
      <w:bookmarkStart w:id="84" w:name="bookmark84"/>
      <w:r>
        <w:rPr>
          <w:color w:val="000000"/>
          <w:spacing w:val="0"/>
          <w:w w:val="100"/>
          <w:position w:val="0"/>
          <w:sz w:val="18"/>
          <w:szCs w:val="18"/>
        </w:rPr>
        <w:t>4</w:t>
      </w:r>
      <w:bookmarkEnd w:id="84"/>
      <w:r>
        <w:rPr>
          <w:color w:val="000000"/>
          <w:spacing w:val="0"/>
          <w:w w:val="100"/>
          <w:position w:val="0"/>
        </w:rPr>
        <w:t>、</w:t>
        <w:tab/>
        <w:t>一体化服务优势</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公司为客户提供一体化服务整体解决方案，涵盖需求调研、方案设计、制度及流程优化改造、软件开发、硬件设计、系 统集成、安装调试、技术支持、培训及售后全过程。</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项目前期，公司将研发环节前移，直接参与银行客户具体业务流程改进的技术交流，实现研发与市场的直接对接，帮助 银行识别业务流程具体操作风险，进而在开发中及时、准确地实现客户需求；项目中期，公司具备不同专业背景的技术研发 团队根据解决方案提出的功能需求，能够集成应用多领域、多学科的专业技术进行软件开发、硬件设计及系统集成；在项目 后期安装、实施及售后服务阶段，公司拥有具备全国服务能力的安装、服务团队，建立了全国性的技术服务网络和全天候响 应机制，保持</w:t>
      </w:r>
      <w:r>
        <w:rPr>
          <w:color w:val="000000"/>
          <w:spacing w:val="0"/>
          <w:w w:val="100"/>
          <w:position w:val="0"/>
          <w:sz w:val="18"/>
          <w:szCs w:val="18"/>
        </w:rPr>
        <w:t>7</w:t>
      </w:r>
      <w:r>
        <w:rPr>
          <w:color w:val="000000"/>
          <w:spacing w:val="0"/>
          <w:w w:val="100"/>
          <w:position w:val="0"/>
        </w:rPr>
        <w:t>天</w:t>
      </w:r>
      <w:r>
        <w:rPr>
          <w:color w:val="000000"/>
          <w:spacing w:val="0"/>
          <w:w w:val="100"/>
          <w:position w:val="0"/>
          <w:sz w:val="18"/>
          <w:szCs w:val="18"/>
        </w:rPr>
        <w:t>X24</w:t>
      </w:r>
      <w:r>
        <w:rPr>
          <w:color w:val="000000"/>
          <w:spacing w:val="0"/>
          <w:w w:val="100"/>
          <w:position w:val="0"/>
        </w:rPr>
        <w:t>小时响应级别。公司的一体化服务模式能够更有效地服务银行客户，提高客户黏性，发掘市场机会。</w:t>
      </w:r>
    </w:p>
    <w:p>
      <w:pPr>
        <w:pStyle w:val="Style23"/>
        <w:keepNext w:val="0"/>
        <w:keepLines w:val="0"/>
        <w:widowControl w:val="0"/>
        <w:shd w:val="clear" w:color="auto" w:fill="auto"/>
        <w:tabs>
          <w:tab w:pos="669" w:val="left"/>
        </w:tabs>
        <w:bidi w:val="0"/>
        <w:spacing w:before="0" w:after="0" w:line="311" w:lineRule="exact"/>
        <w:ind w:left="0" w:right="0"/>
        <w:jc w:val="left"/>
      </w:pPr>
      <w:bookmarkStart w:id="85" w:name="bookmark85"/>
      <w:r>
        <w:rPr>
          <w:color w:val="000000"/>
          <w:spacing w:val="0"/>
          <w:w w:val="100"/>
          <w:position w:val="0"/>
          <w:sz w:val="18"/>
          <w:szCs w:val="18"/>
        </w:rPr>
        <w:t>5</w:t>
      </w:r>
      <w:bookmarkEnd w:id="85"/>
      <w:r>
        <w:rPr>
          <w:color w:val="000000"/>
          <w:spacing w:val="0"/>
          <w:w w:val="100"/>
          <w:position w:val="0"/>
        </w:rPr>
        <w:t>、</w:t>
        <w:tab/>
        <w:t>专业的管理团队优势</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公司管理团队由具备丰富企业管理经验的人才组成，主要管理人员及核心技术人员均具有多年相关行业工作经验，管理 团队内部精诚合作、优势互补。公司注重风险控制，强调稳健发展，实施全面完善的财务体系，稳步发展公司业务规模，持 续保持较强的抗风险能力，为公司持续健康发展奠定基础。</w:t>
      </w:r>
    </w:p>
    <w:p>
      <w:pPr>
        <w:pStyle w:val="Style23"/>
        <w:keepNext w:val="0"/>
        <w:keepLines w:val="0"/>
        <w:widowControl w:val="0"/>
        <w:shd w:val="clear" w:color="auto" w:fill="auto"/>
        <w:tabs>
          <w:tab w:pos="669" w:val="left"/>
        </w:tabs>
        <w:bidi w:val="0"/>
        <w:spacing w:before="0" w:after="0" w:line="311" w:lineRule="exact"/>
        <w:ind w:left="0" w:right="0"/>
        <w:jc w:val="both"/>
      </w:pPr>
      <w:bookmarkStart w:id="86" w:name="bookmark86"/>
      <w:r>
        <w:rPr>
          <w:color w:val="000000"/>
          <w:spacing w:val="0"/>
          <w:w w:val="100"/>
          <w:position w:val="0"/>
          <w:sz w:val="18"/>
          <w:szCs w:val="18"/>
        </w:rPr>
        <w:t>6</w:t>
      </w:r>
      <w:bookmarkEnd w:id="86"/>
      <w:r>
        <w:rPr>
          <w:color w:val="000000"/>
          <w:spacing w:val="0"/>
          <w:w w:val="100"/>
          <w:position w:val="0"/>
        </w:rPr>
        <w:t>、</w:t>
        <w:tab/>
        <w:t>市场先入优势，树立品牌影响力</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银行业作为人民财产保管的一线金融系统，对系统类及安保类产品有着极其严苛的要求和进入门槛，倾向于选择有成功 合作经验、在行业中拥有较多成功案例、品牌知名度高的供应商进行合作，只要产品质量和安全性能等方面能够持续满足客 户需求，合作关系一般较为稳定。</w:t>
      </w:r>
    </w:p>
    <w:p>
      <w:pPr>
        <w:pStyle w:val="Style23"/>
        <w:keepNext w:val="0"/>
        <w:keepLines w:val="0"/>
        <w:widowControl w:val="0"/>
        <w:shd w:val="clear" w:color="auto" w:fill="auto"/>
        <w:bidi w:val="0"/>
        <w:spacing w:before="0" w:after="380" w:line="311" w:lineRule="exact"/>
        <w:ind w:left="0" w:right="0"/>
        <w:jc w:val="both"/>
      </w:pPr>
      <w:r>
        <w:rPr>
          <w:color w:val="000000"/>
          <w:spacing w:val="0"/>
          <w:w w:val="100"/>
          <w:position w:val="0"/>
        </w:rPr>
        <w:t>经过多年深耕经营，公司业务已遍及中国大陆，已为包括国有银行、股份制银行和区域性城商、农信等金融机构提供了 应需、优质、安全、稳定的产品和服务，与多家客户核心业务系统进行了深度融合和紧密连接，通过对总行、省行、支行、 营业网点在系统维护、系统升级、人员培训等方面的服务，产生了较强客户黏性。公司的产品及服务赢得了客户的广泛认可， 树立了公司在银行业中优秀的品牌形象，建立了广泛的品牌影响力。</w:t>
      </w:r>
    </w:p>
    <w:p>
      <w:pPr>
        <w:pStyle w:val="Style29"/>
        <w:keepNext/>
        <w:keepLines/>
        <w:widowControl w:val="0"/>
        <w:shd w:val="clear" w:color="auto" w:fill="auto"/>
        <w:bidi w:val="0"/>
        <w:spacing w:before="0" w:after="3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四</w:t>
      </w:r>
      <w:bookmarkEnd w:id="89"/>
      <w:r>
        <w:rPr>
          <w:color w:val="000000"/>
          <w:spacing w:val="0"/>
          <w:w w:val="100"/>
          <w:position w:val="0"/>
        </w:rPr>
        <w:t>、主营业务分析</w:t>
      </w:r>
      <w:bookmarkEnd w:id="87"/>
      <w:bookmarkEnd w:id="88"/>
      <w:bookmarkEnd w:id="90"/>
    </w:p>
    <w:p>
      <w:pPr>
        <w:pStyle w:val="Style35"/>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、概述</w:t>
      </w:r>
      <w:bookmarkEnd w:id="91"/>
      <w:bookmarkEnd w:id="92"/>
      <w:bookmarkEnd w:id="94"/>
    </w:p>
    <w:p>
      <w:pPr>
        <w:pStyle w:val="Style23"/>
        <w:keepNext w:val="0"/>
        <w:keepLines w:val="0"/>
        <w:widowControl w:val="0"/>
        <w:shd w:val="clear" w:color="auto" w:fill="auto"/>
        <w:bidi w:val="0"/>
        <w:spacing w:before="0" w:after="0" w:line="309" w:lineRule="exact"/>
        <w:ind w:left="0" w:right="0"/>
        <w:jc w:val="both"/>
      </w:pPr>
      <w:r>
        <w:rPr>
          <w:color w:val="000000"/>
          <w:spacing w:val="0"/>
          <w:w w:val="100"/>
          <w:position w:val="0"/>
        </w:rPr>
        <w:t>报告期内，公司受新冠疫情常态化、大宗商品价格上涨及电子元器件供应紧张的影响，企业经营面领严峻的挑战。公司 立足中长期发展战略，统一部署，在精心谋划做好疫情防控各项工作的基础上，统筹项目人员安排，动态调整项目计划，将 疫情对部分项目暂停、延后的影响降到最低；沉着应对原材料缺货、涨价对产品设计、研发、生产的不利影响，制定了各类 材料供应的应对计划，最大限度保障产品交付。</w:t>
      </w:r>
      <w:r>
        <w:rPr>
          <w:color w:val="000000"/>
          <w:spacing w:val="0"/>
          <w:w w:val="100"/>
          <w:position w:val="0"/>
          <w:sz w:val="18"/>
          <w:szCs w:val="18"/>
        </w:rPr>
        <w:t>2021</w:t>
      </w:r>
      <w:r>
        <w:rPr>
          <w:color w:val="000000"/>
          <w:spacing w:val="0"/>
          <w:w w:val="100"/>
          <w:position w:val="0"/>
        </w:rPr>
        <w:t>年实现营业收入</w:t>
      </w:r>
      <w:r>
        <w:rPr>
          <w:color w:val="000000"/>
          <w:spacing w:val="0"/>
          <w:w w:val="100"/>
          <w:position w:val="0"/>
          <w:sz w:val="18"/>
          <w:szCs w:val="18"/>
        </w:rPr>
        <w:t>16,723.12</w:t>
      </w:r>
      <w:r>
        <w:rPr>
          <w:color w:val="000000"/>
          <w:spacing w:val="0"/>
          <w:w w:val="100"/>
          <w:position w:val="0"/>
        </w:rPr>
        <w:t>万元，较上年同期下降</w:t>
      </w:r>
      <w:r>
        <w:rPr>
          <w:color w:val="000000"/>
          <w:spacing w:val="0"/>
          <w:w w:val="100"/>
          <w:position w:val="0"/>
          <w:sz w:val="18"/>
          <w:szCs w:val="18"/>
        </w:rPr>
        <w:t>17.99%</w:t>
      </w:r>
      <w:r>
        <w:rPr>
          <w:color w:val="000000"/>
          <w:spacing w:val="0"/>
          <w:w w:val="100"/>
          <w:position w:val="0"/>
        </w:rPr>
        <w:t xml:space="preserve">，实现归属于 </w:t>
      </w:r>
      <w:r>
        <w:rPr>
          <w:color w:val="000000"/>
          <w:spacing w:val="0"/>
          <w:w w:val="100"/>
          <w:position w:val="0"/>
        </w:rPr>
        <w:t>上市公司股东的净利润</w:t>
      </w:r>
      <w:r>
        <w:rPr>
          <w:color w:val="000000"/>
          <w:spacing w:val="0"/>
          <w:w w:val="100"/>
          <w:position w:val="0"/>
          <w:sz w:val="18"/>
          <w:szCs w:val="18"/>
        </w:rPr>
        <w:t xml:space="preserve">1, </w:t>
      </w:r>
      <w:r>
        <w:rPr>
          <w:color w:val="000000"/>
          <w:spacing w:val="0"/>
          <w:w w:val="100"/>
          <w:position w:val="0"/>
          <w:sz w:val="18"/>
          <w:szCs w:val="18"/>
        </w:rPr>
        <w:t xml:space="preserve">418. </w:t>
      </w:r>
      <w:r>
        <w:rPr>
          <w:color w:val="000000"/>
          <w:spacing w:val="0"/>
          <w:w w:val="100"/>
          <w:position w:val="0"/>
          <w:sz w:val="18"/>
          <w:szCs w:val="18"/>
        </w:rPr>
        <w:t>31</w:t>
      </w:r>
      <w:r>
        <w:rPr>
          <w:color w:val="000000"/>
          <w:spacing w:val="0"/>
          <w:w w:val="100"/>
          <w:position w:val="0"/>
        </w:rPr>
        <w:t>万元，较上年同期下降</w:t>
      </w:r>
      <w:r>
        <w:rPr>
          <w:color w:val="000000"/>
          <w:spacing w:val="0"/>
          <w:w w:val="100"/>
          <w:position w:val="0"/>
          <w:sz w:val="18"/>
          <w:szCs w:val="18"/>
        </w:rPr>
        <w:t xml:space="preserve">17. </w:t>
      </w:r>
      <w:r>
        <w:rPr>
          <w:color w:val="000000"/>
          <w:spacing w:val="0"/>
          <w:w w:val="100"/>
          <w:position w:val="0"/>
          <w:sz w:val="18"/>
          <w:szCs w:val="18"/>
        </w:rPr>
        <w:t>95%</w:t>
      </w:r>
      <w:r>
        <w:rPr>
          <w:color w:val="000000"/>
          <w:spacing w:val="0"/>
          <w:w w:val="100"/>
          <w:position w:val="0"/>
        </w:rPr>
        <w:t>。</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报告期内，公司重点开展以下工作：</w:t>
      </w:r>
    </w:p>
    <w:p>
      <w:pPr>
        <w:pStyle w:val="Style23"/>
        <w:keepNext w:val="0"/>
        <w:keepLines w:val="0"/>
        <w:widowControl w:val="0"/>
        <w:shd w:val="clear" w:color="auto" w:fill="auto"/>
        <w:tabs>
          <w:tab w:pos="683" w:val="left"/>
        </w:tabs>
        <w:bidi w:val="0"/>
        <w:spacing w:before="0" w:after="0" w:line="313" w:lineRule="exact"/>
        <w:ind w:left="0" w:right="0"/>
        <w:jc w:val="both"/>
      </w:pPr>
      <w:bookmarkStart w:id="95" w:name="bookmark95"/>
      <w:r>
        <w:rPr>
          <w:color w:val="000000"/>
          <w:spacing w:val="0"/>
          <w:w w:val="100"/>
          <w:position w:val="0"/>
          <w:sz w:val="18"/>
          <w:szCs w:val="18"/>
        </w:rPr>
        <w:t>1</w:t>
      </w:r>
      <w:bookmarkEnd w:id="95"/>
      <w:r>
        <w:rPr>
          <w:color w:val="000000"/>
          <w:spacing w:val="0"/>
          <w:w w:val="100"/>
          <w:position w:val="0"/>
        </w:rPr>
        <w:t>、</w:t>
        <w:tab/>
        <w:t>稳健做好主营业务，积极拓展新产品新业务</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报告期内，公司智能业务库管理系统凭借领先技术优势、贴合客户使用场景及整体业务流程的解决方案，成功参与了多 家大型国有银行总行，以及多地农商农信、城商行的智能业务库试点任务，并取得良好效果。公司的现金及重控物品实物管 理解决方案在多家国有商业银行及地方城商行批量应用，并成为此类产品方案的主流应用模式，初步实现了公司战略产品在 目标客户的业务布局。公司的银行自助设备现金管理系统及产品积极配合目标客户对早期产品的技术升级和迭代需求，持续 更新迭代软硬件产品，进一步巩固行业地位，扩大市场份额。公司各个重点项目按计划推进，标志着公司以“云+端”为 基础的金融科技方案及产品正在不断丰富，为公司健康发展提供新动能。</w:t>
      </w:r>
    </w:p>
    <w:p>
      <w:pPr>
        <w:pStyle w:val="Style23"/>
        <w:keepNext w:val="0"/>
        <w:keepLines w:val="0"/>
        <w:widowControl w:val="0"/>
        <w:shd w:val="clear" w:color="auto" w:fill="auto"/>
        <w:tabs>
          <w:tab w:pos="692" w:val="left"/>
        </w:tabs>
        <w:bidi w:val="0"/>
        <w:spacing w:before="0" w:after="0" w:line="313" w:lineRule="exact"/>
        <w:ind w:left="0" w:right="0"/>
        <w:jc w:val="both"/>
      </w:pPr>
      <w:bookmarkStart w:id="96" w:name="bookmark96"/>
      <w:r>
        <w:rPr>
          <w:color w:val="000000"/>
          <w:spacing w:val="0"/>
          <w:w w:val="100"/>
          <w:position w:val="0"/>
          <w:sz w:val="18"/>
          <w:szCs w:val="18"/>
        </w:rPr>
        <w:t>2</w:t>
      </w:r>
      <w:bookmarkEnd w:id="96"/>
      <w:r>
        <w:rPr>
          <w:color w:val="000000"/>
          <w:spacing w:val="0"/>
          <w:w w:val="100"/>
          <w:position w:val="0"/>
        </w:rPr>
        <w:t>、</w:t>
        <w:tab/>
        <w:t>优化组织架构，提升员工创造能力</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报告期内，公司根据发展战略，因势而变，围绕“守正、出新“的战略布局，持续优化组织架构，岗位职责、强抓人岗 适配，提高个人和组织创造价值能力，大力推行“能力、承诺、贡献”的人才标准和绩效管理模式，提高运行效率，为公司 培养和提升团队能力发挥重大作用。</w:t>
      </w:r>
    </w:p>
    <w:p>
      <w:pPr>
        <w:pStyle w:val="Style23"/>
        <w:keepNext w:val="0"/>
        <w:keepLines w:val="0"/>
        <w:widowControl w:val="0"/>
        <w:shd w:val="clear" w:color="auto" w:fill="auto"/>
        <w:tabs>
          <w:tab w:pos="692" w:val="left"/>
        </w:tabs>
        <w:bidi w:val="0"/>
        <w:spacing w:before="0" w:after="0" w:line="313" w:lineRule="exact"/>
        <w:ind w:left="0" w:right="0"/>
        <w:jc w:val="both"/>
      </w:pPr>
      <w:bookmarkStart w:id="97" w:name="bookmark97"/>
      <w:r>
        <w:rPr>
          <w:color w:val="000000"/>
          <w:spacing w:val="0"/>
          <w:w w:val="100"/>
          <w:position w:val="0"/>
          <w:sz w:val="18"/>
          <w:szCs w:val="18"/>
        </w:rPr>
        <w:t>3</w:t>
      </w:r>
      <w:bookmarkEnd w:id="97"/>
      <w:r>
        <w:rPr>
          <w:color w:val="000000"/>
          <w:spacing w:val="0"/>
          <w:w w:val="100"/>
          <w:position w:val="0"/>
        </w:rPr>
        <w:t>、</w:t>
        <w:tab/>
        <w:t>继续深化体系建设，优化业务流程，助力企业高质量发展</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报告期内，公司围绕“稳增长，聚项目，精体系，控成本”的经营指导方针，持续稳步修正和深入推进</w:t>
      </w:r>
      <w:r>
        <w:rPr>
          <w:color w:val="000000"/>
          <w:spacing w:val="0"/>
          <w:w w:val="100"/>
          <w:position w:val="0"/>
          <w:sz w:val="18"/>
          <w:szCs w:val="18"/>
        </w:rPr>
        <w:t>IPD（Integrated Product Development,</w:t>
      </w:r>
      <w:r>
        <w:rPr>
          <w:color w:val="000000"/>
          <w:spacing w:val="0"/>
          <w:w w:val="100"/>
          <w:position w:val="0"/>
        </w:rPr>
        <w:t>简称</w:t>
      </w:r>
      <w:r>
        <w:rPr>
          <w:color w:val="000000"/>
          <w:spacing w:val="0"/>
          <w:w w:val="100"/>
          <w:position w:val="0"/>
          <w:sz w:val="18"/>
          <w:szCs w:val="18"/>
        </w:rPr>
        <w:t>IPD，</w:t>
      </w:r>
      <w:r>
        <w:rPr>
          <w:color w:val="000000"/>
          <w:spacing w:val="0"/>
          <w:w w:val="100"/>
          <w:position w:val="0"/>
        </w:rPr>
        <w:t>集成产品开发）、</w:t>
      </w:r>
      <w:r>
        <w:rPr>
          <w:color w:val="000000"/>
          <w:spacing w:val="0"/>
          <w:w w:val="100"/>
          <w:position w:val="0"/>
          <w:sz w:val="18"/>
          <w:szCs w:val="18"/>
        </w:rPr>
        <w:t>LTC（Leads To Cash，</w:t>
      </w:r>
      <w:r>
        <w:rPr>
          <w:color w:val="000000"/>
          <w:spacing w:val="0"/>
          <w:w w:val="100"/>
          <w:position w:val="0"/>
        </w:rPr>
        <w:t>简称</w:t>
      </w:r>
      <w:r>
        <w:rPr>
          <w:color w:val="000000"/>
          <w:spacing w:val="0"/>
          <w:w w:val="100"/>
          <w:position w:val="0"/>
          <w:sz w:val="18"/>
          <w:szCs w:val="18"/>
        </w:rPr>
        <w:t>LTC，</w:t>
      </w:r>
      <w:r>
        <w:rPr>
          <w:color w:val="000000"/>
          <w:spacing w:val="0"/>
          <w:w w:val="100"/>
          <w:position w:val="0"/>
        </w:rPr>
        <w:t>从线索到现金）、</w:t>
      </w:r>
      <w:r>
        <w:rPr>
          <w:color w:val="000000"/>
          <w:spacing w:val="0"/>
          <w:w w:val="100"/>
          <w:position w:val="0"/>
          <w:sz w:val="18"/>
          <w:szCs w:val="18"/>
        </w:rPr>
        <w:t xml:space="preserve">ITR （Issue to Resolution, </w:t>
      </w:r>
      <w:r>
        <w:rPr>
          <w:color w:val="000000"/>
          <w:spacing w:val="0"/>
          <w:w w:val="100"/>
          <w:position w:val="0"/>
        </w:rPr>
        <w:t>简称</w:t>
      </w:r>
      <w:r>
        <w:rPr>
          <w:color w:val="000000"/>
          <w:spacing w:val="0"/>
          <w:w w:val="100"/>
          <w:position w:val="0"/>
          <w:sz w:val="18"/>
          <w:szCs w:val="18"/>
        </w:rPr>
        <w:t>ITR</w:t>
      </w:r>
      <w:r>
        <w:rPr>
          <w:color w:val="000000"/>
          <w:spacing w:val="0"/>
          <w:w w:val="100"/>
          <w:position w:val="0"/>
        </w:rPr>
        <w:t>，问题到解决）项目分层分级管理基础上，着力进行</w:t>
      </w:r>
      <w:r>
        <w:rPr>
          <w:color w:val="000000"/>
          <w:spacing w:val="0"/>
          <w:w w:val="100"/>
          <w:position w:val="0"/>
          <w:sz w:val="18"/>
          <w:szCs w:val="18"/>
        </w:rPr>
        <w:t>RDM（Research and Development Management</w:t>
      </w:r>
      <w:r>
        <w:rPr>
          <w:color w:val="000000"/>
          <w:spacing w:val="0"/>
          <w:w w:val="100"/>
          <w:position w:val="0"/>
        </w:rPr>
        <w:t>，研究与开发管 理系统）、</w:t>
      </w:r>
      <w:r>
        <w:rPr>
          <w:color w:val="000000"/>
          <w:spacing w:val="0"/>
          <w:w w:val="100"/>
          <w:position w:val="0"/>
          <w:sz w:val="18"/>
          <w:szCs w:val="18"/>
        </w:rPr>
        <w:t>CRM（Customer Relationship Management</w:t>
      </w:r>
      <w:r>
        <w:rPr>
          <w:color w:val="000000"/>
          <w:spacing w:val="0"/>
          <w:w w:val="100"/>
          <w:position w:val="0"/>
        </w:rPr>
        <w:t>，简称</w:t>
      </w:r>
      <w:r>
        <w:rPr>
          <w:color w:val="000000"/>
          <w:spacing w:val="0"/>
          <w:w w:val="100"/>
          <w:position w:val="0"/>
          <w:sz w:val="18"/>
          <w:szCs w:val="18"/>
        </w:rPr>
        <w:t>CRM，</w:t>
      </w:r>
      <w:r>
        <w:rPr>
          <w:color w:val="000000"/>
          <w:spacing w:val="0"/>
          <w:w w:val="100"/>
          <w:position w:val="0"/>
        </w:rPr>
        <w:t>客户关系管理系统）、</w:t>
      </w:r>
      <w:r>
        <w:rPr>
          <w:color w:val="000000"/>
          <w:spacing w:val="0"/>
          <w:w w:val="100"/>
          <w:position w:val="0"/>
          <w:sz w:val="18"/>
          <w:szCs w:val="18"/>
        </w:rPr>
        <w:t xml:space="preserve">WMS （Warehouse Management System， </w:t>
      </w:r>
      <w:r>
        <w:rPr>
          <w:color w:val="000000"/>
          <w:spacing w:val="0"/>
          <w:w w:val="100"/>
          <w:position w:val="0"/>
        </w:rPr>
        <w:t>仓库管理系统）专项建设，打通信息孤岛、深度应用企业经营的各项数据，科学、准确、及时分析各项经营情况，为管理决 策提供有力支撑。</w:t>
      </w:r>
    </w:p>
    <w:p>
      <w:pPr>
        <w:pStyle w:val="Style23"/>
        <w:keepNext w:val="0"/>
        <w:keepLines w:val="0"/>
        <w:widowControl w:val="0"/>
        <w:shd w:val="clear" w:color="auto" w:fill="auto"/>
        <w:tabs>
          <w:tab w:pos="697" w:val="left"/>
        </w:tabs>
        <w:bidi w:val="0"/>
        <w:spacing w:before="0" w:after="0" w:line="313" w:lineRule="exact"/>
        <w:ind w:left="0" w:right="0"/>
        <w:jc w:val="both"/>
      </w:pPr>
      <w:bookmarkStart w:id="98" w:name="bookmark98"/>
      <w:r>
        <w:rPr>
          <w:color w:val="000000"/>
          <w:spacing w:val="0"/>
          <w:w w:val="100"/>
          <w:position w:val="0"/>
          <w:sz w:val="18"/>
          <w:szCs w:val="18"/>
        </w:rPr>
        <w:t>4</w:t>
      </w:r>
      <w:bookmarkEnd w:id="98"/>
      <w:r>
        <w:rPr>
          <w:color w:val="000000"/>
          <w:spacing w:val="0"/>
          <w:w w:val="100"/>
          <w:position w:val="0"/>
        </w:rPr>
        <w:t>、</w:t>
        <w:tab/>
        <w:t>产学研平台建设不断进步</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公司依托汇金研修院继续深化与大湾区科研院所的合作，共同承担国家级/省市级研究项目。未来将借助国家及省市各 级产业扶持政策，依托汇金金融科技产业园、创新研究院，整合公司自身技术及客户资源、金融科技领域上下游企业、大湾 区高校智力资源，建设金融科技产业生态及创新基地，服务大湾区金融业发展，为公司发展提供持续的动力来源。</w:t>
      </w:r>
    </w:p>
    <w:p>
      <w:pPr>
        <w:pStyle w:val="Style23"/>
        <w:keepNext w:val="0"/>
        <w:keepLines w:val="0"/>
        <w:widowControl w:val="0"/>
        <w:shd w:val="clear" w:color="auto" w:fill="auto"/>
        <w:tabs>
          <w:tab w:pos="697" w:val="left"/>
        </w:tabs>
        <w:bidi w:val="0"/>
        <w:spacing w:before="0" w:after="0" w:line="313" w:lineRule="exact"/>
        <w:ind w:left="0" w:right="0"/>
        <w:jc w:val="both"/>
      </w:pPr>
      <w:bookmarkStart w:id="99" w:name="bookmark99"/>
      <w:r>
        <w:rPr>
          <w:color w:val="000000"/>
          <w:spacing w:val="0"/>
          <w:w w:val="100"/>
          <w:position w:val="0"/>
          <w:sz w:val="18"/>
          <w:szCs w:val="18"/>
        </w:rPr>
        <w:t>5</w:t>
      </w:r>
      <w:bookmarkEnd w:id="99"/>
      <w:r>
        <w:rPr>
          <w:color w:val="000000"/>
          <w:spacing w:val="0"/>
          <w:w w:val="100"/>
          <w:position w:val="0"/>
        </w:rPr>
        <w:t>、</w:t>
        <w:tab/>
        <w:t>持续规范运作，提升企业治理水平</w:t>
      </w:r>
    </w:p>
    <w:p>
      <w:pPr>
        <w:pStyle w:val="Style23"/>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报告期内，公司根据上市公司规范运作相关要求，不断完善公司的法人治理结构，提升内部控制管理水平；公司通过绩 效考评体系、激励体系等鼓励员工发挥积极性与创造性，不断提高为公司、为客户创造价值的能力；加强财务管理，落实执 行预算管理制度，严控成本费用开支，加强各项经营周转率指标管理，提升公司整体经营效率，促进企业健康稳定发展。</w:t>
      </w:r>
    </w:p>
    <w:p>
      <w:pPr>
        <w:pStyle w:val="Style35"/>
        <w:keepNext/>
        <w:keepLines/>
        <w:widowControl w:val="0"/>
        <w:shd w:val="clear" w:color="auto" w:fill="auto"/>
        <w:bidi w:val="0"/>
        <w:spacing w:before="0" w:after="38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、收入与成本</w:t>
      </w:r>
      <w:bookmarkEnd w:id="100"/>
      <w:bookmarkEnd w:id="101"/>
      <w:bookmarkEnd w:id="103"/>
    </w:p>
    <w:p>
      <w:pPr>
        <w:pStyle w:val="Style41"/>
        <w:keepNext/>
        <w:keepLines/>
        <w:widowControl w:val="0"/>
        <w:shd w:val="clear" w:color="auto" w:fill="auto"/>
        <w:bidi w:val="0"/>
        <w:spacing w:before="0" w:after="26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23"/>
        <w:keepNext w:val="0"/>
        <w:keepLines w:val="0"/>
        <w:widowControl w:val="0"/>
        <w:shd w:val="clear" w:color="auto" w:fill="auto"/>
        <w:bidi w:val="0"/>
        <w:spacing w:before="0" w:after="160" w:line="313" w:lineRule="exact"/>
        <w:ind w:left="0" w:right="0" w:firstLine="0"/>
        <w:jc w:val="both"/>
      </w:pPr>
      <w:r>
        <w:rPr>
          <w:color w:val="000000"/>
          <w:spacing w:val="0"/>
          <w:w w:val="100"/>
          <w:position w:val="0"/>
        </w:rPr>
        <w:t>营业收入整体情况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203,926,202.98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166,846,236.57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203,926,202.98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384,972.75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银行自助设备现 金管理系统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82,301,974.31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73,456,874.16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银行现金流转内 控系统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48,575,838.93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39,835,894.43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21.94%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银行印章管理系 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9,086,128.81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35,780,072.45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-74.61%</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银行支付系统人</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脸、语音识别及安</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全解决方案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23,906,940.49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41,195,499.01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-41.97%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银行智能业务库 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1,467,622.88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1,892,703.90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13,657,862.93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-86.14%</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21,173,585.51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31,180,184.03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37,881,039.92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28,857,169.45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26,162,986.62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43,797,392.82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49,789,709.06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51,051,392.25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16,791,074.99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34,234,974.02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4,309,282.12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4,703,885.87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11,123,531.10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10,101,204.54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10.12%</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39,014,58</w:t>
            </w:r>
          </w:p>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44,280,64</w:t>
            </w:r>
          </w:p>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51,605,76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32,330,20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37,739,42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50,052,42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72,827,15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6,213,267.</w:t>
            </w:r>
          </w:p>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6,609,264.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4,996,892.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-3,636,354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6,070,972. </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3,044,261.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7,020,852.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1,149,103.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39" w:line="1" w:lineRule="exact"/>
      </w:pPr>
    </w:p>
    <w:p>
      <w:pPr>
        <w:pStyle w:val="Style23"/>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公司业务直接受下游客户影响，银行业客户的投资和采购计划、风险控制模式、经营情况等对公司业务有直接影响，随 着银行业务的变革和转型，公司没有明显周期性特征，各季度业务差距在缩小。</w:t>
      </w:r>
    </w:p>
    <w:p>
      <w:pPr>
        <w:pStyle w:val="Style41"/>
        <w:keepNext/>
        <w:keepLines/>
        <w:widowControl w:val="0"/>
        <w:shd w:val="clear" w:color="auto" w:fill="auto"/>
        <w:bidi w:val="0"/>
        <w:spacing w:before="0" w:after="2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8"/>
      <w:bookmarkEnd w:id="109"/>
      <w:bookmarkEnd w:id="111"/>
    </w:p>
    <w:p>
      <w:pPr>
        <w:pStyle w:val="Style23"/>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80" w:line="30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166,846,236.57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84,942,757.91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银行自助设备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现金管理系统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82,301,974.31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41,960,892.53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银行现金流转 内控系统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48,575,838.93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19,688,043.04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-0.32%</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银行支付系统 人脸、语音识 别及安全解决 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23,906,940.49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14,817,560.80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21,173,585.51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10,512,745.49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37,881,039.92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19,137,946.98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26,162,986.62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12,937,235.15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49,789,709.06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25,144,248.21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16,791,074.99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9,763,559.29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3.65%</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41"/>
        <w:keepNext/>
        <w:keepLines/>
        <w:widowControl w:val="0"/>
        <w:numPr>
          <w:ilvl w:val="0"/>
          <w:numId w:val="1"/>
        </w:numPr>
        <w:shd w:val="clear" w:color="auto" w:fill="auto"/>
        <w:bidi w:val="0"/>
        <w:spacing w:before="0" w:after="380" w:line="240" w:lineRule="auto"/>
        <w:ind w:left="0" w:right="0" w:firstLine="0"/>
        <w:jc w:val="both"/>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报告期库存量较上年同期同比增加</w:t>
      </w:r>
      <w:r>
        <w:rPr>
          <w:color w:val="000000"/>
          <w:spacing w:val="0"/>
          <w:w w:val="100"/>
          <w:position w:val="0"/>
          <w:sz w:val="18"/>
          <w:szCs w:val="18"/>
        </w:rPr>
        <w:t>51.03%</w:t>
      </w:r>
      <w:r>
        <w:rPr>
          <w:color w:val="000000"/>
          <w:spacing w:val="0"/>
          <w:w w:val="100"/>
          <w:position w:val="0"/>
        </w:rPr>
        <w:t>，主要是银行支付系统人脸、语音识别及安全解决方案本期库存量</w:t>
      </w:r>
      <w:r>
        <w:rPr>
          <w:color w:val="000000"/>
          <w:spacing w:val="0"/>
          <w:w w:val="100"/>
          <w:position w:val="0"/>
          <w:sz w:val="18"/>
          <w:szCs w:val="18"/>
        </w:rPr>
        <w:t>12,534</w:t>
      </w:r>
      <w:r>
        <w:rPr>
          <w:color w:val="000000"/>
          <w:spacing w:val="0"/>
          <w:w w:val="100"/>
          <w:position w:val="0"/>
        </w:rPr>
        <w:t>台， 较上年同期增加</w:t>
      </w:r>
      <w:r>
        <w:rPr>
          <w:color w:val="000000"/>
          <w:spacing w:val="0"/>
          <w:w w:val="100"/>
          <w:position w:val="0"/>
          <w:sz w:val="18"/>
          <w:szCs w:val="18"/>
        </w:rPr>
        <w:t xml:space="preserve">126. </w:t>
      </w:r>
      <w:r>
        <w:rPr>
          <w:color w:val="000000"/>
          <w:spacing w:val="0"/>
          <w:w w:val="100"/>
          <w:position w:val="0"/>
          <w:sz w:val="18"/>
          <w:szCs w:val="18"/>
        </w:rPr>
        <w:t>67%</w:t>
      </w:r>
      <w:r>
        <w:rPr>
          <w:color w:val="000000"/>
          <w:spacing w:val="0"/>
          <w:w w:val="100"/>
          <w:position w:val="0"/>
        </w:rPr>
        <w:t>。</w:t>
      </w:r>
    </w:p>
    <w:p>
      <w:pPr>
        <w:pStyle w:val="Style41"/>
        <w:keepNext/>
        <w:keepLines/>
        <w:widowControl w:val="0"/>
        <w:numPr>
          <w:ilvl w:val="0"/>
          <w:numId w:val="1"/>
        </w:numPr>
        <w:shd w:val="clear" w:color="auto" w:fill="auto"/>
        <w:bidi w:val="0"/>
        <w:spacing w:before="0" w:after="280" w:line="240" w:lineRule="auto"/>
        <w:ind w:left="0" w:right="0" w:firstLine="0"/>
        <w:jc w:val="both"/>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公司已签订的重大销售合同、重大采购合同截至本报告期的履行情况</w:t>
      </w:r>
      <w:bookmarkEnd w:id="116"/>
      <w:bookmarkEnd w:id="117"/>
      <w:bookmarkEnd w:id="119"/>
    </w:p>
    <w:p>
      <w:pPr>
        <w:pStyle w:val="Style23"/>
        <w:keepNext w:val="0"/>
        <w:keepLines w:val="0"/>
        <w:widowControl w:val="0"/>
        <w:shd w:val="clear" w:color="auto" w:fill="auto"/>
        <w:bidi w:val="0"/>
        <w:spacing w:before="0" w:after="200" w:line="30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0"/>
      <w:bookmarkEnd w:id="121"/>
      <w:bookmarkEnd w:id="123"/>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68,901,845.80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92,657,207.14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2,275,746.68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2,956,552.04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4,493,602.65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5,218,913.53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产品发货运费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1,933,919.35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3,667,836.97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产品安装维保 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7,337,643.43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6,043,324.64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320" w:line="355" w:lineRule="exact"/>
        <w:ind w:left="0" w:right="0" w:firstLine="360"/>
        <w:jc w:val="left"/>
      </w:pPr>
      <w:r>
        <w:rPr>
          <w:color w:val="000000"/>
          <w:spacing w:val="0"/>
          <w:w w:val="100"/>
          <w:position w:val="0"/>
        </w:rPr>
        <w:t>公司本期软件和信息技术服务业的营业成本较上年同期下降</w:t>
      </w:r>
      <w:r>
        <w:rPr>
          <w:color w:val="000000"/>
          <w:spacing w:val="0"/>
          <w:w w:val="100"/>
          <w:position w:val="0"/>
          <w:sz w:val="18"/>
          <w:szCs w:val="18"/>
        </w:rPr>
        <w:t xml:space="preserve">23. </w:t>
      </w:r>
      <w:r>
        <w:rPr>
          <w:color w:val="000000"/>
          <w:spacing w:val="0"/>
          <w:w w:val="100"/>
          <w:position w:val="0"/>
          <w:sz w:val="18"/>
          <w:szCs w:val="18"/>
        </w:rPr>
        <w:t>16%</w:t>
      </w:r>
      <w:r>
        <w:rPr>
          <w:color w:val="000000"/>
          <w:spacing w:val="0"/>
          <w:w w:val="100"/>
          <w:position w:val="0"/>
        </w:rPr>
        <w:t>，主要是营业收入较上年同期下降</w:t>
      </w:r>
      <w:r>
        <w:rPr>
          <w:color w:val="000000"/>
          <w:spacing w:val="0"/>
          <w:w w:val="100"/>
          <w:position w:val="0"/>
          <w:sz w:val="18"/>
          <w:szCs w:val="18"/>
        </w:rPr>
        <w:t xml:space="preserve">18. </w:t>
      </w:r>
      <w:r>
        <w:rPr>
          <w:color w:val="000000"/>
          <w:spacing w:val="0"/>
          <w:w w:val="100"/>
          <w:position w:val="0"/>
          <w:sz w:val="18"/>
          <w:szCs w:val="18"/>
        </w:rPr>
        <w:t>18%</w:t>
      </w:r>
      <w:r>
        <w:rPr>
          <w:color w:val="000000"/>
          <w:spacing w:val="0"/>
          <w:w w:val="100"/>
          <w:position w:val="0"/>
        </w:rPr>
        <w:t>。</w:t>
      </w:r>
    </w:p>
    <w:p>
      <w:pPr>
        <w:pStyle w:val="Style23"/>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主营业务成本构成</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68,901,845.80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92,657,207.14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2,275,746.68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2,956,552.04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4,493,602.65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5,218,913.53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产品发货运费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1,933,919.35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3,667,836.97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产品安装维保费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7,337,643.43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6,043,324.64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4"/>
      <w:bookmarkEnd w:id="125"/>
      <w:bookmarkEnd w:id="127"/>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是"否</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41"/>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2"/>
      <w:bookmarkEnd w:id="133"/>
      <w:bookmarkEnd w:id="13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714"/>
        <w:gridCol w:w="487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92,002,947.44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30,457,370.17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18.21%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23,864,386.60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16,461,896.89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11,969,601.87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7.16%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9,249,691.91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92,002,947.44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55.02%</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35,801,743.99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11,424,961.48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9,639,159.30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10.69%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6,565,319.41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4,229,483.03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3,942,820.77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35,801,743.99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39.71%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39,474,113.50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49,379,432.43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本期较上年同期减少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,主要</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是公司加强降本增效工作，宣传推 广费减少；业绩降低营销人员绩效 薪酬减少。</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20,332,491.75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19,402,728.20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-318,677.58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22,289,514.97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25,946,781.83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本期较上年同期减少</w:t>
            </w:r>
            <w:r>
              <w:rPr>
                <w:rFonts w:ascii="Times New Roman" w:eastAsia="Times New Roman" w:hAnsi="Times New Roman" w:cs="Times New Roman"/>
                <w:color w:val="000000"/>
                <w:spacing w:val="0"/>
                <w:w w:val="100"/>
                <w:position w:val="0"/>
                <w:sz w:val="18"/>
                <w:szCs w:val="18"/>
              </w:rPr>
              <w:t>14.10%</w:t>
            </w:r>
            <w:r>
              <w:rPr>
                <w:color w:val="000000"/>
                <w:spacing w:val="0"/>
                <w:w w:val="100"/>
                <w:position w:val="0"/>
              </w:rPr>
              <w:t>,主要 是项目管理咨询费用比去年同期下 降。</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1"/>
        <w:gridCol w:w="1555"/>
        <w:gridCol w:w="1291"/>
        <w:gridCol w:w="2947"/>
        <w:gridCol w:w="2261"/>
      </w:tblGrid>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主要研发项目</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55" w:lineRule="exact"/>
              <w:ind w:left="0" w:right="0" w:firstLine="0"/>
              <w:jc w:val="center"/>
            </w:pPr>
            <w:r>
              <w:rPr>
                <w:color w:val="000000"/>
                <w:spacing w:val="0"/>
                <w:w w:val="100"/>
                <w:position w:val="0"/>
              </w:rPr>
              <w:t>预计对公司未来发展的 影响</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银行现金及重要 物品实物管理系 统（一期）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根据某大型国有 银行需求，分期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现金及重要物品实物管理系统主要 是围绕对银行已有的现金类、重要 单证类、贵金属及权证等交易进行 系统化管控的业务系统，借助与现 有系统现金凭证系统、统一柜面系 统、资金清算系统等进行交互，以 达到实物流、信息流和账务流的同 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根据银行业务发展需要， 结合同业最佳实践，在借 助应用物联网技术基础 上，建设完成符合运营管 理要求的现金及重要物品 实物管理系统，进一步提 升我司产品与客户粘合 度。</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智能业务库管理 系统解决方案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满足 </w:t>
            </w:r>
            <w:r>
              <w:rPr>
                <w:rFonts w:ascii="Times New Roman" w:eastAsia="Times New Roman" w:hAnsi="Times New Roman" w:cs="Times New Roman"/>
                <w:color w:val="000000"/>
                <w:spacing w:val="0"/>
                <w:w w:val="100"/>
                <w:position w:val="0"/>
                <w:sz w:val="18"/>
                <w:szCs w:val="18"/>
              </w:rPr>
              <w:t>GA38-2021</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《银行安全防范 要求》，达到银行 网点现金过夜要 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通过在网点部署符合公安要求的智 能业务库，搭建统一的银行重控物 品及现金管理智能化管理平台，以 降低对押运业务的依赖，提高网点 营运效率及防范网点运营风险，助 力网点由成本型向效益型转型。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紧贴银行业务需求，解决 现行现金萎缩下的成本控 制要求和安防要求，市场 前景大，有望成为新的利 润增长点。</w:t>
            </w:r>
          </w:p>
        </w:tc>
      </w:tr>
      <w:tr>
        <w:trPr>
          <w:trHeight w:val="28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银行网点重控智 能管理解决方案</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根据某大型国有 银行需求，分期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满足银行在新的经济形势下精细化 管理、网点功能转型、服务转型、 产品多元化的发展需要，充分应用 物联网技术、互联网技术，适应集 中管理、分布运营的模式，通过集 中授权、科技手段、强制留痕，为 银行网点搭建一套安全可靠、功能 完善、高适应、扩展性强的重要物 品保管的综合解决方案及产品。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结合客户对重控物品管理 系统的需求而设计，顺应 市场发展，营造新的业绩 增长点。</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加配钞管理系统 自主可控适配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配合银行客户完 成加配钞管理系 统自主可控适配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发布阶段</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产品满足银行和企业客户在自主可 控适配环境下的正常使用，支持多 种自主可控适配环境，确保客户业 务正常开展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保证公司产品继续稳定运 行，继续保持市场占有率。</w:t>
            </w:r>
          </w:p>
        </w:tc>
      </w:tr>
    </w:tbl>
    <w:p>
      <w:pPr>
        <w:spacing w:lineRule="exact" w:line="1"/>
        <w:rPr>
          <w:sz w:val="2"/>
          <w:szCs w:val="2"/>
        </w:rPr>
      </w:pPr>
      <w:r>
        <w:br w:type="page"/>
      </w:r>
    </w:p>
    <w:tbl>
      <w:tblPr>
        <w:tblOverlap w:val="never"/>
        <w:jc w:val="center"/>
        <w:tblLayout w:type="fixed"/>
      </w:tblPr>
      <w:tblGrid>
        <w:gridCol w:w="1531"/>
        <w:gridCol w:w="1555"/>
        <w:gridCol w:w="1291"/>
        <w:gridCol w:w="2947"/>
        <w:gridCol w:w="2261"/>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裕农通 解决方案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根据客户需求，</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打造一款满足需</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求的产品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公司研发的裕农通设备，是汇金智 能红外双目摄像头升级产品。摄像 头内置高速安全芯片，具有不可被 替换、劫持、篡改、重放、伪造等 功能。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顺应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金融”潮流，形 成新的业绩增长点；在行 业内树立品牌形象和产品 标准，逐步加强公司在安 全金融服务领域的地位。</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银行实物流转管 理解决方案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解决银行实物流 转风险管控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发布阶段</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通过物联网技术、生物识别技术及 动态密码等技术的整合运用，提供 了银行实物流转管理解决方案。涵 盖现金票据及贵金属等库内管理、 金库与网点间实物交接等的闭环 式、痕迹化管理。</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为客户提供高效、便捷、 安全的解决方案，提高汇 金产品的粘合度。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22,289,514.97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25,946,781.83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32,347,916.13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549"/>
        <w:gridCol w:w="2549"/>
        <w:gridCol w:w="171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185,022,103.85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285,669,457.49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206,333,616.46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236,775,548.44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-21,311,512.61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48,893,909.05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626,647,011.47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812,794,231.14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607,512,931.86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874,947,039.28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19,134,079.61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-62,152,808.14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6,354,057.16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30,956,268.62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30,612,661.19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-30,956,268.62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-24,258,604.03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-33,133,701.62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-37,519,664.93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r>
    </w:tbl>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经营活动产生的现金流量净额较上年同期下降</w:t>
      </w:r>
      <w:r>
        <w:rPr>
          <w:color w:val="000000"/>
          <w:spacing w:val="0"/>
          <w:w w:val="100"/>
          <w:position w:val="0"/>
          <w:sz w:val="18"/>
          <w:szCs w:val="18"/>
        </w:rPr>
        <w:t xml:space="preserve">143. </w:t>
      </w:r>
      <w:r>
        <w:rPr>
          <w:color w:val="000000"/>
          <w:spacing w:val="0"/>
          <w:w w:val="100"/>
          <w:position w:val="0"/>
          <w:sz w:val="18"/>
          <w:szCs w:val="18"/>
        </w:rPr>
        <w:t>59%,</w:t>
      </w:r>
      <w:r>
        <w:rPr>
          <w:color w:val="000000"/>
          <w:spacing w:val="0"/>
          <w:w w:val="100"/>
          <w:position w:val="0"/>
        </w:rPr>
        <w:t>主要是本年销售回款较上年减少所致；</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投资活动产生的现金流量净额较上年同期上升</w:t>
      </w:r>
      <w:r>
        <w:rPr>
          <w:color w:val="000000"/>
          <w:spacing w:val="0"/>
          <w:w w:val="100"/>
          <w:position w:val="0"/>
          <w:sz w:val="18"/>
          <w:szCs w:val="18"/>
        </w:rPr>
        <w:t xml:space="preserve">130. </w:t>
      </w:r>
      <w:r>
        <w:rPr>
          <w:color w:val="000000"/>
          <w:spacing w:val="0"/>
          <w:w w:val="100"/>
          <w:position w:val="0"/>
          <w:sz w:val="18"/>
          <w:szCs w:val="18"/>
        </w:rPr>
        <w:t>79%</w:t>
      </w:r>
      <w:r>
        <w:rPr>
          <w:color w:val="000000"/>
          <w:spacing w:val="0"/>
          <w:w w:val="100"/>
          <w:position w:val="0"/>
        </w:rPr>
        <w:t>，主要是本年购置在建工程金额较上年减少所致；</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筹资活动产生的现金流量净额较上年同期下降</w:t>
      </w:r>
      <w:r>
        <w:rPr>
          <w:color w:val="000000"/>
          <w:spacing w:val="0"/>
          <w:w w:val="100"/>
          <w:position w:val="0"/>
          <w:sz w:val="18"/>
          <w:szCs w:val="18"/>
        </w:rPr>
        <w:t>27.61%</w:t>
      </w:r>
      <w:r>
        <w:rPr>
          <w:color w:val="000000"/>
          <w:spacing w:val="0"/>
          <w:w w:val="100"/>
          <w:position w:val="0"/>
        </w:rPr>
        <w:t>，主要是本年未发生银行贷款，筹资流入现金流减少所致。</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380" w:line="331" w:lineRule="exact"/>
        <w:ind w:left="0" w:right="0" w:firstLine="360"/>
        <w:jc w:val="both"/>
      </w:pPr>
      <w:r>
        <w:rPr>
          <w:color w:val="000000"/>
          <w:spacing w:val="0"/>
          <w:w w:val="100"/>
          <w:position w:val="0"/>
          <w:sz w:val="18"/>
          <w:szCs w:val="18"/>
        </w:rPr>
        <w:t>2021</w:t>
      </w:r>
      <w:r>
        <w:rPr>
          <w:color w:val="000000"/>
          <w:spacing w:val="0"/>
          <w:w w:val="100"/>
          <w:position w:val="0"/>
        </w:rPr>
        <w:t>年净利润</w:t>
      </w:r>
      <w:r>
        <w:rPr>
          <w:color w:val="000000"/>
          <w:spacing w:val="0"/>
          <w:w w:val="100"/>
          <w:position w:val="0"/>
          <w:sz w:val="18"/>
          <w:szCs w:val="18"/>
        </w:rPr>
        <w:t>1,389.65</w:t>
      </w:r>
      <w:r>
        <w:rPr>
          <w:color w:val="000000"/>
          <w:spacing w:val="0"/>
          <w:w w:val="100"/>
          <w:position w:val="0"/>
        </w:rPr>
        <w:t>万元，经营活动产生的现金流量净额</w:t>
      </w:r>
      <w:r>
        <w:rPr>
          <w:color w:val="000000"/>
          <w:spacing w:val="0"/>
          <w:w w:val="100"/>
          <w:position w:val="0"/>
          <w:sz w:val="18"/>
          <w:szCs w:val="18"/>
        </w:rPr>
        <w:t>-2,131.15</w:t>
      </w:r>
      <w:r>
        <w:rPr>
          <w:color w:val="000000"/>
          <w:spacing w:val="0"/>
          <w:w w:val="100"/>
          <w:position w:val="0"/>
        </w:rPr>
        <w:t>万元，差异</w:t>
      </w:r>
      <w:r>
        <w:rPr>
          <w:color w:val="000000"/>
          <w:spacing w:val="0"/>
          <w:w w:val="100"/>
          <w:position w:val="0"/>
          <w:sz w:val="18"/>
          <w:szCs w:val="18"/>
        </w:rPr>
        <w:t>3,520.80</w:t>
      </w:r>
      <w:r>
        <w:rPr>
          <w:color w:val="000000"/>
          <w:spacing w:val="0"/>
          <w:w w:val="100"/>
          <w:position w:val="0"/>
        </w:rPr>
        <w:t>万元，主要是公司根据市场 行情对关键电子元器件进行战略储备，支付采购货款所致。</w:t>
      </w:r>
    </w:p>
    <w:p>
      <w:pPr>
        <w:pStyle w:val="Style29"/>
        <w:keepNext/>
        <w:keepLines/>
        <w:widowControl w:val="0"/>
        <w:shd w:val="clear" w:color="auto" w:fill="auto"/>
        <w:bidi w:val="0"/>
        <w:spacing w:before="0" w:after="22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五</w:t>
      </w:r>
      <w:bookmarkEnd w:id="150"/>
      <w:r>
        <w:rPr>
          <w:color w:val="000000"/>
          <w:spacing w:val="0"/>
          <w:w w:val="100"/>
          <w:position w:val="0"/>
        </w:rPr>
        <w:t>、非主营业务情况</w:t>
      </w:r>
      <w:bookmarkEnd w:id="148"/>
      <w:bookmarkEnd w:id="149"/>
      <w:bookmarkEnd w:id="151"/>
    </w:p>
    <w:p>
      <w:pPr>
        <w:pStyle w:val="Style23"/>
        <w:keepNext w:val="0"/>
        <w:keepLines w:val="0"/>
        <w:widowControl w:val="0"/>
        <w:shd w:val="clear" w:color="auto" w:fill="auto"/>
        <w:bidi w:val="0"/>
        <w:spacing w:before="0" w:after="160" w:line="33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378"/>
        <w:gridCol w:w="1661"/>
        <w:gridCol w:w="3024"/>
        <w:gridCol w:w="178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银行理财产品收益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-62,232.86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保本浮动收益银行理财产品收益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主要为非流动资产报废收益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34,064.83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主要为固定资产报废损失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9,659,489.13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主要为与日常活动有关的政府补助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38"/>
        <w:gridCol w:w="1378"/>
        <w:gridCol w:w="1661"/>
        <w:gridCol w:w="3024"/>
        <w:gridCol w:w="1786"/>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1,518,316.67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主要为应收账款、其他应收款坏账准 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应收账款坏账准备 具有可持续性</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35,424.33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主要为固定资产处置收益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六</w:t>
      </w:r>
      <w:bookmarkEnd w:id="154"/>
      <w:r>
        <w:rPr>
          <w:color w:val="000000"/>
          <w:spacing w:val="0"/>
          <w:w w:val="100"/>
          <w:position w:val="0"/>
        </w:rPr>
        <w:t>、资产及负债状况分析</w:t>
      </w:r>
      <w:bookmarkEnd w:id="152"/>
      <w:bookmarkEnd w:id="153"/>
      <w:bookmarkEnd w:id="155"/>
    </w:p>
    <w:p>
      <w:pPr>
        <w:pStyle w:val="Style35"/>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49"/>
        <w:gridCol w:w="878"/>
        <w:gridCol w:w="1344"/>
        <w:gridCol w:w="912"/>
        <w:gridCol w:w="1027"/>
        <w:gridCol w:w="26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占总资</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50,072,954.09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82,900,839.71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年年末银行理财到 期，银行存款增加所致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76,000,618.81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87,144,787.42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61,581,490.54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46,812,828.40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主要是本期公司对关键电子元 器件进行战略储备所致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329,710,423.65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9,873,096.10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主要是创新科技海岸厂房项目 工程完工转为固定资产所致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主要是创新科技海岸厂房项目 工程完工转为固定资产所致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4,432,201.74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2,268,899.87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主要是本期新签订办公场地租 赁合同所致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2,542,282.64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6,343,496.90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5,631,757.16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1,353,289.68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188,430.95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主要是本期新签订办公场地租 赁合同所致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主要是本期闲置资金理财减少 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8,976,457.33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11,860,933.60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26,579,247.90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23,191,780.58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16,589,404.87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主要是存在一笔应收账款预计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不能在资产负债表日起一年内</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（含一年）变现而重分类至本科</w:t>
            </w:r>
          </w:p>
        </w:tc>
      </w:tr>
    </w:tbl>
    <w:tbl>
      <w:tblPr>
        <w:tblOverlap w:val="never"/>
        <w:jc w:val="center"/>
        <w:tblLayout w:type="fixed"/>
      </w:tblPr>
      <w:tblGrid>
        <w:gridCol w:w="1378"/>
        <w:gridCol w:w="1349"/>
        <w:gridCol w:w="878"/>
        <w:gridCol w:w="1344"/>
        <w:gridCol w:w="912"/>
        <w:gridCol w:w="1027"/>
        <w:gridCol w:w="26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目所致</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18,797,700.93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9,796,697.08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主要是本期补缴地价所致</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境外资产占比较高</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、以公允价值计量的资产和负债</w:t>
      </w:r>
      <w:bookmarkEnd w:id="160"/>
      <w:bookmarkEnd w:id="161"/>
      <w:bookmarkEnd w:id="163"/>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864"/>
        <w:gridCol w:w="1262"/>
        <w:gridCol w:w="1061"/>
        <w:gridCol w:w="749"/>
        <w:gridCol w:w="1387"/>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价值变动</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提的减</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178,245,9</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183,698.64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120,183,698.64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178,245,9</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183,698.64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120,183,698.64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七</w:t>
      </w:r>
      <w:bookmarkEnd w:id="170"/>
      <w:r>
        <w:rPr>
          <w:color w:val="000000"/>
          <w:spacing w:val="0"/>
          <w:w w:val="100"/>
          <w:position w:val="0"/>
        </w:rPr>
        <w:t>、投资状况分析</w:t>
      </w:r>
      <w:bookmarkEnd w:id="168"/>
      <w:bookmarkEnd w:id="169"/>
      <w:bookmarkEnd w:id="171"/>
    </w:p>
    <w:p>
      <w:pPr>
        <w:pStyle w:val="Style35"/>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36,328,879.31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61,342,123.24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tabs>
          <w:tab w:pos="378" w:val="left"/>
        </w:tabs>
        <w:bidi w:val="0"/>
        <w:spacing w:before="0" w:after="40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价值变动</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报告期内购</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178,245,</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183,698.64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4,560,708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120,183,6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及募集资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178,245,</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931.50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183,698.64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4,560,708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120,183,6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23"/>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keepLines/>
        <w:widowControl w:val="0"/>
        <w:numPr>
          <w:ilvl w:val="0"/>
          <w:numId w:val="3"/>
        </w:numPr>
        <w:shd w:val="clear" w:color="auto" w:fill="auto"/>
        <w:bidi w:val="0"/>
        <w:spacing w:before="0" w:after="360" w:line="240" w:lineRule="auto"/>
        <w:ind w:left="0" w:right="0" w:firstLine="0"/>
        <w:jc w:val="both"/>
      </w:pPr>
      <w:bookmarkStart w:id="192" w:name="bookmark192"/>
      <w:bookmarkStart w:id="193" w:name="bookmark193"/>
      <w:bookmarkStart w:id="194" w:name="bookmark194"/>
      <w:bookmarkStart w:id="195" w:name="bookmark195"/>
      <w:bookmarkEnd w:id="194"/>
      <w:r>
        <w:rPr>
          <w:color w:val="000000"/>
          <w:spacing w:val="0"/>
          <w:w w:val="100"/>
          <w:position w:val="0"/>
        </w:rPr>
        <w:t>募集资金总体使用情况</w:t>
      </w:r>
      <w:bookmarkEnd w:id="192"/>
      <w:bookmarkEnd w:id="193"/>
      <w:bookmarkEnd w:id="195"/>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本期已</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使用募</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集资金</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已累计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使用募</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60" w:right="0" w:firstLine="2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33,296.6</w:t>
            </w:r>
          </w:p>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33,079.6</w:t>
            </w:r>
          </w:p>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33,296.6</w:t>
            </w:r>
          </w:p>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33,079.6</w:t>
            </w:r>
          </w:p>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年度，募集资金项目投入金额合计</w:t>
            </w:r>
            <w:r>
              <w:rPr>
                <w:rFonts w:ascii="Times New Roman" w:eastAsia="Times New Roman" w:hAnsi="Times New Roman" w:cs="Times New Roman"/>
                <w:color w:val="000000"/>
                <w:spacing w:val="0"/>
                <w:w w:val="100"/>
                <w:position w:val="0"/>
                <w:sz w:val="18"/>
                <w:szCs w:val="18"/>
              </w:rPr>
              <w:t>876.83</w:t>
            </w:r>
            <w:r>
              <w:rPr>
                <w:color w:val="000000"/>
                <w:spacing w:val="0"/>
                <w:w w:val="100"/>
                <w:position w:val="0"/>
              </w:rPr>
              <w:t>万元，累计使用募集资金总额</w:t>
            </w:r>
            <w:r>
              <w:rPr>
                <w:rFonts w:ascii="Times New Roman" w:eastAsia="Times New Roman" w:hAnsi="Times New Roman" w:cs="Times New Roman"/>
                <w:color w:val="000000"/>
                <w:spacing w:val="0"/>
                <w:w w:val="100"/>
                <w:position w:val="0"/>
                <w:sz w:val="18"/>
                <w:szCs w:val="18"/>
              </w:rPr>
              <w:t>33,079.63</w:t>
            </w:r>
            <w:r>
              <w:rPr>
                <w:color w:val="000000"/>
                <w:spacing w:val="0"/>
                <w:w w:val="100"/>
                <w:position w:val="0"/>
              </w:rPr>
              <w:t xml:space="preserve">万元。累计变更募集资金总额 </w:t>
            </w:r>
            <w:r>
              <w:rPr>
                <w:rFonts w:ascii="Times New Roman" w:eastAsia="Times New Roman" w:hAnsi="Times New Roman" w:cs="Times New Roman"/>
                <w:color w:val="000000"/>
                <w:spacing w:val="0"/>
                <w:w w:val="100"/>
                <w:position w:val="0"/>
                <w:sz w:val="18"/>
                <w:szCs w:val="18"/>
              </w:rPr>
              <w:t>4,199.71</w:t>
            </w:r>
            <w:r>
              <w:rPr>
                <w:color w:val="000000"/>
                <w:spacing w:val="0"/>
                <w:w w:val="100"/>
                <w:position w:val="0"/>
              </w:rPr>
              <w:t>万元，包括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日经第三届董事会第九次会议审议通过，终止“物流内控管理解决方案建设项目” 的实施，并将该项目募集资金投资余额</w:t>
            </w:r>
            <w:r>
              <w:rPr>
                <w:rFonts w:ascii="Times New Roman" w:eastAsia="Times New Roman" w:hAnsi="Times New Roman" w:cs="Times New Roman"/>
                <w:color w:val="000000"/>
                <w:spacing w:val="0"/>
                <w:w w:val="100"/>
                <w:position w:val="0"/>
                <w:sz w:val="18"/>
                <w:szCs w:val="18"/>
              </w:rPr>
              <w:t>1,359.95</w:t>
            </w:r>
            <w:r>
              <w:rPr>
                <w:color w:val="000000"/>
                <w:spacing w:val="0"/>
                <w:w w:val="100"/>
                <w:position w:val="0"/>
              </w:rPr>
              <w:t>万元，用于“研发中心建设项目”及“银行印章管理解决方案建设项目” 的资金投入及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月公司董事会同意将建设中募投项目结项并将节余募集资金</w:t>
            </w:r>
            <w:r>
              <w:rPr>
                <w:rFonts w:ascii="Times New Roman" w:eastAsia="Times New Roman" w:hAnsi="Times New Roman" w:cs="Times New Roman"/>
                <w:color w:val="000000"/>
                <w:spacing w:val="0"/>
                <w:w w:val="100"/>
                <w:position w:val="0"/>
                <w:sz w:val="18"/>
                <w:szCs w:val="18"/>
              </w:rPr>
              <w:t>2,839.76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包括手续费、利息收 入、理财产品收益)永久性补充流动资金。</w:t>
            </w:r>
          </w:p>
        </w:tc>
      </w:tr>
    </w:tbl>
    <w:p>
      <w:pPr>
        <w:spacing w:lineRule="exact" w:line="1"/>
        <w:rPr>
          <w:sz w:val="2"/>
          <w:szCs w:val="2"/>
        </w:rPr>
      </w:pPr>
      <w:r>
        <w:br w:type="page"/>
      </w:r>
    </w:p>
    <w:p>
      <w:pPr>
        <w:pStyle w:val="Style41"/>
        <w:keepNext/>
        <w:keepLines/>
        <w:widowControl w:val="0"/>
        <w:numPr>
          <w:ilvl w:val="0"/>
          <w:numId w:val="3"/>
        </w:numPr>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募集资金承诺项目情况</w:t>
      </w:r>
      <w:bookmarkEnd w:id="196"/>
      <w:bookmarkEnd w:id="197"/>
      <w:bookmarkEnd w:id="19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5"/>
        <w:gridCol w:w="739"/>
        <w:gridCol w:w="749"/>
        <w:gridCol w:w="686"/>
        <w:gridCol w:w="725"/>
        <w:gridCol w:w="898"/>
        <w:gridCol w:w="898"/>
        <w:gridCol w:w="730"/>
        <w:gridCol w:w="725"/>
        <w:gridCol w:w="898"/>
        <w:gridCol w:w="730"/>
        <w:gridCol w:w="734"/>
      </w:tblGrid>
      <w:tr>
        <w:trPr>
          <w:trHeight w:val="22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项目和超 募资金投 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160" w:right="0" w:firstLine="20"/>
              <w:jc w:val="both"/>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40" w:right="0" w:firstLine="40"/>
              <w:jc w:val="left"/>
            </w:pPr>
            <w:r>
              <w:rPr>
                <w:color w:val="000000"/>
                <w:spacing w:val="0"/>
                <w:w w:val="100"/>
                <w:position w:val="0"/>
              </w:rPr>
              <w:t>募集 资金 承诺 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 后投 资总 额⑴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180"/>
              <w:jc w:val="left"/>
            </w:pPr>
            <w:r>
              <w:rPr>
                <w:color w:val="000000"/>
                <w:spacing w:val="0"/>
                <w:w w:val="100"/>
                <w:position w:val="0"/>
              </w:rPr>
              <w:t>本报</w:t>
            </w:r>
          </w:p>
          <w:p>
            <w:pPr>
              <w:pStyle w:val="Style26"/>
              <w:keepNext w:val="0"/>
              <w:keepLines w:val="0"/>
              <w:widowControl w:val="0"/>
              <w:shd w:val="clear" w:color="auto" w:fill="auto"/>
              <w:bidi w:val="0"/>
              <w:spacing w:before="0" w:after="0" w:line="310" w:lineRule="exact"/>
              <w:ind w:left="180" w:right="0" w:firstLine="0"/>
              <w:jc w:val="left"/>
            </w:pPr>
            <w:r>
              <w:rPr>
                <w:color w:val="000000"/>
                <w:spacing w:val="0"/>
                <w:w w:val="100"/>
                <w:position w:val="0"/>
              </w:rPr>
              <w:t>告期 投入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末累计 投入金 额⑵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8" w:lineRule="exact"/>
              <w:ind w:left="0" w:right="0" w:firstLine="0"/>
              <w:jc w:val="center"/>
              <w:rPr>
                <w:sz w:val="20"/>
                <w:szCs w:val="20"/>
              </w:rPr>
            </w:pPr>
            <w:r>
              <w:rPr>
                <w:color w:val="000000"/>
                <w:spacing w:val="0"/>
                <w:w w:val="100"/>
                <w:position w:val="0"/>
                <w:sz w:val="17"/>
                <w:szCs w:val="17"/>
              </w:rPr>
              <w:t>本报 告期 实现 的效 益</w:t>
            </w:r>
            <w:r>
              <w:rPr>
                <w:rFonts w:ascii="Times New Roman" w:eastAsia="Times New Roman" w:hAnsi="Times New Roman" w:cs="Times New Roman"/>
                <w:color w:val="000000"/>
                <w:spacing w:val="0"/>
                <w:w w:val="100"/>
                <w:position w:val="0"/>
                <w:sz w:val="20"/>
                <w:szCs w:val="20"/>
                <w:vertAlign w:val="superscript"/>
              </w:rPr>
              <w:footnoteReference w:id="2"/>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银行自助 设备内控 管理解决 方案升级 改造项目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14,547</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14,838.1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银行现金 实物流转 内控管理 解决方案 升级改造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7,132.</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6,628.06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4,154.</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4,889.</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银行印章 管理解决 方案建设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6,006.</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6,136.37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物流内控 管理解决 方案建设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1,455.</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项目小计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33,296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33,079.6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75"/>
        <w:gridCol w:w="739"/>
        <w:gridCol w:w="749"/>
        <w:gridCol w:w="686"/>
        <w:gridCol w:w="725"/>
        <w:gridCol w:w="898"/>
        <w:gridCol w:w="898"/>
        <w:gridCol w:w="730"/>
        <w:gridCol w:w="725"/>
        <w:gridCol w:w="898"/>
        <w:gridCol w:w="730"/>
        <w:gridCol w:w="734"/>
      </w:tblGrid>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33,296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33,29</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00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未达到计 划进度或</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预计收益 的情况和 原因（分具 体项目）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银行自助设备内控管理解决方案升级改造项目及银行现金实物流转内控管理解决方案升级改造项目于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号达到预计可使用状态，项目产能处于逐步爬升状态。本年度由于新冠疫情常态化及电子 元器件供应紧张的影响，项目产能未能完全达成，达到预计收益尚需一定时间。</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银行印章管理解决方案建设项目：项目于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号达到预计可使用状态，由于电子印章管理系统 在银行网点的普及，实体印章管理产品的市场需求不断下降，公司将根据市场需求变化调整银行印章管理 解决方案建设项目部分产能用于公司其他业务的开展。</w:t>
            </w:r>
          </w:p>
        </w:tc>
      </w:tr>
      <w:tr>
        <w:trPr>
          <w:trHeight w:val="258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性发生重</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大变化的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“物流内控管理解决方案建设项目”旨在拓展主营业务相关产品和技术在物流行业应用，扩大公司产品线， 增强公司可持续发展能力。经过公司管理层近三年对物流行业发展的判断，物流行业竞争激烈，原募投项 目产品应用至物流行业，盈利空间缩小，并且物流实物流转内控风险管理发展并不成熟，还没有健全的行 业技术标准，规模效应还不明显，将无法实现原预计收益目标，不能达到公司及全体股东预期的投资回报， 实施该项目具有不确定性。</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日，经第三届董事会第九次会议审议通过，终止“物流内控管 理解决方案建设项目”的实施，并将该项目募集资金投资余额</w:t>
            </w:r>
            <w:r>
              <w:rPr>
                <w:rFonts w:ascii="Times New Roman" w:eastAsia="Times New Roman" w:hAnsi="Times New Roman" w:cs="Times New Roman"/>
                <w:color w:val="000000"/>
                <w:spacing w:val="0"/>
                <w:w w:val="100"/>
                <w:position w:val="0"/>
                <w:sz w:val="18"/>
                <w:szCs w:val="18"/>
              </w:rPr>
              <w:t>1,359.95</w:t>
            </w:r>
            <w:r>
              <w:rPr>
                <w:color w:val="000000"/>
                <w:spacing w:val="0"/>
                <w:w w:val="100"/>
                <w:position w:val="0"/>
              </w:rPr>
              <w:t>万元，用于“研发中心建设项目” 及“银行印章管理解决方案建设项目”的资金投入。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 大会审议通过该议案。</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 的金额、用 途及使用 进展情况</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投资项目 实施地点 变更情况</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日经公司第二届董事会第九次会议审议通过，公司全部募投项目实施地点由“珠海市科技创 新海岸南围、港湾北路西、科技七路南侧”变更为“珠海市科技创新海岸北围、金环路北、金环西路西侧”； 后市政道路名称变更，该地址更名为“珠海市高新区科技创新海岸北围鼎兴路北、兴中路西侧。</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投资项目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实施方式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 投资项目 先期投入 及置换情</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况</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募集资金到位前，公司以自筹资金预先投入募集资金投资项目</w:t>
            </w:r>
            <w:r>
              <w:rPr>
                <w:rFonts w:ascii="Times New Roman" w:eastAsia="Times New Roman" w:hAnsi="Times New Roman" w:cs="Times New Roman"/>
                <w:color w:val="000000"/>
                <w:spacing w:val="0"/>
                <w:w w:val="100"/>
                <w:position w:val="0"/>
                <w:sz w:val="18"/>
                <w:szCs w:val="18"/>
              </w:rPr>
              <w:t>3,900.47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日，公司第二 届董事会第七次会议审议通过《关于使用募集资金置换已投入募集资金投资项目自筹资金的议案》，同意公 司使用</w:t>
            </w:r>
            <w:r>
              <w:rPr>
                <w:rFonts w:ascii="Times New Roman" w:eastAsia="Times New Roman" w:hAnsi="Times New Roman" w:cs="Times New Roman"/>
                <w:color w:val="000000"/>
                <w:spacing w:val="0"/>
                <w:w w:val="100"/>
                <w:position w:val="0"/>
                <w:sz w:val="18"/>
                <w:szCs w:val="18"/>
              </w:rPr>
              <w:t>3,900.47</w:t>
            </w:r>
            <w:r>
              <w:rPr>
                <w:color w:val="000000"/>
                <w:spacing w:val="0"/>
                <w:w w:val="100"/>
                <w:position w:val="0"/>
              </w:rPr>
              <w:t>万元募集资金置换预先已投入募集资金投资项目的自筹资金。其中银行自助设备内控管理 解决方案升级改造项目</w:t>
            </w:r>
            <w:r>
              <w:rPr>
                <w:rFonts w:ascii="Times New Roman" w:eastAsia="Times New Roman" w:hAnsi="Times New Roman" w:cs="Times New Roman"/>
                <w:color w:val="000000"/>
                <w:spacing w:val="0"/>
                <w:w w:val="100"/>
                <w:position w:val="0"/>
                <w:sz w:val="18"/>
                <w:szCs w:val="18"/>
              </w:rPr>
              <w:t>2,027.03</w:t>
            </w:r>
            <w:r>
              <w:rPr>
                <w:color w:val="000000"/>
                <w:spacing w:val="0"/>
                <w:w w:val="100"/>
                <w:position w:val="0"/>
              </w:rPr>
              <w:t>万元，银行现金实物流转内控管理解决方案升级改造项目</w:t>
            </w:r>
            <w:r>
              <w:rPr>
                <w:rFonts w:ascii="Times New Roman" w:eastAsia="Times New Roman" w:hAnsi="Times New Roman" w:cs="Times New Roman"/>
                <w:color w:val="000000"/>
                <w:spacing w:val="0"/>
                <w:w w:val="100"/>
                <w:position w:val="0"/>
                <w:sz w:val="18"/>
                <w:szCs w:val="18"/>
              </w:rPr>
              <w:t>778.21</w:t>
            </w:r>
            <w:r>
              <w:rPr>
                <w:color w:val="000000"/>
                <w:spacing w:val="0"/>
                <w:w w:val="100"/>
                <w:position w:val="0"/>
              </w:rPr>
              <w:t>万元，研 发中心建设项目</w:t>
            </w:r>
            <w:r>
              <w:rPr>
                <w:rFonts w:ascii="Times New Roman" w:eastAsia="Times New Roman" w:hAnsi="Times New Roman" w:cs="Times New Roman"/>
                <w:color w:val="000000"/>
                <w:spacing w:val="0"/>
                <w:w w:val="100"/>
                <w:position w:val="0"/>
                <w:sz w:val="18"/>
                <w:szCs w:val="18"/>
              </w:rPr>
              <w:t>70.73</w:t>
            </w:r>
            <w:r>
              <w:rPr>
                <w:color w:val="000000"/>
                <w:spacing w:val="0"/>
                <w:w w:val="100"/>
                <w:position w:val="0"/>
              </w:rPr>
              <w:t>万元，银行印章管理解决方案建设项目</w:t>
            </w:r>
            <w:r>
              <w:rPr>
                <w:rFonts w:ascii="Times New Roman" w:eastAsia="Times New Roman" w:hAnsi="Times New Roman" w:cs="Times New Roman"/>
                <w:color w:val="000000"/>
                <w:spacing w:val="0"/>
                <w:w w:val="100"/>
                <w:position w:val="0"/>
                <w:sz w:val="18"/>
                <w:szCs w:val="18"/>
              </w:rPr>
              <w:t>942.81</w:t>
            </w:r>
            <w:r>
              <w:rPr>
                <w:color w:val="000000"/>
                <w:spacing w:val="0"/>
                <w:w w:val="100"/>
                <w:position w:val="0"/>
              </w:rPr>
              <w:t>万元，物流内控管理解决方案建设项 目</w:t>
            </w:r>
            <w:r>
              <w:rPr>
                <w:rFonts w:ascii="Times New Roman" w:eastAsia="Times New Roman" w:hAnsi="Times New Roman" w:cs="Times New Roman"/>
                <w:color w:val="000000"/>
                <w:spacing w:val="0"/>
                <w:w w:val="100"/>
                <w:position w:val="0"/>
                <w:sz w:val="18"/>
                <w:szCs w:val="18"/>
              </w:rPr>
              <w:t>81.68</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用闲置募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集资金暂</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5"/>
        <w:gridCol w:w="8510"/>
      </w:tblGrid>
      <w:tr>
        <w:trPr>
          <w:trHeight w:val="9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时补充流</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动资金情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 出现募集 资金结余 的金额及 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募集资金结余的金额</w:t>
            </w:r>
            <w:r>
              <w:rPr>
                <w:rFonts w:ascii="Times New Roman" w:eastAsia="Times New Roman" w:hAnsi="Times New Roman" w:cs="Times New Roman"/>
                <w:color w:val="000000"/>
                <w:spacing w:val="0"/>
                <w:w w:val="100"/>
                <w:position w:val="0"/>
                <w:sz w:val="18"/>
                <w:szCs w:val="18"/>
              </w:rPr>
              <w:t>2,839.76</w:t>
            </w:r>
            <w:r>
              <w:rPr>
                <w:color w:val="000000"/>
                <w:spacing w:val="0"/>
                <w:w w:val="100"/>
                <w:position w:val="0"/>
              </w:rPr>
              <w:t>万元。在募投项目建设过程中，公司从项目实际情况出发，严格管理，秉承 节约、合理、有效的原则使用募集资金，不断加强项目的预算和流程管理，优化项目设计建设方案，合理 降低了成本和费用。目前募投项目均已建设完毕，部分建设尾款和质保金的支付周期较长，目前尚未进入 结算环节。另外，为提高募集资金的使用效率，公司合理安排闲置募集资金进行现金管理，在资金闲置期 间产生了理财收益。前述因素导致公司募集资金出现结余。</w:t>
            </w:r>
          </w:p>
        </w:tc>
      </w:tr>
      <w:tr>
        <w:trPr>
          <w:trHeight w:val="200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鉴于公司募集资金投资项目均已建设完毕，公司结合实际经营情况，为提高资金使用效率，增强公司持续 经营能力，公司董事会同意将该募投项目结项并将节余募集资金(包括手续费、利息收入、理财产品收益) 永久性补充流动资金。</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本公司募集资金总额</w:t>
            </w:r>
            <w:r>
              <w:rPr>
                <w:rFonts w:ascii="Times New Roman" w:eastAsia="Times New Roman" w:hAnsi="Times New Roman" w:cs="Times New Roman"/>
                <w:color w:val="000000"/>
                <w:spacing w:val="0"/>
                <w:w w:val="100"/>
                <w:position w:val="0"/>
                <w:sz w:val="18"/>
                <w:szCs w:val="18"/>
              </w:rPr>
              <w:t>33,296.61</w:t>
            </w:r>
            <w:r>
              <w:rPr>
                <w:color w:val="000000"/>
                <w:spacing w:val="0"/>
                <w:w w:val="100"/>
                <w:position w:val="0"/>
              </w:rPr>
              <w:t>万元，实际使用募集资金</w:t>
            </w:r>
            <w:r>
              <w:rPr>
                <w:rFonts w:ascii="Times New Roman" w:eastAsia="Times New Roman" w:hAnsi="Times New Roman" w:cs="Times New Roman"/>
                <w:color w:val="000000"/>
                <w:spacing w:val="0"/>
                <w:w w:val="100"/>
                <w:position w:val="0"/>
                <w:sz w:val="18"/>
                <w:szCs w:val="18"/>
              </w:rPr>
              <w:t>33,079.63</w:t>
            </w:r>
            <w:r>
              <w:rPr>
                <w:color w:val="000000"/>
                <w:spacing w:val="0"/>
                <w:w w:val="100"/>
                <w:position w:val="0"/>
              </w:rPr>
              <w:t>万元，尚未使用募集资金</w:t>
            </w:r>
            <w:r>
              <w:rPr>
                <w:rFonts w:ascii="Times New Roman" w:eastAsia="Times New Roman" w:hAnsi="Times New Roman" w:cs="Times New Roman"/>
                <w:color w:val="000000"/>
                <w:spacing w:val="0"/>
                <w:w w:val="100"/>
                <w:position w:val="0"/>
                <w:sz w:val="18"/>
                <w:szCs w:val="18"/>
              </w:rPr>
              <w:t>2,839.76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 括手续费、利息收入、理财产品收益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日转入公司基本帐户，永久性补充流动资金，用 于公司主营业务相关的经营活动、建设尾款和质保金等资金支付。</w:t>
            </w:r>
          </w:p>
        </w:tc>
      </w:tr>
      <w:tr>
        <w:trPr>
          <w:trHeight w:val="197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日，公司召开第三届董事会第三十次会议和第三届监事会第二十三次会议，审议通过了《关 于使用部分闲置募集资金和自有资金进行现金管理的议案》，同意公司在确保不影响正常经营、不改变募集 资金用途的情况下，使用不超过人民币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万元的闲置募集资金和不超过人民币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万元的自有资金 进行现金管理，决议自股东大会审议通过之日起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个月内有效，资金额度在决议有效期内可滚动使用，并 授权董事长在该额度范围内行使投资决策权，签署相关法律文件。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第三次临时股东大会审议通过上述议案。</w:t>
            </w:r>
          </w:p>
        </w:tc>
      </w:tr>
    </w:tbl>
    <w:p>
      <w:pPr>
        <w:widowControl w:val="0"/>
        <w:spacing w:after="659" w:line="1" w:lineRule="exact"/>
      </w:pPr>
    </w:p>
    <w:p>
      <w:pPr>
        <w:pStyle w:val="Style41"/>
        <w:keepNext/>
        <w:keepLines/>
        <w:widowControl w:val="0"/>
        <w:numPr>
          <w:ilvl w:val="0"/>
          <w:numId w:val="3"/>
        </w:numPr>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募集资金变更项目情况</w:t>
      </w:r>
      <w:bookmarkEnd w:id="200"/>
      <w:bookmarkEnd w:id="201"/>
      <w:bookmarkEnd w:id="20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变更后项 目拟投入 募集资金 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实际累计 投入金额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(3)=(2)/(1 )</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实现的效</w:t>
            </w:r>
          </w:p>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 项目可行 性是否发 生重大变</w:t>
            </w:r>
          </w:p>
          <w:p>
            <w:pPr>
              <w:pStyle w:val="Style26"/>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化</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物流内控 管理解决 方案建设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4,889.63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银行印章 管理解决 方案建设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物流内控 管理解决 方案建设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6,136.37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11,520.94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11,517.6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880"/>
        <w:gridCol w:w="6710"/>
      </w:tblGrid>
      <w:tr>
        <w:trPr>
          <w:trHeight w:val="32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“物流内控管理解决方案建设项目”旨在拓展主营业务相关产品和技术在物流行业 应用，扩大公司产品线，增强公司的可持续发展能力。经过公司管理层近三年对物 流行业发展的判断，物流行业竞争激烈，原募投项目产品应用至物流行业，盈利空 间缩小，并且物流实物流转内控风险管理发展并不成熟，还没有健全的行业技术标 准，规模效应还不明显，将无法实现原预计收益目标，不能达到公司以及全体股东 预期的投资回报，实施该项目具有不确定性。</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日，经第三届董事会 第九次会议审议通过，终止“物流内控管理解决方案建设项目”的实施，并将该项 目募集资金投资余额</w:t>
            </w:r>
            <w:r>
              <w:rPr>
                <w:rFonts w:ascii="Times New Roman" w:eastAsia="Times New Roman" w:hAnsi="Times New Roman" w:cs="Times New Roman"/>
                <w:color w:val="000000"/>
                <w:spacing w:val="0"/>
                <w:w w:val="100"/>
                <w:position w:val="0"/>
                <w:sz w:val="18"/>
                <w:szCs w:val="18"/>
              </w:rPr>
              <w:t>1,359.95</w:t>
            </w:r>
            <w:r>
              <w:rPr>
                <w:color w:val="000000"/>
                <w:spacing w:val="0"/>
                <w:w w:val="100"/>
                <w:position w:val="0"/>
              </w:rPr>
              <w:t>万元，用于“研发中心建设项目”及“银行印章管理 解决方案建设项目”的资金投入。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 股东大会审议通过该议案。</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 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银行印章管理解决方案建设项目：项目于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号达到预计可使用状态， 由于电子印章管理系统在银行网点的普及，实体印章管理产品的市场需求不断下降， 公司将根据市场需求变化调整银行印章管理解决方案建设项目部分产能用于公司其 他业务的开展。</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八</w:t>
      </w:r>
      <w:bookmarkEnd w:id="206"/>
      <w:r>
        <w:rPr>
          <w:color w:val="000000"/>
          <w:spacing w:val="0"/>
          <w:w w:val="100"/>
          <w:position w:val="0"/>
        </w:rPr>
        <w:t>、重大资产和股权出售</w:t>
      </w:r>
      <w:bookmarkEnd w:id="204"/>
      <w:bookmarkEnd w:id="205"/>
      <w:bookmarkEnd w:id="207"/>
    </w:p>
    <w:p>
      <w:pPr>
        <w:pStyle w:val="Style35"/>
        <w:keepNext/>
        <w:keepLines/>
        <w:widowControl w:val="0"/>
        <w:shd w:val="clear" w:color="auto" w:fill="auto"/>
        <w:tabs>
          <w:tab w:pos="36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九</w:t>
      </w:r>
      <w:bookmarkEnd w:id="218"/>
      <w:r>
        <w:rPr>
          <w:color w:val="000000"/>
          <w:spacing w:val="0"/>
          <w:w w:val="100"/>
          <w:position w:val="0"/>
        </w:rPr>
        <w:t>、主要控股参股公司分析</w:t>
      </w:r>
      <w:bookmarkEnd w:id="216"/>
      <w:bookmarkEnd w:id="217"/>
      <w:bookmarkEnd w:id="219"/>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40"/>
        <w:gridCol w:w="701"/>
        <w:gridCol w:w="3374"/>
        <w:gridCol w:w="710"/>
        <w:gridCol w:w="811"/>
        <w:gridCol w:w="840"/>
        <w:gridCol w:w="725"/>
        <w:gridCol w:w="811"/>
        <w:gridCol w:w="773"/>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公司</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220"/>
              <w:jc w:val="left"/>
            </w:pPr>
            <w:r>
              <w:rPr>
                <w:color w:val="000000"/>
                <w:spacing w:val="0"/>
                <w:w w:val="100"/>
                <w:position w:val="0"/>
              </w:rPr>
              <w:t>营业</w:t>
            </w:r>
          </w:p>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w:t>
            </w:r>
          </w:p>
        </w:tc>
      </w:tr>
      <w:tr>
        <w:trPr>
          <w:trHeight w:val="22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贵安新 区贵金 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智能科技产品的研发、设计及销售，人工 智能及大数据的研发与销售，软件和信息 技术服务领域内的技术及产品开发、技术 转让、技术咨询、技术服务，计算机软硬 件及辅助设备、电子设备、通信设备、信 息服务产品，安全保护服务产品的设计、 研发、生产、销售及维护。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伍佰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w:t>
            </w:r>
          </w:p>
        </w:tc>
      </w:tr>
    </w:tbl>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主要控股参股公司情况说明</w:t>
      </w:r>
    </w:p>
    <w:p>
      <w:pPr>
        <w:pStyle w:val="Style23"/>
        <w:keepNext w:val="0"/>
        <w:keepLines w:val="0"/>
        <w:widowControl w:val="0"/>
        <w:shd w:val="clear" w:color="auto" w:fill="auto"/>
        <w:bidi w:val="0"/>
        <w:spacing w:before="0" w:after="380" w:line="310" w:lineRule="exact"/>
        <w:ind w:left="0" w:right="0" w:firstLine="320"/>
        <w:jc w:val="both"/>
      </w:pPr>
      <w:r>
        <w:rPr>
          <w:color w:val="000000"/>
          <w:spacing w:val="0"/>
          <w:w w:val="100"/>
          <w:position w:val="0"/>
        </w:rPr>
        <w:t>贵安新区贵金科技有限公司主营业务主要是智能科技产品的研发、设计及销售，人工智能及大数据的研发与销售，软件 和信息技术服务领域内的技术及产品开发、技术转让、技术咨询、技术服务，计算机软硬件及辅助设备、电子设备、通信设 备、信息服务产品，安全保护服务产品的设计、研发、生产、销售及维护，本公司持股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9"/>
        <w:keepNext/>
        <w:keepLines/>
        <w:widowControl w:val="0"/>
        <w:shd w:val="clear" w:color="auto" w:fill="auto"/>
        <w:bidi w:val="0"/>
        <w:spacing w:before="0" w:after="260" w:line="240" w:lineRule="auto"/>
        <w:ind w:left="0" w:right="0" w:firstLine="0"/>
        <w:jc w:val="left"/>
      </w:pPr>
      <w:bookmarkStart w:id="220" w:name="bookmark220"/>
      <w:bookmarkStart w:id="221" w:name="bookmark221"/>
      <w:bookmarkStart w:id="222" w:name="bookmark222"/>
      <w:r>
        <w:rPr>
          <w:color w:val="000000"/>
          <w:spacing w:val="0"/>
          <w:w w:val="100"/>
          <w:position w:val="0"/>
        </w:rPr>
        <w:t>十、公司控制的结构化主体情况</w:t>
      </w:r>
      <w:bookmarkEnd w:id="220"/>
      <w:bookmarkEnd w:id="221"/>
      <w:bookmarkEnd w:id="222"/>
    </w:p>
    <w:p>
      <w:pPr>
        <w:pStyle w:val="Style23"/>
        <w:keepNext w:val="0"/>
        <w:keepLines w:val="0"/>
        <w:widowControl w:val="0"/>
        <w:shd w:val="clear" w:color="auto" w:fill="auto"/>
        <w:bidi w:val="0"/>
        <w:spacing w:before="0" w:after="38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60" w:line="240" w:lineRule="auto"/>
        <w:ind w:left="0" w:right="0" w:firstLine="0"/>
        <w:jc w:val="left"/>
      </w:pPr>
      <w:bookmarkStart w:id="223" w:name="bookmark223"/>
      <w:bookmarkStart w:id="224" w:name="bookmark224"/>
      <w:bookmarkStart w:id="225" w:name="bookmark225"/>
      <w:r>
        <w:rPr>
          <w:color w:val="000000"/>
          <w:spacing w:val="0"/>
          <w:w w:val="100"/>
          <w:position w:val="0"/>
        </w:rPr>
        <w:t>十一、公司未来发展的展望</w:t>
      </w:r>
      <w:bookmarkEnd w:id="223"/>
      <w:bookmarkEnd w:id="224"/>
      <w:bookmarkEnd w:id="225"/>
    </w:p>
    <w:p>
      <w:pPr>
        <w:pStyle w:val="Style23"/>
        <w:keepNext w:val="0"/>
        <w:keepLines w:val="0"/>
        <w:widowControl w:val="0"/>
        <w:shd w:val="clear" w:color="auto" w:fill="auto"/>
        <w:tabs>
          <w:tab w:pos="896" w:val="left"/>
        </w:tabs>
        <w:bidi w:val="0"/>
        <w:spacing w:before="0" w:after="0" w:line="313" w:lineRule="exact"/>
        <w:ind w:left="0" w:right="0"/>
        <w:jc w:val="left"/>
      </w:pPr>
      <w:bookmarkStart w:id="226" w:name="bookmark226"/>
      <w:r>
        <w:rPr>
          <w:color w:val="000000"/>
          <w:spacing w:val="0"/>
          <w:w w:val="100"/>
          <w:position w:val="0"/>
        </w:rPr>
        <w:t>（</w:t>
      </w:r>
      <w:bookmarkEnd w:id="226"/>
      <w:r>
        <w:rPr>
          <w:color w:val="000000"/>
          <w:spacing w:val="0"/>
          <w:w w:val="100"/>
          <w:position w:val="0"/>
        </w:rPr>
        <w:t>一）</w:t>
        <w:tab/>
        <w:t>行业的发展趋势</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当前金融科技领域深化发展，在央行“数字驱动、智慧为民、绿色低碳、公平普惠”的原则下，金融业数字化转型更深 化、金融服务提质增效更显著、金融科技治理体系更健全、关键核心技术应用更深化、数字基础设施建设更先进成为未来四 年的主要发展目标。大数据、人工智能、区块链等技术将进一步渗透到传统金融领域，银行等金融业客户需要平衡好转型、 增长和防风险的关系，建设适配的内控风险管理体系，精准有效的处置重点领域风险将会是关注焦点。公司聚焦金融行业发 展需求，围绕金融内控风险防范领域具有较大的市场空间。</w:t>
      </w:r>
    </w:p>
    <w:p>
      <w:pPr>
        <w:pStyle w:val="Style23"/>
        <w:keepNext w:val="0"/>
        <w:keepLines w:val="0"/>
        <w:widowControl w:val="0"/>
        <w:shd w:val="clear" w:color="auto" w:fill="auto"/>
        <w:tabs>
          <w:tab w:pos="896" w:val="left"/>
        </w:tabs>
        <w:bidi w:val="0"/>
        <w:spacing w:before="0" w:after="0" w:line="313" w:lineRule="exact"/>
        <w:ind w:left="0" w:right="0"/>
        <w:jc w:val="both"/>
      </w:pPr>
      <w:bookmarkStart w:id="227" w:name="bookmark227"/>
      <w:r>
        <w:rPr>
          <w:color w:val="000000"/>
          <w:spacing w:val="0"/>
          <w:w w:val="100"/>
          <w:position w:val="0"/>
        </w:rPr>
        <w:t>（</w:t>
      </w:r>
      <w:bookmarkEnd w:id="227"/>
      <w:r>
        <w:rPr>
          <w:color w:val="000000"/>
          <w:spacing w:val="0"/>
          <w:w w:val="100"/>
          <w:position w:val="0"/>
        </w:rPr>
        <w:t>二）</w:t>
        <w:tab/>
        <w:t>公司的发展战略</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公司秉承“以客户为中心、市场为导向，为客户创造价值”的核心价值理念，立足于金融行业内控风险防范领域，深耕、 精耕主营业务，产品销售一代、研发一代、预研一代，不断增强企业的核心竞争力，提高品牌知名度，坚持稳健经营，强化 执行，实现公司健康持续发展。</w:t>
      </w:r>
    </w:p>
    <w:p>
      <w:pPr>
        <w:pStyle w:val="Style23"/>
        <w:keepNext w:val="0"/>
        <w:keepLines w:val="0"/>
        <w:widowControl w:val="0"/>
        <w:shd w:val="clear" w:color="auto" w:fill="auto"/>
        <w:bidi w:val="0"/>
        <w:spacing w:before="0" w:after="0" w:line="336" w:lineRule="exact"/>
        <w:ind w:left="0" w:right="0"/>
        <w:jc w:val="both"/>
      </w:pPr>
      <w:r>
        <w:rPr>
          <w:color w:val="000000"/>
          <w:spacing w:val="0"/>
          <w:w w:val="100"/>
          <w:position w:val="0"/>
        </w:rPr>
        <w:t>公司将继续坚持“内生增长、外延发展”的双轮驱动战略，紧密结合市场需求，充分发挥公司的技术优势、管理优势及 营销优势，依托资本市场的支持，积极稳妥地扩展业务板块、拓展应用领域，推动公司战略目标的稳步实现。</w:t>
      </w:r>
    </w:p>
    <w:p>
      <w:pPr>
        <w:pStyle w:val="Style23"/>
        <w:keepNext w:val="0"/>
        <w:keepLines w:val="0"/>
        <w:widowControl w:val="0"/>
        <w:shd w:val="clear" w:color="auto" w:fill="auto"/>
        <w:tabs>
          <w:tab w:pos="896" w:val="left"/>
        </w:tabs>
        <w:bidi w:val="0"/>
        <w:spacing w:before="0" w:after="0" w:line="315" w:lineRule="exact"/>
        <w:ind w:left="0" w:right="0"/>
        <w:jc w:val="both"/>
      </w:pPr>
      <w:bookmarkStart w:id="228" w:name="bookmark228"/>
      <w:r>
        <w:rPr>
          <w:color w:val="000000"/>
          <w:spacing w:val="0"/>
          <w:w w:val="100"/>
          <w:position w:val="0"/>
        </w:rPr>
        <w:t>（</w:t>
      </w:r>
      <w:bookmarkEnd w:id="228"/>
      <w:r>
        <w:rPr>
          <w:color w:val="000000"/>
          <w:spacing w:val="0"/>
          <w:w w:val="100"/>
          <w:position w:val="0"/>
        </w:rPr>
        <w:t>三）</w:t>
        <w:tab/>
      </w:r>
      <w:r>
        <w:rPr>
          <w:color w:val="000000"/>
          <w:spacing w:val="0"/>
          <w:w w:val="100"/>
          <w:position w:val="0"/>
          <w:sz w:val="18"/>
          <w:szCs w:val="18"/>
        </w:rPr>
        <w:t>2022</w:t>
      </w:r>
      <w:r>
        <w:rPr>
          <w:color w:val="000000"/>
          <w:spacing w:val="0"/>
          <w:w w:val="100"/>
          <w:position w:val="0"/>
        </w:rPr>
        <w:t>年度公司经营计划</w:t>
      </w:r>
    </w:p>
    <w:p>
      <w:pPr>
        <w:pStyle w:val="Style23"/>
        <w:keepNext w:val="0"/>
        <w:keepLines w:val="0"/>
        <w:widowControl w:val="0"/>
        <w:shd w:val="clear" w:color="auto" w:fill="auto"/>
        <w:tabs>
          <w:tab w:pos="689" w:val="left"/>
        </w:tabs>
        <w:bidi w:val="0"/>
        <w:spacing w:before="0" w:after="0" w:line="315" w:lineRule="exact"/>
        <w:ind w:left="0" w:right="0"/>
        <w:jc w:val="both"/>
      </w:pPr>
      <w:bookmarkStart w:id="229" w:name="bookmark229"/>
      <w:r>
        <w:rPr>
          <w:color w:val="000000"/>
          <w:spacing w:val="0"/>
          <w:w w:val="100"/>
          <w:position w:val="0"/>
          <w:sz w:val="18"/>
          <w:szCs w:val="18"/>
        </w:rPr>
        <w:t>1</w:t>
      </w:r>
      <w:bookmarkEnd w:id="229"/>
      <w:r>
        <w:rPr>
          <w:color w:val="000000"/>
          <w:spacing w:val="0"/>
          <w:w w:val="100"/>
          <w:position w:val="0"/>
        </w:rPr>
        <w:t>、</w:t>
        <w:tab/>
        <w:t>根据公司发展战略，稳健开展各项经营活动，以市场为导向，以金融科技、金融行业转型发展为主线，加大科研投 入力度，积极培育新的业务增长点和利润增长点，打造具有行业核心竞争力的同心多元化产品集群，加快内控风险管理相关 技术、产品在其他领域的应用研究和市场开拓，进一步扩大公司市场影响力。</w:t>
      </w:r>
    </w:p>
    <w:p>
      <w:pPr>
        <w:pStyle w:val="Style23"/>
        <w:keepNext w:val="0"/>
        <w:keepLines w:val="0"/>
        <w:widowControl w:val="0"/>
        <w:shd w:val="clear" w:color="auto" w:fill="auto"/>
        <w:tabs>
          <w:tab w:pos="689" w:val="left"/>
        </w:tabs>
        <w:bidi w:val="0"/>
        <w:spacing w:before="0" w:after="0" w:line="315" w:lineRule="exact"/>
        <w:ind w:left="0" w:right="0"/>
        <w:jc w:val="both"/>
      </w:pPr>
      <w:bookmarkStart w:id="230" w:name="bookmark230"/>
      <w:r>
        <w:rPr>
          <w:color w:val="000000"/>
          <w:spacing w:val="0"/>
          <w:w w:val="100"/>
          <w:position w:val="0"/>
          <w:sz w:val="18"/>
          <w:szCs w:val="18"/>
        </w:rPr>
        <w:t>2</w:t>
      </w:r>
      <w:bookmarkEnd w:id="230"/>
      <w:r>
        <w:rPr>
          <w:color w:val="000000"/>
          <w:spacing w:val="0"/>
          <w:w w:val="100"/>
          <w:position w:val="0"/>
        </w:rPr>
        <w:t>、</w:t>
        <w:tab/>
        <w:t>积极维护客户资源，持续地经营客户群体，实现有效突破；加强供应商的选择、培养和管理，建立良好的合作关系， 完善渠道、上下游战略合作，增强服务能力。公司将在重点客户和产品上进行布局，为经营业绩的长期增长奠定基础。</w:t>
      </w:r>
    </w:p>
    <w:p>
      <w:pPr>
        <w:pStyle w:val="Style23"/>
        <w:keepNext w:val="0"/>
        <w:keepLines w:val="0"/>
        <w:widowControl w:val="0"/>
        <w:shd w:val="clear" w:color="auto" w:fill="auto"/>
        <w:tabs>
          <w:tab w:pos="675" w:val="left"/>
        </w:tabs>
        <w:bidi w:val="0"/>
        <w:spacing w:before="0" w:after="0" w:line="315" w:lineRule="exact"/>
        <w:ind w:left="0" w:right="0"/>
        <w:jc w:val="both"/>
      </w:pPr>
      <w:bookmarkStart w:id="231" w:name="bookmark231"/>
      <w:r>
        <w:rPr>
          <w:color w:val="000000"/>
          <w:spacing w:val="0"/>
          <w:w w:val="100"/>
          <w:position w:val="0"/>
          <w:sz w:val="18"/>
          <w:szCs w:val="18"/>
        </w:rPr>
        <w:t>3</w:t>
      </w:r>
      <w:bookmarkEnd w:id="231"/>
      <w:r>
        <w:rPr>
          <w:color w:val="000000"/>
          <w:spacing w:val="0"/>
          <w:w w:val="100"/>
          <w:position w:val="0"/>
        </w:rPr>
        <w:t>、</w:t>
        <w:tab/>
        <w:t>公司持续提升经营管理水平，完善公司治理和内部控制制度，优化管理流程，更好地防范和降低企业经营生产过程 中的各种风险，提高公司经营管理效率，适应企业的快速发展。</w:t>
      </w:r>
    </w:p>
    <w:p>
      <w:pPr>
        <w:pStyle w:val="Style23"/>
        <w:keepNext w:val="0"/>
        <w:keepLines w:val="0"/>
        <w:widowControl w:val="0"/>
        <w:shd w:val="clear" w:color="auto" w:fill="auto"/>
        <w:tabs>
          <w:tab w:pos="684" w:val="left"/>
        </w:tabs>
        <w:bidi w:val="0"/>
        <w:spacing w:before="0" w:after="0" w:line="315" w:lineRule="exact"/>
        <w:ind w:left="0" w:right="0"/>
        <w:jc w:val="both"/>
      </w:pPr>
      <w:bookmarkStart w:id="232" w:name="bookmark232"/>
      <w:r>
        <w:rPr>
          <w:color w:val="000000"/>
          <w:spacing w:val="0"/>
          <w:w w:val="100"/>
          <w:position w:val="0"/>
          <w:sz w:val="18"/>
          <w:szCs w:val="18"/>
        </w:rPr>
        <w:t>4</w:t>
      </w:r>
      <w:bookmarkEnd w:id="232"/>
      <w:r>
        <w:rPr>
          <w:color w:val="000000"/>
          <w:spacing w:val="0"/>
          <w:w w:val="100"/>
          <w:position w:val="0"/>
        </w:rPr>
        <w:t>、</w:t>
        <w:tab/>
        <w:t>积极推进信息化建设工作，提升与客户及供应商的协同能力，提高内部运营效率，具备更高效更快速的客户和市场 响应能力，打造安全、可靠、高效的数字化支撑平台，为公司发展战略和各项业务提供强有力的保障。</w:t>
      </w:r>
    </w:p>
    <w:p>
      <w:pPr>
        <w:pStyle w:val="Style23"/>
        <w:keepNext w:val="0"/>
        <w:keepLines w:val="0"/>
        <w:widowControl w:val="0"/>
        <w:shd w:val="clear" w:color="auto" w:fill="auto"/>
        <w:tabs>
          <w:tab w:pos="689" w:val="left"/>
        </w:tabs>
        <w:bidi w:val="0"/>
        <w:spacing w:before="0" w:after="0" w:line="315" w:lineRule="exact"/>
        <w:ind w:left="0" w:right="0"/>
        <w:jc w:val="both"/>
      </w:pPr>
      <w:bookmarkStart w:id="233" w:name="bookmark233"/>
      <w:r>
        <w:rPr>
          <w:color w:val="000000"/>
          <w:spacing w:val="0"/>
          <w:w w:val="100"/>
          <w:position w:val="0"/>
          <w:sz w:val="18"/>
          <w:szCs w:val="18"/>
        </w:rPr>
        <w:t>5</w:t>
      </w:r>
      <w:bookmarkEnd w:id="233"/>
      <w:r>
        <w:rPr>
          <w:color w:val="000000"/>
          <w:spacing w:val="0"/>
          <w:w w:val="100"/>
          <w:position w:val="0"/>
        </w:rPr>
        <w:t>、</w:t>
        <w:tab/>
        <w:t>重点推动银行智能业务库管理系统及银行现金及重控物品管理解决方案的优化与推广，借助</w:t>
      </w:r>
      <w:r>
        <w:rPr>
          <w:color w:val="000000"/>
          <w:spacing w:val="0"/>
          <w:w w:val="100"/>
          <w:position w:val="0"/>
          <w:sz w:val="18"/>
          <w:szCs w:val="18"/>
        </w:rPr>
        <w:t>GA38-2021</w:t>
      </w:r>
      <w:r>
        <w:rPr>
          <w:color w:val="000000"/>
          <w:spacing w:val="0"/>
          <w:w w:val="100"/>
          <w:position w:val="0"/>
        </w:rPr>
        <w:t>《银行安全防 范要求》的落地实施，抓住市场机遇，聚焦能够产生业绩的项目，加强能够实现项目落地的技术及商务实力，扩大先发优势。</w:t>
      </w:r>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上述经营计划不构成公司对投资者的业绩承诺。请投资者注意投资风险。</w:t>
      </w:r>
    </w:p>
    <w:p>
      <w:pPr>
        <w:pStyle w:val="Style23"/>
        <w:keepNext w:val="0"/>
        <w:keepLines w:val="0"/>
        <w:widowControl w:val="0"/>
        <w:shd w:val="clear" w:color="auto" w:fill="auto"/>
        <w:tabs>
          <w:tab w:pos="896" w:val="left"/>
        </w:tabs>
        <w:bidi w:val="0"/>
        <w:spacing w:before="0" w:after="0" w:line="315" w:lineRule="exact"/>
        <w:ind w:left="0" w:right="0"/>
        <w:jc w:val="both"/>
      </w:pPr>
      <w:bookmarkStart w:id="234" w:name="bookmark234"/>
      <w:r>
        <w:rPr>
          <w:color w:val="000000"/>
          <w:spacing w:val="0"/>
          <w:w w:val="100"/>
          <w:position w:val="0"/>
        </w:rPr>
        <w:t>（</w:t>
      </w:r>
      <w:bookmarkEnd w:id="234"/>
      <w:r>
        <w:rPr>
          <w:color w:val="000000"/>
          <w:spacing w:val="0"/>
          <w:w w:val="100"/>
          <w:position w:val="0"/>
        </w:rPr>
        <w:t>四）</w:t>
        <w:tab/>
        <w:t>公司面临的风险和应对措施</w:t>
      </w:r>
    </w:p>
    <w:p>
      <w:pPr>
        <w:pStyle w:val="Style23"/>
        <w:keepNext w:val="0"/>
        <w:keepLines w:val="0"/>
        <w:widowControl w:val="0"/>
        <w:shd w:val="clear" w:color="auto" w:fill="auto"/>
        <w:bidi w:val="0"/>
        <w:spacing w:before="0" w:after="0" w:line="315" w:lineRule="exact"/>
        <w:ind w:left="0" w:right="0"/>
        <w:jc w:val="both"/>
      </w:pPr>
      <w:bookmarkStart w:id="235" w:name="bookmark235"/>
      <w:r>
        <w:rPr>
          <w:color w:val="000000"/>
          <w:spacing w:val="0"/>
          <w:w w:val="100"/>
          <w:position w:val="0"/>
          <w:sz w:val="18"/>
          <w:szCs w:val="18"/>
        </w:rPr>
        <w:t>1</w:t>
      </w:r>
      <w:bookmarkEnd w:id="235"/>
      <w:r>
        <w:rPr>
          <w:color w:val="000000"/>
          <w:spacing w:val="0"/>
          <w:w w:val="100"/>
          <w:position w:val="0"/>
        </w:rPr>
        <w:t>、产品创新开发风险</w:t>
      </w:r>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伴随着互联网、物联网等技术手段的快速发展，银行等金融机构催生了更多的信息化升级换代需求。同时，金融领域风 险防范意识增强，金融行业监管力度加大，银行等金融机构需要进一步加强风险防范、提升内部操作风险管理和信息化的普 及。这就需要公司及时将新技术运用于产品开发和升级，推出更多创新产品来满足客户多样化的需求。此外，金融业内控风 险管理整体解决方案及相关应用产品涉及多学科、多领域的技术应用，客户对产品的具体需求往往存在一定差异，这在一定 </w:t>
      </w:r>
      <w:r>
        <w:rPr>
          <w:color w:val="000000"/>
          <w:spacing w:val="0"/>
          <w:w w:val="100"/>
          <w:position w:val="0"/>
        </w:rPr>
        <w:t>程度上增加了新产品开发难度。如果公司不能更好的把握技术和产品的创新，不能跟随行业的发展保持公司技术和产品的先 进性，将可能使公司丧失技术优势和市场竞争优势。</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因此，公司将密切关注政策、行业、技术、客户的需求及发展变化趋势，持续加大在技术和产品创新方面的投入，提升 应变能力，努力研发满足市场需求、客户需求的产品，保证公司的经营效益和可持续发展能力。</w:t>
      </w:r>
    </w:p>
    <w:p>
      <w:pPr>
        <w:pStyle w:val="Style23"/>
        <w:keepNext w:val="0"/>
        <w:keepLines w:val="0"/>
        <w:widowControl w:val="0"/>
        <w:shd w:val="clear" w:color="auto" w:fill="auto"/>
        <w:tabs>
          <w:tab w:pos="712" w:val="left"/>
        </w:tabs>
        <w:bidi w:val="0"/>
        <w:spacing w:before="0" w:after="0" w:line="314" w:lineRule="exact"/>
        <w:ind w:left="0" w:right="0"/>
        <w:jc w:val="both"/>
      </w:pPr>
      <w:bookmarkStart w:id="236" w:name="bookmark236"/>
      <w:r>
        <w:rPr>
          <w:color w:val="000000"/>
          <w:spacing w:val="0"/>
          <w:w w:val="100"/>
          <w:position w:val="0"/>
          <w:sz w:val="18"/>
          <w:szCs w:val="18"/>
        </w:rPr>
        <w:t>2</w:t>
      </w:r>
      <w:bookmarkEnd w:id="236"/>
      <w:r>
        <w:rPr>
          <w:color w:val="000000"/>
          <w:spacing w:val="0"/>
          <w:w w:val="100"/>
          <w:position w:val="0"/>
        </w:rPr>
        <w:t>、</w:t>
        <w:tab/>
        <w:t>市场开拓风险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由于公司推出的风险管理整体解决方案及相关应用产品直接关系到银行等客户的资产安全和系统的稳定性，客户采购时 对于新产品的应用推广需要经过严格的考核：在正式进入采购环节之前，客户会梳理、制定业务流程相关管理办法，系统的 进行员工培训，新产品上线的准备周期较长，各客户在采购管理体制方面也存在一定差异。因此新产品的推广测试周期和上 线准备周期的可预测性难度较高，市场开拓推广过程较长、产生收益预期不确定性较高。</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因此，公司需优化销售策略，积极对外拓展合作渠道。在内部管理上，加快新产品的开发和推广速度，加强风险管控意 识，不断提高综合竞争实力、提升公司行业领先优势。</w:t>
      </w:r>
    </w:p>
    <w:p>
      <w:pPr>
        <w:pStyle w:val="Style23"/>
        <w:keepNext w:val="0"/>
        <w:keepLines w:val="0"/>
        <w:widowControl w:val="0"/>
        <w:shd w:val="clear" w:color="auto" w:fill="auto"/>
        <w:tabs>
          <w:tab w:pos="712" w:val="left"/>
        </w:tabs>
        <w:bidi w:val="0"/>
        <w:spacing w:before="0" w:after="0" w:line="314" w:lineRule="exact"/>
        <w:ind w:left="0" w:right="0"/>
        <w:jc w:val="both"/>
      </w:pPr>
      <w:bookmarkStart w:id="237" w:name="bookmark237"/>
      <w:r>
        <w:rPr>
          <w:color w:val="000000"/>
          <w:spacing w:val="0"/>
          <w:w w:val="100"/>
          <w:position w:val="0"/>
          <w:sz w:val="18"/>
          <w:szCs w:val="18"/>
        </w:rPr>
        <w:t>3</w:t>
      </w:r>
      <w:bookmarkEnd w:id="237"/>
      <w:r>
        <w:rPr>
          <w:color w:val="000000"/>
          <w:spacing w:val="0"/>
          <w:w w:val="100"/>
          <w:position w:val="0"/>
        </w:rPr>
        <w:t>、</w:t>
        <w:tab/>
        <w:t>对银行业依赖的风险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公司主要客户集中在银行业，市场需求受下游银行业变化影响。银行业客户的稳定和增长对公司经营的稳定性、成长性 十分重要。若银行业经营状况不景气，致使其信息化、集约化建设速度放缓，或银行业客户的投资和采购方式、风险控制模 式、经营情况等发生重大变化，将会对公司的经营状况和业务发展产生较大影响。</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因此，公司将坚持内生增长和外延发展并进，加强对行业政策的分析，做好公司战略规划，保持并扩大自身优势。</w:t>
      </w:r>
    </w:p>
    <w:p>
      <w:pPr>
        <w:pStyle w:val="Style23"/>
        <w:keepNext w:val="0"/>
        <w:keepLines w:val="0"/>
        <w:widowControl w:val="0"/>
        <w:shd w:val="clear" w:color="auto" w:fill="auto"/>
        <w:tabs>
          <w:tab w:pos="717" w:val="left"/>
        </w:tabs>
        <w:bidi w:val="0"/>
        <w:spacing w:before="0" w:after="0" w:line="314" w:lineRule="exact"/>
        <w:ind w:left="0" w:right="0"/>
        <w:jc w:val="both"/>
      </w:pPr>
      <w:bookmarkStart w:id="238" w:name="bookmark238"/>
      <w:r>
        <w:rPr>
          <w:color w:val="000000"/>
          <w:spacing w:val="0"/>
          <w:w w:val="100"/>
          <w:position w:val="0"/>
          <w:sz w:val="18"/>
          <w:szCs w:val="18"/>
        </w:rPr>
        <w:t>4</w:t>
      </w:r>
      <w:bookmarkEnd w:id="238"/>
      <w:r>
        <w:rPr>
          <w:color w:val="000000"/>
          <w:spacing w:val="0"/>
          <w:w w:val="100"/>
          <w:position w:val="0"/>
        </w:rPr>
        <w:t>、</w:t>
        <w:tab/>
        <w:t>毛利率下降的风险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金融科技领域正处于快速发展阶段，公司面临国内外竞争压力。如果公司不能扩大和维持现有的市场份额和影响力，对 技术发展、需求变化等方面不能及时掌控并有效应对，公司将面临竞争地位被削弱的局面，可能因市场竞争加剧导致毛利率 下降。</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因此，公司要时刻关注国内外行业的市场发展动态，加强自主创新实力，做大做强，保持行业领先优势。</w:t>
      </w:r>
    </w:p>
    <w:p>
      <w:pPr>
        <w:pStyle w:val="Style23"/>
        <w:keepNext w:val="0"/>
        <w:keepLines w:val="0"/>
        <w:widowControl w:val="0"/>
        <w:shd w:val="clear" w:color="auto" w:fill="auto"/>
        <w:tabs>
          <w:tab w:pos="717" w:val="left"/>
        </w:tabs>
        <w:bidi w:val="0"/>
        <w:spacing w:before="0" w:after="0" w:line="314" w:lineRule="exact"/>
        <w:ind w:left="0" w:right="0"/>
        <w:jc w:val="both"/>
      </w:pPr>
      <w:bookmarkStart w:id="239" w:name="bookmark239"/>
      <w:r>
        <w:rPr>
          <w:color w:val="000000"/>
          <w:spacing w:val="0"/>
          <w:w w:val="100"/>
          <w:position w:val="0"/>
          <w:sz w:val="18"/>
          <w:szCs w:val="18"/>
        </w:rPr>
        <w:t>5</w:t>
      </w:r>
      <w:bookmarkEnd w:id="239"/>
      <w:r>
        <w:rPr>
          <w:color w:val="000000"/>
          <w:spacing w:val="0"/>
          <w:w w:val="100"/>
          <w:position w:val="0"/>
        </w:rPr>
        <w:t>、</w:t>
        <w:tab/>
        <w:t>核心技术人才稳定风险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人才是企业发展的重要资源，公司不断提升研发实力，培养了一批技术水平高和工作经验丰富的核心技术人才，如果发 生技术研发队伍整体或核心技术泄密现象，将可能会对公司持续发展带来不利影响。</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因此，公司始终注重人才引进和培养，不断完善人才管理体系建设，建立了吸引人才、保留人才和激励员工的薪酬管理 体系，提升核心技术团队的稳定性。</w:t>
      </w:r>
    </w:p>
    <w:p>
      <w:pPr>
        <w:pStyle w:val="Style23"/>
        <w:keepNext w:val="0"/>
        <w:keepLines w:val="0"/>
        <w:widowControl w:val="0"/>
        <w:shd w:val="clear" w:color="auto" w:fill="auto"/>
        <w:tabs>
          <w:tab w:pos="717" w:val="left"/>
        </w:tabs>
        <w:bidi w:val="0"/>
        <w:spacing w:before="0" w:after="0" w:line="314" w:lineRule="exact"/>
        <w:ind w:left="0" w:right="0"/>
        <w:jc w:val="both"/>
      </w:pPr>
      <w:bookmarkStart w:id="240" w:name="bookmark240"/>
      <w:r>
        <w:rPr>
          <w:color w:val="000000"/>
          <w:spacing w:val="0"/>
          <w:w w:val="100"/>
          <w:position w:val="0"/>
          <w:sz w:val="18"/>
          <w:szCs w:val="18"/>
        </w:rPr>
        <w:t>6</w:t>
      </w:r>
      <w:bookmarkEnd w:id="240"/>
      <w:r>
        <w:rPr>
          <w:color w:val="000000"/>
          <w:spacing w:val="0"/>
          <w:w w:val="100"/>
          <w:position w:val="0"/>
        </w:rPr>
        <w:t>、</w:t>
        <w:tab/>
        <w:t>募集资金投资项目募投项目不达预期效益的风险</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公司首次公开发行股票募集资金投资项目主要集中于银行内控风险管理领域，符合行业发展趋势，具有广泛而现实的银 行客户基础。如果新产品未来的市场需求低于预期，或新产品的市场推广进展与公司预测产生偏差，将会导致募集资金投资 项目投产后不能达到预期效益的风险。如果首次募集资金投资项目无法实现预期收益，公司则存在因折旧、摊销和研发支出 大幅增加而导致经营业绩下滑的风险。</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因此，公司将密切关注募投项目相关产品市场状况、技术水平及发展趋势等情况，积极整合公司资源，不断进行技术研 发和创新，更高程度的满足市场需求，以增强公司的盈利水平。</w:t>
      </w:r>
    </w:p>
    <w:p>
      <w:pPr>
        <w:pStyle w:val="Style29"/>
        <w:keepNext/>
        <w:keepLines/>
        <w:widowControl w:val="0"/>
        <w:shd w:val="clear" w:color="auto" w:fill="auto"/>
        <w:bidi w:val="0"/>
        <w:spacing w:before="0" w:after="260" w:line="240" w:lineRule="auto"/>
        <w:ind w:left="0" w:right="0" w:firstLine="0"/>
        <w:jc w:val="left"/>
      </w:pPr>
      <w:bookmarkStart w:id="241" w:name="bookmark241"/>
      <w:bookmarkStart w:id="242" w:name="bookmark242"/>
      <w:bookmarkStart w:id="243" w:name="bookmark243"/>
      <w:r>
        <w:rPr>
          <w:color w:val="000000"/>
          <w:spacing w:val="0"/>
          <w:w w:val="100"/>
          <w:position w:val="0"/>
        </w:rPr>
        <w:t>十二、报告期内接待调研、沟通、采访等活动登记表</w:t>
      </w:r>
      <w:bookmarkEnd w:id="241"/>
      <w:bookmarkEnd w:id="242"/>
      <w:bookmarkEnd w:id="243"/>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0" w:after="58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9"/>
        <w:keepNext/>
        <w:keepLines/>
        <w:widowControl w:val="0"/>
        <w:shd w:val="clear" w:color="auto" w:fill="auto"/>
        <w:bidi w:val="0"/>
        <w:spacing w:before="0" w:after="260" w:line="240" w:lineRule="auto"/>
        <w:ind w:left="0" w:right="0" w:firstLine="0"/>
        <w:jc w:val="left"/>
      </w:pPr>
      <w:bookmarkStart w:id="247" w:name="bookmark247"/>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、公司治理的基本状况</w:t>
      </w:r>
      <w:bookmarkEnd w:id="248"/>
      <w:bookmarkEnd w:id="249"/>
      <w:bookmarkEnd w:id="251"/>
      <w:bookmarkEnd w:id="247"/>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报告期内，公司严格按照《公司法》《证券法》《上市公司治理准则》《深圳证券交易所创业板股票上市规则》《深圳证券 交易所创业板上市公司规范运作指引》《上市公司自律监管指引第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创业板上市公司规范运作》等法律法规的要求，确 定了股东大会、董事会、监事会及经营管理层的分层治理结构，不断完善公司法人治理结构，进一步规范公司运作，提高公 司治理水平。</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2" w:name="bookmark252"/>
      <w:r>
        <w:rPr>
          <w:color w:val="000000"/>
          <w:spacing w:val="0"/>
          <w:w w:val="100"/>
          <w:position w:val="0"/>
        </w:rPr>
        <w:t>（</w:t>
      </w:r>
      <w:bookmarkEnd w:id="252"/>
      <w:r>
        <w:rPr>
          <w:color w:val="000000"/>
          <w:spacing w:val="0"/>
          <w:w w:val="100"/>
          <w:position w:val="0"/>
        </w:rPr>
        <w:t>一）</w:t>
        <w:tab/>
        <w:t>股东与股东大会</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股东大会是公司的最高权力机构，决定公司的经营方针和投资计划，审批董事会、监事会工作报告及公司的年度财务预 算、决算方案等重要事项。公司严格按照《公司法》《证券法》《上市公司股东大会规则》《公司章程》以及深圳证券交易所 的相关规定和要求，规范股东大会的召集、召开和表决程序，尽可能为股东参加股东大会创造便利条件，充分行使股东的权 利。公司聘请专业律师见证股东大会，确保会议召集召开以及表决程序符合相关法律规定，维护全体股东的合法权益。报告 期内，公司共召开了 </w:t>
      </w:r>
      <w:r>
        <w:rPr>
          <w:color w:val="000000"/>
          <w:spacing w:val="0"/>
          <w:w w:val="100"/>
          <w:position w:val="0"/>
          <w:sz w:val="18"/>
          <w:szCs w:val="18"/>
        </w:rPr>
        <w:t>1</w:t>
      </w:r>
      <w:r>
        <w:rPr>
          <w:color w:val="000000"/>
          <w:spacing w:val="0"/>
          <w:w w:val="100"/>
          <w:position w:val="0"/>
        </w:rPr>
        <w:t>次年度股东大会，</w:t>
      </w:r>
      <w:r>
        <w:rPr>
          <w:color w:val="000000"/>
          <w:spacing w:val="0"/>
          <w:w w:val="100"/>
          <w:position w:val="0"/>
          <w:sz w:val="18"/>
          <w:szCs w:val="18"/>
        </w:rPr>
        <w:t>5</w:t>
      </w:r>
      <w:r>
        <w:rPr>
          <w:color w:val="000000"/>
          <w:spacing w:val="0"/>
          <w:w w:val="100"/>
          <w:position w:val="0"/>
        </w:rPr>
        <w:t>次临时股东大会，会议均由董事会召集召开。</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3" w:name="bookmark253"/>
      <w:r>
        <w:rPr>
          <w:color w:val="000000"/>
          <w:spacing w:val="0"/>
          <w:w w:val="100"/>
          <w:position w:val="0"/>
        </w:rPr>
        <w:t>（</w:t>
      </w:r>
      <w:bookmarkEnd w:id="253"/>
      <w:r>
        <w:rPr>
          <w:color w:val="000000"/>
          <w:spacing w:val="0"/>
          <w:w w:val="100"/>
          <w:position w:val="0"/>
        </w:rPr>
        <w:t>二）</w:t>
        <w:tab/>
        <w:t>公司与控股股东</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公司控股股东严格按照《上市公司治理准则》《公司章程》等规定和要求，规范自身行为，能够依法行使其权利，并承 担相应义务。公司的控股股东为个人，不存在利用其控制地位损害公司和其他股东利益的行为，不存在控股股东占用公司资 金的现象，公司亦无为控股股东提供担保的情形。公司拥有独立完整的业务和自主经营能力，在业务、资产、人员、机构、 财务上独立于控股股东，公司董事会、监事会和相应部门能够正常运作，具有独立性。</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4" w:name="bookmark254"/>
      <w:r>
        <w:rPr>
          <w:color w:val="000000"/>
          <w:spacing w:val="0"/>
          <w:w w:val="100"/>
          <w:position w:val="0"/>
        </w:rPr>
        <w:t>（</w:t>
      </w:r>
      <w:bookmarkEnd w:id="254"/>
      <w:r>
        <w:rPr>
          <w:color w:val="000000"/>
          <w:spacing w:val="0"/>
          <w:w w:val="100"/>
          <w:position w:val="0"/>
        </w:rPr>
        <w:t>三）</w:t>
        <w:tab/>
        <w:t>董事与董事会</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公司董事会人数、构成及董事资格均符合法律法规和《公司章程》的规定。董事会均严格按照《公司法》《公司章程》 及《董事会议事规则》的程序召集、召开。公司董事能够依据《董事会议事规则》《独立董事工作制度》》《上市公司自律监 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创业板上市公司规范运作》等规定开展工作，出席董事会和股东大会，勤勉尽责的履行职责和义务，同时 积极参加相关培训，熟悉相关法律法规。报告期内，公司共召开董事会会议</w:t>
      </w:r>
      <w:r>
        <w:rPr>
          <w:color w:val="000000"/>
          <w:spacing w:val="0"/>
          <w:w w:val="100"/>
          <w:position w:val="0"/>
          <w:sz w:val="18"/>
          <w:szCs w:val="18"/>
        </w:rPr>
        <w:t>11</w:t>
      </w:r>
      <w:r>
        <w:rPr>
          <w:color w:val="000000"/>
          <w:spacing w:val="0"/>
          <w:w w:val="100"/>
          <w:position w:val="0"/>
        </w:rPr>
        <w:t>次。</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5" w:name="bookmark255"/>
      <w:r>
        <w:rPr>
          <w:color w:val="000000"/>
          <w:spacing w:val="0"/>
          <w:w w:val="100"/>
          <w:position w:val="0"/>
        </w:rPr>
        <w:t>（</w:t>
      </w:r>
      <w:bookmarkEnd w:id="255"/>
      <w:r>
        <w:rPr>
          <w:color w:val="000000"/>
          <w:spacing w:val="0"/>
          <w:w w:val="100"/>
          <w:position w:val="0"/>
        </w:rPr>
        <w:t>四）</w:t>
        <w:tab/>
        <w:t>监事与监事会</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公司监事会严格按照《公司法》《公司章程》和《监事会议事规则》的有关规定开展工作，监事的推荐、选举和产生程 序符合相关法律、法规要求。公司监事认真履行职责，对公司财务状况、重大事项的合法、合规性进行监督，维护公司及股 东的合法权益。报告期内，公司共召开监事会会议</w:t>
      </w:r>
      <w:r>
        <w:rPr>
          <w:color w:val="000000"/>
          <w:spacing w:val="0"/>
          <w:w w:val="100"/>
          <w:position w:val="0"/>
          <w:sz w:val="18"/>
          <w:szCs w:val="18"/>
        </w:rPr>
        <w:t>9</w:t>
      </w:r>
      <w:r>
        <w:rPr>
          <w:color w:val="000000"/>
          <w:spacing w:val="0"/>
          <w:w w:val="100"/>
          <w:position w:val="0"/>
        </w:rPr>
        <w:t>次。</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6" w:name="bookmark256"/>
      <w:r>
        <w:rPr>
          <w:color w:val="000000"/>
          <w:spacing w:val="0"/>
          <w:w w:val="100"/>
          <w:position w:val="0"/>
        </w:rPr>
        <w:t>（</w:t>
      </w:r>
      <w:bookmarkEnd w:id="256"/>
      <w:r>
        <w:rPr>
          <w:color w:val="000000"/>
          <w:spacing w:val="0"/>
          <w:w w:val="100"/>
          <w:position w:val="0"/>
        </w:rPr>
        <w:t>五）</w:t>
        <w:tab/>
        <w:t>关于信息披露与透明度</w:t>
      </w:r>
    </w:p>
    <w:p>
      <w:pPr>
        <w:pStyle w:val="Style2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报告期内，公司严格按照有关法律法规的要求，真实、准确、完整、及时地披露有关信息。公司指定董事会秘书负责 信息披露工作，证券事务代表协助董事会秘书开展工作，协调公司与投资者的关系，接待投资者来访，回答投资者咨询。公 司指定巨潮资讯网</w:t>
      </w:r>
      <w:r>
        <w:rPr>
          <w:color w:val="000000"/>
          <w:spacing w:val="0"/>
          <w:w w:val="100"/>
          <w:position w:val="0"/>
          <w:sz w:val="18"/>
          <w:szCs w:val="18"/>
        </w:rPr>
        <w:t>（www.cninfo.com.cn）</w:t>
      </w:r>
      <w:r>
        <w:rPr>
          <w:color w:val="000000"/>
          <w:spacing w:val="0"/>
          <w:w w:val="100"/>
          <w:position w:val="0"/>
        </w:rPr>
        <w:t>、</w:t>
      </w:r>
      <w:r>
        <w:rPr>
          <w:color w:val="000000"/>
          <w:spacing w:val="0"/>
          <w:w w:val="100"/>
          <w:position w:val="0"/>
        </w:rPr>
        <w:t>《证券时报》《中国证券报》《证券日报》和《上海证券报》为公司信息披露媒体， 增进投资者对公司经营发展的了解，维护与投资者的良好关系。</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7" w:name="bookmark257"/>
      <w:r>
        <w:rPr>
          <w:color w:val="000000"/>
          <w:spacing w:val="0"/>
          <w:w w:val="100"/>
          <w:position w:val="0"/>
        </w:rPr>
        <w:t>（</w:t>
      </w:r>
      <w:bookmarkEnd w:id="257"/>
      <w:r>
        <w:rPr>
          <w:color w:val="000000"/>
          <w:spacing w:val="0"/>
          <w:w w:val="100"/>
          <w:position w:val="0"/>
        </w:rPr>
        <w:t>六）</w:t>
        <w:tab/>
        <w:t>关于相关利益者</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公司能够充分尊重和维护相关利益者的合法权益，实现股东、员工、社会等各方利益的协调平衡，共同推动公司持续、 健康的发展。</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8" w:name="bookmark258"/>
      <w:r>
        <w:rPr>
          <w:color w:val="000000"/>
          <w:spacing w:val="0"/>
          <w:w w:val="100"/>
          <w:position w:val="0"/>
        </w:rPr>
        <w:t>（</w:t>
      </w:r>
      <w:bookmarkEnd w:id="258"/>
      <w:r>
        <w:rPr>
          <w:color w:val="000000"/>
          <w:spacing w:val="0"/>
          <w:w w:val="100"/>
          <w:position w:val="0"/>
        </w:rPr>
        <w:t>七）</w:t>
        <w:tab/>
        <w:t>关于绩效评价与激励约束机制</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公司建立了系统的绩效评价与激励约束机制，对高级管理人员的聘任公开、透明，符合有关法律法规的要求；进一步建 立和完善对中高级管理人员和核心技术人员的长期激励和约束机制。</w:t>
      </w:r>
    </w:p>
    <w:p>
      <w:pPr>
        <w:pStyle w:val="Style23"/>
        <w:keepNext w:val="0"/>
        <w:keepLines w:val="0"/>
        <w:widowControl w:val="0"/>
        <w:shd w:val="clear" w:color="auto" w:fill="auto"/>
        <w:tabs>
          <w:tab w:pos="876" w:val="left"/>
        </w:tabs>
        <w:bidi w:val="0"/>
        <w:spacing w:before="0" w:after="0" w:line="311" w:lineRule="exact"/>
        <w:ind w:left="0" w:right="0"/>
        <w:jc w:val="both"/>
      </w:pPr>
      <w:bookmarkStart w:id="259" w:name="bookmark259"/>
      <w:r>
        <w:rPr>
          <w:color w:val="000000"/>
          <w:spacing w:val="0"/>
          <w:w w:val="100"/>
          <w:position w:val="0"/>
        </w:rPr>
        <w:t>（</w:t>
      </w:r>
      <w:bookmarkEnd w:id="259"/>
      <w:r>
        <w:rPr>
          <w:color w:val="000000"/>
          <w:spacing w:val="0"/>
          <w:w w:val="100"/>
          <w:position w:val="0"/>
        </w:rPr>
        <w:t>八）</w:t>
        <w:tab/>
        <w:t>关于内控制度的建立与执行</w:t>
      </w:r>
    </w:p>
    <w:p>
      <w:pPr>
        <w:pStyle w:val="Style23"/>
        <w:keepNext w:val="0"/>
        <w:keepLines w:val="0"/>
        <w:widowControl w:val="0"/>
        <w:shd w:val="clear" w:color="auto" w:fill="auto"/>
        <w:bidi w:val="0"/>
        <w:spacing w:before="0" w:after="0" w:line="331" w:lineRule="exact"/>
        <w:ind w:left="0" w:right="0"/>
        <w:jc w:val="both"/>
      </w:pPr>
      <w:r>
        <w:rPr>
          <w:color w:val="000000"/>
          <w:spacing w:val="0"/>
          <w:w w:val="100"/>
          <w:position w:val="0"/>
        </w:rPr>
        <w:t>公司设立有审计监察部，能够独立行使审计监督权，按照《内部审计管理制度》依法检查公司会计帐目及相关资产，对 公司的资金运作、资产利用情况及其他运作情况进行分析评价，保证公司资产的真实和完整。通过内部审计工作的开展，达</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到规避公司经营风险、提高公司经济效益的目的。</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9"/>
        <w:keepNext/>
        <w:keepLines/>
        <w:widowControl w:val="0"/>
        <w:shd w:val="clear" w:color="auto" w:fill="auto"/>
        <w:tabs>
          <w:tab w:pos="522" w:val="left"/>
        </w:tabs>
        <w:bidi w:val="0"/>
        <w:spacing w:before="0" w:after="260" w:line="312"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二</w:t>
      </w:r>
      <w:bookmarkEnd w:id="262"/>
      <w:r>
        <w:rPr>
          <w:color w:val="000000"/>
          <w:spacing w:val="0"/>
          <w:w w:val="100"/>
          <w:position w:val="0"/>
        </w:rPr>
        <w:t>、</w:t>
        <w:tab/>
        <w:t>公司相对于控股股东、实际控制人在保证公司资产、人员、财务、机构、业务等方面的 独立情况</w:t>
      </w:r>
      <w:bookmarkEnd w:id="260"/>
      <w:bookmarkEnd w:id="261"/>
      <w:bookmarkEnd w:id="263"/>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公司控股股东、实际控制人为自然人，公司与控股股东在业务、人员、资产、机构、财务等方面相互独立。</w:t>
      </w:r>
    </w:p>
    <w:p>
      <w:pPr>
        <w:pStyle w:val="Style23"/>
        <w:keepNext w:val="0"/>
        <w:keepLines w:val="0"/>
        <w:widowControl w:val="0"/>
        <w:shd w:val="clear" w:color="auto" w:fill="auto"/>
        <w:tabs>
          <w:tab w:pos="911" w:val="left"/>
        </w:tabs>
        <w:bidi w:val="0"/>
        <w:spacing w:before="0" w:after="0" w:line="314" w:lineRule="exact"/>
        <w:ind w:left="0" w:right="0"/>
        <w:jc w:val="both"/>
      </w:pPr>
      <w:bookmarkStart w:id="264" w:name="bookmark264"/>
      <w:r>
        <w:rPr>
          <w:color w:val="000000"/>
          <w:spacing w:val="0"/>
          <w:w w:val="100"/>
          <w:position w:val="0"/>
        </w:rPr>
        <w:t>（</w:t>
      </w:r>
      <w:bookmarkEnd w:id="264"/>
      <w:r>
        <w:rPr>
          <w:color w:val="000000"/>
          <w:spacing w:val="0"/>
          <w:w w:val="100"/>
          <w:position w:val="0"/>
        </w:rPr>
        <w:t>一）</w:t>
        <w:tab/>
        <w:t>业务独立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公司具有独立的采购、生产、供应、开发、销售业务体系，能够独立支配和使用人、财、物等生产要素，顺利组织和实 施生产经营活动。公司在业务上与控股股东不存在同业竞争关系，在采购、生产和销售上不依赖于其他企业或个人，能够独 立有序地开展经营。</w:t>
      </w:r>
    </w:p>
    <w:p>
      <w:pPr>
        <w:pStyle w:val="Style23"/>
        <w:keepNext w:val="0"/>
        <w:keepLines w:val="0"/>
        <w:widowControl w:val="0"/>
        <w:shd w:val="clear" w:color="auto" w:fill="auto"/>
        <w:tabs>
          <w:tab w:pos="911" w:val="left"/>
        </w:tabs>
        <w:bidi w:val="0"/>
        <w:spacing w:before="0" w:after="0" w:line="314" w:lineRule="exact"/>
        <w:ind w:left="0" w:right="0"/>
        <w:jc w:val="both"/>
      </w:pPr>
      <w:bookmarkStart w:id="265" w:name="bookmark265"/>
      <w:r>
        <w:rPr>
          <w:color w:val="000000"/>
          <w:spacing w:val="0"/>
          <w:w w:val="100"/>
          <w:position w:val="0"/>
        </w:rPr>
        <w:t>（</w:t>
      </w:r>
      <w:bookmarkEnd w:id="265"/>
      <w:r>
        <w:rPr>
          <w:color w:val="000000"/>
          <w:spacing w:val="0"/>
          <w:w w:val="100"/>
          <w:position w:val="0"/>
        </w:rPr>
        <w:t>二）</w:t>
        <w:tab/>
        <w:t>人员独立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公司董事、监事及高级管理人员依合法程序选举或聘任，不在控股股东控制的其他企业中担任除董事、监事以外的其他 职务，不在控股股东控制的其他企业领薪；公司的财务人员独立，均不在控股股东控制的其他企业中兼职。</w:t>
      </w:r>
    </w:p>
    <w:p>
      <w:pPr>
        <w:pStyle w:val="Style23"/>
        <w:keepNext w:val="0"/>
        <w:keepLines w:val="0"/>
        <w:widowControl w:val="0"/>
        <w:shd w:val="clear" w:color="auto" w:fill="auto"/>
        <w:tabs>
          <w:tab w:pos="911" w:val="left"/>
        </w:tabs>
        <w:bidi w:val="0"/>
        <w:spacing w:before="0" w:after="0" w:line="314" w:lineRule="exact"/>
        <w:ind w:left="0" w:right="0"/>
        <w:jc w:val="both"/>
      </w:pPr>
      <w:bookmarkStart w:id="266" w:name="bookmark266"/>
      <w:r>
        <w:rPr>
          <w:color w:val="000000"/>
          <w:spacing w:val="0"/>
          <w:w w:val="100"/>
          <w:position w:val="0"/>
        </w:rPr>
        <w:t>（</w:t>
      </w:r>
      <w:bookmarkEnd w:id="266"/>
      <w:r>
        <w:rPr>
          <w:color w:val="000000"/>
          <w:spacing w:val="0"/>
          <w:w w:val="100"/>
          <w:position w:val="0"/>
        </w:rPr>
        <w:t>三）</w:t>
        <w:tab/>
        <w:t>资产独立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公司具备与生产经营有关的主要生产系统、辅助生产系统和配套设施，合法拥有与生产经营有关的土地、厂房、机器设 备以及商标、专利的所有权或者使用权，法人财产产权清晰，具有独立的原料采购和产品销售系统。</w:t>
      </w:r>
    </w:p>
    <w:p>
      <w:pPr>
        <w:pStyle w:val="Style23"/>
        <w:keepNext w:val="0"/>
        <w:keepLines w:val="0"/>
        <w:widowControl w:val="0"/>
        <w:shd w:val="clear" w:color="auto" w:fill="auto"/>
        <w:tabs>
          <w:tab w:pos="911" w:val="left"/>
        </w:tabs>
        <w:bidi w:val="0"/>
        <w:spacing w:before="0" w:after="0" w:line="314" w:lineRule="exact"/>
        <w:ind w:left="0" w:right="0"/>
        <w:jc w:val="both"/>
      </w:pPr>
      <w:bookmarkStart w:id="267" w:name="bookmark267"/>
      <w:r>
        <w:rPr>
          <w:color w:val="000000"/>
          <w:spacing w:val="0"/>
          <w:w w:val="100"/>
          <w:position w:val="0"/>
        </w:rPr>
        <w:t>（</w:t>
      </w:r>
      <w:bookmarkEnd w:id="267"/>
      <w:r>
        <w:rPr>
          <w:color w:val="000000"/>
          <w:spacing w:val="0"/>
          <w:w w:val="100"/>
          <w:position w:val="0"/>
        </w:rPr>
        <w:t>四）</w:t>
        <w:tab/>
        <w:t>机构独立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公司已建立健全内部经营管理机构、独立行使经营管理职权，与控股股东、实际控制人及其控制的其他企业间不存在机 构混同的情形。</w:t>
      </w:r>
    </w:p>
    <w:p>
      <w:pPr>
        <w:pStyle w:val="Style23"/>
        <w:keepNext w:val="0"/>
        <w:keepLines w:val="0"/>
        <w:widowControl w:val="0"/>
        <w:shd w:val="clear" w:color="auto" w:fill="auto"/>
        <w:tabs>
          <w:tab w:pos="911" w:val="left"/>
        </w:tabs>
        <w:bidi w:val="0"/>
        <w:spacing w:before="0" w:after="0" w:line="314" w:lineRule="exact"/>
        <w:ind w:left="0" w:right="0"/>
        <w:jc w:val="both"/>
      </w:pPr>
      <w:bookmarkStart w:id="268" w:name="bookmark268"/>
      <w:r>
        <w:rPr>
          <w:color w:val="000000"/>
          <w:spacing w:val="0"/>
          <w:w w:val="100"/>
          <w:position w:val="0"/>
        </w:rPr>
        <w:t>（</w:t>
      </w:r>
      <w:bookmarkEnd w:id="268"/>
      <w:r>
        <w:rPr>
          <w:color w:val="000000"/>
          <w:spacing w:val="0"/>
          <w:w w:val="100"/>
          <w:position w:val="0"/>
        </w:rPr>
        <w:t>五）</w:t>
        <w:tab/>
        <w:t>财务独立</w:t>
      </w:r>
    </w:p>
    <w:p>
      <w:pPr>
        <w:pStyle w:val="Style23"/>
        <w:keepNext w:val="0"/>
        <w:keepLines w:val="0"/>
        <w:widowControl w:val="0"/>
        <w:shd w:val="clear" w:color="auto" w:fill="auto"/>
        <w:bidi w:val="0"/>
        <w:spacing w:before="0" w:after="320" w:line="314" w:lineRule="exact"/>
        <w:ind w:left="0" w:right="0"/>
        <w:jc w:val="both"/>
      </w:pPr>
      <w:r>
        <w:rPr>
          <w:color w:val="000000"/>
          <w:spacing w:val="0"/>
          <w:w w:val="100"/>
          <w:position w:val="0"/>
        </w:rPr>
        <w:t>公司设立了完整独立的财务部门，配备了独立的财务人员，建立了独立的财务核算体系，具有规范的财务会计制度。公 司独立开立银行账户、依法独立纳税，不存在与控股股东、实际控制人及其控制的其他企业共用银行账户的情况。</w:t>
      </w:r>
    </w:p>
    <w:p>
      <w:pPr>
        <w:pStyle w:val="Style29"/>
        <w:keepNext/>
        <w:keepLines/>
        <w:widowControl w:val="0"/>
        <w:shd w:val="clear" w:color="auto" w:fill="auto"/>
        <w:tabs>
          <w:tab w:pos="522" w:val="left"/>
        </w:tabs>
        <w:bidi w:val="0"/>
        <w:spacing w:before="0" w:after="260" w:line="312" w:lineRule="exact"/>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三</w:t>
      </w:r>
      <w:bookmarkEnd w:id="271"/>
      <w:r>
        <w:rPr>
          <w:color w:val="000000"/>
          <w:spacing w:val="0"/>
          <w:w w:val="100"/>
          <w:position w:val="0"/>
        </w:rPr>
        <w:t>、</w:t>
        <w:tab/>
        <w:t>同业竞争情况</w:t>
      </w:r>
      <w:bookmarkEnd w:id="269"/>
      <w:bookmarkEnd w:id="270"/>
      <w:bookmarkEnd w:id="272"/>
    </w:p>
    <w:p>
      <w:pPr>
        <w:pStyle w:val="Style23"/>
        <w:keepNext w:val="0"/>
        <w:keepLines w:val="0"/>
        <w:widowControl w:val="0"/>
        <w:shd w:val="clear" w:color="auto" w:fill="auto"/>
        <w:bidi w:val="0"/>
        <w:spacing w:before="0" w:after="32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22" w:val="left"/>
        </w:tabs>
        <w:bidi w:val="0"/>
        <w:spacing w:before="0" w:after="360" w:line="312"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四</w:t>
      </w:r>
      <w:bookmarkEnd w:id="275"/>
      <w:r>
        <w:rPr>
          <w:color w:val="000000"/>
          <w:spacing w:val="0"/>
          <w:w w:val="100"/>
          <w:position w:val="0"/>
        </w:rPr>
        <w:t>、</w:t>
        <w:tab/>
        <w:t>报告期内召开的年度股东大会和临时股东大会的有关情况</w:t>
      </w:r>
      <w:bookmarkEnd w:id="273"/>
      <w:bookmarkEnd w:id="274"/>
      <w:bookmarkEnd w:id="276"/>
    </w:p>
    <w:p>
      <w:pPr>
        <w:pStyle w:val="Style35"/>
        <w:keepNext/>
        <w:keepLines/>
        <w:widowControl w:val="0"/>
        <w:shd w:val="clear" w:color="auto" w:fill="auto"/>
        <w:bidi w:val="0"/>
        <w:spacing w:before="0" w:after="32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、本报告期股东大会情况</w:t>
      </w:r>
      <w:bookmarkEnd w:id="277"/>
      <w:bookmarkEnd w:id="278"/>
      <w:bookmarkEnd w:id="280"/>
    </w:p>
    <w:tbl>
      <w:tblPr>
        <w:tblOverlap w:val="never"/>
        <w:jc w:val="center"/>
        <w:tblLayout w:type="fixed"/>
      </w:tblPr>
      <w:tblGrid>
        <w:gridCol w:w="1315"/>
        <w:gridCol w:w="1358"/>
        <w:gridCol w:w="1291"/>
        <w:gridCol w:w="1234"/>
        <w:gridCol w:w="1238"/>
        <w:gridCol w:w="3149"/>
      </w:tblGrid>
      <w:tr>
        <w:trPr>
          <w:trHeight w:val="69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年年度股东大会决议公告》（公告编 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 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详见公司于巨潮资讯网</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年第一次临时股东大会决议公告》（公</w:t>
            </w:r>
          </w:p>
        </w:tc>
      </w:tr>
    </w:tbl>
    <w:p>
      <w:pPr>
        <w:spacing w:lineRule="exact" w:line="1"/>
        <w:rPr>
          <w:sz w:val="2"/>
          <w:szCs w:val="2"/>
        </w:rPr>
      </w:pPr>
      <w:r>
        <w:br w:type="page"/>
      </w:r>
    </w:p>
    <w:tbl>
      <w:tblPr>
        <w:tblOverlap w:val="never"/>
        <w:jc w:val="center"/>
        <w:tblLayout w:type="fixed"/>
      </w:tblPr>
      <w:tblGrid>
        <w:gridCol w:w="1315"/>
        <w:gridCol w:w="1358"/>
        <w:gridCol w:w="1291"/>
        <w:gridCol w:w="1234"/>
        <w:gridCol w:w="1238"/>
        <w:gridCol w:w="31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次临时股东大 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年第二次临时股东大会决议公告》（公 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次临时股东大 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年第三次临时股东大会决议公告》（公 告编号：</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 次临时股东大 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年第四次临时股东大会决议公告》（公 告编号：</w:t>
            </w:r>
            <w:r>
              <w:rPr>
                <w:rFonts w:ascii="Times New Roman" w:eastAsia="Times New Roman" w:hAnsi="Times New Roman" w:cs="Times New Roman"/>
                <w:color w:val="000000"/>
                <w:spacing w:val="0"/>
                <w:w w:val="100"/>
                <w:position w:val="0"/>
                <w:sz w:val="18"/>
                <w:szCs w:val="18"/>
              </w:rPr>
              <w:t>2021-095</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 次临时股东大 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年第五次临时股东大会决议公告》（公 告编号：</w:t>
            </w:r>
            <w:r>
              <w:rPr>
                <w:rFonts w:ascii="Times New Roman" w:eastAsia="Times New Roman" w:hAnsi="Times New Roman" w:cs="Times New Roman"/>
                <w:color w:val="000000"/>
                <w:spacing w:val="0"/>
                <w:w w:val="100"/>
                <w:position w:val="0"/>
                <w:sz w:val="18"/>
                <w:szCs w:val="18"/>
              </w:rPr>
              <w:t>2021-119</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、表决权恢复的优先股股东请求召开临时股东大会</w:t>
      </w:r>
      <w:bookmarkEnd w:id="281"/>
      <w:bookmarkEnd w:id="282"/>
      <w:bookmarkEnd w:id="28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五</w:t>
      </w:r>
      <w:bookmarkEnd w:id="287"/>
      <w:r>
        <w:rPr>
          <w:color w:val="000000"/>
          <w:spacing w:val="0"/>
          <w:w w:val="100"/>
          <w:position w:val="0"/>
        </w:rPr>
        <w:t>、</w:t>
        <w:tab/>
        <w:t>公司具有表决权差异安排</w:t>
      </w:r>
      <w:bookmarkEnd w:id="285"/>
      <w:bookmarkEnd w:id="286"/>
      <w:bookmarkEnd w:id="28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六</w:t>
      </w:r>
      <w:bookmarkEnd w:id="291"/>
      <w:r>
        <w:rPr>
          <w:color w:val="000000"/>
          <w:spacing w:val="0"/>
          <w:w w:val="100"/>
          <w:position w:val="0"/>
        </w:rPr>
        <w:t>、</w:t>
        <w:tab/>
        <w:t>红筹架构公司治理情况</w:t>
      </w:r>
      <w:bookmarkEnd w:id="289"/>
      <w:bookmarkEnd w:id="290"/>
      <w:bookmarkEnd w:id="29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七</w:t>
      </w:r>
      <w:bookmarkEnd w:id="295"/>
      <w:r>
        <w:rPr>
          <w:color w:val="000000"/>
          <w:spacing w:val="0"/>
          <w:w w:val="100"/>
          <w:position w:val="0"/>
        </w:rPr>
        <w:t>、董事、监事和高级管理人员情况</w:t>
      </w:r>
      <w:bookmarkEnd w:id="293"/>
      <w:bookmarkEnd w:id="294"/>
      <w:bookmarkEnd w:id="296"/>
    </w:p>
    <w:p>
      <w:pPr>
        <w:pStyle w:val="Style35"/>
        <w:keepNext/>
        <w:keepLines/>
        <w:widowControl w:val="0"/>
        <w:shd w:val="clear" w:color="auto" w:fill="auto"/>
        <w:bidi w:val="0"/>
        <w:spacing w:before="0" w:after="32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、基本情况</w:t>
      </w:r>
      <w:bookmarkEnd w:id="297"/>
      <w:bookmarkEnd w:id="298"/>
      <w:bookmarkEnd w:id="300"/>
    </w:p>
    <w:tbl>
      <w:tblPr>
        <w:tblOverlap w:val="never"/>
        <w:jc w:val="center"/>
        <w:tblLayout w:type="fixed"/>
      </w:tblPr>
      <w:tblGrid>
        <w:gridCol w:w="768"/>
        <w:gridCol w:w="701"/>
        <w:gridCol w:w="586"/>
        <w:gridCol w:w="538"/>
        <w:gridCol w:w="547"/>
        <w:gridCol w:w="816"/>
        <w:gridCol w:w="874"/>
        <w:gridCol w:w="787"/>
        <w:gridCol w:w="778"/>
        <w:gridCol w:w="758"/>
        <w:gridCol w:w="739"/>
        <w:gridCol w:w="811"/>
        <w:gridCol w:w="87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任期终</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6"/>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股份增</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减变动</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的原因</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w:t>
            </w:r>
          </w:p>
        </w:tc>
      </w:tr>
      <w:tr>
        <w:trPr>
          <w:trHeight w:val="1306"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长、总 经理</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20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96,417, 558</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2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2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施 </w:t>
            </w:r>
            <w:r>
              <w:rPr>
                <w:rFonts w:ascii="Times New Roman" w:eastAsia="Times New Roman" w:hAnsi="Times New Roman" w:cs="Times New Roman"/>
                <w:color w:val="000000"/>
                <w:spacing w:val="0"/>
                <w:w w:val="100"/>
                <w:position w:val="0"/>
                <w:sz w:val="18"/>
                <w:szCs w:val="18"/>
              </w:rPr>
              <w:t>2020</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年年度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派方案</w:t>
            </w:r>
          </w:p>
        </w:tc>
      </w:tr>
    </w:tbl>
    <w:p>
      <w:pPr>
        <w:spacing w:lineRule="exact" w:line="1"/>
        <w:rPr>
          <w:sz w:val="2"/>
          <w:szCs w:val="2"/>
        </w:rPr>
      </w:pPr>
      <w:r>
        <w:br w:type="page"/>
      </w:r>
    </w:p>
    <w:tbl>
      <w:tblPr>
        <w:tblOverlap w:val="never"/>
        <w:jc w:val="center"/>
        <w:tblLayout w:type="fixed"/>
      </w:tblPr>
      <w:tblGrid>
        <w:gridCol w:w="768"/>
        <w:gridCol w:w="701"/>
        <w:gridCol w:w="586"/>
        <w:gridCol w:w="538"/>
        <w:gridCol w:w="547"/>
        <w:gridCol w:w="816"/>
        <w:gridCol w:w="874"/>
        <w:gridCol w:w="787"/>
        <w:gridCol w:w="778"/>
        <w:gridCol w:w="758"/>
        <w:gridCol w:w="739"/>
        <w:gridCol w:w="811"/>
        <w:gridCol w:w="878"/>
      </w:tblGrid>
      <w:tr>
        <w:trPr>
          <w:trHeight w:val="38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 副董 事长、 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 xml:space="preserve">公司实 施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年年度 权益分 派方案 增加 </w:t>
            </w:r>
            <w:r>
              <w:rPr>
                <w:rFonts w:ascii="Times New Roman" w:eastAsia="Times New Roman" w:hAnsi="Times New Roman" w:cs="Times New Roman"/>
                <w:color w:val="000000"/>
                <w:spacing w:val="0"/>
                <w:w w:val="100"/>
                <w:position w:val="0"/>
                <w:sz w:val="18"/>
                <w:szCs w:val="18"/>
              </w:rPr>
              <w:t>18,249,2 14</w:t>
            </w:r>
            <w:r>
              <w:rPr>
                <w:color w:val="000000"/>
                <w:spacing w:val="0"/>
                <w:w w:val="100"/>
                <w:position w:val="0"/>
                <w:sz w:val="17"/>
                <w:szCs w:val="17"/>
              </w:rPr>
              <w:t xml:space="preserve">股； 个人主 动减持 </w:t>
            </w:r>
            <w:r>
              <w:rPr>
                <w:rFonts w:ascii="Times New Roman" w:eastAsia="Times New Roman" w:hAnsi="Times New Roman" w:cs="Times New Roman"/>
                <w:color w:val="000000"/>
                <w:spacing w:val="0"/>
                <w:w w:val="100"/>
                <w:position w:val="0"/>
                <w:sz w:val="18"/>
                <w:szCs w:val="18"/>
              </w:rPr>
              <w:t>8,564,37 0</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牛俊伟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公司实 施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 权益分 派方案</w:t>
            </w:r>
          </w:p>
        </w:tc>
      </w:tr>
      <w:tr>
        <w:trPr>
          <w:trHeight w:val="41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公司实 施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年年度 权益分 派方案 增加 </w:t>
            </w:r>
            <w:r>
              <w:rPr>
                <w:rFonts w:ascii="Times New Roman" w:eastAsia="Times New Roman" w:hAnsi="Times New Roman" w:cs="Times New Roman"/>
                <w:color w:val="000000"/>
                <w:spacing w:val="0"/>
                <w:w w:val="100"/>
                <w:position w:val="0"/>
                <w:sz w:val="18"/>
                <w:szCs w:val="18"/>
              </w:rPr>
              <w:t xml:space="preserve">16,188 </w:t>
            </w:r>
            <w:r>
              <w:rPr>
                <w:color w:val="000000"/>
                <w:spacing w:val="0"/>
                <w:w w:val="100"/>
                <w:position w:val="0"/>
              </w:rPr>
              <w:t xml:space="preserve">股；股权 激励限 售 </w:t>
            </w:r>
            <w:r>
              <w:rPr>
                <w:rFonts w:ascii="Times New Roman" w:eastAsia="Times New Roman" w:hAnsi="Times New Roman" w:cs="Times New Roman"/>
                <w:color w:val="000000"/>
                <w:spacing w:val="0"/>
                <w:w w:val="100"/>
                <w:position w:val="0"/>
                <w:sz w:val="18"/>
                <w:szCs w:val="18"/>
              </w:rPr>
              <w:t xml:space="preserve">46,748 </w:t>
            </w:r>
            <w:r>
              <w:rPr>
                <w:color w:val="000000"/>
                <w:spacing w:val="0"/>
                <w:w w:val="100"/>
                <w:position w:val="0"/>
              </w:rPr>
              <w:t>股已回 购注销</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于风政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8"/>
        <w:gridCol w:w="701"/>
        <w:gridCol w:w="586"/>
        <w:gridCol w:w="538"/>
        <w:gridCol w:w="547"/>
        <w:gridCol w:w="816"/>
        <w:gridCol w:w="874"/>
        <w:gridCol w:w="787"/>
        <w:gridCol w:w="778"/>
        <w:gridCol w:w="758"/>
        <w:gridCol w:w="739"/>
        <w:gridCol w:w="811"/>
        <w:gridCol w:w="878"/>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会主</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张浩然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 代表 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杨贤帮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职工 代表 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财务 总监、 董事 会秘 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报告期内，牛俊伟女士由于个人原因，申请辞去公司第四届董事会董事职务。具体内容详见公司于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日在巨 潮资讯网(</w:t>
      </w:r>
      <w:r>
        <w:rPr>
          <w:color w:val="000000"/>
          <w:spacing w:val="0"/>
          <w:w w:val="100"/>
          <w:position w:val="0"/>
          <w:sz w:val="18"/>
          <w:szCs w:val="18"/>
        </w:rPr>
        <w:t>www. cninfo. com. cn)</w:t>
      </w:r>
      <w:r>
        <w:rPr>
          <w:color w:val="000000"/>
          <w:spacing w:val="0"/>
          <w:w w:val="100"/>
          <w:position w:val="0"/>
        </w:rPr>
        <w:t>披露的《关于董事辞职及补选董事的公告》(公告编号：</w:t>
      </w:r>
      <w:r>
        <w:rPr>
          <w:color w:val="000000"/>
          <w:spacing w:val="0"/>
          <w:w w:val="100"/>
          <w:position w:val="0"/>
          <w:sz w:val="18"/>
          <w:szCs w:val="18"/>
        </w:rPr>
        <w:t>2021-115)</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日，公司召开了职工代表大会，会议决定免去杨贤帮先生公司第四届监事会职工代表监事的职务，并选举张 浩然女士为公司第四届监事会职工代表监事。具体内容详见公司于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日在巨潮资讯网(</w:t>
      </w:r>
      <w:r>
        <w:rPr>
          <w:color w:val="000000"/>
          <w:spacing w:val="0"/>
          <w:w w:val="100"/>
          <w:position w:val="0"/>
          <w:sz w:val="18"/>
          <w:szCs w:val="18"/>
        </w:rPr>
        <w:t>www. cninfo. com. cn)</w:t>
      </w:r>
      <w:r>
        <w:rPr>
          <w:color w:val="000000"/>
          <w:spacing w:val="0"/>
          <w:w w:val="100"/>
          <w:position w:val="0"/>
        </w:rPr>
        <w:t>披露 的《关于变更职工代表监事的公告》(公告编号：</w:t>
      </w:r>
      <w:r>
        <w:rPr>
          <w:color w:val="000000"/>
          <w:spacing w:val="0"/>
          <w:w w:val="100"/>
          <w:position w:val="0"/>
          <w:sz w:val="18"/>
          <w:szCs w:val="18"/>
        </w:rPr>
        <w:t>2022-016)</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979"/>
        <w:gridCol w:w="1901"/>
        <w:gridCol w:w="403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牛俊伟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因个人原因辞去公司董事职务</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年第五次临时股东大会选举为董事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杨贤帮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公司职工代表大会免去其职务</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张浩然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公司职工代表大会选举为公司第四届监事会职工 代表监事</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、任职情况</w:t>
      </w:r>
      <w:bookmarkEnd w:id="301"/>
      <w:bookmarkEnd w:id="302"/>
      <w:bookmarkEnd w:id="30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100" w:line="240" w:lineRule="auto"/>
        <w:ind w:left="0" w:right="0" w:firstLine="360"/>
        <w:jc w:val="both"/>
      </w:pPr>
      <w:bookmarkStart w:id="305" w:name="bookmark305"/>
      <w:r>
        <w:rPr>
          <w:color w:val="000000"/>
          <w:spacing w:val="0"/>
          <w:w w:val="100"/>
          <w:position w:val="0"/>
          <w:sz w:val="18"/>
          <w:szCs w:val="18"/>
        </w:rPr>
        <w:t>1</w:t>
      </w:r>
      <w:bookmarkEnd w:id="305"/>
      <w:r>
        <w:rPr>
          <w:color w:val="000000"/>
          <w:spacing w:val="0"/>
          <w:w w:val="100"/>
          <w:position w:val="0"/>
        </w:rPr>
        <w:t>、现任董事简历：</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陈喆女士： </w:t>
      </w:r>
      <w:r>
        <w:rPr>
          <w:color w:val="000000"/>
          <w:spacing w:val="0"/>
          <w:w w:val="100"/>
          <w:position w:val="0"/>
          <w:sz w:val="18"/>
          <w:szCs w:val="18"/>
        </w:rPr>
        <w:t>1963</w:t>
      </w:r>
      <w:r>
        <w:rPr>
          <w:color w:val="000000"/>
          <w:spacing w:val="0"/>
          <w:w w:val="100"/>
          <w:position w:val="0"/>
        </w:rPr>
        <w:t>年出生，中国国籍，无永久境外居留权，中共党员，本科学历。</w:t>
      </w:r>
      <w:r>
        <w:rPr>
          <w:color w:val="000000"/>
          <w:spacing w:val="0"/>
          <w:w w:val="100"/>
          <w:position w:val="0"/>
          <w:sz w:val="18"/>
          <w:szCs w:val="18"/>
        </w:rPr>
        <w:t>1985</w:t>
      </w:r>
      <w:r>
        <w:rPr>
          <w:color w:val="000000"/>
          <w:spacing w:val="0"/>
          <w:w w:val="100"/>
          <w:position w:val="0"/>
        </w:rPr>
        <w:t>年至</w:t>
      </w:r>
      <w:r>
        <w:rPr>
          <w:color w:val="000000"/>
          <w:spacing w:val="0"/>
          <w:w w:val="100"/>
          <w:position w:val="0"/>
          <w:sz w:val="18"/>
          <w:szCs w:val="18"/>
        </w:rPr>
        <w:t>1989</w:t>
      </w:r>
      <w:r>
        <w:rPr>
          <w:color w:val="000000"/>
          <w:spacing w:val="0"/>
          <w:w w:val="100"/>
          <w:position w:val="0"/>
        </w:rPr>
        <w:t xml:space="preserve">年，于青海省统计局经济 </w:t>
      </w:r>
      <w:r>
        <w:rPr>
          <w:color w:val="000000"/>
          <w:spacing w:val="0"/>
          <w:w w:val="100"/>
          <w:position w:val="0"/>
        </w:rPr>
        <w:t>统计处任职；</w:t>
      </w:r>
      <w:r>
        <w:rPr>
          <w:color w:val="000000"/>
          <w:spacing w:val="0"/>
          <w:w w:val="100"/>
          <w:position w:val="0"/>
          <w:sz w:val="18"/>
          <w:szCs w:val="18"/>
        </w:rPr>
        <w:t>1989</w:t>
      </w:r>
      <w:r>
        <w:rPr>
          <w:color w:val="000000"/>
          <w:spacing w:val="0"/>
          <w:w w:val="100"/>
          <w:position w:val="0"/>
        </w:rPr>
        <w:t>年至</w:t>
      </w:r>
      <w:r>
        <w:rPr>
          <w:color w:val="000000"/>
          <w:spacing w:val="0"/>
          <w:w w:val="100"/>
          <w:position w:val="0"/>
          <w:sz w:val="18"/>
          <w:szCs w:val="18"/>
        </w:rPr>
        <w:t>1997</w:t>
      </w:r>
      <w:r>
        <w:rPr>
          <w:color w:val="000000"/>
          <w:spacing w:val="0"/>
          <w:w w:val="100"/>
          <w:position w:val="0"/>
        </w:rPr>
        <w:t>年，历任中国银行甘肃省分行人事处科员、副科长；</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2003</w:t>
      </w:r>
      <w:r>
        <w:rPr>
          <w:color w:val="000000"/>
          <w:spacing w:val="0"/>
          <w:w w:val="100"/>
          <w:position w:val="0"/>
        </w:rPr>
        <w:t>年，历任中国银行广东省珠海 湾仔支行副行长、行长；</w:t>
      </w:r>
      <w:r>
        <w:rPr>
          <w:color w:val="000000"/>
          <w:spacing w:val="0"/>
          <w:w w:val="100"/>
          <w:position w:val="0"/>
          <w:sz w:val="18"/>
          <w:szCs w:val="18"/>
        </w:rPr>
        <w:t>2005</w:t>
      </w:r>
      <w:r>
        <w:rPr>
          <w:color w:val="000000"/>
          <w:spacing w:val="0"/>
          <w:w w:val="100"/>
          <w:position w:val="0"/>
        </w:rPr>
        <w:t>年创立本公司，任执行董事，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月至今任董事长兼总经理。</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马铮先生：</w:t>
      </w:r>
      <w:r>
        <w:rPr>
          <w:color w:val="000000"/>
          <w:spacing w:val="0"/>
          <w:w w:val="100"/>
          <w:position w:val="0"/>
          <w:sz w:val="18"/>
          <w:szCs w:val="18"/>
        </w:rPr>
        <w:t>1957</w:t>
      </w:r>
      <w:r>
        <w:rPr>
          <w:color w:val="000000"/>
          <w:spacing w:val="0"/>
          <w:w w:val="100"/>
          <w:position w:val="0"/>
        </w:rPr>
        <w:t>年出生，中国国籍，无永久境外居留权，中共党员，研究生学历。</w:t>
      </w:r>
      <w:r>
        <w:rPr>
          <w:color w:val="000000"/>
          <w:spacing w:val="0"/>
          <w:w w:val="100"/>
          <w:position w:val="0"/>
          <w:sz w:val="18"/>
          <w:szCs w:val="18"/>
        </w:rPr>
        <w:t>1976</w:t>
      </w:r>
      <w:r>
        <w:rPr>
          <w:color w:val="000000"/>
          <w:spacing w:val="0"/>
          <w:w w:val="100"/>
          <w:position w:val="0"/>
        </w:rPr>
        <w:t>年至</w:t>
      </w:r>
      <w:r>
        <w:rPr>
          <w:color w:val="000000"/>
          <w:spacing w:val="0"/>
          <w:w w:val="100"/>
          <w:position w:val="0"/>
          <w:sz w:val="18"/>
          <w:szCs w:val="18"/>
        </w:rPr>
        <w:t>1987</w:t>
      </w:r>
      <w:r>
        <w:rPr>
          <w:color w:val="000000"/>
          <w:spacing w:val="0"/>
          <w:w w:val="100"/>
          <w:position w:val="0"/>
        </w:rPr>
        <w:t xml:space="preserve">年，于空军某部服役； </w:t>
      </w:r>
      <w:r>
        <w:rPr>
          <w:color w:val="000000"/>
          <w:spacing w:val="0"/>
          <w:w w:val="100"/>
          <w:position w:val="0"/>
          <w:sz w:val="18"/>
          <w:szCs w:val="18"/>
        </w:rPr>
        <w:t>1987</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年，历任中国银行总行人力资源部副处长、处长、中国银行（香港）有限公司人力资源部助理总经理、副总经 理、俄罗斯中国银行监事等职务；现任本公司董事、副董事长、副总经理。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马德桃先生，</w:t>
      </w:r>
      <w:r>
        <w:rPr>
          <w:color w:val="000000"/>
          <w:spacing w:val="0"/>
          <w:w w:val="100"/>
          <w:position w:val="0"/>
          <w:sz w:val="18"/>
          <w:szCs w:val="18"/>
        </w:rPr>
        <w:t>1969</w:t>
      </w:r>
      <w:r>
        <w:rPr>
          <w:color w:val="000000"/>
          <w:spacing w:val="0"/>
          <w:w w:val="100"/>
          <w:position w:val="0"/>
        </w:rPr>
        <w:t>年出生，中国国籍，无永久境外居留权，</w:t>
      </w:r>
      <w:r>
        <w:rPr>
          <w:color w:val="000000"/>
          <w:spacing w:val="0"/>
          <w:w w:val="100"/>
          <w:position w:val="0"/>
          <w:sz w:val="18"/>
          <w:szCs w:val="18"/>
        </w:rPr>
        <w:t>MBA</w:t>
      </w:r>
      <w:r>
        <w:rPr>
          <w:color w:val="000000"/>
          <w:spacing w:val="0"/>
          <w:w w:val="100"/>
          <w:position w:val="0"/>
        </w:rPr>
        <w:t>工商管理硕士。曾就职于珠海双喜电器有限公司，担任 常务副总经理。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月加入公司，现任本公司董事，并负责公司客户服务、生产、质量、供应链等部门的统筹领导工作。</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高伟斌先生：</w:t>
      </w:r>
      <w:r>
        <w:rPr>
          <w:color w:val="000000"/>
          <w:spacing w:val="0"/>
          <w:w w:val="100"/>
          <w:position w:val="0"/>
          <w:sz w:val="18"/>
          <w:szCs w:val="18"/>
        </w:rPr>
        <w:t>1976</w:t>
      </w:r>
      <w:r>
        <w:rPr>
          <w:color w:val="000000"/>
          <w:spacing w:val="0"/>
          <w:w w:val="100"/>
          <w:position w:val="0"/>
        </w:rPr>
        <w:t>年出生，中国国籍，无永久境外居留权，硕士研究生学曾就职于长城计算机软件与系统有限公司、文 思创新软件技术有限公司、国际商业机器（中国）投资有限公司、高伟达软件股份有限公司、中信科技发展有限公司。</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月加入公司，现任本公司董事，并负责公司产品研发中心的统筹工作。</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于风政先生：</w:t>
      </w:r>
      <w:r>
        <w:rPr>
          <w:color w:val="000000"/>
          <w:spacing w:val="0"/>
          <w:w w:val="100"/>
          <w:position w:val="0"/>
          <w:sz w:val="18"/>
          <w:szCs w:val="18"/>
        </w:rPr>
        <w:t>1956</w:t>
      </w:r>
      <w:r>
        <w:rPr>
          <w:color w:val="000000"/>
          <w:spacing w:val="0"/>
          <w:w w:val="100"/>
          <w:position w:val="0"/>
        </w:rPr>
        <w:t>年出生，中国国籍，无永久境外居留权，中共党员，法学博士。</w:t>
      </w:r>
      <w:r>
        <w:rPr>
          <w:color w:val="000000"/>
          <w:spacing w:val="0"/>
          <w:w w:val="100"/>
          <w:position w:val="0"/>
          <w:sz w:val="18"/>
          <w:szCs w:val="18"/>
        </w:rPr>
        <w:t>1972</w:t>
      </w:r>
      <w:r>
        <w:rPr>
          <w:color w:val="000000"/>
          <w:spacing w:val="0"/>
          <w:w w:val="100"/>
          <w:position w:val="0"/>
        </w:rPr>
        <w:t>年至</w:t>
      </w:r>
      <w:r>
        <w:rPr>
          <w:color w:val="000000"/>
          <w:spacing w:val="0"/>
          <w:w w:val="100"/>
          <w:position w:val="0"/>
          <w:sz w:val="18"/>
          <w:szCs w:val="18"/>
        </w:rPr>
        <w:t>1992</w:t>
      </w:r>
      <w:r>
        <w:rPr>
          <w:color w:val="000000"/>
          <w:spacing w:val="0"/>
          <w:w w:val="100"/>
          <w:position w:val="0"/>
        </w:rPr>
        <w:t>年，于长沙铁道兵学院、 解放军西安政治学院服役；</w:t>
      </w:r>
      <w:r>
        <w:rPr>
          <w:color w:val="000000"/>
          <w:spacing w:val="0"/>
          <w:w w:val="100"/>
          <w:position w:val="0"/>
          <w:sz w:val="18"/>
          <w:szCs w:val="18"/>
        </w:rPr>
        <w:t>1992</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年，历任北京师范大学讲师、副教授、教授、研究生院副院长等职务；</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 xml:space="preserve">2011 </w:t>
      </w:r>
      <w:r>
        <w:rPr>
          <w:color w:val="000000"/>
          <w:spacing w:val="0"/>
          <w:w w:val="100"/>
          <w:position w:val="0"/>
        </w:rPr>
        <w:t>年，历任北京师范大学珠海分校副校长、副书记，现任北京师范大学珠海分校法律与行政学院院长；</w:t>
      </w:r>
      <w:r>
        <w:rPr>
          <w:color w:val="000000"/>
          <w:spacing w:val="0"/>
          <w:w w:val="100"/>
          <w:position w:val="0"/>
          <w:sz w:val="18"/>
          <w:szCs w:val="18"/>
        </w:rPr>
        <w:t>2004</w:t>
      </w:r>
      <w:r>
        <w:rPr>
          <w:color w:val="000000"/>
          <w:spacing w:val="0"/>
          <w:w w:val="100"/>
          <w:position w:val="0"/>
        </w:rPr>
        <w:t>年起，曾兼任珠海 市第六届、第七届人大常委会法律顾问、广东省法学教育研究会副会长、珠海市法学会副会长。</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杨大贺先生：</w:t>
      </w:r>
      <w:r>
        <w:rPr>
          <w:color w:val="000000"/>
          <w:spacing w:val="0"/>
          <w:w w:val="100"/>
          <w:position w:val="0"/>
          <w:sz w:val="18"/>
          <w:szCs w:val="18"/>
        </w:rPr>
        <w:t>1972</w:t>
      </w:r>
      <w:r>
        <w:rPr>
          <w:color w:val="000000"/>
          <w:spacing w:val="0"/>
          <w:w w:val="100"/>
          <w:position w:val="0"/>
        </w:rPr>
        <w:t>年出生，中国国籍，无永久境外居留权，大专学历，注册会计师。曾在深圳市会计师事务所、深圳华 鹏会计师事务所、中华财务咨询有限公司、北京立信会计师事务所有限公司、中勤万信会计师事务所（特殊普通合伙）从事 审计、企业管理咨询工作，曾任中华财务咨询公司高级经理、北京立信会计师事务所审计部副经理，现任中勤万信会计师事 务所（特殊普通合伙）审计部经理、贵州轮胎股份有限公司独立董事、广东凌霄泵业股份有限公司独立董事、广州亨龙智能 装备股份有限公司董事。</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田联房先生：</w:t>
      </w:r>
      <w:r>
        <w:rPr>
          <w:color w:val="000000"/>
          <w:spacing w:val="0"/>
          <w:w w:val="100"/>
          <w:position w:val="0"/>
          <w:sz w:val="18"/>
          <w:szCs w:val="18"/>
        </w:rPr>
        <w:t>1968</w:t>
      </w:r>
      <w:r>
        <w:rPr>
          <w:color w:val="000000"/>
          <w:spacing w:val="0"/>
          <w:w w:val="100"/>
          <w:position w:val="0"/>
        </w:rPr>
        <w:t>年出生，中国国籍，无永久境外居留权，中共党员，工学博士。</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月，于哈尔滨工业大学获得 博士学位；</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年，华南理工大学电子信息学院博士后；</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年，美国</w:t>
      </w:r>
      <w:r>
        <w:rPr>
          <w:color w:val="000000"/>
          <w:spacing w:val="0"/>
          <w:w w:val="100"/>
          <w:position w:val="0"/>
          <w:sz w:val="18"/>
          <w:szCs w:val="18"/>
        </w:rPr>
        <w:t>University of Californian at Riverside</w:t>
      </w:r>
      <w:r>
        <w:rPr>
          <w:color w:val="000000"/>
          <w:spacing w:val="0"/>
          <w:w w:val="100"/>
          <w:position w:val="0"/>
        </w:rPr>
        <w:t>访问学者；</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年美国</w:t>
      </w:r>
      <w:r>
        <w:rPr>
          <w:color w:val="000000"/>
          <w:spacing w:val="0"/>
          <w:w w:val="100"/>
          <w:position w:val="0"/>
          <w:sz w:val="18"/>
          <w:szCs w:val="18"/>
        </w:rPr>
        <w:t>University of Pittsburgh</w:t>
      </w:r>
      <w:r>
        <w:rPr>
          <w:color w:val="000000"/>
          <w:spacing w:val="0"/>
          <w:w w:val="100"/>
          <w:position w:val="0"/>
        </w:rPr>
        <w:t>访问学者；</w:t>
      </w:r>
      <w:r>
        <w:rPr>
          <w:color w:val="000000"/>
          <w:spacing w:val="0"/>
          <w:w w:val="100"/>
          <w:position w:val="0"/>
          <w:sz w:val="18"/>
          <w:szCs w:val="18"/>
        </w:rPr>
        <w:t>2004</w:t>
      </w:r>
      <w:r>
        <w:rPr>
          <w:color w:val="000000"/>
          <w:spacing w:val="0"/>
          <w:w w:val="100"/>
          <w:position w:val="0"/>
        </w:rPr>
        <w:t>年至今在华南理工大学任教，教育部 “新世纪优秀人才”，教育部“自主系统与网络控制”重点实验室副主任，华南理工大学兴华人才工程学术团队“模式识别 与智能系统”团队负责人。</w:t>
      </w:r>
    </w:p>
    <w:p>
      <w:pPr>
        <w:pStyle w:val="Style23"/>
        <w:keepNext w:val="0"/>
        <w:keepLines w:val="0"/>
        <w:widowControl w:val="0"/>
        <w:shd w:val="clear" w:color="auto" w:fill="auto"/>
        <w:tabs>
          <w:tab w:pos="664" w:val="left"/>
        </w:tabs>
        <w:bidi w:val="0"/>
        <w:spacing w:before="0" w:after="0" w:line="314" w:lineRule="exact"/>
        <w:ind w:left="0" w:right="0"/>
        <w:jc w:val="both"/>
      </w:pPr>
      <w:bookmarkStart w:id="306" w:name="bookmark306"/>
      <w:r>
        <w:rPr>
          <w:color w:val="000000"/>
          <w:spacing w:val="0"/>
          <w:w w:val="100"/>
          <w:position w:val="0"/>
          <w:sz w:val="18"/>
          <w:szCs w:val="18"/>
        </w:rPr>
        <w:t>2</w:t>
      </w:r>
      <w:bookmarkEnd w:id="306"/>
      <w:r>
        <w:rPr>
          <w:color w:val="000000"/>
          <w:spacing w:val="0"/>
          <w:w w:val="100"/>
          <w:position w:val="0"/>
        </w:rPr>
        <w:t>、</w:t>
        <w:tab/>
        <w:t>现任监事简历：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何锋先生：</w:t>
      </w:r>
      <w:r>
        <w:rPr>
          <w:color w:val="000000"/>
          <w:spacing w:val="0"/>
          <w:w w:val="100"/>
          <w:position w:val="0"/>
          <w:sz w:val="18"/>
          <w:szCs w:val="18"/>
        </w:rPr>
        <w:t>1977</w:t>
      </w:r>
      <w:r>
        <w:rPr>
          <w:color w:val="000000"/>
          <w:spacing w:val="0"/>
          <w:w w:val="100"/>
          <w:position w:val="0"/>
        </w:rPr>
        <w:t>年出生，中国国籍，无永久境外居留权，中共党员，本科学历。</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年，于中国人民解放军某 部服役；</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年，任珠海外经贸专修学院远程教育处副处长；</w:t>
      </w:r>
      <w:r>
        <w:rPr>
          <w:color w:val="000000"/>
          <w:spacing w:val="0"/>
          <w:w w:val="100"/>
          <w:position w:val="0"/>
          <w:sz w:val="18"/>
          <w:szCs w:val="18"/>
        </w:rPr>
        <w:t>2005</w:t>
      </w:r>
      <w:r>
        <w:rPr>
          <w:color w:val="000000"/>
          <w:spacing w:val="0"/>
          <w:w w:val="100"/>
          <w:position w:val="0"/>
        </w:rPr>
        <w:t>年加入本公司，现任公司运营中心供应链部经理。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陈家贤先生：</w:t>
      </w:r>
      <w:r>
        <w:rPr>
          <w:color w:val="000000"/>
          <w:spacing w:val="0"/>
          <w:w w:val="100"/>
          <w:position w:val="0"/>
          <w:sz w:val="18"/>
          <w:szCs w:val="18"/>
        </w:rPr>
        <w:t>1975</w:t>
      </w:r>
      <w:r>
        <w:rPr>
          <w:color w:val="000000"/>
          <w:spacing w:val="0"/>
          <w:w w:val="100"/>
          <w:position w:val="0"/>
        </w:rPr>
        <w:t>年出生，中国国籍，无永久境外居留权，大专学历。具有多年电力安全和金融安全领域从业经验以及 锁类结构研发经验，先后就职于珠海金电电源工业有限公司、长园共创电力安全技术股份有限公司、珠海优特电力科技股份 有限公司任结构工程师；</w:t>
      </w:r>
      <w:r>
        <w:rPr>
          <w:color w:val="000000"/>
          <w:spacing w:val="0"/>
          <w:w w:val="100"/>
          <w:position w:val="0"/>
          <w:sz w:val="18"/>
          <w:szCs w:val="18"/>
        </w:rPr>
        <w:t>2010</w:t>
      </w:r>
      <w:r>
        <w:rPr>
          <w:color w:val="000000"/>
          <w:spacing w:val="0"/>
          <w:w w:val="100"/>
          <w:position w:val="0"/>
        </w:rPr>
        <w:t>年加入公司，现任公司产品研发中心高级结构工程师。</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张浩然女士： </w:t>
      </w:r>
      <w:r>
        <w:rPr>
          <w:color w:val="000000"/>
          <w:spacing w:val="0"/>
          <w:w w:val="100"/>
          <w:position w:val="0"/>
          <w:sz w:val="18"/>
          <w:szCs w:val="18"/>
        </w:rPr>
        <w:t>1995</w:t>
      </w:r>
      <w:r>
        <w:rPr>
          <w:color w:val="000000"/>
          <w:spacing w:val="0"/>
          <w:w w:val="100"/>
          <w:position w:val="0"/>
        </w:rPr>
        <w:t>年出生，中国国籍，无境外永久居留权，中共党员，本科学历。</w:t>
      </w:r>
      <w:r>
        <w:rPr>
          <w:color w:val="000000"/>
          <w:spacing w:val="0"/>
          <w:w w:val="100"/>
          <w:position w:val="0"/>
          <w:sz w:val="18"/>
          <w:szCs w:val="18"/>
        </w:rPr>
        <w:t>2018</w:t>
      </w:r>
      <w:r>
        <w:rPr>
          <w:color w:val="000000"/>
          <w:spacing w:val="0"/>
          <w:w w:val="100"/>
          <w:position w:val="0"/>
        </w:rPr>
        <w:t>年加入公司，现任公司人资行 政部人事专员。</w:t>
      </w:r>
    </w:p>
    <w:p>
      <w:pPr>
        <w:pStyle w:val="Style23"/>
        <w:keepNext w:val="0"/>
        <w:keepLines w:val="0"/>
        <w:widowControl w:val="0"/>
        <w:shd w:val="clear" w:color="auto" w:fill="auto"/>
        <w:tabs>
          <w:tab w:pos="664" w:val="left"/>
        </w:tabs>
        <w:bidi w:val="0"/>
        <w:spacing w:before="0" w:after="0" w:line="314" w:lineRule="exact"/>
        <w:ind w:left="0" w:right="0"/>
        <w:jc w:val="both"/>
      </w:pPr>
      <w:bookmarkStart w:id="307" w:name="bookmark307"/>
      <w:r>
        <w:rPr>
          <w:color w:val="000000"/>
          <w:spacing w:val="0"/>
          <w:w w:val="100"/>
          <w:position w:val="0"/>
          <w:sz w:val="18"/>
          <w:szCs w:val="18"/>
        </w:rPr>
        <w:t>3</w:t>
      </w:r>
      <w:bookmarkEnd w:id="307"/>
      <w:r>
        <w:rPr>
          <w:color w:val="000000"/>
          <w:spacing w:val="0"/>
          <w:w w:val="100"/>
          <w:position w:val="0"/>
        </w:rPr>
        <w:t>、</w:t>
        <w:tab/>
        <w:t>现任高级管理人员简历：</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陈喆女士、马铮先生的简历，参见“现任董事简历”部分。</w:t>
      </w:r>
    </w:p>
    <w:p>
      <w:pPr>
        <w:pStyle w:val="Style23"/>
        <w:keepNext w:val="0"/>
        <w:keepLines w:val="0"/>
        <w:widowControl w:val="0"/>
        <w:shd w:val="clear" w:color="auto" w:fill="auto"/>
        <w:bidi w:val="0"/>
        <w:spacing w:before="0" w:after="480" w:line="314" w:lineRule="exact"/>
        <w:ind w:left="0" w:right="0"/>
        <w:jc w:val="both"/>
      </w:pPr>
      <w:r>
        <w:rPr>
          <w:color w:val="000000"/>
          <w:spacing w:val="0"/>
          <w:w w:val="100"/>
          <w:position w:val="0"/>
        </w:rPr>
        <w:t xml:space="preserve">孙玉玲女士： </w:t>
      </w:r>
      <w:r>
        <w:rPr>
          <w:color w:val="000000"/>
          <w:spacing w:val="0"/>
          <w:w w:val="100"/>
          <w:position w:val="0"/>
          <w:sz w:val="18"/>
          <w:szCs w:val="18"/>
        </w:rPr>
        <w:t>1972</w:t>
      </w:r>
      <w:r>
        <w:rPr>
          <w:color w:val="000000"/>
          <w:spacing w:val="0"/>
          <w:w w:val="100"/>
          <w:position w:val="0"/>
        </w:rPr>
        <w:t>年出生，中国国籍，无永久境外居留权，本科学历，中级会计师。</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年，任西门子表计（珠 海）有限公司会计主管；</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年，任珠海飞利浦有限公司财务经理；</w:t>
      </w:r>
      <w:r>
        <w:rPr>
          <w:color w:val="000000"/>
          <w:spacing w:val="0"/>
          <w:w w:val="100"/>
          <w:position w:val="0"/>
          <w:sz w:val="18"/>
          <w:szCs w:val="18"/>
        </w:rPr>
        <w:t>2012</w:t>
      </w:r>
      <w:r>
        <w:rPr>
          <w:color w:val="000000"/>
          <w:spacing w:val="0"/>
          <w:w w:val="100"/>
          <w:position w:val="0"/>
        </w:rPr>
        <w:t>年至</w:t>
      </w:r>
      <w:r>
        <w:rPr>
          <w:color w:val="000000"/>
          <w:spacing w:val="0"/>
          <w:w w:val="100"/>
          <w:position w:val="0"/>
          <w:sz w:val="18"/>
          <w:szCs w:val="18"/>
        </w:rPr>
        <w:t>2018</w:t>
      </w:r>
      <w:r>
        <w:rPr>
          <w:color w:val="000000"/>
          <w:spacing w:val="0"/>
          <w:w w:val="100"/>
          <w:position w:val="0"/>
        </w:rPr>
        <w:t xml:space="preserve">年，任珠海魅族有限公司财务总监；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月加入公司，任公司财务总监、董事会秘书。</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2400"/>
        <w:gridCol w:w="1810"/>
        <w:gridCol w:w="1704"/>
        <w:gridCol w:w="955"/>
        <w:gridCol w:w="149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珠海瑞信投资管理有限公司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8362"/>
      </w:tblGrid>
      <w:tr>
        <w:trPr>
          <w:trHeight w:val="11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任职情况的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公司董事长兼总经理陈喆女士持有珠海瑞信投资管理有限公司</w:t>
            </w:r>
            <w:r>
              <w:rPr>
                <w:rFonts w:ascii="Times New Roman" w:eastAsia="Times New Roman" w:hAnsi="Times New Roman" w:cs="Times New Roman"/>
                <w:color w:val="000000"/>
                <w:spacing w:val="0"/>
                <w:w w:val="100"/>
                <w:position w:val="0"/>
                <w:sz w:val="18"/>
                <w:szCs w:val="18"/>
              </w:rPr>
              <w:t>65.13%</w:t>
            </w:r>
            <w:r>
              <w:rPr>
                <w:color w:val="000000"/>
                <w:spacing w:val="0"/>
                <w:w w:val="100"/>
                <w:position w:val="0"/>
              </w:rPr>
              <w:t>的股份，为珠海瑞信投资管理有限 公司的实际控制人。</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珠海瑞信投资管理有限公司系公司员工持股平台。</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99"/>
        <w:gridCol w:w="2971"/>
        <w:gridCol w:w="1541"/>
        <w:gridCol w:w="1786"/>
        <w:gridCol w:w="998"/>
        <w:gridCol w:w="119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6"/>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酬津贴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贵安新区贵金科技有限公司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于风政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北京师范大学珠海分校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法律与行政学院 院长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佛山信开益科技有限公司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经理、执行董事、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广州亿圣汇智能科技有限公司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r>
              <w:rPr>
                <w:color w:val="000000"/>
                <w:spacing w:val="0"/>
                <w:w w:val="100"/>
                <w:position w:val="0"/>
                <w:sz w:val="18"/>
                <w:szCs w:val="18"/>
              </w:rPr>
              <w:t>，</w:t>
            </w:r>
            <w:r>
              <w:rPr>
                <w:color w:val="000000"/>
                <w:spacing w:val="0"/>
                <w:w w:val="100"/>
                <w:position w:val="0"/>
              </w:rPr>
              <w:t>法定代表人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珠海市信开益自动化技术有限公司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广州宏宜盈贸易有限公司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贵州轮胎股份有限公司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广东凌霄泵业股份有限公司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广州亨龙智能装备股份有限公司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400" w:line="313" w:lineRule="exact"/>
        <w:ind w:left="0" w:right="0"/>
        <w:jc w:val="both"/>
      </w:pPr>
      <w:r>
        <w:rPr>
          <w:color w:val="000000"/>
          <w:spacing w:val="0"/>
          <w:w w:val="100"/>
          <w:position w:val="0"/>
        </w:rPr>
        <w:t>报告期内，因广东证监局对公司的现场检查中，发现公司府补助信息披露不及时、内幕信息知情人登记管理不到位，公 司董事长及总经理陈喆女士、财务总监及董事会秘书孙玉玲女士收到中国证券监督管理委员会广东监管局行政监管措施决定 书，具体内容详见公司于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日在巨潮资讯网(</w:t>
      </w:r>
      <w:r>
        <w:rPr>
          <w:color w:val="000000"/>
          <w:spacing w:val="0"/>
          <w:w w:val="100"/>
          <w:position w:val="0"/>
          <w:sz w:val="18"/>
          <w:szCs w:val="18"/>
        </w:rPr>
        <w:t>www. cninfo. com. cn)</w:t>
      </w:r>
      <w:r>
        <w:rPr>
          <w:color w:val="000000"/>
          <w:spacing w:val="0"/>
          <w:w w:val="100"/>
          <w:position w:val="0"/>
        </w:rPr>
        <w:t>披露的《关于收到中国证券监督管理委员会广 东监管局行政监管措施决定书的公告》(公告编号：</w:t>
      </w:r>
      <w:r>
        <w:rPr>
          <w:color w:val="000000"/>
          <w:spacing w:val="0"/>
          <w:w w:val="100"/>
          <w:position w:val="0"/>
          <w:sz w:val="18"/>
          <w:szCs w:val="18"/>
        </w:rPr>
        <w:t>2021-007)</w:t>
      </w:r>
      <w:r>
        <w:rPr>
          <w:color w:val="000000"/>
          <w:spacing w:val="0"/>
          <w:w w:val="100"/>
          <w:position w:val="0"/>
        </w:rPr>
        <w:t>。除了上述情况外，公司现任及报告期内离任董事、监事和高 级管理人员近三年不存在证券监管机构处罚的情况。</w:t>
      </w:r>
    </w:p>
    <w:p>
      <w:pPr>
        <w:pStyle w:val="Style35"/>
        <w:keepNext/>
        <w:keepLines/>
        <w:widowControl w:val="0"/>
        <w:shd w:val="clear" w:color="auto" w:fill="auto"/>
        <w:bidi w:val="0"/>
        <w:spacing w:before="0" w:after="26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公司非独立董事、监事报酬由股东大会决定，高级管理人员报酬由董事会决定。在公司担任职务的非独立董事、监事、 高级管理人员报酬由公司支付，非独立董事、监事不另外支付津贴；独立董事及不在公司任职的非独立董事津贴根据股东大 会通过的决议进行支付。公司依据当年盈利水平及非独立董事、监事、高级管理人员的职责履行情况并结合年度绩效完成情</w:t>
        <w:br w:type="page"/>
      </w:r>
      <w:r>
        <w:rPr>
          <w:color w:val="000000"/>
          <w:spacing w:val="0"/>
          <w:w w:val="100"/>
          <w:position w:val="0"/>
        </w:rPr>
        <w:t>况综合确定报酬。公司高级管理人员基本工资已发放，年度绩效考核薪酬在董事会审议通过后按时发放；公司独立董事津贴 已发放。</w:t>
      </w:r>
    </w:p>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37"/>
        <w:gridCol w:w="2635"/>
        <w:gridCol w:w="1075"/>
        <w:gridCol w:w="874"/>
        <w:gridCol w:w="1224"/>
        <w:gridCol w:w="1368"/>
        <w:gridCol w:w="137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牛俊伟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于风政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杨贤帮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551.17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八</w:t>
      </w:r>
      <w:bookmarkEnd w:id="314"/>
      <w:r>
        <w:rPr>
          <w:color w:val="000000"/>
          <w:spacing w:val="0"/>
          <w:w w:val="100"/>
          <w:position w:val="0"/>
        </w:rPr>
        <w:t>、报告期内董事履行职责的情况</w:t>
      </w:r>
      <w:bookmarkEnd w:id="312"/>
      <w:bookmarkEnd w:id="313"/>
      <w:bookmarkEnd w:id="315"/>
    </w:p>
    <w:p>
      <w:pPr>
        <w:pStyle w:val="Style35"/>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、本报告期董事会情况</w:t>
      </w:r>
      <w:bookmarkEnd w:id="316"/>
      <w:bookmarkEnd w:id="317"/>
      <w:bookmarkEnd w:id="319"/>
    </w:p>
    <w:tbl>
      <w:tblPr>
        <w:tblOverlap w:val="never"/>
        <w:jc w:val="center"/>
        <w:tblLayout w:type="fixed"/>
      </w:tblPr>
      <w:tblGrid>
        <w:gridCol w:w="1886"/>
        <w:gridCol w:w="1862"/>
        <w:gridCol w:w="1824"/>
        <w:gridCol w:w="401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第三届董事会第三十 二次会议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露的《第三届董事会第三十二次会议决议公告》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第三届董事会第三十 三次会议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露的《第三届董事会第三十三次会议决议公告》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第四届董事会第一次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露的《第四届董事会第一次会议决议公告》(公告 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露的《第四届董事会第二次会议决议公告》(公告 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w:t>
            </w:r>
          </w:p>
        </w:tc>
      </w:tr>
    </w:tbl>
    <w:p>
      <w:pPr>
        <w:spacing w:lineRule="exact" w:line="1"/>
        <w:rPr>
          <w:sz w:val="2"/>
          <w:szCs w:val="2"/>
        </w:rPr>
      </w:pPr>
      <w:r>
        <w:br w:type="page"/>
      </w:r>
    </w:p>
    <w:tbl>
      <w:tblPr>
        <w:tblOverlap w:val="never"/>
        <w:jc w:val="center"/>
        <w:tblLayout w:type="fixed"/>
      </w:tblPr>
      <w:tblGrid>
        <w:gridCol w:w="1886"/>
        <w:gridCol w:w="1862"/>
        <w:gridCol w:w="1824"/>
        <w:gridCol w:w="4013"/>
      </w:tblGrid>
      <w:tr>
        <w:trPr>
          <w:trHeight w:val="67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露的《第四届董事会第三次会议决议公告》（公告 编号：</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第四届董事会第四次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露的《第四届董事会第四次会议决议公告》（公告 编号：</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第四届董事会第五次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露的《第四届董事会第五次会议决议公告》（公告 编号：</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第四届董事会第六次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露的《第四届董事会第六次会议决议公告》（公告 编号：</w:t>
            </w:r>
            <w:r>
              <w:rPr>
                <w:rFonts w:ascii="Times New Roman" w:eastAsia="Times New Roman" w:hAnsi="Times New Roman" w:cs="Times New Roman"/>
                <w:color w:val="000000"/>
                <w:spacing w:val="0"/>
                <w:w w:val="100"/>
                <w:position w:val="0"/>
                <w:sz w:val="18"/>
                <w:szCs w:val="18"/>
              </w:rPr>
              <w:t>2021-081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第四届董事会第七次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露的《第四届董事会第七次会议决议公告》（公告 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第四届董事会第八次 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露的《第四届董事会第八次会议决议公告》（公告 编号：</w:t>
            </w:r>
            <w:r>
              <w:rPr>
                <w:rFonts w:ascii="Times New Roman" w:eastAsia="Times New Roman" w:hAnsi="Times New Roman" w:cs="Times New Roman"/>
                <w:color w:val="000000"/>
                <w:spacing w:val="0"/>
                <w:w w:val="100"/>
                <w:position w:val="0"/>
                <w:sz w:val="18"/>
                <w:szCs w:val="18"/>
              </w:rPr>
              <w:t>2021-102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第四届董事会第九次 会议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 露的《第四届董事会第九次会议决议公告》（公告 编号：</w:t>
            </w:r>
            <w:r>
              <w:rPr>
                <w:rFonts w:ascii="Times New Roman" w:eastAsia="Times New Roman" w:hAnsi="Times New Roman" w:cs="Times New Roman"/>
                <w:color w:val="000000"/>
                <w:spacing w:val="0"/>
                <w:w w:val="100"/>
                <w:position w:val="0"/>
                <w:sz w:val="18"/>
                <w:szCs w:val="18"/>
              </w:rPr>
              <w:t>2021-112</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、董事出席董事会及股东大会的情况</w:t>
      </w:r>
      <w:bookmarkEnd w:id="320"/>
      <w:bookmarkEnd w:id="321"/>
      <w:bookmarkEnd w:id="32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缺席董事会</w:t>
            </w:r>
          </w:p>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牛俊伟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于风政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董事对公司有关事项提出异议的情况</w:t>
      </w:r>
      <w:bookmarkEnd w:id="324"/>
      <w:bookmarkEnd w:id="325"/>
      <w:bookmarkEnd w:id="32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董事履行职责的其他说明</w:t>
      </w:r>
      <w:bookmarkEnd w:id="328"/>
      <w:bookmarkEnd w:id="329"/>
      <w:bookmarkEnd w:id="33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、董事会下设专门委员会在报告期内的情况</w:t>
      </w:r>
      <w:bookmarkEnd w:id="332"/>
      <w:bookmarkEnd w:id="333"/>
      <w:bookmarkEnd w:id="335"/>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异议事项具</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体情况（如</w:t>
            </w:r>
          </w:p>
          <w:p>
            <w:pPr>
              <w:pStyle w:val="Style26"/>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有）</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第三届战略 委员会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陈喆女士</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（主任委 员）、马铮先 生、田联房 先生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度总体经营 方针和投资 计划的议 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第三届审计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杨大贺先生</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（主任委 员）、马德桃 先生、马铮 先生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审议审计监 察部提交的</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工作总结及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年度工 作计划》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1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度财务决算 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财务预算报 告的议案》</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 计报告的议 案》《关于公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度报告及其 摘要的议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内部控制自 我评价报告 的议案》《关 于续聘公司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 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第一季度报 告》及审计 监察部提交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第一季度工 作总结及第 二季度工作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第三届薪酬 与考核委员 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6" w:lineRule="exact"/>
              <w:ind w:left="0" w:right="0" w:firstLine="0"/>
              <w:jc w:val="left"/>
            </w:pPr>
            <w:r>
              <w:rPr>
                <w:color w:val="000000"/>
                <w:spacing w:val="0"/>
                <w:w w:val="100"/>
                <w:position w:val="0"/>
              </w:rPr>
              <w:t>田联房先生</w:t>
            </w:r>
          </w:p>
          <w:p>
            <w:pPr>
              <w:pStyle w:val="Style26"/>
              <w:keepNext w:val="0"/>
              <w:keepLines w:val="0"/>
              <w:widowControl w:val="0"/>
              <w:shd w:val="clear" w:color="auto" w:fill="auto"/>
              <w:bidi w:val="0"/>
              <w:spacing w:before="0" w:after="0" w:line="306" w:lineRule="exact"/>
              <w:ind w:left="0" w:right="0" w:firstLine="0"/>
              <w:jc w:val="left"/>
            </w:pPr>
            <w:r>
              <w:rPr>
                <w:color w:val="000000"/>
                <w:spacing w:val="0"/>
                <w:w w:val="100"/>
                <w:position w:val="0"/>
              </w:rPr>
              <w:t>（主任委 员）、于风政 先生、马铮 先生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审议《关于 公司非独立 董事、高级 管理人员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 职情况的报 告》《关于公 司董事、监 事、高级管 理人员</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年度薪酬的 议案》《关于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 司董事、监 事、高级管 理人员薪酬 方案的议 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第四届战略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陈喆女士</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（主任委 员）、马铮先 生、田联房 先生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审议《关于</w:t>
            </w:r>
          </w:p>
          <w:p>
            <w:pPr>
              <w:pStyle w:val="Style2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度公司经营 方针和投资 计划实施情 况的议案》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审议《关于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公司向特定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对象发行股 票相关事项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第四届审计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6" w:lineRule="exact"/>
              <w:ind w:left="0" w:right="0" w:firstLine="0"/>
              <w:jc w:val="left"/>
            </w:pPr>
            <w:r>
              <w:rPr>
                <w:color w:val="000000"/>
                <w:spacing w:val="0"/>
                <w:w w:val="100"/>
                <w:position w:val="0"/>
              </w:rPr>
              <w:t>杨大贺先生</w:t>
            </w:r>
          </w:p>
          <w:p>
            <w:pPr>
              <w:pStyle w:val="Style26"/>
              <w:keepNext w:val="0"/>
              <w:keepLines w:val="0"/>
              <w:widowControl w:val="0"/>
              <w:shd w:val="clear" w:color="auto" w:fill="auto"/>
              <w:bidi w:val="0"/>
              <w:spacing w:before="0" w:after="0" w:line="306" w:lineRule="exact"/>
              <w:ind w:left="0" w:right="0" w:firstLine="0"/>
              <w:jc w:val="left"/>
            </w:pPr>
            <w:r>
              <w:rPr>
                <w:color w:val="000000"/>
                <w:spacing w:val="0"/>
                <w:w w:val="100"/>
                <w:position w:val="0"/>
              </w:rPr>
              <w:t>（主任委 员）、于风政 先生、马铮 先生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审议公司</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年度报告》 及审计监察 部提交的</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二季度工作 总结以及第 三季度工作 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 报告》及审 计监察部提 交的《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 工作总结及 第四季度工</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第四届提名 委员会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于风政先生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（主任委</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员）、田联房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先生、马铮</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 补选公司第 四届董事会 非独立董事 的议案》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220" w:line="240" w:lineRule="auto"/>
        <w:ind w:left="0" w:right="0" w:firstLine="0"/>
        <w:jc w:val="left"/>
      </w:pPr>
      <w:bookmarkStart w:id="336" w:name="bookmark336"/>
      <w:bookmarkStart w:id="337" w:name="bookmark337"/>
      <w:bookmarkStart w:id="338" w:name="bookmark338"/>
      <w:r>
        <w:rPr>
          <w:color w:val="000000"/>
          <w:spacing w:val="0"/>
          <w:w w:val="100"/>
          <w:position w:val="0"/>
        </w:rPr>
        <w:t>十、监事会工作情况</w:t>
      </w:r>
      <w:bookmarkEnd w:id="336"/>
      <w:bookmarkEnd w:id="337"/>
      <w:bookmarkEnd w:id="338"/>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十^―、公司员工情况</w:t>
      </w:r>
      <w:bookmarkEnd w:id="339"/>
      <w:bookmarkEnd w:id="340"/>
      <w:bookmarkEnd w:id="341"/>
    </w:p>
    <w:p>
      <w:pPr>
        <w:pStyle w:val="Style35"/>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、员工数量、专业构成及教育程度</w:t>
      </w:r>
      <w:bookmarkEnd w:id="342"/>
      <w:bookmarkEnd w:id="343"/>
      <w:bookmarkEnd w:id="34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r>
    </w:tbl>
    <w:p>
      <w:pPr>
        <w:widowControl w:val="0"/>
        <w:spacing w:after="319" w:line="1" w:lineRule="exact"/>
      </w:pPr>
    </w:p>
    <w:p>
      <w:pPr>
        <w:pStyle w:val="Style35"/>
        <w:keepNext/>
        <w:keepLines/>
        <w:widowControl w:val="0"/>
        <w:shd w:val="clear" w:color="auto" w:fill="auto"/>
        <w:tabs>
          <w:tab w:pos="373" w:val="left"/>
        </w:tabs>
        <w:bidi w:val="0"/>
        <w:spacing w:before="0" w:after="2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薪酬政策</w:t>
      </w:r>
      <w:bookmarkEnd w:id="346"/>
      <w:bookmarkEnd w:id="347"/>
      <w:bookmarkEnd w:id="349"/>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公司本着鼓励各级员工恪尽职守，以实现员工在薪酬分配上的“责任与利益一致、能力与价值一致、风险与回报一致、 业绩与收益一致”目标，且能为公司赢利与发展积极贡献的目的，在公司内部实行绩效考核管理，结合内部薪酬体系，实行 以责任、能力、绩效为核心计酬依据的薪酬制度。</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 要求</w:t>
      </w:r>
    </w:p>
    <w:p>
      <w:pPr>
        <w:pStyle w:val="Style23"/>
        <w:keepNext w:val="0"/>
        <w:keepLines w:val="0"/>
        <w:widowControl w:val="0"/>
        <w:shd w:val="clear" w:color="auto" w:fill="auto"/>
        <w:bidi w:val="0"/>
        <w:spacing w:before="0" w:after="400" w:line="310" w:lineRule="exact"/>
        <w:ind w:left="0" w:right="0"/>
        <w:jc w:val="left"/>
      </w:pPr>
      <w:r>
        <w:rPr>
          <w:color w:val="000000"/>
          <w:spacing w:val="0"/>
          <w:w w:val="100"/>
          <w:position w:val="0"/>
        </w:rPr>
        <w:t>报告期内，公司职工薪酬总额（计入营业总成本部分）为</w:t>
      </w:r>
      <w:r>
        <w:rPr>
          <w:color w:val="000000"/>
          <w:spacing w:val="0"/>
          <w:w w:val="100"/>
          <w:position w:val="0"/>
          <w:sz w:val="18"/>
          <w:szCs w:val="18"/>
        </w:rPr>
        <w:t>4,959.77</w:t>
      </w:r>
      <w:r>
        <w:rPr>
          <w:color w:val="000000"/>
          <w:spacing w:val="0"/>
          <w:w w:val="100"/>
          <w:position w:val="0"/>
        </w:rPr>
        <w:t>万元，占公司本期营业总成本的</w:t>
      </w:r>
      <w:r>
        <w:rPr>
          <w:color w:val="000000"/>
          <w:spacing w:val="0"/>
          <w:w w:val="100"/>
          <w:position w:val="0"/>
          <w:sz w:val="18"/>
          <w:szCs w:val="18"/>
        </w:rPr>
        <w:t>29.28%，</w:t>
      </w:r>
      <w:r>
        <w:rPr>
          <w:color w:val="000000"/>
          <w:spacing w:val="0"/>
          <w:w w:val="100"/>
          <w:position w:val="0"/>
        </w:rPr>
        <w:t>职工薪酬是 成本主要项目，公司利润对职工薪酬变化较为敏感。</w:t>
      </w:r>
      <w:r>
        <w:rPr>
          <w:color w:val="000000"/>
          <w:spacing w:val="0"/>
          <w:w w:val="100"/>
          <w:position w:val="0"/>
          <w:sz w:val="18"/>
          <w:szCs w:val="18"/>
        </w:rPr>
        <w:t>2021</w:t>
      </w:r>
      <w:r>
        <w:rPr>
          <w:color w:val="000000"/>
          <w:spacing w:val="0"/>
          <w:w w:val="100"/>
          <w:position w:val="0"/>
        </w:rPr>
        <w:t>年核心研发人员数量占比</w:t>
      </w:r>
      <w:r>
        <w:rPr>
          <w:color w:val="000000"/>
          <w:spacing w:val="0"/>
          <w:w w:val="100"/>
          <w:position w:val="0"/>
          <w:sz w:val="18"/>
          <w:szCs w:val="18"/>
        </w:rPr>
        <w:t>15.39%，</w:t>
      </w:r>
      <w:r>
        <w:rPr>
          <w:color w:val="000000"/>
          <w:spacing w:val="0"/>
          <w:w w:val="100"/>
          <w:position w:val="0"/>
        </w:rPr>
        <w:t xml:space="preserve">职工薪酬（计入成本部分）占比 </w:t>
      </w:r>
      <w:r>
        <w:rPr>
          <w:color w:val="000000"/>
          <w:spacing w:val="0"/>
          <w:w w:val="100"/>
          <w:position w:val="0"/>
          <w:sz w:val="18"/>
          <w:szCs w:val="18"/>
        </w:rPr>
        <w:t>23.26%； 2020</w:t>
      </w:r>
      <w:r>
        <w:rPr>
          <w:color w:val="000000"/>
          <w:spacing w:val="0"/>
          <w:w w:val="100"/>
          <w:position w:val="0"/>
        </w:rPr>
        <w:t>年核心技术人员数量占公司人员数量比重为</w:t>
      </w:r>
      <w:r>
        <w:rPr>
          <w:color w:val="000000"/>
          <w:spacing w:val="0"/>
          <w:w w:val="100"/>
          <w:position w:val="0"/>
          <w:sz w:val="18"/>
          <w:szCs w:val="18"/>
        </w:rPr>
        <w:t>16.3%，</w:t>
      </w:r>
      <w:r>
        <w:rPr>
          <w:color w:val="000000"/>
          <w:spacing w:val="0"/>
          <w:w w:val="100"/>
          <w:position w:val="0"/>
        </w:rPr>
        <w:t>职工薪酬（计入成本部分）占比</w:t>
      </w:r>
      <w:r>
        <w:rPr>
          <w:color w:val="000000"/>
          <w:spacing w:val="0"/>
          <w:w w:val="100"/>
          <w:position w:val="0"/>
          <w:sz w:val="18"/>
          <w:szCs w:val="18"/>
        </w:rPr>
        <w:t>19.18%</w:t>
      </w:r>
      <w:r>
        <w:rPr>
          <w:color w:val="000000"/>
          <w:spacing w:val="0"/>
          <w:w w:val="100"/>
          <w:position w:val="0"/>
        </w:rPr>
        <w:t>。</w:t>
      </w:r>
    </w:p>
    <w:p>
      <w:pPr>
        <w:pStyle w:val="Style35"/>
        <w:keepNext/>
        <w:keepLines/>
        <w:widowControl w:val="0"/>
        <w:shd w:val="clear" w:color="auto" w:fill="auto"/>
        <w:tabs>
          <w:tab w:pos="373" w:val="left"/>
        </w:tabs>
        <w:bidi w:val="0"/>
        <w:spacing w:before="0" w:after="2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培训计划</w:t>
      </w:r>
      <w:bookmarkEnd w:id="350"/>
      <w:bookmarkEnd w:id="351"/>
      <w:bookmarkEnd w:id="353"/>
    </w:p>
    <w:p>
      <w:pPr>
        <w:pStyle w:val="Style23"/>
        <w:keepNext w:val="0"/>
        <w:keepLines w:val="0"/>
        <w:widowControl w:val="0"/>
        <w:shd w:val="clear" w:color="auto" w:fill="auto"/>
        <w:bidi w:val="0"/>
        <w:spacing w:before="0" w:after="400" w:line="317" w:lineRule="exact"/>
        <w:ind w:left="0" w:right="0"/>
        <w:jc w:val="left"/>
      </w:pPr>
      <w:r>
        <w:rPr>
          <w:color w:val="000000"/>
          <w:spacing w:val="0"/>
          <w:w w:val="100"/>
          <w:position w:val="0"/>
        </w:rPr>
        <w:t>公司在完善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新员工入职培训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通用技能培训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管理技能培训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专业技能培训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color w:val="000000"/>
          <w:spacing w:val="0"/>
          <w:w w:val="100"/>
          <w:position w:val="0"/>
        </w:rPr>
        <w:t>同时，利用公司内外部平台资源， 重点加强中高层管理人员的管理能力提升和销售人员专业能力的持续改善，为实现公司年度战略目标提供有利保障。</w:t>
      </w:r>
    </w:p>
    <w:p>
      <w:pPr>
        <w:pStyle w:val="Style35"/>
        <w:keepNext/>
        <w:keepLines/>
        <w:widowControl w:val="0"/>
        <w:shd w:val="clear" w:color="auto" w:fill="auto"/>
        <w:tabs>
          <w:tab w:pos="373" w:val="left"/>
        </w:tabs>
        <w:bidi w:val="0"/>
        <w:spacing w:before="0" w:after="2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劳务外包情况</w:t>
      </w:r>
      <w:bookmarkEnd w:id="354"/>
      <w:bookmarkEnd w:id="355"/>
      <w:bookmarkEnd w:id="357"/>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978,049.00</w:t>
            </w:r>
          </w:p>
        </w:tc>
      </w:tr>
    </w:tbl>
    <w:p>
      <w:pPr>
        <w:spacing w:lineRule="exact" w:line="1"/>
        <w:rPr>
          <w:sz w:val="2"/>
          <w:szCs w:val="2"/>
        </w:rPr>
      </w:pPr>
      <w:r>
        <w:br w:type="page"/>
      </w:r>
    </w:p>
    <w:p>
      <w:pPr>
        <w:pStyle w:val="Style29"/>
        <w:keepNext/>
        <w:keepLines/>
        <w:widowControl w:val="0"/>
        <w:shd w:val="clear" w:color="auto" w:fill="auto"/>
        <w:bidi w:val="0"/>
        <w:spacing w:before="0" w:after="260" w:line="240" w:lineRule="auto"/>
        <w:ind w:left="0" w:right="0" w:firstLine="0"/>
        <w:jc w:val="both"/>
      </w:pPr>
      <w:bookmarkStart w:id="358" w:name="bookmark358"/>
      <w:bookmarkStart w:id="359" w:name="bookmark359"/>
      <w:bookmarkStart w:id="360" w:name="bookmark360"/>
      <w:r>
        <w:rPr>
          <w:color w:val="000000"/>
          <w:spacing w:val="0"/>
          <w:w w:val="100"/>
          <w:position w:val="0"/>
        </w:rPr>
        <w:t>十二、公司利润分配及资本公积金转增股本情况</w:t>
      </w:r>
      <w:bookmarkEnd w:id="358"/>
      <w:bookmarkEnd w:id="359"/>
      <w:bookmarkEnd w:id="360"/>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报告期内利润分配政策，特别是现金分红政策的制定、执行或调整情况</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日，公司召开第三届董事会第三十二次会议，审议通过了公司</w:t>
      </w:r>
      <w:r>
        <w:rPr>
          <w:color w:val="000000"/>
          <w:spacing w:val="0"/>
          <w:w w:val="100"/>
          <w:position w:val="0"/>
          <w:sz w:val="18"/>
          <w:szCs w:val="18"/>
        </w:rPr>
        <w:t>2020</w:t>
      </w:r>
      <w:r>
        <w:rPr>
          <w:color w:val="000000"/>
          <w:spacing w:val="0"/>
          <w:w w:val="100"/>
          <w:position w:val="0"/>
        </w:rPr>
        <w:t>年年度利润分配预案：以公司现有总股 本</w:t>
      </w:r>
      <w:r>
        <w:rPr>
          <w:color w:val="000000"/>
          <w:spacing w:val="0"/>
          <w:w w:val="100"/>
          <w:position w:val="0"/>
          <w:sz w:val="18"/>
          <w:szCs w:val="18"/>
        </w:rPr>
        <w:t>252, 450, 683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0.8</w:t>
      </w:r>
      <w:r>
        <w:rPr>
          <w:color w:val="000000"/>
          <w:spacing w:val="0"/>
          <w:w w:val="100"/>
          <w:position w:val="0"/>
          <w:sz w:val="18"/>
          <w:szCs w:val="18"/>
        </w:rPr>
        <w:t>0</w:t>
      </w:r>
      <w:r>
        <w:rPr>
          <w:color w:val="000000"/>
          <w:spacing w:val="0"/>
          <w:w w:val="100"/>
          <w:position w:val="0"/>
        </w:rPr>
        <w:t>元人民币现金，同时，以资本公积金向全体股东每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3.00</w:t>
      </w:r>
      <w:r>
        <w:rPr>
          <w:color w:val="000000"/>
          <w:spacing w:val="0"/>
          <w:w w:val="100"/>
          <w:position w:val="0"/>
        </w:rPr>
        <w:t>股。</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日，公司召开的</w:t>
      </w:r>
      <w:r>
        <w:rPr>
          <w:color w:val="000000"/>
          <w:spacing w:val="0"/>
          <w:w w:val="100"/>
          <w:position w:val="0"/>
          <w:sz w:val="18"/>
          <w:szCs w:val="18"/>
        </w:rPr>
        <w:t>2020</w:t>
      </w:r>
      <w:r>
        <w:rPr>
          <w:color w:val="000000"/>
          <w:spacing w:val="0"/>
          <w:w w:val="100"/>
          <w:position w:val="0"/>
        </w:rPr>
        <w:t>年年度股东大会审议通过上述</w:t>
      </w:r>
      <w:r>
        <w:rPr>
          <w:color w:val="000000"/>
          <w:spacing w:val="0"/>
          <w:w w:val="100"/>
          <w:position w:val="0"/>
          <w:sz w:val="18"/>
          <w:szCs w:val="18"/>
        </w:rPr>
        <w:t>2020</w:t>
      </w:r>
      <w:r>
        <w:rPr>
          <w:color w:val="000000"/>
          <w:spacing w:val="0"/>
          <w:w w:val="100"/>
          <w:position w:val="0"/>
        </w:rPr>
        <w:t>年年度利润分配方案。</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日，公司披露了《</w:t>
      </w:r>
      <w:r>
        <w:rPr>
          <w:color w:val="000000"/>
          <w:spacing w:val="0"/>
          <w:w w:val="100"/>
          <w:position w:val="0"/>
          <w:sz w:val="18"/>
          <w:szCs w:val="18"/>
        </w:rPr>
        <w:t>2020</w:t>
      </w:r>
      <w:r>
        <w:rPr>
          <w:color w:val="000000"/>
          <w:spacing w:val="0"/>
          <w:w w:val="100"/>
          <w:position w:val="0"/>
        </w:rPr>
        <w:t>年年度权益分派实施公告》（公告编号：</w:t>
      </w:r>
      <w:r>
        <w:rPr>
          <w:color w:val="000000"/>
          <w:spacing w:val="0"/>
          <w:w w:val="100"/>
          <w:position w:val="0"/>
          <w:sz w:val="18"/>
          <w:szCs w:val="18"/>
        </w:rPr>
        <w:t>2021-038），</w:t>
      </w:r>
      <w:r>
        <w:rPr>
          <w:color w:val="000000"/>
          <w:spacing w:val="0"/>
          <w:w w:val="100"/>
          <w:position w:val="0"/>
        </w:rPr>
        <w:t>本次权益分派股权登记日为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日，除权除息日为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日。截止报告期末，公司已经完成</w:t>
      </w:r>
      <w:r>
        <w:rPr>
          <w:color w:val="000000"/>
          <w:spacing w:val="0"/>
          <w:w w:val="100"/>
          <w:position w:val="0"/>
          <w:sz w:val="18"/>
          <w:szCs w:val="18"/>
        </w:rPr>
        <w:t>2020</w:t>
      </w:r>
      <w:r>
        <w:rPr>
          <w:color w:val="000000"/>
          <w:spacing w:val="0"/>
          <w:w w:val="100"/>
          <w:position w:val="0"/>
        </w:rPr>
        <w:t>年年度权益分派实施工作。</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是口否口不适用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328,107,975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21,327,018.38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21,327,018.38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192,641,076.29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年度利润分配预案：公司以截止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328,107,975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元人民币（含税），不送红股，不进行资本公积金转增股本。</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日召开第四届董事会第十一次会议，审议通过了《关于公司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年度利润分配预案的议案》。公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年度利润分配预案符合中国证监会《关于进一步落实上市公司现金分红有关事项的通知》《上市公司监管指引第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上市公司现金分红》及《公司章程》等规定，符合公司当前的实际情况，有利于公司的持续稳定健康发展，并更好 地兼顾股东的即期利益和长远利益，审议程序符合相关规定。该议案尚需提交公司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年年度股东大会审议。</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公司报告期内盈利且母公司可供股东分配利润为正但未提出现金红利分配预案</w:t>
      </w:r>
    </w:p>
    <w:p>
      <w:pPr>
        <w:pStyle w:val="Style2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40" w:line="240" w:lineRule="auto"/>
        <w:ind w:left="0" w:right="0" w:firstLine="0"/>
        <w:jc w:val="left"/>
      </w:pPr>
      <w:bookmarkStart w:id="361" w:name="bookmark361"/>
      <w:bookmarkStart w:id="362" w:name="bookmark362"/>
      <w:bookmarkStart w:id="363" w:name="bookmark363"/>
      <w:r>
        <w:rPr>
          <w:color w:val="000000"/>
          <w:spacing w:val="0"/>
          <w:w w:val="100"/>
          <w:position w:val="0"/>
        </w:rPr>
        <w:t>十三、公司股权激励计划、员工持股计划或其他员工激励措施的实施情况</w:t>
      </w:r>
      <w:bookmarkEnd w:id="361"/>
      <w:bookmarkEnd w:id="362"/>
      <w:bookmarkEnd w:id="363"/>
    </w:p>
    <w:p>
      <w:pPr>
        <w:pStyle w:val="Style23"/>
        <w:keepNext w:val="0"/>
        <w:keepLines w:val="0"/>
        <w:widowControl w:val="0"/>
        <w:shd w:val="clear" w:color="auto" w:fill="auto"/>
        <w:bidi w:val="0"/>
        <w:spacing w:before="0" w:after="42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5"/>
        <w:keepNext/>
        <w:keepLines/>
        <w:widowControl w:val="0"/>
        <w:shd w:val="clear" w:color="auto" w:fill="auto"/>
        <w:bidi w:val="0"/>
        <w:spacing w:before="0" w:after="24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、股权激励</w:t>
      </w:r>
      <w:bookmarkEnd w:id="364"/>
      <w:bookmarkEnd w:id="365"/>
      <w:bookmarkEnd w:id="367"/>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日，公司召开第四届董事会第四次会议和第四届监事会第三次会议，审议通过了《关于调整限制性股票激 励计划回购价格并回购注销部分限制性股票的议案》，经调整，公司预留授予的限制性股票回购价格由</w:t>
      </w:r>
      <w:r>
        <w:rPr>
          <w:color w:val="000000"/>
          <w:spacing w:val="0"/>
          <w:w w:val="100"/>
          <w:position w:val="0"/>
          <w:sz w:val="18"/>
          <w:szCs w:val="18"/>
        </w:rPr>
        <w:t xml:space="preserve">6. </w:t>
      </w:r>
      <w:r>
        <w:rPr>
          <w:color w:val="000000"/>
          <w:spacing w:val="0"/>
          <w:w w:val="100"/>
          <w:position w:val="0"/>
          <w:sz w:val="18"/>
          <w:szCs w:val="18"/>
        </w:rPr>
        <w:t>7347</w:t>
      </w:r>
      <w:r>
        <w:rPr>
          <w:color w:val="000000"/>
          <w:spacing w:val="0"/>
          <w:w w:val="100"/>
          <w:position w:val="0"/>
        </w:rPr>
        <w:t xml:space="preserve">元/股调整为 </w:t>
      </w:r>
      <w:r>
        <w:rPr>
          <w:color w:val="000000"/>
          <w:spacing w:val="0"/>
          <w:w w:val="100"/>
          <w:position w:val="0"/>
          <w:sz w:val="18"/>
          <w:szCs w:val="18"/>
        </w:rPr>
        <w:t>5.119</w:t>
      </w:r>
      <w:r>
        <w:rPr>
          <w:color w:val="000000"/>
          <w:spacing w:val="0"/>
          <w:w w:val="100"/>
          <w:position w:val="0"/>
          <w:sz w:val="18"/>
          <w:szCs w:val="18"/>
        </w:rPr>
        <w:t>0</w:t>
      </w:r>
      <w:r>
        <w:rPr>
          <w:color w:val="000000"/>
          <w:spacing w:val="0"/>
          <w:w w:val="100"/>
          <w:position w:val="0"/>
        </w:rPr>
        <w:t>元/股；同时，因公司</w:t>
      </w:r>
      <w:r>
        <w:rPr>
          <w:color w:val="000000"/>
          <w:spacing w:val="0"/>
          <w:w w:val="100"/>
          <w:position w:val="0"/>
          <w:sz w:val="18"/>
          <w:szCs w:val="18"/>
        </w:rPr>
        <w:t>2020</w:t>
      </w:r>
      <w:r>
        <w:rPr>
          <w:color w:val="000000"/>
          <w:spacing w:val="0"/>
          <w:w w:val="100"/>
          <w:position w:val="0"/>
        </w:rPr>
        <w:t>年度业绩未达到限制性股票激励计划中规定的预留部分第三个解除限售期的解除限售条件， 以及部分激励对象因个人原因离职已不符合激励条件，同意公司回购注销上述情况所涉及的限制性股票</w:t>
      </w:r>
      <w:r>
        <w:rPr>
          <w:color w:val="000000"/>
          <w:spacing w:val="0"/>
          <w:w w:val="100"/>
          <w:position w:val="0"/>
          <w:sz w:val="18"/>
          <w:szCs w:val="18"/>
        </w:rPr>
        <w:t>77, 912</w:t>
      </w:r>
      <w:r>
        <w:rPr>
          <w:color w:val="000000"/>
          <w:spacing w:val="0"/>
          <w:w w:val="100"/>
          <w:position w:val="0"/>
        </w:rPr>
        <w:t>股。公司独立 董事发表了同意的独立意见，监事会发表了核查意见。</w:t>
      </w:r>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年第三次临时股东大会，审议通过《关于调整限制性股票激励计划回购价格并回购注销部 分限制性股票的议案》和《关于变更注册资本及修订〈公司章程〉的议案》。公司在巨潮资讯网和《中国证券报》《证券时报》 《上海证券报》《证券日报》刊登了减资公告，自公告日起</w:t>
      </w:r>
      <w:r>
        <w:rPr>
          <w:color w:val="000000"/>
          <w:spacing w:val="0"/>
          <w:w w:val="100"/>
          <w:position w:val="0"/>
          <w:sz w:val="18"/>
          <w:szCs w:val="18"/>
        </w:rPr>
        <w:t>45</w:t>
      </w:r>
      <w:r>
        <w:rPr>
          <w:color w:val="000000"/>
          <w:spacing w:val="0"/>
          <w:w w:val="100"/>
          <w:position w:val="0"/>
        </w:rPr>
        <w:t>天内未收到债权人要求提供担保或提前清偿债务的请求。</w:t>
      </w:r>
    </w:p>
    <w:p>
      <w:pPr>
        <w:pStyle w:val="Style23"/>
        <w:keepNext w:val="0"/>
        <w:keepLines w:val="0"/>
        <w:widowControl w:val="0"/>
        <w:shd w:val="clear" w:color="auto" w:fill="auto"/>
        <w:bidi w:val="0"/>
        <w:spacing w:before="0" w:after="0" w:line="313"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日，公司在中国证券登记结算有限责任公司深圳分公司完成相关限制性股票的注销手续，同日在巨潮资讯 网披露了《关于部分限制性股票回购注销完成的公告》。本次回购注销完成后，公司总股本由</w:t>
      </w:r>
      <w:r>
        <w:rPr>
          <w:color w:val="000000"/>
          <w:spacing w:val="0"/>
          <w:w w:val="100"/>
          <w:position w:val="0"/>
          <w:sz w:val="18"/>
          <w:szCs w:val="18"/>
        </w:rPr>
        <w:t>328,185,887</w:t>
      </w:r>
      <w:r>
        <w:rPr>
          <w:color w:val="000000"/>
          <w:spacing w:val="0"/>
          <w:w w:val="100"/>
          <w:position w:val="0"/>
        </w:rPr>
        <w:t xml:space="preserve">股变更为 </w:t>
      </w:r>
      <w:r>
        <w:rPr>
          <w:color w:val="000000"/>
          <w:spacing w:val="0"/>
          <w:w w:val="100"/>
          <w:position w:val="0"/>
          <w:sz w:val="18"/>
          <w:szCs w:val="18"/>
        </w:rPr>
        <w:t>328,107, 975</w:t>
      </w:r>
      <w:r>
        <w:rPr>
          <w:color w:val="000000"/>
          <w:spacing w:val="0"/>
          <w:w w:val="100"/>
          <w:position w:val="0"/>
        </w:rPr>
        <w:t>股，公司于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日披露了《关于完成工商变更登记的公告》。</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董事、高级管理人员获得的股权激励情况</w:t>
      </w:r>
    </w:p>
    <w:p>
      <w:pPr>
        <w:pStyle w:val="Style23"/>
        <w:keepNext w:val="0"/>
        <w:keepLines w:val="0"/>
        <w:widowControl w:val="0"/>
        <w:shd w:val="clear" w:color="auto" w:fill="auto"/>
        <w:bidi w:val="0"/>
        <w:spacing w:before="0" w:after="16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259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140"/>
              <w:jc w:val="both"/>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140" w:right="0" w:firstLine="20"/>
              <w:jc w:val="left"/>
            </w:pPr>
            <w:r>
              <w:rPr>
                <w:color w:val="000000"/>
                <w:spacing w:val="0"/>
                <w:w w:val="100"/>
                <w:position w:val="0"/>
              </w:rPr>
              <w:t>限制 性股 票的 授予 价格</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已解 锁股 份数 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持有 限制 性股 票数 量</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马德 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98"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报告期内，公司实施了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股，马德桃 先生持有的限制性股票数量增加至</w:t>
            </w:r>
            <w:r>
              <w:rPr>
                <w:rFonts w:ascii="Times New Roman" w:eastAsia="Times New Roman" w:hAnsi="Times New Roman" w:cs="Times New Roman"/>
                <w:color w:val="000000"/>
                <w:spacing w:val="0"/>
                <w:w w:val="100"/>
                <w:position w:val="0"/>
                <w:sz w:val="18"/>
                <w:szCs w:val="18"/>
              </w:rPr>
              <w:t>46748</w:t>
            </w:r>
            <w:r>
              <w:rPr>
                <w:color w:val="000000"/>
                <w:spacing w:val="0"/>
                <w:w w:val="100"/>
                <w:position w:val="0"/>
              </w:rPr>
              <w:t>股。因公司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年度业绩未达到《限制性股票激励计划（草 案）》中规定的预留授予限制性股票第三个解除限售期的解除限售条件，根据《限制性股票激励计划（草</w:t>
            </w:r>
          </w:p>
        </w:tc>
      </w:tr>
    </w:tbl>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1480" w:right="0" w:firstLine="0"/>
        <w:jc w:val="left"/>
      </w:pPr>
      <w:r>
        <w:rPr>
          <w:color w:val="000000"/>
          <w:spacing w:val="0"/>
          <w:w w:val="100"/>
          <w:position w:val="0"/>
        </w:rPr>
        <w:t>案）》以及相关法律、法规的有关规定，公司对上述</w:t>
      </w:r>
      <w:r>
        <w:rPr>
          <w:rFonts w:ascii="Times New Roman" w:eastAsia="Times New Roman" w:hAnsi="Times New Roman" w:cs="Times New Roman"/>
          <w:color w:val="000000"/>
          <w:spacing w:val="0"/>
          <w:w w:val="100"/>
          <w:position w:val="0"/>
          <w:sz w:val="18"/>
          <w:szCs w:val="18"/>
        </w:rPr>
        <w:t>46748</w:t>
      </w:r>
      <w:r>
        <w:rPr>
          <w:color w:val="000000"/>
          <w:spacing w:val="0"/>
          <w:w w:val="100"/>
          <w:position w:val="0"/>
        </w:rPr>
        <w:t>股预留授予的尚未解除限售的限制性股票进 行了回购注销。</w:t>
      </w:r>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高级管理人员的考评机制及激励情况</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公司建立了公正、合理、有效的高级管理人员绩效考核评价体系和激励约束机制，对高级管理人员的履职情况和工作业 绩进行年终考评，确定其年度薪酬总额，并将考核结果作为制定下一年度薪酬计划的参考依据，充分发挥和调动公司高级管 理人员的工作积极性。报告期内，公司高级管理人员能够按照《公司法》《公司章程》及有关法律法规认真履行职责，较好 的完成了各项任务。</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员工持股计划的实施情况</w:t>
      </w:r>
      <w:bookmarkEnd w:id="368"/>
      <w:bookmarkEnd w:id="369"/>
      <w:bookmarkEnd w:id="371"/>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其他员工激励措施</w:t>
      </w:r>
      <w:bookmarkEnd w:id="372"/>
      <w:bookmarkEnd w:id="373"/>
      <w:bookmarkEnd w:id="375"/>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9"/>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十四、报告期内的内部控制制度建设及实施情况</w:t>
      </w:r>
      <w:bookmarkEnd w:id="376"/>
      <w:bookmarkEnd w:id="377"/>
      <w:bookmarkEnd w:id="378"/>
    </w:p>
    <w:p>
      <w:pPr>
        <w:pStyle w:val="Style35"/>
        <w:keepNext/>
        <w:keepLines/>
        <w:widowControl w:val="0"/>
        <w:shd w:val="clear" w:color="auto" w:fill="auto"/>
        <w:tabs>
          <w:tab w:pos="368"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内部控制建设及实施情况</w:t>
      </w:r>
      <w:bookmarkEnd w:id="379"/>
      <w:bookmarkEnd w:id="380"/>
      <w:bookmarkEnd w:id="382"/>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报告期内，公司严格按照各项法律法规等内部控制监管要求，结合公司内部控制制度和评价办法，在内部控制日常监督 和专项监督的基础上，坚持以风险导向为原则，由审计委员会、内部审计部门共同组成公司的风险内控管理组织体系，对公 司内部控制体系进行持续的改进和优化，并对公司的内部控制管理进行监督与评价。公司积极组织董事、监事、高级管理人 员以及相关人员参加合规培训，加强对公司治理相关规则的理解和把握，持续提高公司管理层及关键岗位人员的合规经营意 识、风险防范意识，不断推进内部控制在各个部门的完善与深入，确保公司内部控制制度得到有效执行，提升了公司规范运 作水平，促进公司健康、稳定、持续发展。</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报告期内，公司不存在财务报告、非财务报告内部控制重大缺陷和重要缺陷。公司通过对内部控制体系的运行、分析与 评价，有效防范了经营管理中的风险，促进了内部控制目标的实现。</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报告期内发现的内部控制重大缺陷的具体情况</w:t>
      </w:r>
      <w:bookmarkEnd w:id="383"/>
      <w:bookmarkEnd w:id="384"/>
      <w:bookmarkEnd w:id="386"/>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r>
        <w:rPr>
          <w:color w:val="000000"/>
          <w:spacing w:val="0"/>
          <w:w w:val="100"/>
          <w:position w:val="0"/>
        </w:rPr>
        <w:t>十五、公司报告期内对子公司的管理控制情况</w:t>
      </w:r>
      <w:bookmarkEnd w:id="387"/>
      <w:bookmarkEnd w:id="388"/>
      <w:bookmarkEnd w:id="389"/>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r>
        <w:rPr>
          <w:color w:val="000000"/>
          <w:spacing w:val="0"/>
          <w:w w:val="100"/>
          <w:position w:val="0"/>
        </w:rPr>
        <w:t>十六、内部控制自我评价报告或内部控制审计报告</w:t>
      </w:r>
      <w:bookmarkEnd w:id="390"/>
      <w:bookmarkEnd w:id="391"/>
      <w:bookmarkEnd w:id="392"/>
    </w:p>
    <w:p>
      <w:pPr>
        <w:pStyle w:val="Style35"/>
        <w:keepNext/>
        <w:keepLines/>
        <w:widowControl w:val="0"/>
        <w:shd w:val="clear" w:color="auto" w:fill="auto"/>
        <w:bidi w:val="0"/>
        <w:spacing w:before="0" w:after="32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、内控自我评价报告</w:t>
      </w:r>
      <w:bookmarkEnd w:id="393"/>
      <w:bookmarkEnd w:id="394"/>
      <w:bookmarkEnd w:id="396"/>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36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6"/>
              <w:keepNext w:val="0"/>
              <w:keepLines w:val="0"/>
              <w:widowControl w:val="0"/>
              <w:numPr>
                <w:ilvl w:val="0"/>
                <w:numId w:val="5"/>
              </w:numPr>
              <w:shd w:val="clear" w:color="auto" w:fill="auto"/>
              <w:tabs>
                <w:tab w:pos="187" w:val="left"/>
              </w:tabs>
              <w:bidi w:val="0"/>
              <w:spacing w:before="0" w:after="140" w:line="318" w:lineRule="exact"/>
              <w:ind w:left="0" w:right="0" w:firstLine="0"/>
              <w:jc w:val="both"/>
            </w:pPr>
            <w:r>
              <w:rPr>
                <w:color w:val="000000"/>
                <w:spacing w:val="0"/>
                <w:w w:val="100"/>
                <w:position w:val="0"/>
              </w:rPr>
              <w:t>财务报告重大缺陷的定性标准：</w:t>
            </w:r>
          </w:p>
          <w:p>
            <w:pPr>
              <w:pStyle w:val="Style26"/>
              <w:keepNext w:val="0"/>
              <w:keepLines w:val="0"/>
              <w:widowControl w:val="0"/>
              <w:shd w:val="clear" w:color="auto" w:fill="auto"/>
              <w:tabs>
                <w:tab w:pos="326"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公司控制环境无效；</w:t>
            </w:r>
          </w:p>
          <w:p>
            <w:pPr>
              <w:pStyle w:val="Style26"/>
              <w:keepNext w:val="0"/>
              <w:keepLines w:val="0"/>
              <w:widowControl w:val="0"/>
              <w:shd w:val="clear" w:color="auto" w:fill="auto"/>
              <w:tabs>
                <w:tab w:pos="278"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公司董事、监事和高级管理人员的舞 弊行为；</w:t>
            </w:r>
          </w:p>
          <w:p>
            <w:pPr>
              <w:pStyle w:val="Style26"/>
              <w:keepNext w:val="0"/>
              <w:keepLines w:val="0"/>
              <w:widowControl w:val="0"/>
              <w:shd w:val="clear" w:color="auto" w:fill="auto"/>
              <w:tabs>
                <w:tab w:pos="274"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公司更正已公布的财务报告，注册会 计师发现的却未被公司内部控制识别的 当期财务报告中的重大错报；</w:t>
            </w:r>
          </w:p>
          <w:p>
            <w:pPr>
              <w:pStyle w:val="Style26"/>
              <w:keepNext w:val="0"/>
              <w:keepLines w:val="0"/>
              <w:widowControl w:val="0"/>
              <w:shd w:val="clear" w:color="auto" w:fill="auto"/>
              <w:tabs>
                <w:tab w:pos="24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审计委员会和审计部对公司的对外财 务报告和财务报告内部监督无效。</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出现上述情况之一，即可认定公司存在 需要对外披露的重大缺陷。</w:t>
            </w:r>
          </w:p>
          <w:p>
            <w:pPr>
              <w:pStyle w:val="Style26"/>
              <w:keepNext w:val="0"/>
              <w:keepLines w:val="0"/>
              <w:widowControl w:val="0"/>
              <w:numPr>
                <w:ilvl w:val="0"/>
                <w:numId w:val="5"/>
              </w:numPr>
              <w:shd w:val="clear" w:color="auto" w:fill="auto"/>
              <w:tabs>
                <w:tab w:pos="187" w:val="left"/>
              </w:tabs>
              <w:bidi w:val="0"/>
              <w:spacing w:before="0" w:after="0" w:line="322" w:lineRule="exact"/>
              <w:ind w:left="0" w:right="0" w:firstLine="0"/>
              <w:jc w:val="both"/>
            </w:pPr>
            <w:r>
              <w:rPr>
                <w:color w:val="000000"/>
                <w:spacing w:val="0"/>
                <w:w w:val="100"/>
                <w:position w:val="0"/>
              </w:rPr>
              <w:t>财务报告重要缺陷的定性标准：</w:t>
            </w:r>
          </w:p>
          <w:p>
            <w:pPr>
              <w:pStyle w:val="Style26"/>
              <w:keepNext w:val="0"/>
              <w:keepLines w:val="0"/>
              <w:widowControl w:val="0"/>
              <w:shd w:val="clear" w:color="auto" w:fill="auto"/>
              <w:tabs>
                <w:tab w:pos="245"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未依照公认会计准则选择和应用会计 政策；</w:t>
            </w:r>
          </w:p>
          <w:p>
            <w:pPr>
              <w:pStyle w:val="Style26"/>
              <w:keepNext w:val="0"/>
              <w:keepLines w:val="0"/>
              <w:widowControl w:val="0"/>
              <w:shd w:val="clear" w:color="auto" w:fill="auto"/>
              <w:tabs>
                <w:tab w:pos="317"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未建立反舞弊程序和控制措施；</w:t>
            </w:r>
          </w:p>
          <w:p>
            <w:pPr>
              <w:pStyle w:val="Style26"/>
              <w:keepNext w:val="0"/>
              <w:keepLines w:val="0"/>
              <w:widowControl w:val="0"/>
              <w:shd w:val="clear" w:color="auto" w:fill="auto"/>
              <w:tabs>
                <w:tab w:pos="23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对于非常规或特殊交易的账务处理没 有建立相应的控制机制或没有相应的补 偿性控制；</w:t>
            </w:r>
          </w:p>
          <w:p>
            <w:pPr>
              <w:pStyle w:val="Style26"/>
              <w:keepNext w:val="0"/>
              <w:keepLines w:val="0"/>
              <w:widowControl w:val="0"/>
              <w:shd w:val="clear" w:color="auto" w:fill="auto"/>
              <w:tabs>
                <w:tab w:pos="23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对于期末财务报告过程的控制存在一 项或多项缺陷且不能合理保证编制的财 务报表达到真实、准确的目标。</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出现上述情况之一，即可认定公司存在 需要对外披露的重要缺陷。</w:t>
            </w:r>
          </w:p>
          <w:p>
            <w:pPr>
              <w:pStyle w:val="Style26"/>
              <w:keepNext w:val="0"/>
              <w:keepLines w:val="0"/>
              <w:widowControl w:val="0"/>
              <w:numPr>
                <w:ilvl w:val="0"/>
                <w:numId w:val="5"/>
              </w:numPr>
              <w:shd w:val="clear" w:color="auto" w:fill="auto"/>
              <w:tabs>
                <w:tab w:pos="187" w:val="left"/>
              </w:tabs>
              <w:bidi w:val="0"/>
              <w:spacing w:before="0" w:after="0" w:line="312" w:lineRule="exact"/>
              <w:ind w:left="0" w:right="0" w:firstLine="0"/>
              <w:jc w:val="both"/>
            </w:pPr>
            <w:r>
              <w:rPr>
                <w:color w:val="000000"/>
                <w:spacing w:val="0"/>
                <w:w w:val="100"/>
                <w:position w:val="0"/>
              </w:rPr>
              <w:t>一般缺陷是指除上述重大缺陷、重大 缺陷之外的其他控制缺陷。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 陷评价的定性标准如下：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 业务流程有效性的影响程度、发生的 可能性作判定。如果缺陷发生的可能 性高，难以发现并更正，对工作效率 或效果有严重影响，或使之严重偏离 预期目标为重大缺陷；如果缺陷发生 的可能性较高，较容易发现并更正， 对工作效率或效果有显著影响，或使 之显著偏离预期目标为重要缺陷；如 果缺陷发生的可能性较小，可以马上 发现并更正，对工作效率或效果只造 成轻微影响，或使之偏离预期目标为 一般缺陷。</w:t>
            </w:r>
          </w:p>
        </w:tc>
      </w:tr>
      <w:tr>
        <w:trPr>
          <w:trHeight w:val="330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公司确定的财务报告内部控制缺陷评价 的定量标准如下：</w:t>
            </w:r>
          </w:p>
          <w:p>
            <w:pPr>
              <w:pStyle w:val="Style26"/>
              <w:keepNext w:val="0"/>
              <w:keepLines w:val="0"/>
              <w:widowControl w:val="0"/>
              <w:numPr>
                <w:ilvl w:val="0"/>
                <w:numId w:val="7"/>
              </w:numPr>
              <w:shd w:val="clear" w:color="auto" w:fill="auto"/>
              <w:tabs>
                <w:tab w:pos="187" w:val="left"/>
              </w:tabs>
              <w:bidi w:val="0"/>
              <w:spacing w:before="0" w:after="40" w:line="305" w:lineRule="exact"/>
              <w:ind w:left="0" w:right="0" w:firstLine="0"/>
              <w:jc w:val="both"/>
            </w:pPr>
            <w:r>
              <w:rPr>
                <w:color w:val="000000"/>
                <w:spacing w:val="0"/>
                <w:w w:val="100"/>
                <w:position w:val="0"/>
              </w:rPr>
              <w:t>重大缺陷指考虑补偿性控制措施和实 际偏差率后，该缺陷总体影响水平高于 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6"/>
              <w:keepNext w:val="0"/>
              <w:keepLines w:val="0"/>
              <w:widowControl w:val="0"/>
              <w:numPr>
                <w:ilvl w:val="0"/>
                <w:numId w:val="7"/>
              </w:numPr>
              <w:shd w:val="clear" w:color="auto" w:fill="auto"/>
              <w:tabs>
                <w:tab w:pos="187" w:val="left"/>
              </w:tabs>
              <w:bidi w:val="0"/>
              <w:spacing w:before="0" w:after="40" w:line="307" w:lineRule="exact"/>
              <w:ind w:left="0" w:right="0" w:firstLine="0"/>
              <w:jc w:val="both"/>
            </w:pPr>
            <w:r>
              <w:rPr>
                <w:color w:val="000000"/>
                <w:spacing w:val="0"/>
                <w:w w:val="100"/>
                <w:position w:val="0"/>
              </w:rPr>
              <w:t>重要缺陷考虑补偿性控制措施和实际 偏差率后，该缺陷总体影响水平低于营 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，但高于营业收入的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p>
            <w:pPr>
              <w:pStyle w:val="Style26"/>
              <w:keepNext w:val="0"/>
              <w:keepLines w:val="0"/>
              <w:widowControl w:val="0"/>
              <w:numPr>
                <w:ilvl w:val="0"/>
                <w:numId w:val="7"/>
              </w:numPr>
              <w:shd w:val="clear" w:color="auto" w:fill="auto"/>
              <w:tabs>
                <w:tab w:pos="187" w:val="left"/>
              </w:tabs>
              <w:bidi w:val="0"/>
              <w:spacing w:before="0" w:after="40" w:line="307" w:lineRule="exact"/>
              <w:ind w:left="0" w:right="0" w:firstLine="0"/>
              <w:jc w:val="both"/>
            </w:pPr>
            <w:r>
              <w:rPr>
                <w:color w:val="000000"/>
                <w:spacing w:val="0"/>
                <w:w w:val="100"/>
                <w:position w:val="0"/>
              </w:rPr>
              <w:t>一般缺陷考虑补偿性控制措施和实际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 陷评价的定量标准如下：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已经对外正式披露并对公司定期报 告披露造成负面影响、企业关键岗位 人员流失严重、重大决策失误、重大 安全事故、受到国家政府部门处罚 等，造成直接财产损失或潜在负面影 响</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万元（含）以上为重大缺陷；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万元（含）至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万元为重要缺陷；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万元以下为一般缺陷。</w:t>
            </w:r>
          </w:p>
        </w:tc>
      </w:tr>
    </w:tbl>
    <w:tbl>
      <w:tblPr>
        <w:tblOverlap w:val="never"/>
        <w:jc w:val="center"/>
        <w:tblLayout w:type="fixed"/>
      </w:tblPr>
      <w:tblGrid>
        <w:gridCol w:w="3202"/>
        <w:gridCol w:w="3322"/>
        <w:gridCol w:w="30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偏差率后，该缺陷总体影响水平低于营 业收入的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、内部控制审计报告或鉴证报告</w:t>
      </w:r>
      <w:bookmarkEnd w:id="397"/>
      <w:bookmarkEnd w:id="398"/>
      <w:bookmarkEnd w:id="400"/>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938"/>
        <w:gridCol w:w="6648"/>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汇金科技于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日在所有重大方面有效地保持了按照《企业内部控制基本规范》建立的与财务报表相关的 内部控制。</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会计师事务所是否出具非标准意见的内部控制鉴证报告</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会计师事务所出具的内部控制鉴证报告与董事会的自我评价报告意见是否一致</w:t>
      </w:r>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9"/>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rPr>
        <w:t>十七、上市公司治理专项行动自查问题整改情况</w:t>
      </w:r>
      <w:bookmarkEnd w:id="401"/>
      <w:bookmarkEnd w:id="402"/>
      <w:bookmarkEnd w:id="403"/>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报告期内，公司对照上市公司治理专项自查清单，认真梳理查找存在的问题，总结公司治理经验，完成专项自查工作， 并填报了上市公司治理专项自查清单。</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公司根据前期公司治理自查及自查清单填报情况，已对公司治理存在的问题进行整改，具体整改情况如下：</w:t>
      </w:r>
    </w:p>
    <w:p>
      <w:pPr>
        <w:pStyle w:val="Style23"/>
        <w:keepNext w:val="0"/>
        <w:keepLines w:val="0"/>
        <w:widowControl w:val="0"/>
        <w:shd w:val="clear" w:color="auto" w:fill="auto"/>
        <w:tabs>
          <w:tab w:pos="699" w:val="left"/>
        </w:tabs>
        <w:bidi w:val="0"/>
        <w:spacing w:before="0" w:after="0" w:line="314" w:lineRule="exact"/>
        <w:ind w:left="0" w:right="0"/>
        <w:jc w:val="left"/>
      </w:pPr>
      <w:bookmarkStart w:id="404" w:name="bookmark404"/>
      <w:r>
        <w:rPr>
          <w:color w:val="000000"/>
          <w:spacing w:val="0"/>
          <w:w w:val="100"/>
          <w:position w:val="0"/>
          <w:sz w:val="18"/>
          <w:szCs w:val="18"/>
        </w:rPr>
        <w:t>1</w:t>
      </w:r>
      <w:bookmarkEnd w:id="404"/>
      <w:r>
        <w:rPr>
          <w:color w:val="000000"/>
          <w:spacing w:val="0"/>
          <w:w w:val="100"/>
          <w:position w:val="0"/>
        </w:rPr>
        <w:t>、</w:t>
        <w:tab/>
        <w:t>公司董事、监事、高级管理人员存在未按照规定出席（列席）或委托他人代为出席股东大会、董事会、监事会等会 议的情形：</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具体原因：公司独立董事田联房未出席公司</w:t>
      </w:r>
      <w:r>
        <w:rPr>
          <w:color w:val="000000"/>
          <w:spacing w:val="0"/>
          <w:w w:val="100"/>
          <w:position w:val="0"/>
          <w:sz w:val="18"/>
          <w:szCs w:val="18"/>
        </w:rPr>
        <w:t>2018</w:t>
      </w:r>
      <w:r>
        <w:rPr>
          <w:color w:val="000000"/>
          <w:spacing w:val="0"/>
          <w:w w:val="100"/>
          <w:position w:val="0"/>
        </w:rPr>
        <w:t>年度股东大会，财务总监马晓丽未列席公司</w:t>
      </w:r>
      <w:r>
        <w:rPr>
          <w:color w:val="000000"/>
          <w:spacing w:val="0"/>
          <w:w w:val="100"/>
          <w:position w:val="0"/>
          <w:sz w:val="18"/>
          <w:szCs w:val="18"/>
        </w:rPr>
        <w:t>2019</w:t>
      </w:r>
      <w:r>
        <w:rPr>
          <w:color w:val="000000"/>
          <w:spacing w:val="0"/>
          <w:w w:val="100"/>
          <w:position w:val="0"/>
        </w:rPr>
        <w:t>年第一次临时股东大会， 上述人员因行程及工作原因不能参会，仅口头通知公司，不符合《上市公司股东大会规则》第二十六条的规定。</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整改情况：公司组织全体董事、监事、高级管理人员及董秘办工作人员认真学习了《上市公司股东大会规则》、《公司章 程》及公司《股东大会议事规则》，对股东大会参会要求的规则进一步明确，加强上述人员的履职意识及公司治理的规范性 意识。公司要求董事、监事、高级管理人员应积极出席或列席公司股东大会，如确有特殊原因导致不能出席或列席股东大会 的，不再允许口头请假，严格要求相关人员向公司董事会出具书面请假条。同时，董秘办工作人员在日后工作中，将督促董 事、监事、高级管理人员按时参加公司三会会议，提醒相关人员不得无故缺席会议，确保三会召集、召开程序符合有关规定， 提高公司治理质量。</w:t>
      </w:r>
    </w:p>
    <w:p>
      <w:pPr>
        <w:pStyle w:val="Style23"/>
        <w:keepNext w:val="0"/>
        <w:keepLines w:val="0"/>
        <w:widowControl w:val="0"/>
        <w:shd w:val="clear" w:color="auto" w:fill="auto"/>
        <w:tabs>
          <w:tab w:pos="724" w:val="left"/>
        </w:tabs>
        <w:bidi w:val="0"/>
        <w:spacing w:before="0" w:after="0" w:line="314" w:lineRule="exact"/>
        <w:ind w:left="0" w:right="0"/>
        <w:jc w:val="left"/>
      </w:pPr>
      <w:bookmarkStart w:id="405" w:name="bookmark405"/>
      <w:r>
        <w:rPr>
          <w:color w:val="000000"/>
          <w:spacing w:val="0"/>
          <w:w w:val="100"/>
          <w:position w:val="0"/>
          <w:sz w:val="18"/>
          <w:szCs w:val="18"/>
        </w:rPr>
        <w:t>2</w:t>
      </w:r>
      <w:bookmarkEnd w:id="405"/>
      <w:r>
        <w:rPr>
          <w:color w:val="000000"/>
          <w:spacing w:val="0"/>
          <w:w w:val="100"/>
          <w:position w:val="0"/>
        </w:rPr>
        <w:t>、</w:t>
        <w:tab/>
        <w:t>公司存在独立董事现场工作时间少于</w:t>
      </w:r>
      <w:r>
        <w:rPr>
          <w:color w:val="000000"/>
          <w:spacing w:val="0"/>
          <w:w w:val="100"/>
          <w:position w:val="0"/>
          <w:sz w:val="18"/>
          <w:szCs w:val="18"/>
        </w:rPr>
        <w:t>10</w:t>
      </w:r>
      <w:r>
        <w:rPr>
          <w:color w:val="000000"/>
          <w:spacing w:val="0"/>
          <w:w w:val="100"/>
          <w:position w:val="0"/>
        </w:rPr>
        <w:t>个工作日的情形：</w:t>
      </w:r>
    </w:p>
    <w:p>
      <w:pPr>
        <w:pStyle w:val="Style23"/>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整改情况：公司董事会已督促独立董事安排合理时间进行现场工作，对公司生产经营状况、管理和内部控制等制度的建 </w:t>
      </w:r>
      <w:r>
        <w:rPr>
          <w:color w:val="000000"/>
          <w:spacing w:val="0"/>
          <w:w w:val="100"/>
          <w:position w:val="0"/>
        </w:rPr>
        <w:t>设及执行情况、董事会决议执行情况等进行现场检查。同时，董秘办工作人员在日后工作中，将持续跟进公司独立董事现场 工作情况，提高公司治理质量。</w:t>
      </w:r>
    </w:p>
    <w:p>
      <w:pPr>
        <w:pStyle w:val="Style23"/>
        <w:keepNext w:val="0"/>
        <w:keepLines w:val="0"/>
        <w:widowControl w:val="0"/>
        <w:shd w:val="clear" w:color="auto" w:fill="auto"/>
        <w:bidi w:val="0"/>
        <w:spacing w:before="0" w:after="0" w:line="314" w:lineRule="exact"/>
        <w:ind w:left="0" w:right="0"/>
        <w:jc w:val="left"/>
        <w:sectPr>
          <w:footnotePr>
            <w:pos w:val="pageBottom"/>
            <w:numFmt w:val="upperRoman"/>
            <w:numStart w:val="1"/>
            <w:numRestart w:val="continuous"/>
            <w15:footnoteColumns w:val="1"/>
          </w:footnotePr>
          <w:pgSz w:w="11900" w:h="16840"/>
          <w:pgMar w:top="1369" w:right="1056" w:bottom="1451" w:left="1061" w:header="0" w:footer="3" w:gutter="0"/>
          <w:cols w:space="720"/>
          <w:noEndnote/>
          <w:rtlGutter w:val="0"/>
          <w:docGrid w:linePitch="360"/>
        </w:sectPr>
      </w:pPr>
      <w:r>
        <w:rPr>
          <w:color w:val="000000"/>
          <w:spacing w:val="0"/>
          <w:w w:val="100"/>
          <w:position w:val="0"/>
        </w:rPr>
        <w:t>公司将以认真、负责的态度持续地落实各项整改措施，持续提高公司治理水平，维护全体投资者利益，促进公司持续、 健康、稳定发展。</w:t>
      </w:r>
    </w:p>
    <w:p>
      <w:pPr>
        <w:pStyle w:val="Style15"/>
        <w:keepNext/>
        <w:keepLines/>
        <w:widowControl w:val="0"/>
        <w:shd w:val="clear" w:color="auto" w:fill="auto"/>
        <w:bidi w:val="0"/>
        <w:spacing w:before="520" w:line="240" w:lineRule="auto"/>
        <w:ind w:left="0" w:right="0" w:firstLine="0"/>
        <w:jc w:val="center"/>
      </w:pPr>
      <w:bookmarkStart w:id="406" w:name="bookmark406"/>
      <w:bookmarkStart w:id="407" w:name="bookmark407"/>
      <w:bookmarkStart w:id="408" w:name="bookmark408"/>
      <w:r>
        <w:rPr>
          <w:color w:val="000000"/>
          <w:spacing w:val="0"/>
          <w:w w:val="100"/>
          <w:position w:val="0"/>
        </w:rPr>
        <w:t>第五节环境和社会责任</w:t>
      </w:r>
      <w:bookmarkEnd w:id="406"/>
      <w:bookmarkEnd w:id="407"/>
      <w:bookmarkEnd w:id="408"/>
    </w:p>
    <w:p>
      <w:pPr>
        <w:pStyle w:val="Style29"/>
        <w:keepNext/>
        <w:keepLines/>
        <w:widowControl w:val="0"/>
        <w:shd w:val="clear" w:color="auto" w:fill="auto"/>
        <w:tabs>
          <w:tab w:pos="589" w:val="left"/>
        </w:tabs>
        <w:bidi w:val="0"/>
        <w:spacing w:before="0" w:after="260" w:line="240" w:lineRule="auto"/>
        <w:ind w:left="0" w:right="0" w:firstLine="0"/>
        <w:jc w:val="left"/>
      </w:pPr>
      <w:bookmarkStart w:id="409" w:name="bookmark409"/>
      <w:bookmarkStart w:id="410" w:name="bookmark410"/>
      <w:bookmarkStart w:id="411" w:name="bookmark411"/>
      <w:bookmarkStart w:id="412" w:name="bookmark412"/>
      <w:bookmarkStart w:id="413" w:name="bookmark413"/>
      <w:r>
        <w:rPr>
          <w:color w:val="000000"/>
          <w:spacing w:val="0"/>
          <w:w w:val="100"/>
          <w:position w:val="0"/>
        </w:rPr>
        <w:t>一</w:t>
      </w:r>
      <w:bookmarkEnd w:id="412"/>
      <w:r>
        <w:rPr>
          <w:color w:val="000000"/>
          <w:spacing w:val="0"/>
          <w:w w:val="100"/>
          <w:position w:val="0"/>
        </w:rPr>
        <w:t>、</w:t>
        <w:tab/>
        <w:t>重大环保问题</w:t>
      </w:r>
      <w:bookmarkEnd w:id="410"/>
      <w:bookmarkEnd w:id="411"/>
      <w:bookmarkEnd w:id="413"/>
      <w:bookmarkEnd w:id="409"/>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报告期内因环境问题受到行政处罚的情况</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在报告期内为减少其碳排放所采取的措施及效果</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589" w:val="left"/>
        </w:tabs>
        <w:bidi w:val="0"/>
        <w:spacing w:before="0" w:after="2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二</w:t>
      </w:r>
      <w:bookmarkEnd w:id="416"/>
      <w:r>
        <w:rPr>
          <w:color w:val="000000"/>
          <w:spacing w:val="0"/>
          <w:w w:val="100"/>
          <w:position w:val="0"/>
        </w:rPr>
        <w:t>、</w:t>
        <w:tab/>
        <w:t>社会责任情况</w:t>
      </w:r>
      <w:bookmarkEnd w:id="414"/>
      <w:bookmarkEnd w:id="415"/>
      <w:bookmarkEnd w:id="417"/>
    </w:p>
    <w:p>
      <w:pPr>
        <w:pStyle w:val="Style23"/>
        <w:keepNext w:val="0"/>
        <w:keepLines w:val="0"/>
        <w:widowControl w:val="0"/>
        <w:shd w:val="clear" w:color="auto" w:fill="auto"/>
        <w:tabs>
          <w:tab w:pos="714" w:val="left"/>
        </w:tabs>
        <w:bidi w:val="0"/>
        <w:spacing w:before="0" w:after="0" w:line="314" w:lineRule="exact"/>
        <w:ind w:left="0" w:right="0"/>
        <w:jc w:val="both"/>
      </w:pPr>
      <w:bookmarkStart w:id="418" w:name="bookmark418"/>
      <w:r>
        <w:rPr>
          <w:color w:val="000000"/>
          <w:spacing w:val="0"/>
          <w:w w:val="100"/>
          <w:position w:val="0"/>
          <w:sz w:val="18"/>
          <w:szCs w:val="18"/>
        </w:rPr>
        <w:t>1</w:t>
      </w:r>
      <w:bookmarkEnd w:id="418"/>
      <w:r>
        <w:rPr>
          <w:color w:val="000000"/>
          <w:spacing w:val="0"/>
          <w:w w:val="100"/>
          <w:position w:val="0"/>
        </w:rPr>
        <w:t>、</w:t>
        <w:tab/>
        <w:t>持续投入社会公益事业</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公司铭记企业社会责任，不忘回馈社会，积极投身于社会公益事业。公司于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日设立有汇金科技慈善基金会， 持续关注和帮扶珠海市社会福利院的儿童，打造了公益捐助、爱心助学、“换换爱超市”定点援助建设等三大品类慈善项目， 鼓励了一批积极奋发的青年，践行汇金科技慈善基金会“献出一份爱，帮助更多人”的核心理念。</w:t>
      </w:r>
    </w:p>
    <w:p>
      <w:pPr>
        <w:pStyle w:val="Style23"/>
        <w:keepNext w:val="0"/>
        <w:keepLines w:val="0"/>
        <w:widowControl w:val="0"/>
        <w:shd w:val="clear" w:color="auto" w:fill="auto"/>
        <w:tabs>
          <w:tab w:pos="724" w:val="left"/>
        </w:tabs>
        <w:bidi w:val="0"/>
        <w:spacing w:before="0" w:after="0" w:line="314" w:lineRule="exact"/>
        <w:ind w:left="0" w:right="0"/>
        <w:jc w:val="both"/>
      </w:pPr>
      <w:bookmarkStart w:id="419" w:name="bookmark419"/>
      <w:r>
        <w:rPr>
          <w:color w:val="000000"/>
          <w:spacing w:val="0"/>
          <w:w w:val="100"/>
          <w:position w:val="0"/>
          <w:sz w:val="18"/>
          <w:szCs w:val="18"/>
        </w:rPr>
        <w:t>2</w:t>
      </w:r>
      <w:bookmarkEnd w:id="419"/>
      <w:r>
        <w:rPr>
          <w:color w:val="000000"/>
          <w:spacing w:val="0"/>
          <w:w w:val="100"/>
          <w:position w:val="0"/>
        </w:rPr>
        <w:t>、</w:t>
        <w:tab/>
        <w:t>股东和债权人权益保护</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报告期内，公司严格遵守各项法律法规，持续完善企业治理结构，形成了以股东大会、董事会、监事会及管理层为主体 结构的决策与经营体系，切实保障股东的合法权益。公司的财务政策稳健，资产、资金安全，能够维护债权人的合法利益。</w:t>
      </w:r>
    </w:p>
    <w:p>
      <w:pPr>
        <w:pStyle w:val="Style23"/>
        <w:keepNext w:val="0"/>
        <w:keepLines w:val="0"/>
        <w:widowControl w:val="0"/>
        <w:shd w:val="clear" w:color="auto" w:fill="auto"/>
        <w:tabs>
          <w:tab w:pos="724" w:val="left"/>
        </w:tabs>
        <w:bidi w:val="0"/>
        <w:spacing w:before="0" w:after="0" w:line="314" w:lineRule="exact"/>
        <w:ind w:left="0" w:right="0"/>
        <w:jc w:val="both"/>
      </w:pPr>
      <w:bookmarkStart w:id="420" w:name="bookmark420"/>
      <w:r>
        <w:rPr>
          <w:color w:val="000000"/>
          <w:spacing w:val="0"/>
          <w:w w:val="100"/>
          <w:position w:val="0"/>
          <w:sz w:val="18"/>
          <w:szCs w:val="18"/>
        </w:rPr>
        <w:t>3</w:t>
      </w:r>
      <w:bookmarkEnd w:id="420"/>
      <w:r>
        <w:rPr>
          <w:color w:val="000000"/>
          <w:spacing w:val="0"/>
          <w:w w:val="100"/>
          <w:position w:val="0"/>
        </w:rPr>
        <w:t>、</w:t>
        <w:tab/>
        <w:t>职工权益保护</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公司严格遵守《劳动法》等法律法规要求，依法与员工签订《劳动合同》，并按照国家和地方法律法规为员工办理各项 社会保险与公积金，为员工提供健康、有保障的工作环境。公司注重人才培养，不断完善职业培训制度，提升员工素质，为 员工发展提供更多机会，实现员工与企业的共同成长。</w:t>
      </w:r>
    </w:p>
    <w:p>
      <w:pPr>
        <w:pStyle w:val="Style23"/>
        <w:keepNext w:val="0"/>
        <w:keepLines w:val="0"/>
        <w:widowControl w:val="0"/>
        <w:shd w:val="clear" w:color="auto" w:fill="auto"/>
        <w:tabs>
          <w:tab w:pos="729" w:val="left"/>
        </w:tabs>
        <w:bidi w:val="0"/>
        <w:spacing w:before="0" w:after="0" w:line="314" w:lineRule="exact"/>
        <w:ind w:left="0" w:right="0"/>
        <w:jc w:val="both"/>
      </w:pPr>
      <w:bookmarkStart w:id="421" w:name="bookmark421"/>
      <w:r>
        <w:rPr>
          <w:color w:val="000000"/>
          <w:spacing w:val="0"/>
          <w:w w:val="100"/>
          <w:position w:val="0"/>
          <w:sz w:val="18"/>
          <w:szCs w:val="18"/>
        </w:rPr>
        <w:t>4</w:t>
      </w:r>
      <w:bookmarkEnd w:id="421"/>
      <w:r>
        <w:rPr>
          <w:color w:val="000000"/>
          <w:spacing w:val="0"/>
          <w:w w:val="100"/>
          <w:position w:val="0"/>
        </w:rPr>
        <w:t>、</w:t>
        <w:tab/>
        <w:t>供应商及客户权益保护</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公司将诚实守信作为企业发展之基，与供应商和客户建立了长期稳定、合作共赢的战略合作伙伴关系，充分尊重并保护 供应商、客户的合法权益，实现互利共赢。</w:t>
      </w:r>
    </w:p>
    <w:p>
      <w:pPr>
        <w:pStyle w:val="Style23"/>
        <w:keepNext w:val="0"/>
        <w:keepLines w:val="0"/>
        <w:widowControl w:val="0"/>
        <w:shd w:val="clear" w:color="auto" w:fill="auto"/>
        <w:tabs>
          <w:tab w:pos="729" w:val="left"/>
        </w:tabs>
        <w:bidi w:val="0"/>
        <w:spacing w:before="0" w:after="0" w:line="314" w:lineRule="exact"/>
        <w:ind w:left="0" w:right="0"/>
        <w:jc w:val="both"/>
      </w:pPr>
      <w:bookmarkStart w:id="422" w:name="bookmark422"/>
      <w:r>
        <w:rPr>
          <w:color w:val="000000"/>
          <w:spacing w:val="0"/>
          <w:w w:val="100"/>
          <w:position w:val="0"/>
          <w:sz w:val="18"/>
          <w:szCs w:val="18"/>
        </w:rPr>
        <w:t>5</w:t>
      </w:r>
      <w:bookmarkEnd w:id="422"/>
      <w:r>
        <w:rPr>
          <w:color w:val="000000"/>
          <w:spacing w:val="0"/>
          <w:w w:val="100"/>
          <w:position w:val="0"/>
        </w:rPr>
        <w:t>、</w:t>
        <w:tab/>
        <w:t>投资者权益保护</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rPr>
        <w:t>公司重视投资者关系管理工作，遵守真实、准确、完整、及时、公平的原则，认真履行信息披露义务，不断完善公司治 理，塑造公司在资本市场的良好形象。公司通过投资者热线电话、投资者互动平台交流等多种渠道，积极与投资者交流互动， 提高投资者对公司的认知度。</w:t>
      </w:r>
    </w:p>
    <w:p>
      <w:pPr>
        <w:pStyle w:val="Style29"/>
        <w:keepNext/>
        <w:keepLines/>
        <w:widowControl w:val="0"/>
        <w:shd w:val="clear" w:color="auto" w:fill="auto"/>
        <w:tabs>
          <w:tab w:pos="589" w:val="left"/>
        </w:tabs>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w:t>
        <w:tab/>
        <w:t>巩固拓展脱贫攻坚成果、乡村振兴的情况</w:t>
      </w:r>
      <w:bookmarkEnd w:id="423"/>
      <w:bookmarkEnd w:id="424"/>
      <w:bookmarkEnd w:id="426"/>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r>
        <w:br w:type="page"/>
      </w:r>
    </w:p>
    <w:p>
      <w:pPr>
        <w:pStyle w:val="Style15"/>
        <w:keepNext/>
        <w:keepLines/>
        <w:widowControl w:val="0"/>
        <w:shd w:val="clear" w:color="auto" w:fill="auto"/>
        <w:bidi w:val="0"/>
        <w:spacing w:before="0" w:after="580" w:line="240" w:lineRule="auto"/>
        <w:ind w:left="0" w:right="0" w:firstLine="0"/>
        <w:jc w:val="center"/>
      </w:pPr>
      <w:bookmarkStart w:id="427" w:name="bookmark427"/>
      <w:bookmarkStart w:id="428" w:name="bookmark428"/>
      <w:bookmarkStart w:id="429" w:name="bookmark429"/>
      <w:r>
        <w:rPr>
          <w:color w:val="000000"/>
          <w:spacing w:val="0"/>
          <w:w w:val="100"/>
          <w:position w:val="0"/>
        </w:rPr>
        <w:t>第六节重要事项</w:t>
      </w:r>
      <w:bookmarkEnd w:id="427"/>
      <w:bookmarkEnd w:id="428"/>
      <w:bookmarkEnd w:id="429"/>
    </w:p>
    <w:p>
      <w:pPr>
        <w:pStyle w:val="Style29"/>
        <w:keepNext/>
        <w:keepLines/>
        <w:widowControl w:val="0"/>
        <w:shd w:val="clear" w:color="auto" w:fill="auto"/>
        <w:bidi w:val="0"/>
        <w:spacing w:before="0" w:after="280" w:line="240" w:lineRule="auto"/>
        <w:ind w:left="0" w:right="0" w:firstLine="0"/>
        <w:jc w:val="left"/>
      </w:pPr>
      <w:bookmarkStart w:id="430" w:name="bookmark430"/>
      <w:bookmarkStart w:id="431" w:name="bookmark431"/>
      <w:bookmarkStart w:id="432" w:name="bookmark432"/>
      <w:bookmarkStart w:id="433" w:name="bookmark433"/>
      <w:bookmarkStart w:id="434" w:name="bookmark434"/>
      <w:r>
        <w:rPr>
          <w:color w:val="000000"/>
          <w:spacing w:val="0"/>
          <w:w w:val="100"/>
          <w:position w:val="0"/>
        </w:rPr>
        <w:t>一</w:t>
      </w:r>
      <w:bookmarkEnd w:id="433"/>
      <w:r>
        <w:rPr>
          <w:color w:val="000000"/>
          <w:spacing w:val="0"/>
          <w:w w:val="100"/>
          <w:position w:val="0"/>
        </w:rPr>
        <w:t>、承诺事项履行情况</w:t>
      </w:r>
      <w:bookmarkEnd w:id="431"/>
      <w:bookmarkEnd w:id="432"/>
      <w:bookmarkEnd w:id="434"/>
      <w:bookmarkEnd w:id="430"/>
    </w:p>
    <w:p>
      <w:pPr>
        <w:pStyle w:val="Style35"/>
        <w:keepNext/>
        <w:keepLines/>
        <w:widowControl w:val="0"/>
        <w:shd w:val="clear" w:color="auto" w:fill="auto"/>
        <w:bidi w:val="0"/>
        <w:spacing w:before="0" w:line="322" w:lineRule="exact"/>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、公司实际控制人、股东、关联方、收购人以及公司等承诺相关方在报告期内履行完毕及截至报告期末 尚未履行完毕的承诺事项</w:t>
      </w:r>
      <w:bookmarkEnd w:id="435"/>
      <w:bookmarkEnd w:id="436"/>
      <w:bookmarkEnd w:id="438"/>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886"/>
        <w:gridCol w:w="912"/>
        <w:gridCol w:w="960"/>
        <w:gridCol w:w="3614"/>
        <w:gridCol w:w="686"/>
        <w:gridCol w:w="802"/>
        <w:gridCol w:w="725"/>
      </w:tblGrid>
      <w:tr>
        <w:trPr>
          <w:trHeight w:val="7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承诺</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履行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 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股份限售 承诺及减 持意向承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自发行人股票上市之日起三十六个月内，本 人不转让或者委托他人管理本人直接或间 接持有的发行人公开发行股票前已发行的 股票，也不由发行人回购本人直接或间接持 有的发行人公开发行股票前已发行的股票； 任职期间本人每年转让的股票数量，不超过 届时本人所持发行人股票总数的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后半年内，不转让本人所持有的发行人股 份。本人所持股票在锁定期满后两年内减持 的，其减持价格不低于发行价；发行人上市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期末收盘价格低于发行价，本人持有发行人 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个月。本人在锁 定期满，遵守相关法律、法规、规章、规范 性文件及证券交易所监管规则且不违背本 人已做出的其他承诺的情况下，将根据资金 需求、投资安排等各方面因素确定是否减持 所持公司股份。锁定期满两年内，如本人确 定减持公司股份的，则在减持对公司二级市 场不构成重大干扰的条件下，本人每年所累 积减持的股份总数将不超过本人所持有的 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；减持价格不低于本次 发行价格的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。该等减持方式为大宗交 易或集中竞价等法律允许的方式。该等减持 行为，将提前三个交易日予以公告。期间公 司如有派息、送股、资本公积金转增股本、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锁定期 限承诺 至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已履行 完毕； 其他长 期有效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886"/>
        <w:gridCol w:w="912"/>
        <w:gridCol w:w="960"/>
        <w:gridCol w:w="3614"/>
        <w:gridCol w:w="686"/>
        <w:gridCol w:w="802"/>
        <w:gridCol w:w="72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配股等除权除息事项，减持底价相应进行调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2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自发行人股票上市之日起一年内，本人不转 让或者委托他人管理本人持有的发行人公 开发行股票前已发行的股票，也不由发行人 回购本人持有的发行人公开发行股票前已 发行的股票；自发行人首次公开发行股票上 市之日起六个月内申报离职的，自申报离职 之日起十八个月内不转让本人直接持有的 发行人股份；在首次公开发行股票上市之日 起第七个月至第十二个月之间申报离职的， 自申报离职之日起十二个月内不转让本人 直接持有的发行人股份；任职期间本人每年 转让的股票数量，不超过届时本人所持发行 人股票总数的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，离职后半年内不转让本 人持有的发行人股票。本人所持发行人股票 在锁定期满后两年内减持的，其减持价格不</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锁定期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限承诺</w:t>
            </w:r>
          </w:p>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低于发行价；发行人上市后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承诺及减</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个交易日的收盘价低于发行</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持意向承</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价，本人持有发行人股票的锁定期限自动延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c>
          <w:tcPr>
            <w:tcBorders>
              <w:left w:val="single" w:sz="4"/>
              <w:right w:val="single" w:sz="4"/>
            </w:tcBorders>
            <w:shd w:val="clear" w:color="auto" w:fill="FFFFFF"/>
            <w:vAlign w:val="top"/>
          </w:tcPr>
          <w:p>
            <w:pPr>
              <w:widowControl w:val="0"/>
              <w:rPr>
                <w:sz w:val="10"/>
                <w:szCs w:val="10"/>
              </w:rPr>
            </w:pPr>
          </w:p>
        </w:tc>
      </w:tr>
      <w:tr>
        <w:trPr>
          <w:trHeight w:val="465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个月。本人在锁定期满，遵守相关法律、 法规、规章、规范性文件及证券交易所监管 规则且不违背本人已做出的其他承诺的情 况下，将根据资金需求、投资安排等各方面 因素确定是否减持所持公司股份。锁定期满 两年内，如本人确定减持公司股份的，则在 减持对公司二级市场不构成重大干扰的条 件下，本人每年所累积减持的股份总数将不 超过本人所持有的公司股份总数的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；减 持价格不低于本次发行价格的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。该等 减持方式为大宗交易或集中竞价等法律允 许的方式。该等减持行为，将提前三个交易 日予以公告。期间公司如有派息、送股、资 本公积金转增股本、配股等除权除息事项， 减持底价相应进行调整。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140" w:after="120" w:line="240" w:lineRule="auto"/>
              <w:ind w:left="0" w:right="0" w:firstLine="0"/>
              <w:jc w:val="left"/>
            </w:pPr>
            <w:r>
              <w:rPr>
                <w:color w:val="000000"/>
                <w:spacing w:val="0"/>
                <w:w w:val="100"/>
                <w:position w:val="0"/>
              </w:rPr>
              <w:t>其他长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期有效</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自发行人股票上市之日起三十六个月内，本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公司不转让或者委托他人管理本公司持有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限承诺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的发行人公开发行股票前已发行的股票，也</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2019</w:t>
            </w: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 行完 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信投资</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不由发行人回购本公司持有的发行人公开</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发行股票前已发行的股票。所持股票在锁定</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期满后两年内减持的，其减持价格不低于发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减持价</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行价；发行人上市后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格承诺</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2021</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86"/>
        <w:gridCol w:w="912"/>
        <w:gridCol w:w="960"/>
        <w:gridCol w:w="3614"/>
        <w:gridCol w:w="686"/>
        <w:gridCol w:w="802"/>
        <w:gridCol w:w="725"/>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个月期末收盘价格低于发行 价，持有发行人股票的锁定期限自动延长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汇金科 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股份回购</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发行人招股说明书有虚假记载、误导性陈述 或者重大遗漏，对判断发行人是否符合法律 规定的发行条件构成重大、实质影响的，将 依法回购首次公开发行的全部新股。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股份回购</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发行人招股说明书有虚假记载、误导性陈述 或者重大遗漏，对判断发行人是否符合法律 规定的发行条件构成重大、实质影响的，将 依法购回已转让的原限售股份。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51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陈喆、马 铮、肖志 宏、宋京 生、侯 平、杨大 贺、于风 政、何 锋、陈家 贤、罗秀 红、汇金 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发行人招股说明书有虚假记载、误导性陈述 或者重大遗漏，致使投资者在证券交易中遭 受损失的，将依法赔偿投资者实际损失。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陈喆、马 铮、肖志 宏、宋京 生、侯 平、杨大 贺、于风 政、马晓 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填补即期 回报措施 切实履行 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不越权干预公司经营管理活 动，不侵占公司利益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。全体董事、高级管 理人员承诺''承诺不无偿或以不公平条件向 其他单位或者个人输送利益，也不采用其他 方式损害发行人利益；承诺对本人的职务消 费行为进行约束；承诺不动用发行人资产从 事与其履行职责无关的投资、消费活动；承 诺由董事会或薪酬委员会制定的薪酬制度 与发行人填补回报措施的执行情况相挂钩； 承诺拟公布的发行人股权激励的行权条件 与发行人填补回报措施的执行情况相挂钩； 承诺本人忠实、勤勉地履行职责，维护发行 人和全体股东的合法权益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汇金科 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880" w:val="left"/>
              </w:tabs>
              <w:bidi w:val="0"/>
              <w:spacing w:before="0" w:after="0" w:line="313" w:lineRule="exact"/>
              <w:ind w:left="0" w:right="0" w:firstLine="0"/>
              <w:jc w:val="left"/>
            </w:pPr>
            <w:r>
              <w:rPr>
                <w:color w:val="000000"/>
                <w:spacing w:val="0"/>
                <w:w w:val="100"/>
                <w:position w:val="0"/>
              </w:rPr>
              <w:t>公司根据国务院发布国办发〔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《关于进一步加强资本市场中小投资者合</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法权益保护工作的意见》及证监会《上市公 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 规范文件的相关相求，重视对投资者的合理 投资回报，制定了本次发行上市后适用的</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《珠海汇金科技股份有限公司公司章程（草 案）》及《珠海汇金科技股份有限公司首次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ectPr>
          <w:footnotePr>
            <w:pos w:val="pageBottom"/>
            <w:numFmt w:val="upperRoman"/>
            <w:numStart w:val="1"/>
            <w:numRestart w:val="continuous"/>
            <w15:footnoteColumns w:val="1"/>
          </w:footnotePr>
          <w:pgSz w:w="11900" w:h="16840"/>
          <w:pgMar w:top="1441" w:right="1074" w:bottom="1470" w:left="1054" w:header="0" w:footer="3" w:gutter="0"/>
          <w:cols w:space="720"/>
          <w:noEndnote/>
          <w:rtlGutter w:val="0"/>
          <w:docGrid w:linePitch="360"/>
        </w:sectPr>
      </w:pPr>
    </w:p>
    <w:tbl>
      <w:tblPr>
        <w:tblOverlap w:val="never"/>
        <w:jc w:val="center"/>
        <w:tblLayout w:type="fixed"/>
      </w:tblPr>
      <w:tblGrid>
        <w:gridCol w:w="917"/>
        <w:gridCol w:w="960"/>
        <w:gridCol w:w="3614"/>
        <w:gridCol w:w="686"/>
        <w:gridCol w:w="802"/>
        <w:gridCol w:w="710"/>
      </w:tblGrid>
      <w:tr>
        <w:trPr>
          <w:trHeight w:val="16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公开发行股票并上市后股东分红回报规 划》，完善了公司利润分配制度，对利润分 配政策尤其是现金分红政策进行了具体安 排。公司承诺将严格按照上述制度进行利润 分配，切实保障投资者收益权。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竞争方面</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本人目前未以任何形式直接或间接从事与 发行人相同或相似的业务，未拥有与发行人 相同或相似的控股公司、联营公司及合营公 司，将来也不会从事与发行人相同或相似的 业务；本人将不投资与发行人相同或相似的 企业或项目，以避免对发行人的生产经营构 成直接或间接的竞争；保证本人与本人关系 密切的家庭成员不直接或间接从事、参与或 进行与发行人生产、经营相竞争的任何经营 活动。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53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少关联交</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、不利用自身作为发行人控股股东、实际 控制人之地位及控制性影响谋求发行人在 业务合作等方面给予优于市场第三方的权 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、不利用自身作为发行人控股股东、 实际控制人之地位及控制性影响谋求与发 行人达成交易的优先权利；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、不以与市场 价格相比显失公允的条件与发行人进行交 易，亦不利用该类交易从事任何损害发行人 利益的行为；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、在发行人将来可能产生的 与本人及本人控制的企业的关联交易时，本 人将积极、善意促使发行人采取如下措施规 范该等关联交易：（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）严格遵守发行人章程、 股东大会议事规则、董事会议事规则等相关 规定，履行关联交易决策、回避表决等公允 决策程序，及时详细进行信息披露；（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 照市场经济原则，采取市场定价确定交易价 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47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马铮、苏 州衡赢 真盛创 业投资 中心（有 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少关联交</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、不利用自身作为发行人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以上股东之地 位及影响谋求发行人在业务合作等方面给 予优于市场第三方的权利；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、不利用自身 作为发行人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以上股东之地位及影响谋求 与发行人达成交易的优先权利；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、不以与 市场价格相比显失公允的条件与发行人进 行交易，亦不利用该类交易从事任何损害发 行人利益的行为；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、在发行人将来可能产 生的与本人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企业控制的企业的 关联交易时，本人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企业将积极、善意促使发 行人采取如下措施规范该等关联交易：（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ectPr>
          <w:footnotePr>
            <w:pos w:val="pageBottom"/>
            <w:numFmt w:val="upperRoman"/>
            <w:numStart w:val="1"/>
            <w:numRestart w:val="continuous"/>
            <w15:footnoteColumns w:val="1"/>
          </w:footnotePr>
          <w:pgSz w:w="11900" w:h="16840"/>
          <w:pgMar w:top="1450" w:right="1210" w:bottom="1450" w:left="3000" w:header="0" w:footer="3" w:gutter="0"/>
          <w:cols w:space="720"/>
          <w:noEndnote/>
          <w:rtlGutter w:val="0"/>
          <w:docGrid w:linePitch="360"/>
        </w:sectPr>
      </w:pPr>
    </w:p>
    <w:tbl>
      <w:tblPr>
        <w:tblOverlap w:val="never"/>
        <w:jc w:val="center"/>
        <w:tblLayout w:type="fixed"/>
      </w:tblPr>
      <w:tblGrid>
        <w:gridCol w:w="1886"/>
        <w:gridCol w:w="912"/>
        <w:gridCol w:w="960"/>
        <w:gridCol w:w="3614"/>
        <w:gridCol w:w="686"/>
        <w:gridCol w:w="802"/>
        <w:gridCol w:w="725"/>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严格遵守发行人章程、股东大会议事规则、 董事会议事规则等相关规定，履行关联交易 决策、回避表决等公允决策程序，及时详细 进行信息披露；(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)依照市场经济原则，采 取市场定价确定交易价格。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汇金科 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公司承诺不为激励对象依公司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 性股票激励计划获取有关限制性股票提供 贷款以及其他任何形式的财务资助，包括为 其贷款提供担保。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5"/>
        <w:keepNext/>
        <w:keepLines/>
        <w:widowControl w:val="0"/>
        <w:shd w:val="clear" w:color="auto" w:fill="auto"/>
        <w:bidi w:val="0"/>
        <w:spacing w:before="0" w:after="380" w:line="322" w:lineRule="exact"/>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、公司资产或项目存在盈利预测，且报告期仍处在盈利预测期间，公司就资产或项目达到原盈利预测及 其原因做出说明</w:t>
      </w:r>
      <w:bookmarkEnd w:id="439"/>
      <w:bookmarkEnd w:id="440"/>
      <w:bookmarkEnd w:id="44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after="380" w:line="298" w:lineRule="exact"/>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二</w:t>
      </w:r>
      <w:bookmarkEnd w:id="445"/>
      <w:r>
        <w:rPr>
          <w:color w:val="000000"/>
          <w:spacing w:val="0"/>
          <w:w w:val="100"/>
          <w:position w:val="0"/>
        </w:rPr>
        <w:t>、</w:t>
        <w:tab/>
        <w:t>控股股东及其他关联方对上市公司的非经营性占用资金情况</w:t>
      </w:r>
      <w:bookmarkEnd w:id="443"/>
      <w:bookmarkEnd w:id="444"/>
      <w:bookmarkEnd w:id="446"/>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9"/>
        <w:keepNext/>
        <w:keepLines/>
        <w:widowControl w:val="0"/>
        <w:shd w:val="clear" w:color="auto" w:fill="auto"/>
        <w:tabs>
          <w:tab w:pos="522" w:val="left"/>
        </w:tabs>
        <w:bidi w:val="0"/>
        <w:spacing w:before="0" w:after="380" w:line="298" w:lineRule="exact"/>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三</w:t>
      </w:r>
      <w:bookmarkEnd w:id="449"/>
      <w:r>
        <w:rPr>
          <w:color w:val="000000"/>
          <w:spacing w:val="0"/>
          <w:w w:val="100"/>
          <w:position w:val="0"/>
        </w:rPr>
        <w:t>、</w:t>
        <w:tab/>
        <w:t>违规对外担保情况</w:t>
      </w:r>
      <w:bookmarkEnd w:id="447"/>
      <w:bookmarkEnd w:id="448"/>
      <w:bookmarkEnd w:id="450"/>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522" w:val="left"/>
        </w:tabs>
        <w:bidi w:val="0"/>
        <w:spacing w:before="0" w:after="380" w:line="298" w:lineRule="exact"/>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四</w:t>
      </w:r>
      <w:bookmarkEnd w:id="453"/>
      <w:r>
        <w:rPr>
          <w:color w:val="000000"/>
          <w:spacing w:val="0"/>
          <w:w w:val="100"/>
          <w:position w:val="0"/>
        </w:rPr>
        <w:t>、</w:t>
        <w:tab/>
        <w:t>董事会对最近一期“非标准审计报告”相关情况的说明</w:t>
      </w:r>
      <w:bookmarkEnd w:id="451"/>
      <w:bookmarkEnd w:id="452"/>
      <w:bookmarkEnd w:id="454"/>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22" w:val="left"/>
        </w:tabs>
        <w:bidi w:val="0"/>
        <w:spacing w:before="0" w:after="380" w:line="298" w:lineRule="exact"/>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五</w:t>
      </w:r>
      <w:bookmarkEnd w:id="457"/>
      <w:r>
        <w:rPr>
          <w:color w:val="000000"/>
          <w:spacing w:val="0"/>
          <w:w w:val="100"/>
          <w:position w:val="0"/>
        </w:rPr>
        <w:t>、</w:t>
        <w:tab/>
        <w:t>董事会、监事会、独立董事(如有)对会计师事务所本报告期“非标准审计报告”的说 明</w:t>
      </w:r>
      <w:bookmarkEnd w:id="455"/>
      <w:bookmarkEnd w:id="456"/>
      <w:bookmarkEnd w:id="458"/>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46" w:val="left"/>
        </w:tabs>
        <w:bidi w:val="0"/>
        <w:spacing w:before="0" w:after="24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六</w:t>
      </w:r>
      <w:bookmarkEnd w:id="461"/>
      <w:r>
        <w:rPr>
          <w:color w:val="000000"/>
          <w:spacing w:val="0"/>
          <w:w w:val="100"/>
          <w:position w:val="0"/>
        </w:rPr>
        <w:t>、</w:t>
        <w:tab/>
        <w:t>董事会关于报告期会计政策、会计估计变更或重大会计差错更正的说明</w:t>
      </w:r>
      <w:bookmarkEnd w:id="459"/>
      <w:bookmarkEnd w:id="460"/>
      <w:bookmarkEnd w:id="462"/>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报告期内，公司会计政策、会计估计发生了变更，具体如下：</w:t>
      </w:r>
    </w:p>
    <w:p>
      <w:pPr>
        <w:pStyle w:val="Style23"/>
        <w:keepNext w:val="0"/>
        <w:keepLines w:val="0"/>
        <w:widowControl w:val="0"/>
        <w:shd w:val="clear" w:color="auto" w:fill="auto"/>
        <w:tabs>
          <w:tab w:pos="710" w:val="left"/>
        </w:tabs>
        <w:bidi w:val="0"/>
        <w:spacing w:before="0" w:after="0" w:line="360" w:lineRule="auto"/>
        <w:ind w:left="0" w:right="0"/>
        <w:jc w:val="both"/>
      </w:pPr>
      <w:bookmarkStart w:id="463" w:name="bookmark463"/>
      <w:r>
        <w:rPr>
          <w:rFonts w:ascii="Times New Roman" w:eastAsia="Times New Roman" w:hAnsi="Times New Roman" w:cs="Times New Roman"/>
          <w:color w:val="000000"/>
          <w:spacing w:val="0"/>
          <w:w w:val="100"/>
          <w:position w:val="0"/>
          <w:sz w:val="18"/>
          <w:szCs w:val="18"/>
        </w:rPr>
        <w:t>1</w:t>
      </w:r>
      <w:bookmarkEnd w:id="463"/>
      <w:r>
        <w:rPr>
          <w:color w:val="000000"/>
          <w:spacing w:val="0"/>
          <w:w w:val="100"/>
          <w:position w:val="0"/>
        </w:rPr>
        <w:t>、</w:t>
        <w:tab/>
        <w:t>会计政策变更</w:t>
      </w:r>
    </w:p>
    <w:p>
      <w:pPr>
        <w:pStyle w:val="Style23"/>
        <w:keepNext w:val="0"/>
        <w:keepLines w:val="0"/>
        <w:widowControl w:val="0"/>
        <w:shd w:val="clear" w:color="auto" w:fill="auto"/>
        <w:bidi w:val="0"/>
        <w:spacing w:before="0" w:after="40" w:line="317"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号一租赁〉的通知》（财会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 简称“新租赁准则”），要求在境内外同时上市的企业以及在境外上市并采用国际财务报告准则或企业会计准则编制财务报表 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日起施行。公司按照上述文件的要求，对原会计 政策进行了相应变更。</w:t>
      </w:r>
    </w:p>
    <w:p>
      <w:pPr>
        <w:pStyle w:val="Style23"/>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日，公司召开第三届董事会第三十二次会议和第三届监事会第二十五次会议，审议通过了《关于会计政 策变更的议案》，根据财政部的相关规定，公司于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日起施行新租赁准则。</w:t>
      </w:r>
    </w:p>
    <w:p>
      <w:pPr>
        <w:pStyle w:val="Style23"/>
        <w:keepNext w:val="0"/>
        <w:keepLines w:val="0"/>
        <w:widowControl w:val="0"/>
        <w:shd w:val="clear" w:color="auto" w:fill="auto"/>
        <w:bidi w:val="0"/>
        <w:spacing w:before="0" w:after="140" w:line="312" w:lineRule="exact"/>
        <w:ind w:left="0" w:right="0"/>
        <w:jc w:val="both"/>
      </w:pPr>
      <w:r>
        <w:rPr>
          <w:color w:val="000000"/>
          <w:spacing w:val="0"/>
          <w:w w:val="100"/>
          <w:position w:val="0"/>
        </w:rPr>
        <w:t>根据新租赁准则中衔接的相关规定，公司无需对比较财务报表进行追溯调整，只调整首次执行本准则当年年初财务报表 相关项目金额。本次执行新租赁准则不会对公司财务状况、经营成果和现金流量产生重大影响，不存在损害公司股东利益的 情况。</w:t>
      </w:r>
    </w:p>
    <w:p>
      <w:pPr>
        <w:pStyle w:val="Style23"/>
        <w:keepNext w:val="0"/>
        <w:keepLines w:val="0"/>
        <w:widowControl w:val="0"/>
        <w:shd w:val="clear" w:color="auto" w:fill="auto"/>
        <w:tabs>
          <w:tab w:pos="729" w:val="left"/>
        </w:tabs>
        <w:bidi w:val="0"/>
        <w:spacing w:before="0" w:after="0" w:line="360" w:lineRule="auto"/>
        <w:ind w:left="0" w:right="0"/>
        <w:jc w:val="both"/>
      </w:pPr>
      <w:bookmarkStart w:id="464" w:name="bookmark464"/>
      <w:r>
        <w:rPr>
          <w:rFonts w:ascii="Times New Roman" w:eastAsia="Times New Roman" w:hAnsi="Times New Roman" w:cs="Times New Roman"/>
          <w:color w:val="000000"/>
          <w:spacing w:val="0"/>
          <w:w w:val="100"/>
          <w:position w:val="0"/>
          <w:sz w:val="18"/>
          <w:szCs w:val="18"/>
        </w:rPr>
        <w:t>2</w:t>
      </w:r>
      <w:bookmarkEnd w:id="464"/>
      <w:r>
        <w:rPr>
          <w:color w:val="000000"/>
          <w:spacing w:val="0"/>
          <w:w w:val="100"/>
          <w:position w:val="0"/>
        </w:rPr>
        <w:t>、</w:t>
        <w:tab/>
        <w:t>会计估计变更</w:t>
      </w:r>
    </w:p>
    <w:p>
      <w:pPr>
        <w:pStyle w:val="Style23"/>
        <w:keepNext w:val="0"/>
        <w:keepLines w:val="0"/>
        <w:widowControl w:val="0"/>
        <w:shd w:val="clear" w:color="auto" w:fill="auto"/>
        <w:bidi w:val="0"/>
        <w:spacing w:before="0" w:after="40" w:line="311" w:lineRule="exact"/>
        <w:ind w:left="0" w:right="0"/>
        <w:jc w:val="both"/>
      </w:pPr>
      <w:r>
        <w:rPr>
          <w:color w:val="000000"/>
          <w:spacing w:val="0"/>
          <w:w w:val="100"/>
          <w:position w:val="0"/>
        </w:rPr>
        <w:t>根据财政部发布的《企业会计准则第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号一固定资产》“企业应当根据固定资产的性质和使用情况合理确定固定资产的 使用寿命和预计净残值”的规定，为更加公允、真实地反映公司的资产状况和经营成果，使固定资产折旧年限与实际使用寿 命更加接近、计提折旧期间更加合理，公司于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日召开第三届董事会第三十二次会议和第三届监事会第二十五 次会议，审议通过了《关于会计估计变更的议案》，对固定资产进行梳理后，决定自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日起对房屋建筑物的折旧 年限由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p>
      <w:pPr>
        <w:pStyle w:val="Style23"/>
        <w:keepNext w:val="0"/>
        <w:keepLines w:val="0"/>
        <w:widowControl w:val="0"/>
        <w:shd w:val="clear" w:color="auto" w:fill="auto"/>
        <w:bidi w:val="0"/>
        <w:spacing w:before="0" w:after="40" w:line="317" w:lineRule="exact"/>
        <w:ind w:left="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会计政策、会计估计变更何差错更正》的相关规定，本次变更采用未来适用法，无需对已 披露的财务报告进行追溯调整，因此不会对公司已披露的财务报表产生影响。公司此次固定资产折旧年限变更是依据国家相 关准则规定及公司实际情况进行的调整，变更后的会计估计能够更加客观、真实地反映公司的财务状况和经营成果。</w:t>
      </w:r>
    </w:p>
    <w:p>
      <w:pPr>
        <w:pStyle w:val="Style23"/>
        <w:keepNext w:val="0"/>
        <w:keepLines w:val="0"/>
        <w:widowControl w:val="0"/>
        <w:shd w:val="clear" w:color="auto" w:fill="auto"/>
        <w:bidi w:val="0"/>
        <w:spacing w:before="0" w:after="380" w:line="317" w:lineRule="exact"/>
        <w:ind w:left="0" w:right="0"/>
        <w:jc w:val="left"/>
      </w:pPr>
      <w:r>
        <w:rPr>
          <w:color w:val="000000"/>
          <w:spacing w:val="0"/>
          <w:w w:val="100"/>
          <w:position w:val="0"/>
        </w:rPr>
        <w:t>具体请查阅本文之“第十节财务报告五、重要会计政策及会计估计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重要会计政策和会计估计变更”的内容。</w:t>
      </w:r>
    </w:p>
    <w:p>
      <w:pPr>
        <w:pStyle w:val="Style29"/>
        <w:keepNext/>
        <w:keepLines/>
        <w:widowControl w:val="0"/>
        <w:shd w:val="clear" w:color="auto" w:fill="auto"/>
        <w:tabs>
          <w:tab w:pos="546" w:val="left"/>
        </w:tabs>
        <w:bidi w:val="0"/>
        <w:spacing w:before="0" w:after="24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七</w:t>
      </w:r>
      <w:bookmarkEnd w:id="467"/>
      <w:r>
        <w:rPr>
          <w:color w:val="000000"/>
          <w:spacing w:val="0"/>
          <w:w w:val="100"/>
          <w:position w:val="0"/>
        </w:rPr>
        <w:t>、</w:t>
        <w:tab/>
        <w:t>与上年度财务报告相比，合并报表范围发生变化的情况说明</w:t>
      </w:r>
      <w:bookmarkEnd w:id="465"/>
      <w:bookmarkEnd w:id="466"/>
      <w:bookmarkEnd w:id="468"/>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tabs>
          <w:tab w:pos="546"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八</w:t>
      </w:r>
      <w:bookmarkEnd w:id="471"/>
      <w:r>
        <w:rPr>
          <w:color w:val="000000"/>
          <w:spacing w:val="0"/>
          <w:w w:val="100"/>
          <w:position w:val="0"/>
        </w:rPr>
        <w:t>、</w:t>
        <w:tab/>
        <w:t>聘任、解聘会计师事务所情况</w:t>
      </w:r>
      <w:bookmarkEnd w:id="469"/>
      <w:bookmarkEnd w:id="470"/>
      <w:bookmarkEnd w:id="47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邵桂荣、胡静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邵桂荣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年、胡静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九</w:t>
      </w:r>
      <w:bookmarkEnd w:id="475"/>
      <w:r>
        <w:rPr>
          <w:color w:val="000000"/>
          <w:spacing w:val="0"/>
          <w:w w:val="100"/>
          <w:position w:val="0"/>
        </w:rPr>
        <w:t>、年度报告披露后面临退市情况</w:t>
      </w:r>
      <w:bookmarkEnd w:id="473"/>
      <w:bookmarkEnd w:id="474"/>
      <w:bookmarkEnd w:id="47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rPr>
        <w:t>十、破产重整相关事项</w:t>
      </w:r>
      <w:bookmarkEnd w:id="477"/>
      <w:bookmarkEnd w:id="478"/>
      <w:bookmarkEnd w:id="47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r>
        <w:rPr>
          <w:color w:val="000000"/>
          <w:spacing w:val="0"/>
          <w:w w:val="100"/>
          <w:position w:val="0"/>
        </w:rPr>
        <w:t>十一、重大诉讼、仲裁事项</w:t>
      </w:r>
      <w:bookmarkEnd w:id="480"/>
      <w:bookmarkEnd w:id="481"/>
      <w:bookmarkEnd w:id="48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9"/>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r>
        <w:rPr>
          <w:color w:val="000000"/>
          <w:spacing w:val="0"/>
          <w:w w:val="100"/>
          <w:position w:val="0"/>
        </w:rPr>
        <w:t>十二、处罚及整改情况</w:t>
      </w:r>
      <w:bookmarkEnd w:id="483"/>
      <w:bookmarkEnd w:id="484"/>
      <w:bookmarkEnd w:id="485"/>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78"/>
        <w:gridCol w:w="1368"/>
        <w:gridCol w:w="1368"/>
        <w:gridCol w:w="1363"/>
        <w:gridCol w:w="1368"/>
        <w:gridCol w:w="1363"/>
        <w:gridCol w:w="138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汇金科技、陈 喆、孙玉玲</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因广东证监局 对公司的现场 检查中，发现 公司府补助信 息披露不及 时、内幕信息 知情人登记管 理不到位。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 取行政监管措 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出具警示函的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行政监管措施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《关于收到中 国证券监督管 理委员会广东 监管局行政监 管措施决定书 的公告》（公告 编号：</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整改情况说明</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公司收到上述《行政监管措施决定书》后，高度重视，立即对相关事项进行自查，深入分析问题原因，结合公司实际情 况，就《行政监管措施决定书》中提出的问题切实进行了整改，现将具体整改情况报告如下：</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sz w:val="18"/>
          <w:szCs w:val="18"/>
        </w:rPr>
        <w:t>1</w:t>
      </w:r>
      <w:r>
        <w:rPr>
          <w:color w:val="000000"/>
          <w:spacing w:val="0"/>
          <w:w w:val="100"/>
          <w:position w:val="0"/>
        </w:rPr>
        <w:t>、整改工作的整体安排</w:t>
      </w:r>
    </w:p>
    <w:p>
      <w:pPr>
        <w:pStyle w:val="Style23"/>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公司董事会第一时间向全体董事、监事、高级管理人员以及相关部门人员，传达了《行政监管措施决定书》的内容及有 关精神。为切实落实整改工作，公司成立了专项整改小组，由公司董事长担任组长，公司董事会秘书负责组织相关部门人员 执行落实。</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公司专项整改小组要求整改责任人和相关部门，本着实事求是的原则，严格对照《中华人民共和国公司法》、《中华人民 共和国证券法》、《上市公司信息披露管理办法》、《关于上市公司建立内幕信息知情人登记管理制度的规定》、《深圳证券交易 所创业板股票上市规则》等相关法律法规及规范性文件，对《行政监管措施决定书》中指出的公司存在的问题进行深入自查， 逐项提出整改措施，杜绝类似情况的再次发生。</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公司通过责任到人、持续改进的措施，保障整改工作落到实处，持续提升公司规范治理和信息披露水平。</w:t>
      </w:r>
    </w:p>
    <w:p>
      <w:pPr>
        <w:pStyle w:val="Style23"/>
        <w:keepNext w:val="0"/>
        <w:keepLines w:val="0"/>
        <w:widowControl w:val="0"/>
        <w:shd w:val="clear" w:color="auto" w:fill="auto"/>
        <w:tabs>
          <w:tab w:pos="715" w:val="left"/>
        </w:tabs>
        <w:bidi w:val="0"/>
        <w:spacing w:before="0" w:after="0" w:line="314" w:lineRule="exact"/>
        <w:ind w:left="0" w:right="0"/>
        <w:jc w:val="both"/>
      </w:pPr>
      <w:bookmarkStart w:id="486" w:name="bookmark486"/>
      <w:r>
        <w:rPr>
          <w:color w:val="000000"/>
          <w:spacing w:val="0"/>
          <w:w w:val="100"/>
          <w:position w:val="0"/>
          <w:sz w:val="18"/>
          <w:szCs w:val="18"/>
        </w:rPr>
        <w:t>2</w:t>
      </w:r>
      <w:bookmarkEnd w:id="486"/>
      <w:r>
        <w:rPr>
          <w:color w:val="000000"/>
          <w:spacing w:val="0"/>
          <w:w w:val="100"/>
          <w:position w:val="0"/>
        </w:rPr>
        <w:t>、</w:t>
        <w:tab/>
        <w:t>公司实施的整改措施及完成情况</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问题一：政府补助信息披露不及时。</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日，汇金科技收到与收益相关的政府补助共计</w:t>
      </w:r>
      <w:r>
        <w:rPr>
          <w:color w:val="000000"/>
          <w:spacing w:val="0"/>
          <w:w w:val="100"/>
          <w:position w:val="0"/>
          <w:sz w:val="18"/>
          <w:szCs w:val="18"/>
        </w:rPr>
        <w:t xml:space="preserve">463. </w:t>
      </w:r>
      <w:r>
        <w:rPr>
          <w:color w:val="000000"/>
          <w:spacing w:val="0"/>
          <w:w w:val="100"/>
          <w:position w:val="0"/>
          <w:sz w:val="18"/>
          <w:szCs w:val="18"/>
        </w:rPr>
        <w:t>92</w:t>
      </w:r>
      <w:r>
        <w:rPr>
          <w:color w:val="000000"/>
          <w:spacing w:val="0"/>
          <w:w w:val="100"/>
          <w:position w:val="0"/>
        </w:rPr>
        <w:t>万元，确认利润</w:t>
      </w:r>
      <w:r>
        <w:rPr>
          <w:color w:val="000000"/>
          <w:spacing w:val="0"/>
          <w:w w:val="100"/>
          <w:position w:val="0"/>
          <w:sz w:val="18"/>
          <w:szCs w:val="18"/>
        </w:rPr>
        <w:t xml:space="preserve">394. </w:t>
      </w:r>
      <w:r>
        <w:rPr>
          <w:color w:val="000000"/>
          <w:spacing w:val="0"/>
          <w:w w:val="100"/>
          <w:position w:val="0"/>
          <w:sz w:val="18"/>
          <w:szCs w:val="18"/>
        </w:rPr>
        <w:t>33</w:t>
      </w:r>
      <w:r>
        <w:rPr>
          <w:color w:val="000000"/>
          <w:spacing w:val="0"/>
          <w:w w:val="100"/>
          <w:position w:val="0"/>
        </w:rPr>
        <w:t>万元，占公司</w:t>
      </w:r>
      <w:r>
        <w:rPr>
          <w:color w:val="000000"/>
          <w:spacing w:val="0"/>
          <w:w w:val="100"/>
          <w:position w:val="0"/>
          <w:sz w:val="18"/>
          <w:szCs w:val="18"/>
        </w:rPr>
        <w:t>2018</w:t>
      </w:r>
      <w:r>
        <w:rPr>
          <w:color w:val="000000"/>
          <w:spacing w:val="0"/>
          <w:w w:val="100"/>
          <w:position w:val="0"/>
        </w:rPr>
        <w:t>年度经 审计净利润的</w:t>
      </w:r>
      <w:r>
        <w:rPr>
          <w:color w:val="000000"/>
          <w:spacing w:val="0"/>
          <w:w w:val="100"/>
          <w:position w:val="0"/>
          <w:sz w:val="18"/>
          <w:szCs w:val="18"/>
        </w:rPr>
        <w:t>15.2%，</w:t>
      </w:r>
      <w:r>
        <w:rPr>
          <w:color w:val="000000"/>
          <w:spacing w:val="0"/>
          <w:w w:val="100"/>
          <w:position w:val="0"/>
        </w:rPr>
        <w:t>公司迟至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日才披露相关情况。上述情形不符合《上市公司信息披露管理办法》第二条、第 三十条的规定。</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整改措施：</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结合公司实际情况，增强公司部门间沟通，完善信息披露事务和财务事务的日常沟通机制，加强对信息披露人员的专业 培训，加强其规范意识。</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公司制定了《政府补助信息披露流程》，详细规定了政府补助信息披露的工作职责和工作流程，切实明确董秘办、财务 中心作为信息披露执行部门的责任，进一步提高信息披露的及时性。《政府补助信息披露流程》随本报告一起报送贵局。</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公司将严格按照《上市公司信息披露管理办法》、《深圳证券交易所创业板股票上市规则》等规则的规定，确保在达到法 定披露标准的事项发生的第一时间，按照法律法规等有关规定履行信息披露义务，保证信息披露的及时性、准确性和完整性。</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整改责任人：董事长、董事会秘书、董秘办、财务中心。</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整改完成时间：后续将长期规范执行。</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问题二：内幕信息知情人登记管理不到位。</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一是汇金科技</w:t>
      </w:r>
      <w:r>
        <w:rPr>
          <w:color w:val="000000"/>
          <w:spacing w:val="0"/>
          <w:w w:val="100"/>
          <w:position w:val="0"/>
          <w:sz w:val="18"/>
          <w:szCs w:val="18"/>
        </w:rPr>
        <w:t>2019</w:t>
      </w:r>
      <w:r>
        <w:rPr>
          <w:color w:val="000000"/>
          <w:spacing w:val="0"/>
          <w:w w:val="100"/>
          <w:position w:val="0"/>
        </w:rPr>
        <w:t>年“发行股份、可转换公司债券及支付现金购买资产并募集配套资金暨关联交易”重大事项，公司 依法公开披露相关信息后才登记内幕信息知情人档案，且登记的副董事长知悉内幕信息时间晚于其实际知悉内幕信息的时 间；二是公司</w:t>
      </w:r>
      <w:r>
        <w:rPr>
          <w:color w:val="000000"/>
          <w:spacing w:val="0"/>
          <w:w w:val="100"/>
          <w:position w:val="0"/>
          <w:sz w:val="18"/>
          <w:szCs w:val="18"/>
        </w:rPr>
        <w:t>2020</w:t>
      </w:r>
      <w:r>
        <w:rPr>
          <w:color w:val="000000"/>
          <w:spacing w:val="0"/>
          <w:w w:val="100"/>
          <w:position w:val="0"/>
        </w:rPr>
        <w:t>年筹划“发行股份、可转换公司债券及支付现金购买资产并募集配套资金暨关联交易”重大事项的内幕信 息知情人档案，以及公司</w:t>
      </w:r>
      <w:r>
        <w:rPr>
          <w:color w:val="000000"/>
          <w:spacing w:val="0"/>
          <w:w w:val="100"/>
          <w:position w:val="0"/>
          <w:sz w:val="18"/>
          <w:szCs w:val="18"/>
        </w:rPr>
        <w:t>2018</w:t>
      </w:r>
      <w:r>
        <w:rPr>
          <w:color w:val="000000"/>
          <w:spacing w:val="0"/>
          <w:w w:val="100"/>
          <w:position w:val="0"/>
        </w:rPr>
        <w:t>年年报、</w:t>
      </w:r>
      <w:r>
        <w:rPr>
          <w:color w:val="000000"/>
          <w:spacing w:val="0"/>
          <w:w w:val="100"/>
          <w:position w:val="0"/>
          <w:sz w:val="18"/>
          <w:szCs w:val="18"/>
        </w:rPr>
        <w:t>2019</w:t>
      </w:r>
      <w:r>
        <w:rPr>
          <w:color w:val="000000"/>
          <w:spacing w:val="0"/>
          <w:w w:val="100"/>
          <w:position w:val="0"/>
        </w:rPr>
        <w:t>年一季报、</w:t>
      </w:r>
      <w:r>
        <w:rPr>
          <w:color w:val="000000"/>
          <w:spacing w:val="0"/>
          <w:w w:val="100"/>
          <w:position w:val="0"/>
          <w:sz w:val="18"/>
          <w:szCs w:val="18"/>
        </w:rPr>
        <w:t>2019</w:t>
      </w:r>
      <w:r>
        <w:rPr>
          <w:color w:val="000000"/>
          <w:spacing w:val="0"/>
          <w:w w:val="100"/>
          <w:position w:val="0"/>
        </w:rPr>
        <w:t>年年报的内幕信息知情人档案中，部分内幕信息知情人登记的时 间晚于其知悉时间。上述情形不符合《关于上市公司建立内幕信息知情人登记管理制度的规定》第六条、第七条的规定。</w:t>
      </w:r>
    </w:p>
    <w:p>
      <w:pPr>
        <w:pStyle w:val="Style23"/>
        <w:keepNext w:val="0"/>
        <w:keepLines w:val="0"/>
        <w:widowControl w:val="0"/>
        <w:shd w:val="clear" w:color="auto" w:fill="auto"/>
        <w:bidi w:val="0"/>
        <w:spacing w:before="0" w:after="0" w:line="316" w:lineRule="exact"/>
        <w:ind w:left="0" w:right="0"/>
        <w:jc w:val="left"/>
      </w:pPr>
      <w:r>
        <w:rPr>
          <w:color w:val="000000"/>
          <w:spacing w:val="0"/>
          <w:w w:val="100"/>
          <w:position w:val="0"/>
        </w:rPr>
        <w:t>整改措施：</w:t>
      </w:r>
    </w:p>
    <w:p>
      <w:pPr>
        <w:pStyle w:val="Style23"/>
        <w:keepNext w:val="0"/>
        <w:keepLines w:val="0"/>
        <w:widowControl w:val="0"/>
        <w:shd w:val="clear" w:color="auto" w:fill="auto"/>
        <w:bidi w:val="0"/>
        <w:spacing w:before="0" w:after="0" w:line="316" w:lineRule="exact"/>
        <w:ind w:left="0" w:right="0"/>
        <w:jc w:val="left"/>
      </w:pPr>
      <w:r>
        <w:rPr>
          <w:color w:val="000000"/>
          <w:spacing w:val="0"/>
          <w:w w:val="100"/>
          <w:position w:val="0"/>
        </w:rPr>
        <w:t>公司组织董秘办的工作人员、公司各中心负责人及全体董事、监事、高级管理人员，加强对《关于上市公司建立内幕信 息知情人登记管理制度的规定》及公司《内幕信息知情人管理制度》的学习，提高合规意识、责任意识和风险意识。</w:t>
      </w:r>
    </w:p>
    <w:p>
      <w:pPr>
        <w:pStyle w:val="Style23"/>
        <w:keepNext w:val="0"/>
        <w:keepLines w:val="0"/>
        <w:widowControl w:val="0"/>
        <w:shd w:val="clear" w:color="auto" w:fill="auto"/>
        <w:bidi w:val="0"/>
        <w:spacing w:before="0" w:after="0" w:line="316" w:lineRule="exact"/>
        <w:ind w:left="0" w:right="0"/>
        <w:jc w:val="left"/>
      </w:pPr>
      <w:r>
        <w:rPr>
          <w:color w:val="000000"/>
          <w:spacing w:val="0"/>
          <w:w w:val="100"/>
          <w:position w:val="0"/>
        </w:rPr>
        <w:t>明确内幕信息知情人应当积极配合公司做好内幕信息知情人备案工作，按照相关要求，二个交易日向董秘办提供真实、 准确、完整的内幕信息知情人信息。落实内幕信息知情人档案登记管理各项要求，及时、准确、完整登记内幕信息知情人， 明确各岗位责任，证券事务代表负责内幕信息知情人的登记、管理事务，董事会秘书负责核对、确认工作，确保相关信息 及时、完整的进行记录。</w:t>
      </w:r>
    </w:p>
    <w:p>
      <w:pPr>
        <w:pStyle w:val="Style23"/>
        <w:keepNext w:val="0"/>
        <w:keepLines w:val="0"/>
        <w:widowControl w:val="0"/>
        <w:shd w:val="clear" w:color="auto" w:fill="auto"/>
        <w:bidi w:val="0"/>
        <w:spacing w:before="0" w:after="0" w:line="316" w:lineRule="exact"/>
        <w:ind w:left="0" w:right="0"/>
        <w:jc w:val="left"/>
      </w:pPr>
      <w:r>
        <w:rPr>
          <w:color w:val="000000"/>
          <w:spacing w:val="0"/>
          <w:w w:val="100"/>
          <w:position w:val="0"/>
        </w:rPr>
        <w:t>整改责任人：董事长、董事会秘书、董秘办。</w:t>
      </w:r>
    </w:p>
    <w:p>
      <w:pPr>
        <w:pStyle w:val="Style23"/>
        <w:keepNext w:val="0"/>
        <w:keepLines w:val="0"/>
        <w:widowControl w:val="0"/>
        <w:shd w:val="clear" w:color="auto" w:fill="auto"/>
        <w:bidi w:val="0"/>
        <w:spacing w:before="0" w:after="0" w:line="316" w:lineRule="exact"/>
        <w:ind w:left="0" w:right="0"/>
        <w:jc w:val="left"/>
      </w:pPr>
      <w:r>
        <w:rPr>
          <w:color w:val="000000"/>
          <w:spacing w:val="0"/>
          <w:w w:val="100"/>
          <w:position w:val="0"/>
        </w:rPr>
        <w:t>整改完成时间：后续将长期规范执行。</w:t>
      </w:r>
    </w:p>
    <w:p>
      <w:pPr>
        <w:pStyle w:val="Style23"/>
        <w:keepNext w:val="0"/>
        <w:keepLines w:val="0"/>
        <w:widowControl w:val="0"/>
        <w:shd w:val="clear" w:color="auto" w:fill="auto"/>
        <w:tabs>
          <w:tab w:pos="715" w:val="left"/>
        </w:tabs>
        <w:bidi w:val="0"/>
        <w:spacing w:before="0" w:after="0" w:line="316" w:lineRule="exact"/>
        <w:ind w:left="0" w:right="0"/>
        <w:jc w:val="both"/>
      </w:pPr>
      <w:bookmarkStart w:id="487" w:name="bookmark487"/>
      <w:r>
        <w:rPr>
          <w:color w:val="000000"/>
          <w:spacing w:val="0"/>
          <w:w w:val="100"/>
          <w:position w:val="0"/>
          <w:sz w:val="18"/>
          <w:szCs w:val="18"/>
        </w:rPr>
        <w:t>3</w:t>
      </w:r>
      <w:bookmarkEnd w:id="487"/>
      <w:r>
        <w:rPr>
          <w:color w:val="000000"/>
          <w:spacing w:val="0"/>
          <w:w w:val="100"/>
          <w:position w:val="0"/>
        </w:rPr>
        <w:t>、</w:t>
        <w:tab/>
        <w:t>公司总结</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公司将以本次整改为契机，持续加强全体董事、监事、高级管理人员及相关工作人员对证券法律法规的学习，强化规范 运作意识，加强信息披露管理，切实提高公司的信息披露质量和公司规范运作水平，有效维护公司及广大投资者利益，促进 公司持续、稳定、健康发展。</w:t>
      </w:r>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3"/>
        <w:keepNext w:val="0"/>
        <w:keepLines w:val="0"/>
        <w:widowControl w:val="0"/>
        <w:shd w:val="clear" w:color="auto" w:fill="auto"/>
        <w:bidi w:val="0"/>
        <w:spacing w:before="0" w:after="38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60" w:line="240" w:lineRule="auto"/>
        <w:ind w:left="0" w:right="0" w:firstLine="0"/>
        <w:jc w:val="left"/>
      </w:pPr>
      <w:bookmarkStart w:id="488" w:name="bookmark488"/>
      <w:bookmarkStart w:id="489" w:name="bookmark489"/>
      <w:bookmarkStart w:id="490" w:name="bookmark490"/>
      <w:r>
        <w:rPr>
          <w:color w:val="000000"/>
          <w:spacing w:val="0"/>
          <w:w w:val="100"/>
          <w:position w:val="0"/>
        </w:rPr>
        <w:t>十三、公司及其控股股东、实际控制人的诚信状况</w:t>
      </w:r>
      <w:bookmarkEnd w:id="488"/>
      <w:bookmarkEnd w:id="489"/>
      <w:bookmarkEnd w:id="490"/>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报告期内，公司及控股股东、实际控制人的诚信状况良好，不存在未履行法院生效判决、所负数额较大的债务到期未清偿等 情况。</w:t>
      </w:r>
    </w:p>
    <w:p>
      <w:pPr>
        <w:pStyle w:val="Style29"/>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r>
        <w:rPr>
          <w:color w:val="000000"/>
          <w:spacing w:val="0"/>
          <w:w w:val="100"/>
          <w:position w:val="0"/>
        </w:rPr>
        <w:t>十四、重大关联交易</w:t>
      </w:r>
      <w:bookmarkEnd w:id="491"/>
      <w:bookmarkEnd w:id="492"/>
      <w:bookmarkEnd w:id="493"/>
    </w:p>
    <w:p>
      <w:pPr>
        <w:pStyle w:val="Style35"/>
        <w:keepNext/>
        <w:keepLines/>
        <w:widowControl w:val="0"/>
        <w:shd w:val="clear" w:color="auto" w:fill="auto"/>
        <w:tabs>
          <w:tab w:pos="368" w:val="left"/>
        </w:tabs>
        <w:bidi w:val="0"/>
        <w:spacing w:before="0" w:after="26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w:t>
        <w:tab/>
        <w:t>与日常经营相关的关联交易</w:t>
      </w:r>
      <w:bookmarkEnd w:id="494"/>
      <w:bookmarkEnd w:id="495"/>
      <w:bookmarkEnd w:id="497"/>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after="26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资产或股权收购、出售发生的关联交易</w:t>
      </w:r>
      <w:bookmarkEnd w:id="498"/>
      <w:bookmarkEnd w:id="499"/>
      <w:bookmarkEnd w:id="501"/>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共同对外投资的关联交易</w:t>
      </w:r>
      <w:bookmarkEnd w:id="502"/>
      <w:bookmarkEnd w:id="503"/>
      <w:bookmarkEnd w:id="505"/>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关联债权债务往来</w:t>
      </w:r>
      <w:bookmarkEnd w:id="506"/>
      <w:bookmarkEnd w:id="507"/>
      <w:bookmarkEnd w:id="509"/>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5</w:t>
      </w:r>
      <w:bookmarkEnd w:id="512"/>
      <w:r>
        <w:rPr>
          <w:color w:val="000000"/>
          <w:spacing w:val="0"/>
          <w:w w:val="100"/>
          <w:position w:val="0"/>
        </w:rPr>
        <w:t>、</w:t>
        <w:tab/>
        <w:t>与存在关联关系的财务公司的往来情况</w:t>
      </w:r>
      <w:bookmarkEnd w:id="510"/>
      <w:bookmarkEnd w:id="511"/>
      <w:bookmarkEnd w:id="513"/>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6</w:t>
      </w:r>
      <w:bookmarkEnd w:id="516"/>
      <w:r>
        <w:rPr>
          <w:color w:val="000000"/>
          <w:spacing w:val="0"/>
          <w:w w:val="100"/>
          <w:position w:val="0"/>
        </w:rPr>
        <w:t>、</w:t>
        <w:tab/>
        <w:t>公司控股的财务公司与关联方的往来情况</w:t>
      </w:r>
      <w:bookmarkEnd w:id="514"/>
      <w:bookmarkEnd w:id="515"/>
      <w:bookmarkEnd w:id="517"/>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公司控股的财务公司与关联方之间不存在存款、贷款、授信或其他金融业务。</w:t>
      </w:r>
    </w:p>
    <w:p>
      <w:pPr>
        <w:pStyle w:val="Style35"/>
        <w:keepNext/>
        <w:keepLines/>
        <w:widowControl w:val="0"/>
        <w:shd w:val="clear" w:color="auto" w:fill="auto"/>
        <w:tabs>
          <w:tab w:pos="373" w:val="left"/>
        </w:tabs>
        <w:bidi w:val="0"/>
        <w:spacing w:before="0" w:after="26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7</w:t>
      </w:r>
      <w:bookmarkEnd w:id="520"/>
      <w:r>
        <w:rPr>
          <w:color w:val="000000"/>
          <w:spacing w:val="0"/>
          <w:w w:val="100"/>
          <w:position w:val="0"/>
        </w:rPr>
        <w:t>、</w:t>
        <w:tab/>
        <w:t>其他重大关联交易</w:t>
      </w:r>
      <w:bookmarkEnd w:id="518"/>
      <w:bookmarkEnd w:id="519"/>
      <w:bookmarkEnd w:id="521"/>
    </w:p>
    <w:p>
      <w:pPr>
        <w:pStyle w:val="Style2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r>
        <w:rPr>
          <w:color w:val="000000"/>
          <w:spacing w:val="0"/>
          <w:w w:val="100"/>
          <w:position w:val="0"/>
        </w:rPr>
        <w:t>十五、重大合同及其履行情况</w:t>
      </w:r>
      <w:bookmarkEnd w:id="522"/>
      <w:bookmarkEnd w:id="523"/>
      <w:bookmarkEnd w:id="524"/>
    </w:p>
    <w:p>
      <w:pPr>
        <w:pStyle w:val="Style35"/>
        <w:keepNext/>
        <w:keepLines/>
        <w:widowControl w:val="0"/>
        <w:shd w:val="clear" w:color="auto" w:fill="auto"/>
        <w:tabs>
          <w:tab w:pos="368" w:val="left"/>
        </w:tabs>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w:t>
        <w:tab/>
        <w:t>托管、承包、租赁事项情况</w:t>
      </w:r>
      <w:bookmarkEnd w:id="525"/>
      <w:bookmarkEnd w:id="526"/>
      <w:bookmarkEnd w:id="528"/>
    </w:p>
    <w:p>
      <w:pPr>
        <w:pStyle w:val="Style41"/>
        <w:keepNext/>
        <w:keepLines/>
        <w:widowControl w:val="0"/>
        <w:shd w:val="clear" w:color="auto" w:fill="auto"/>
        <w:tabs>
          <w:tab w:pos="493" w:val="left"/>
        </w:tabs>
        <w:bidi w:val="0"/>
        <w:spacing w:before="0" w:after="38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29"/>
      <w:bookmarkEnd w:id="530"/>
      <w:bookmarkEnd w:id="532"/>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3"/>
      <w:bookmarkEnd w:id="534"/>
      <w:bookmarkEnd w:id="536"/>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7"/>
      <w:bookmarkEnd w:id="538"/>
      <w:bookmarkEnd w:id="540"/>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重大担保</w:t>
      </w:r>
      <w:bookmarkEnd w:id="541"/>
      <w:bookmarkEnd w:id="542"/>
      <w:bookmarkEnd w:id="544"/>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委托他人进行现金资产管理情况</w:t>
      </w:r>
      <w:bookmarkEnd w:id="545"/>
      <w:bookmarkEnd w:id="546"/>
      <w:bookmarkEnd w:id="548"/>
    </w:p>
    <w:p>
      <w:pPr>
        <w:pStyle w:val="Style41"/>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9"/>
      <w:bookmarkEnd w:id="550"/>
      <w:bookmarkEnd w:id="552"/>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464"/>
        <w:gridCol w:w="1685"/>
        <w:gridCol w:w="155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逾期未收回理财 已计提减值金额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单项金额重大或安全性较低、流动性较差的高风险委托理财具体情况</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22"/>
        <w:gridCol w:w="427"/>
        <w:gridCol w:w="586"/>
        <w:gridCol w:w="787"/>
        <w:gridCol w:w="350"/>
        <w:gridCol w:w="605"/>
        <w:gridCol w:w="600"/>
        <w:gridCol w:w="475"/>
        <w:gridCol w:w="475"/>
        <w:gridCol w:w="686"/>
        <w:gridCol w:w="749"/>
        <w:gridCol w:w="662"/>
        <w:gridCol w:w="398"/>
        <w:gridCol w:w="437"/>
        <w:gridCol w:w="365"/>
        <w:gridCol w:w="403"/>
        <w:gridCol w:w="533"/>
      </w:tblGrid>
      <w:tr>
        <w:trPr>
          <w:trHeight w:val="4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受托机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参考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事</w:t>
            </w:r>
          </w:p>
        </w:tc>
      </w:tr>
      <w:tr>
        <w:trPr>
          <w:trHeight w:val="245"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构名称</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托</w:t>
            </w:r>
          </w:p>
        </w:tc>
        <w:tc>
          <w:tcPr>
            <w:vMerge w:val="restart"/>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vMerge w:val="restart"/>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酬</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年化</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收益</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期实</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w:t>
            </w:r>
          </w:p>
        </w:tc>
      </w:tr>
      <w:tr>
        <w:trPr>
          <w:trHeight w:val="331" w:hRule="exact"/>
        </w:trPr>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（或受</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（如</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际损</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概</w:t>
            </w:r>
          </w:p>
        </w:tc>
      </w:tr>
    </w:tbl>
    <w:p>
      <w:pPr>
        <w:spacing w:lineRule="exact" w:line="1"/>
        <w:rPr>
          <w:sz w:val="2"/>
          <w:szCs w:val="2"/>
        </w:rPr>
      </w:pPr>
      <w:r>
        <w:br w:type="page"/>
      </w:r>
    </w:p>
    <w:tbl>
      <w:tblPr>
        <w:tblOverlap w:val="never"/>
        <w:jc w:val="center"/>
        <w:tblLayout w:type="fixed"/>
      </w:tblPr>
      <w:tblGrid>
        <w:gridCol w:w="922"/>
        <w:gridCol w:w="427"/>
        <w:gridCol w:w="586"/>
        <w:gridCol w:w="787"/>
        <w:gridCol w:w="350"/>
        <w:gridCol w:w="605"/>
        <w:gridCol w:w="600"/>
        <w:gridCol w:w="475"/>
        <w:gridCol w:w="475"/>
        <w:gridCol w:w="686"/>
        <w:gridCol w:w="749"/>
        <w:gridCol w:w="662"/>
        <w:gridCol w:w="398"/>
        <w:gridCol w:w="437"/>
        <w:gridCol w:w="365"/>
        <w:gridCol w:w="403"/>
        <w:gridCol w:w="533"/>
      </w:tblGrid>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托人姓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益金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述</w:t>
            </w:r>
          </w:p>
        </w:tc>
      </w:tr>
      <w:tr>
        <w:trPr>
          <w:trHeight w:val="307"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法</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还</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及</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式</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程</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托</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序</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托</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查</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询</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索</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划</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如</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集</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3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低收</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吉大支行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资讯</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网</w:t>
            </w:r>
          </w:p>
        </w:tc>
      </w:tr>
      <w:tr>
        <w:trPr>
          <w:trHeight w:val="36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吉大支行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31.56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资讯</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吉大支行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35"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公司珠海</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低收</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吉大支行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集</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 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公司珠海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分行营业</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11.25</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43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16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交通银行</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珠海分行</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浮动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 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署 协</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28.04</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28.04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w:t>
            </w:r>
          </w:p>
        </w:tc>
      </w:tr>
      <w:tr>
        <w:trPr>
          <w:trHeight w:val="283"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bl>
    <w:p>
      <w:pPr>
        <w:spacing w:lineRule="exact" w:line="1"/>
        <w:rPr>
          <w:sz w:val="2"/>
          <w:szCs w:val="2"/>
        </w:rPr>
      </w:pPr>
      <w:r>
        <w:br w:type="page"/>
      </w:r>
    </w:p>
    <w:tbl>
      <w:tblPr>
        <w:tblOverlap w:val="never"/>
        <w:jc w:val="center"/>
        <w:tblLayout w:type="fixed"/>
      </w:tblPr>
      <w:tblGrid>
        <w:gridCol w:w="922"/>
        <w:gridCol w:w="427"/>
        <w:gridCol w:w="586"/>
        <w:gridCol w:w="787"/>
        <w:gridCol w:w="350"/>
        <w:gridCol w:w="605"/>
        <w:gridCol w:w="600"/>
        <w:gridCol w:w="475"/>
        <w:gridCol w:w="475"/>
        <w:gridCol w:w="686"/>
        <w:gridCol w:w="749"/>
        <w:gridCol w:w="662"/>
        <w:gridCol w:w="398"/>
        <w:gridCol w:w="437"/>
        <w:gridCol w:w="365"/>
        <w:gridCol w:w="403"/>
        <w:gridCol w:w="533"/>
      </w:tblGrid>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吉大支行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22.31</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保最</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集</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5.89</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分行营业</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低收</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3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公司珠海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低收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15.07</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39.65</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吉大支行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18.54</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26.71</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16.64</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32.36</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40"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公司珠海</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公司珠海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6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股份有限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资讯 网</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低收</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保最</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署</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15.12</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34.78</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低收</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保最</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署</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21.55</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21.55</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低收</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88" w:hRule="exact"/>
        </w:trPr>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署</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bl>
    <w:p>
      <w:pPr>
        <w:spacing w:lineRule="exact" w:line="1"/>
        <w:rPr>
          <w:sz w:val="2"/>
          <w:szCs w:val="2"/>
        </w:rPr>
      </w:pPr>
      <w:r>
        <w:br w:type="page"/>
      </w:r>
    </w:p>
    <w:tbl>
      <w:tblPr>
        <w:tblOverlap w:val="never"/>
        <w:jc w:val="center"/>
        <w:tblLayout w:type="fixed"/>
      </w:tblPr>
      <w:tblGrid>
        <w:gridCol w:w="922"/>
        <w:gridCol w:w="427"/>
        <w:gridCol w:w="586"/>
        <w:gridCol w:w="787"/>
        <w:gridCol w:w="350"/>
        <w:gridCol w:w="605"/>
        <w:gridCol w:w="600"/>
        <w:gridCol w:w="475"/>
        <w:gridCol w:w="475"/>
        <w:gridCol w:w="686"/>
        <w:gridCol w:w="749"/>
        <w:gridCol w:w="662"/>
        <w:gridCol w:w="398"/>
        <w:gridCol w:w="437"/>
        <w:gridCol w:w="365"/>
        <w:gridCol w:w="403"/>
        <w:gridCol w:w="634"/>
      </w:tblGrid>
      <w:tr>
        <w:trPr>
          <w:trHeight w:val="67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协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保最 低收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签</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署</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 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交通银行</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股份有限</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浮动 收益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署</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 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招商银行 股份有限 公司珠海</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浮动 收益 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署</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 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保最 低收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签</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署</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 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保最 低收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签</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署</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 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r>
        <w:trPr>
          <w:trHeight w:val="725"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8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3"/>
      <w:bookmarkEnd w:id="554"/>
      <w:bookmarkEnd w:id="556"/>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5"/>
        <w:keepNext/>
        <w:keepLines/>
        <w:widowControl w:val="0"/>
        <w:shd w:val="clear" w:color="auto" w:fill="auto"/>
        <w:bidi w:val="0"/>
        <w:spacing w:before="0" w:after="38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4</w:t>
      </w:r>
      <w:bookmarkEnd w:id="559"/>
      <w:r>
        <w:rPr>
          <w:color w:val="000000"/>
          <w:spacing w:val="0"/>
          <w:w w:val="100"/>
          <w:position w:val="0"/>
        </w:rPr>
        <w:t>、其他重大合同</w:t>
      </w:r>
      <w:bookmarkEnd w:id="557"/>
      <w:bookmarkEnd w:id="558"/>
      <w:bookmarkEnd w:id="560"/>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both"/>
      </w:pPr>
      <w:bookmarkStart w:id="561" w:name="bookmark561"/>
      <w:bookmarkStart w:id="562" w:name="bookmark562"/>
      <w:bookmarkStart w:id="563" w:name="bookmark563"/>
      <w:r>
        <w:rPr>
          <w:color w:val="000000"/>
          <w:spacing w:val="0"/>
          <w:w w:val="100"/>
          <w:position w:val="0"/>
        </w:rPr>
        <w:t>十六、其他重大事项的说明</w:t>
      </w:r>
      <w:bookmarkEnd w:id="561"/>
      <w:bookmarkEnd w:id="562"/>
      <w:bookmarkEnd w:id="563"/>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jc w:val="both"/>
      </w:pPr>
      <w:bookmarkStart w:id="564" w:name="bookmark564"/>
      <w:r>
        <w:rPr>
          <w:color w:val="000000"/>
          <w:spacing w:val="0"/>
          <w:w w:val="100"/>
          <w:position w:val="0"/>
        </w:rPr>
        <w:t>（</w:t>
      </w:r>
      <w:bookmarkEnd w:id="564"/>
      <w:r>
        <w:rPr>
          <w:color w:val="000000"/>
          <w:spacing w:val="0"/>
          <w:w w:val="100"/>
          <w:position w:val="0"/>
        </w:rPr>
        <w:t>一）股权激励限制性股票回购注销事宜</w:t>
      </w:r>
    </w:p>
    <w:p>
      <w:pPr>
        <w:pStyle w:val="Style23"/>
        <w:keepNext w:val="0"/>
        <w:keepLines w:val="0"/>
        <w:widowControl w:val="0"/>
        <w:shd w:val="clear" w:color="auto" w:fill="auto"/>
        <w:bidi w:val="0"/>
        <w:spacing w:before="0" w:after="0" w:line="240" w:lineRule="auto"/>
        <w:ind w:left="0" w:right="0"/>
        <w:jc w:val="both"/>
      </w:pPr>
      <w:bookmarkStart w:id="565" w:name="bookmark565"/>
      <w:r>
        <w:rPr>
          <w:color w:val="000000"/>
          <w:spacing w:val="0"/>
          <w:w w:val="100"/>
          <w:position w:val="0"/>
          <w:sz w:val="18"/>
          <w:szCs w:val="18"/>
        </w:rPr>
        <w:t>1</w:t>
      </w:r>
      <w:bookmarkEnd w:id="565"/>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日，公司召开第四届董事会第四次会议和第四届监事会第三次会议，审议通过了《关于调整限制性股票 </w:t>
      </w:r>
      <w:r>
        <w:rPr>
          <w:color w:val="000000"/>
          <w:spacing w:val="0"/>
          <w:w w:val="100"/>
          <w:position w:val="0"/>
        </w:rPr>
        <w:t xml:space="preserve">激励计划回购价格并回购注销部分限制性股票的议案》和《关于变更注册资本及修订〈公司章程〉的议案》，该事项已经公司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年第三次临时股东大会审议通过，并在巨潮资讯网和中国证券报、证券时报、上海证券报、证券日报 刊登了减资公告，自公告日起</w:t>
      </w:r>
      <w:r>
        <w:rPr>
          <w:color w:val="000000"/>
          <w:spacing w:val="0"/>
          <w:w w:val="100"/>
          <w:position w:val="0"/>
          <w:sz w:val="18"/>
          <w:szCs w:val="18"/>
        </w:rPr>
        <w:t>45</w:t>
      </w:r>
      <w:r>
        <w:rPr>
          <w:color w:val="000000"/>
          <w:spacing w:val="0"/>
          <w:w w:val="100"/>
          <w:position w:val="0"/>
        </w:rPr>
        <w:t>天内未收到债权人要求提供担保或提前清偿债务的请求。详情请见公司分别于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日在巨潮资讯网(</w:t>
      </w:r>
      <w:r>
        <w:rPr>
          <w:color w:val="000000"/>
          <w:spacing w:val="0"/>
          <w:w w:val="100"/>
          <w:position w:val="0"/>
          <w:sz w:val="18"/>
          <w:szCs w:val="18"/>
        </w:rPr>
        <w:t>www. cninfo. com. cn)</w:t>
      </w:r>
      <w:r>
        <w:rPr>
          <w:color w:val="000000"/>
          <w:spacing w:val="0"/>
          <w:w w:val="100"/>
          <w:position w:val="0"/>
        </w:rPr>
        <w:t>披露的相关公告。</w:t>
      </w:r>
    </w:p>
    <w:p>
      <w:pPr>
        <w:pStyle w:val="Style23"/>
        <w:keepNext w:val="0"/>
        <w:keepLines w:val="0"/>
        <w:widowControl w:val="0"/>
        <w:shd w:val="clear" w:color="auto" w:fill="auto"/>
        <w:tabs>
          <w:tab w:pos="644" w:val="left"/>
        </w:tabs>
        <w:bidi w:val="0"/>
        <w:spacing w:before="0" w:after="0" w:line="314" w:lineRule="exact"/>
        <w:ind w:left="0" w:right="0"/>
        <w:jc w:val="both"/>
      </w:pPr>
      <w:bookmarkStart w:id="566" w:name="bookmark566"/>
      <w:r>
        <w:rPr>
          <w:color w:val="000000"/>
          <w:spacing w:val="0"/>
          <w:w w:val="100"/>
          <w:position w:val="0"/>
          <w:sz w:val="18"/>
          <w:szCs w:val="18"/>
        </w:rPr>
        <w:t>2</w:t>
      </w:r>
      <w:bookmarkEnd w:id="566"/>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日，公司在巨潮资讯网</w:t>
      </w:r>
      <w:r>
        <w:rPr>
          <w:color w:val="000000"/>
          <w:spacing w:val="0"/>
          <w:w w:val="100"/>
          <w:position w:val="0"/>
          <w:sz w:val="18"/>
          <w:szCs w:val="18"/>
        </w:rPr>
        <w:t>(www.cninfo.com.cn)</w:t>
      </w:r>
      <w:r>
        <w:rPr>
          <w:color w:val="000000"/>
          <w:spacing w:val="0"/>
          <w:w w:val="100"/>
          <w:position w:val="0"/>
        </w:rPr>
        <w:t>披露了《关于部分限制性股票回购注销完成的公告》(公 告编号：</w:t>
      </w:r>
      <w:r>
        <w:rPr>
          <w:color w:val="000000"/>
          <w:spacing w:val="0"/>
          <w:w w:val="100"/>
          <w:position w:val="0"/>
          <w:sz w:val="18"/>
          <w:szCs w:val="18"/>
        </w:rPr>
        <w:t>2021-097)，</w:t>
      </w:r>
      <w:r>
        <w:rPr>
          <w:color w:val="000000"/>
          <w:spacing w:val="0"/>
          <w:w w:val="100"/>
          <w:position w:val="0"/>
        </w:rPr>
        <w:t>公司已在中国证券登记结算有限责任公司深圳分公司完成上述限制性股票注销手续。本次回购注销完 成后，公司总股本由</w:t>
      </w:r>
      <w:r>
        <w:rPr>
          <w:color w:val="000000"/>
          <w:spacing w:val="0"/>
          <w:w w:val="100"/>
          <w:position w:val="0"/>
          <w:sz w:val="18"/>
          <w:szCs w:val="18"/>
        </w:rPr>
        <w:t>328, 185,887</w:t>
      </w:r>
      <w:r>
        <w:rPr>
          <w:color w:val="000000"/>
          <w:spacing w:val="0"/>
          <w:w w:val="100"/>
          <w:position w:val="0"/>
        </w:rPr>
        <w:t>股变更为</w:t>
      </w:r>
      <w:r>
        <w:rPr>
          <w:color w:val="000000"/>
          <w:spacing w:val="0"/>
          <w:w w:val="100"/>
          <w:position w:val="0"/>
          <w:sz w:val="18"/>
          <w:szCs w:val="18"/>
        </w:rPr>
        <w:t>328,107,975</w:t>
      </w:r>
      <w:r>
        <w:rPr>
          <w:color w:val="000000"/>
          <w:spacing w:val="0"/>
          <w:w w:val="100"/>
          <w:position w:val="0"/>
        </w:rPr>
        <w:t>股。公司不再存在</w:t>
      </w:r>
      <w:r>
        <w:rPr>
          <w:color w:val="000000"/>
          <w:spacing w:val="0"/>
          <w:w w:val="100"/>
          <w:position w:val="0"/>
          <w:sz w:val="18"/>
          <w:szCs w:val="18"/>
        </w:rPr>
        <w:t>2017</w:t>
      </w:r>
      <w:r>
        <w:rPr>
          <w:color w:val="000000"/>
          <w:spacing w:val="0"/>
          <w:w w:val="100"/>
          <w:position w:val="0"/>
        </w:rPr>
        <w:t>年股权激励计划未解除限售的限制性股票</w:t>
      </w:r>
      <w:r>
        <w:rPr>
          <w:color w:val="000000"/>
          <w:spacing w:val="0"/>
          <w:w w:val="100"/>
          <w:position w:val="0"/>
          <w:sz w:val="18"/>
          <w:szCs w:val="18"/>
        </w:rPr>
        <w:t xml:space="preserve">，2017 </w:t>
      </w:r>
      <w:r>
        <w:rPr>
          <w:color w:val="000000"/>
          <w:spacing w:val="0"/>
          <w:w w:val="100"/>
          <w:position w:val="0"/>
        </w:rPr>
        <w:t>年限制性股票激励计划实施完毕。</w:t>
      </w:r>
    </w:p>
    <w:p>
      <w:pPr>
        <w:pStyle w:val="Style23"/>
        <w:keepNext w:val="0"/>
        <w:keepLines w:val="0"/>
        <w:widowControl w:val="0"/>
        <w:shd w:val="clear" w:color="auto" w:fill="auto"/>
        <w:tabs>
          <w:tab w:pos="644" w:val="left"/>
        </w:tabs>
        <w:bidi w:val="0"/>
        <w:spacing w:before="0" w:after="0" w:line="314" w:lineRule="exact"/>
        <w:ind w:left="0" w:right="0"/>
        <w:jc w:val="both"/>
      </w:pPr>
      <w:bookmarkStart w:id="567" w:name="bookmark567"/>
      <w:r>
        <w:rPr>
          <w:color w:val="000000"/>
          <w:spacing w:val="0"/>
          <w:w w:val="100"/>
          <w:position w:val="0"/>
          <w:sz w:val="18"/>
          <w:szCs w:val="18"/>
        </w:rPr>
        <w:t>3</w:t>
      </w:r>
      <w:bookmarkEnd w:id="567"/>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日，公司在巨潮资讯网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 xml:space="preserve">披露了《关于完成工商变更登记的公告》(公告编号： </w:t>
      </w:r>
      <w:r>
        <w:rPr>
          <w:color w:val="000000"/>
          <w:spacing w:val="0"/>
          <w:w w:val="100"/>
          <w:position w:val="0"/>
          <w:sz w:val="18"/>
          <w:szCs w:val="18"/>
        </w:rPr>
        <w:t>2021-099)，</w:t>
      </w:r>
      <w:r>
        <w:rPr>
          <w:color w:val="000000"/>
          <w:spacing w:val="0"/>
          <w:w w:val="100"/>
          <w:position w:val="0"/>
        </w:rPr>
        <w:t>公司完成了上述事项的工商变更登记手续，并取得了珠海市市场监督管理局换发的《营业执照》。</w:t>
      </w:r>
    </w:p>
    <w:p>
      <w:pPr>
        <w:pStyle w:val="Style23"/>
        <w:keepNext w:val="0"/>
        <w:keepLines w:val="0"/>
        <w:widowControl w:val="0"/>
        <w:numPr>
          <w:ilvl w:val="0"/>
          <w:numId w:val="9"/>
        </w:numPr>
        <w:shd w:val="clear" w:color="auto" w:fill="auto"/>
        <w:tabs>
          <w:tab w:pos="851" w:val="left"/>
        </w:tabs>
        <w:bidi w:val="0"/>
        <w:spacing w:before="0" w:after="0" w:line="314" w:lineRule="exact"/>
        <w:ind w:left="0" w:right="0"/>
        <w:jc w:val="both"/>
      </w:pPr>
      <w:bookmarkStart w:id="568" w:name="bookmark568"/>
      <w:bookmarkEnd w:id="568"/>
      <w:r>
        <w:rPr>
          <w:color w:val="000000"/>
          <w:spacing w:val="0"/>
          <w:w w:val="100"/>
          <w:position w:val="0"/>
        </w:rPr>
        <w:t>公司向特定对象发行股票事宜</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日，公司召开了第四届董事会第七次会议及第四届监事会第五次会议，审议通过了《关于公司符合向特定 对象发行股票条件的议案》等公司向特定对象发行股票相关议案，该事项已经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日召开的公司</w:t>
      </w:r>
      <w:r>
        <w:rPr>
          <w:color w:val="000000"/>
          <w:spacing w:val="0"/>
          <w:w w:val="100"/>
          <w:position w:val="0"/>
          <w:sz w:val="18"/>
          <w:szCs w:val="18"/>
        </w:rPr>
        <w:t>2021</w:t>
      </w:r>
      <w:r>
        <w:rPr>
          <w:color w:val="000000"/>
          <w:spacing w:val="0"/>
          <w:w w:val="100"/>
          <w:position w:val="0"/>
        </w:rPr>
        <w:t>年第四次临时 股东大会审议通过。详情请见公司分别于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日在巨潮资讯网(</w:t>
      </w:r>
      <w:r>
        <w:rPr>
          <w:color w:val="000000"/>
          <w:spacing w:val="0"/>
          <w:w w:val="100"/>
          <w:position w:val="0"/>
          <w:sz w:val="18"/>
          <w:szCs w:val="18"/>
        </w:rPr>
        <w:t>www. cninfo. com. cn)</w:t>
      </w:r>
      <w:r>
        <w:rPr>
          <w:color w:val="000000"/>
          <w:spacing w:val="0"/>
          <w:w w:val="100"/>
          <w:position w:val="0"/>
        </w:rPr>
        <w:t>披露的相关 公告。</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日，公司召开了第四届董事会第十次会议及第四届监事会第八次会议，审议通过了《关于调整公司向特定 对象发行股票方案的议案》及相关议案，该事项已经</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日召开的公司</w:t>
      </w:r>
      <w:r>
        <w:rPr>
          <w:color w:val="000000"/>
          <w:spacing w:val="0"/>
          <w:w w:val="100"/>
          <w:position w:val="0"/>
          <w:sz w:val="18"/>
          <w:szCs w:val="18"/>
        </w:rPr>
        <w:t>2022</w:t>
      </w:r>
      <w:r>
        <w:rPr>
          <w:color w:val="000000"/>
          <w:spacing w:val="0"/>
          <w:w w:val="100"/>
          <w:position w:val="0"/>
        </w:rPr>
        <w:t>年第一次临时股东大会审议通过。详情 请见公司分别于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日在巨潮资讯网</w:t>
      </w:r>
      <w:r>
        <w:rPr>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rPr>
        <w:t>披露的相关公告。</w:t>
      </w:r>
    </w:p>
    <w:p>
      <w:pPr>
        <w:pStyle w:val="Style23"/>
        <w:keepNext w:val="0"/>
        <w:keepLines w:val="0"/>
        <w:widowControl w:val="0"/>
        <w:numPr>
          <w:ilvl w:val="0"/>
          <w:numId w:val="9"/>
        </w:numPr>
        <w:shd w:val="clear" w:color="auto" w:fill="auto"/>
        <w:tabs>
          <w:tab w:pos="851" w:val="left"/>
        </w:tabs>
        <w:bidi w:val="0"/>
        <w:spacing w:before="0" w:after="0" w:line="314" w:lineRule="exact"/>
        <w:ind w:left="0" w:right="0"/>
        <w:jc w:val="both"/>
      </w:pPr>
      <w:bookmarkStart w:id="569" w:name="bookmark569"/>
      <w:bookmarkEnd w:id="569"/>
      <w:r>
        <w:rPr>
          <w:color w:val="000000"/>
          <w:spacing w:val="0"/>
          <w:w w:val="100"/>
          <w:position w:val="0"/>
        </w:rPr>
        <w:t>变更公司非独立董事事宜</w:t>
      </w:r>
    </w:p>
    <w:p>
      <w:pPr>
        <w:pStyle w:val="Style23"/>
        <w:keepNext w:val="0"/>
        <w:keepLines w:val="0"/>
        <w:widowControl w:val="0"/>
        <w:shd w:val="clear" w:color="auto" w:fill="auto"/>
        <w:bidi w:val="0"/>
        <w:spacing w:before="0" w:after="380" w:line="314"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日，公司在巨潮资讯网</w:t>
      </w:r>
      <w:r>
        <w:rPr>
          <w:color w:val="000000"/>
          <w:spacing w:val="0"/>
          <w:w w:val="100"/>
          <w:position w:val="0"/>
          <w:sz w:val="18"/>
          <w:szCs w:val="18"/>
        </w:rPr>
        <w:t>(</w:t>
      </w:r>
      <w:r>
        <w:fldChar w:fldCharType="begin"/>
      </w:r>
      <w:r>
        <w:rPr/>
        <w:instrText> HYPERLINK "http://www.cninfo.com" </w:instrText>
      </w:r>
      <w:r>
        <w:fldChar w:fldCharType="separate"/>
      </w:r>
      <w:r>
        <w:rPr>
          <w:color w:val="000000"/>
          <w:spacing w:val="0"/>
          <w:w w:val="100"/>
          <w:position w:val="0"/>
          <w:sz w:val="18"/>
          <w:szCs w:val="18"/>
        </w:rPr>
        <w:t>www.cninfo.com</w:t>
      </w:r>
      <w:r>
        <w:fldChar w:fldCharType="end"/>
      </w:r>
      <w:r>
        <w:rPr>
          <w:color w:val="000000"/>
          <w:spacing w:val="0"/>
          <w:w w:val="100"/>
          <w:position w:val="0"/>
          <w:sz w:val="18"/>
          <w:szCs w:val="18"/>
        </w:rPr>
        <w:t>. cn)</w:t>
      </w:r>
      <w:r>
        <w:rPr>
          <w:color w:val="000000"/>
          <w:spacing w:val="0"/>
          <w:w w:val="100"/>
          <w:position w:val="0"/>
        </w:rPr>
        <w:t xml:space="preserve">披露了《关于董事辞职及补选董事的公告》(公告编号： </w:t>
      </w:r>
      <w:r>
        <w:rPr>
          <w:color w:val="000000"/>
          <w:spacing w:val="0"/>
          <w:w w:val="100"/>
          <w:position w:val="0"/>
          <w:sz w:val="18"/>
          <w:szCs w:val="18"/>
        </w:rPr>
        <w:t>2021-115)，</w:t>
      </w:r>
      <w:r>
        <w:rPr>
          <w:color w:val="000000"/>
          <w:spacing w:val="0"/>
          <w:w w:val="100"/>
          <w:position w:val="0"/>
        </w:rPr>
        <w:t>董事会收到公司非独立董事牛俊伟女士的书面辞职报告，牛俊伟女士由于个人原因，申请辞去公司第四届董事 会董事职务。公司第四届董事会第九次会议审议通过了《关于补选公司第四届董事会非独立董事的议案》，同意高伟斌先生 为公司第四届董事会非独立董事候选人，公司独立董事对该事项发表了同意的独立意见。该事项已经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 公司</w:t>
      </w:r>
      <w:r>
        <w:rPr>
          <w:color w:val="000000"/>
          <w:spacing w:val="0"/>
          <w:w w:val="100"/>
          <w:position w:val="0"/>
          <w:sz w:val="18"/>
          <w:szCs w:val="18"/>
        </w:rPr>
        <w:t>2021</w:t>
      </w:r>
      <w:r>
        <w:rPr>
          <w:color w:val="000000"/>
          <w:spacing w:val="0"/>
          <w:w w:val="100"/>
          <w:position w:val="0"/>
        </w:rPr>
        <w:t>年第五次临时股东大会审议通过。详情请见公司于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日在巨潮资讯网</w:t>
      </w:r>
      <w:r>
        <w:rPr>
          <w:color w:val="000000"/>
          <w:spacing w:val="0"/>
          <w:w w:val="100"/>
          <w:position w:val="0"/>
          <w:sz w:val="18"/>
          <w:szCs w:val="18"/>
        </w:rPr>
        <w:t>(www. cninfo. com. cn)</w:t>
      </w:r>
      <w:r>
        <w:rPr>
          <w:color w:val="000000"/>
          <w:spacing w:val="0"/>
          <w:w w:val="100"/>
          <w:position w:val="0"/>
        </w:rPr>
        <w:t>披露的《关 于变更董事的公告》(公告编号：</w:t>
      </w:r>
      <w:r>
        <w:rPr>
          <w:color w:val="000000"/>
          <w:spacing w:val="0"/>
          <w:w w:val="100"/>
          <w:position w:val="0"/>
          <w:sz w:val="18"/>
          <w:szCs w:val="18"/>
        </w:rPr>
        <w:t>2021-120)</w:t>
      </w:r>
      <w:r>
        <w:rPr>
          <w:color w:val="000000"/>
          <w:spacing w:val="0"/>
          <w:w w:val="100"/>
          <w:position w:val="0"/>
        </w:rPr>
        <w:t>及相关公告。</w:t>
      </w:r>
    </w:p>
    <w:p>
      <w:pPr>
        <w:pStyle w:val="Style29"/>
        <w:keepNext/>
        <w:keepLines/>
        <w:widowControl w:val="0"/>
        <w:shd w:val="clear" w:color="auto" w:fill="auto"/>
        <w:bidi w:val="0"/>
        <w:spacing w:before="0" w:after="260" w:line="240" w:lineRule="auto"/>
        <w:ind w:left="0" w:right="0" w:firstLine="0"/>
        <w:jc w:val="both"/>
      </w:pPr>
      <w:bookmarkStart w:id="570" w:name="bookmark570"/>
      <w:bookmarkStart w:id="571" w:name="bookmark571"/>
      <w:bookmarkStart w:id="572" w:name="bookmark572"/>
      <w:r>
        <w:rPr>
          <w:color w:val="000000"/>
          <w:spacing w:val="0"/>
          <w:w w:val="100"/>
          <w:position w:val="0"/>
        </w:rPr>
        <w:t>十七、公司子公司重大事项</w:t>
      </w:r>
      <w:bookmarkEnd w:id="570"/>
      <w:bookmarkEnd w:id="571"/>
      <w:bookmarkEnd w:id="572"/>
    </w:p>
    <w:p>
      <w:pPr>
        <w:pStyle w:val="Style2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573" w:name="bookmark573"/>
      <w:bookmarkStart w:id="574" w:name="bookmark574"/>
      <w:bookmarkStart w:id="575" w:name="bookmark575"/>
      <w:r>
        <w:rPr>
          <w:color w:val="000000"/>
          <w:spacing w:val="0"/>
          <w:w w:val="100"/>
          <w:position w:val="0"/>
        </w:rPr>
        <w:t>第七节股份变动及股东情况</w:t>
      </w:r>
      <w:bookmarkEnd w:id="573"/>
      <w:bookmarkEnd w:id="574"/>
      <w:bookmarkEnd w:id="575"/>
    </w:p>
    <w:p>
      <w:pPr>
        <w:pStyle w:val="Style29"/>
        <w:keepNext/>
        <w:keepLines/>
        <w:widowControl w:val="0"/>
        <w:shd w:val="clear" w:color="auto" w:fill="auto"/>
        <w:bidi w:val="0"/>
        <w:spacing w:before="0" w:after="360" w:line="240" w:lineRule="auto"/>
        <w:ind w:left="0" w:right="0" w:firstLine="0"/>
        <w:jc w:val="left"/>
      </w:pPr>
      <w:bookmarkStart w:id="576" w:name="bookmark576"/>
      <w:bookmarkStart w:id="577" w:name="bookmark577"/>
      <w:bookmarkStart w:id="578" w:name="bookmark578"/>
      <w:bookmarkStart w:id="579" w:name="bookmark579"/>
      <w:bookmarkStart w:id="580" w:name="bookmark580"/>
      <w:r>
        <w:rPr>
          <w:color w:val="000000"/>
          <w:spacing w:val="0"/>
          <w:w w:val="100"/>
          <w:position w:val="0"/>
        </w:rPr>
        <w:t>一</w:t>
      </w:r>
      <w:bookmarkEnd w:id="579"/>
      <w:r>
        <w:rPr>
          <w:color w:val="000000"/>
          <w:spacing w:val="0"/>
          <w:w w:val="100"/>
          <w:position w:val="0"/>
        </w:rPr>
        <w:t>、股份变动情况</w:t>
      </w:r>
      <w:bookmarkEnd w:id="577"/>
      <w:bookmarkEnd w:id="578"/>
      <w:bookmarkEnd w:id="580"/>
      <w:bookmarkEnd w:id="576"/>
    </w:p>
    <w:p>
      <w:pPr>
        <w:pStyle w:val="Style35"/>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、股份变动情况</w:t>
      </w:r>
      <w:bookmarkEnd w:id="581"/>
      <w:bookmarkEnd w:id="582"/>
      <w:bookmarkEnd w:id="5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117,996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35,337,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153,33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117,996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35,337,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153,33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117,996</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35,337,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153,33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134,454</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40,332,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40,320,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174,77</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134,454</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40,332,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40,320,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174,77</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252,450</w:t>
            </w:r>
          </w:p>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75,735,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-77,912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75,657,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328,10</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310" w:lineRule="exact"/>
        <w:ind w:left="0" w:right="0" w:firstLine="360"/>
        <w:jc w:val="left"/>
      </w:pPr>
      <w:r>
        <w:rPr>
          <w:color w:val="000000"/>
          <w:spacing w:val="0"/>
          <w:w w:val="100"/>
          <w:position w:val="0"/>
          <w:sz w:val="18"/>
          <w:szCs w:val="18"/>
        </w:rPr>
        <w:t>1</w:t>
      </w:r>
      <w:r>
        <w:rPr>
          <w:color w:val="000000"/>
          <w:spacing w:val="0"/>
          <w:w w:val="100"/>
          <w:position w:val="0"/>
        </w:rPr>
        <w:t>、报告期内，公司实施了</w:t>
      </w:r>
      <w:r>
        <w:rPr>
          <w:color w:val="000000"/>
          <w:spacing w:val="0"/>
          <w:w w:val="100"/>
          <w:position w:val="0"/>
          <w:sz w:val="18"/>
          <w:szCs w:val="18"/>
        </w:rPr>
        <w:t>2020</w:t>
      </w:r>
      <w:r>
        <w:rPr>
          <w:color w:val="000000"/>
          <w:spacing w:val="0"/>
          <w:w w:val="100"/>
          <w:position w:val="0"/>
        </w:rPr>
        <w:t>年年度权益分派方案，以公司方案实施时总股本</w:t>
      </w:r>
      <w:r>
        <w:rPr>
          <w:color w:val="000000"/>
          <w:spacing w:val="0"/>
          <w:w w:val="100"/>
          <w:position w:val="0"/>
          <w:sz w:val="18"/>
          <w:szCs w:val="18"/>
        </w:rPr>
        <w:t>252,450, 683</w:t>
      </w:r>
      <w:r>
        <w:rPr>
          <w:color w:val="000000"/>
          <w:spacing w:val="0"/>
          <w:w w:val="100"/>
          <w:position w:val="0"/>
        </w:rPr>
        <w:t>股为基数，向全体股东每</w:t>
      </w:r>
      <w:r>
        <w:rPr>
          <w:color w:val="000000"/>
          <w:spacing w:val="0"/>
          <w:w w:val="100"/>
          <w:position w:val="0"/>
          <w:sz w:val="18"/>
          <w:szCs w:val="18"/>
        </w:rPr>
        <w:t xml:space="preserve">10 </w:t>
      </w:r>
      <w:r>
        <w:rPr>
          <w:color w:val="000000"/>
          <w:spacing w:val="0"/>
          <w:w w:val="100"/>
          <w:position w:val="0"/>
        </w:rPr>
        <w:t>股派</w:t>
      </w:r>
      <w:r>
        <w:rPr>
          <w:color w:val="000000"/>
          <w:spacing w:val="0"/>
          <w:w w:val="100"/>
          <w:position w:val="0"/>
          <w:sz w:val="18"/>
          <w:szCs w:val="18"/>
        </w:rPr>
        <w:t xml:space="preserve">0.8 </w:t>
      </w:r>
      <w:r>
        <w:rPr>
          <w:color w:val="000000"/>
          <w:spacing w:val="0"/>
          <w:w w:val="100"/>
          <w:position w:val="0"/>
          <w:sz w:val="18"/>
          <w:szCs w:val="18"/>
        </w:rPr>
        <w:t>0</w:t>
      </w:r>
      <w:r>
        <w:rPr>
          <w:color w:val="000000"/>
          <w:spacing w:val="0"/>
          <w:w w:val="100"/>
          <w:position w:val="0"/>
        </w:rPr>
        <w:t>元人民币现金，同时，以资本公积金向全体股东每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3.00</w:t>
      </w:r>
      <w:r>
        <w:rPr>
          <w:color w:val="000000"/>
          <w:spacing w:val="0"/>
          <w:w w:val="100"/>
          <w:position w:val="0"/>
        </w:rPr>
        <w:t>股。本次权益分派后，公司总股本由</w:t>
      </w:r>
      <w:r>
        <w:rPr>
          <w:color w:val="000000"/>
          <w:spacing w:val="0"/>
          <w:w w:val="100"/>
          <w:position w:val="0"/>
          <w:sz w:val="18"/>
          <w:szCs w:val="18"/>
        </w:rPr>
        <w:t xml:space="preserve">25,245.0683 </w:t>
      </w:r>
      <w:r>
        <w:rPr>
          <w:color w:val="000000"/>
          <w:spacing w:val="0"/>
          <w:w w:val="100"/>
          <w:position w:val="0"/>
        </w:rPr>
        <w:t>万股增加至</w:t>
      </w:r>
      <w:r>
        <w:rPr>
          <w:color w:val="000000"/>
          <w:spacing w:val="0"/>
          <w:w w:val="100"/>
          <w:position w:val="0"/>
          <w:sz w:val="18"/>
          <w:szCs w:val="18"/>
        </w:rPr>
        <w:t>32,818.588</w:t>
      </w:r>
      <w:r>
        <w:rPr>
          <w:color w:val="000000"/>
          <w:spacing w:val="0"/>
          <w:w w:val="100"/>
          <w:position w:val="0"/>
          <w:sz w:val="18"/>
          <w:szCs w:val="18"/>
        </w:rPr>
        <w:t>7</w:t>
      </w:r>
      <w:r>
        <w:rPr>
          <w:color w:val="000000"/>
          <w:spacing w:val="0"/>
          <w:w w:val="100"/>
          <w:position w:val="0"/>
        </w:rPr>
        <w:t>万股。具体详见公司于巨潮资讯网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披露的《</w:t>
      </w:r>
      <w:r>
        <w:rPr>
          <w:color w:val="000000"/>
          <w:spacing w:val="0"/>
          <w:w w:val="100"/>
          <w:position w:val="0"/>
          <w:sz w:val="18"/>
          <w:szCs w:val="18"/>
        </w:rPr>
        <w:t>2020</w:t>
      </w:r>
      <w:r>
        <w:rPr>
          <w:color w:val="000000"/>
          <w:spacing w:val="0"/>
          <w:w w:val="100"/>
          <w:position w:val="0"/>
        </w:rPr>
        <w:t xml:space="preserve">年年度权益分派实施公告》 </w:t>
      </w:r>
      <w:r>
        <w:rPr>
          <w:color w:val="000000"/>
          <w:spacing w:val="0"/>
          <w:w w:val="100"/>
          <w:position w:val="0"/>
        </w:rPr>
        <w:t>（公告编号：</w:t>
      </w:r>
      <w:r>
        <w:rPr>
          <w:color w:val="000000"/>
          <w:spacing w:val="0"/>
          <w:w w:val="100"/>
          <w:position w:val="0"/>
          <w:sz w:val="18"/>
          <w:szCs w:val="18"/>
        </w:rPr>
        <w:t>2021-038）</w:t>
      </w:r>
      <w:r>
        <w:rPr>
          <w:color w:val="000000"/>
          <w:spacing w:val="0"/>
          <w:w w:val="100"/>
          <w:position w:val="0"/>
        </w:rPr>
        <w:t>、《关于变更注册资本及修订〈公司章程〉的公告》（公告编号：</w:t>
      </w:r>
      <w:r>
        <w:rPr>
          <w:color w:val="000000"/>
          <w:spacing w:val="0"/>
          <w:w w:val="100"/>
          <w:position w:val="0"/>
          <w:sz w:val="18"/>
          <w:szCs w:val="18"/>
        </w:rPr>
        <w:t>2021-049）</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年度业绩未达到《限制性股票激励计划（草案）》中规定的预留授予限制性股票第三个解除限售期的解除限 售条件，以及部分激励对象因个人原因离职已不符合激励条件，根据《限制性股票激励计划（草案）》以及相关法律、法规 的有关规定，公司回购注销了</w:t>
      </w:r>
      <w:r>
        <w:rPr>
          <w:color w:val="000000"/>
          <w:spacing w:val="0"/>
          <w:w w:val="100"/>
          <w:position w:val="0"/>
          <w:sz w:val="18"/>
          <w:szCs w:val="18"/>
        </w:rPr>
        <w:t>2017</w:t>
      </w:r>
      <w:r>
        <w:rPr>
          <w:color w:val="000000"/>
          <w:spacing w:val="0"/>
          <w:w w:val="100"/>
          <w:position w:val="0"/>
        </w:rPr>
        <w:t>年限制性股票激励计划预留授予的尚未解除限售的限制性股票共计</w:t>
      </w:r>
      <w:r>
        <w:rPr>
          <w:color w:val="000000"/>
          <w:spacing w:val="0"/>
          <w:w w:val="100"/>
          <w:position w:val="0"/>
          <w:sz w:val="18"/>
          <w:szCs w:val="18"/>
        </w:rPr>
        <w:t>77, 912</w:t>
      </w:r>
      <w:r>
        <w:rPr>
          <w:color w:val="000000"/>
          <w:spacing w:val="0"/>
          <w:w w:val="100"/>
          <w:position w:val="0"/>
        </w:rPr>
        <w:t>股。本次限制性 股票回购注销完成后，公司总股本由</w:t>
      </w:r>
      <w:r>
        <w:rPr>
          <w:color w:val="000000"/>
          <w:spacing w:val="0"/>
          <w:w w:val="100"/>
          <w:position w:val="0"/>
          <w:sz w:val="18"/>
          <w:szCs w:val="18"/>
        </w:rPr>
        <w:t xml:space="preserve">32, </w:t>
      </w:r>
      <w:r>
        <w:rPr>
          <w:color w:val="000000"/>
          <w:spacing w:val="0"/>
          <w:w w:val="100"/>
          <w:position w:val="0"/>
          <w:sz w:val="18"/>
          <w:szCs w:val="18"/>
        </w:rPr>
        <w:t xml:space="preserve">818. </w:t>
      </w:r>
      <w:r>
        <w:rPr>
          <w:color w:val="000000"/>
          <w:spacing w:val="0"/>
          <w:w w:val="100"/>
          <w:position w:val="0"/>
          <w:sz w:val="18"/>
          <w:szCs w:val="18"/>
        </w:rPr>
        <w:t>5887</w:t>
      </w:r>
      <w:r>
        <w:rPr>
          <w:color w:val="000000"/>
          <w:spacing w:val="0"/>
          <w:w w:val="100"/>
          <w:position w:val="0"/>
        </w:rPr>
        <w:t>万股变更为</w:t>
      </w:r>
      <w:r>
        <w:rPr>
          <w:color w:val="000000"/>
          <w:spacing w:val="0"/>
          <w:w w:val="100"/>
          <w:position w:val="0"/>
          <w:sz w:val="18"/>
          <w:szCs w:val="18"/>
        </w:rPr>
        <w:t xml:space="preserve">32, </w:t>
      </w:r>
      <w:r>
        <w:rPr>
          <w:color w:val="000000"/>
          <w:spacing w:val="0"/>
          <w:w w:val="100"/>
          <w:position w:val="0"/>
          <w:sz w:val="18"/>
          <w:szCs w:val="18"/>
        </w:rPr>
        <w:t xml:space="preserve">810. </w:t>
      </w:r>
      <w:r>
        <w:rPr>
          <w:color w:val="000000"/>
          <w:spacing w:val="0"/>
          <w:w w:val="100"/>
          <w:position w:val="0"/>
          <w:sz w:val="18"/>
          <w:szCs w:val="18"/>
        </w:rPr>
        <w:t>7975</w:t>
      </w:r>
      <w:r>
        <w:rPr>
          <w:color w:val="000000"/>
          <w:spacing w:val="0"/>
          <w:w w:val="100"/>
          <w:position w:val="0"/>
        </w:rPr>
        <w:t>万股，具体详见公司于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日在巨潮资讯 </w:t>
      </w:r>
      <w:r>
        <w:rPr>
          <w:color w:val="000000"/>
          <w:spacing w:val="0"/>
          <w:w w:val="100"/>
          <w:position w:val="0"/>
        </w:rPr>
        <w:t>网（</w:t>
      </w:r>
      <w:r>
        <w:rPr>
          <w:color w:val="000000"/>
          <w:spacing w:val="0"/>
          <w:w w:val="100"/>
          <w:position w:val="0"/>
          <w:sz w:val="18"/>
          <w:szCs w:val="18"/>
        </w:rPr>
        <w:t>www.cninfo.com</w:t>
      </w:r>
      <w:r>
        <w:rPr>
          <w:color w:val="000000"/>
          <w:spacing w:val="0"/>
          <w:w w:val="100"/>
          <w:position w:val="0"/>
          <w:sz w:val="18"/>
          <w:szCs w:val="18"/>
        </w:rPr>
        <w:t>. cn）</w:t>
      </w:r>
      <w:r>
        <w:rPr>
          <w:color w:val="000000"/>
          <w:spacing w:val="0"/>
          <w:w w:val="100"/>
          <w:position w:val="0"/>
        </w:rPr>
        <w:t>披露的《关于部分限制性股票回购注销完成的公告》（公告编号：</w:t>
      </w:r>
      <w:r>
        <w:rPr>
          <w:color w:val="000000"/>
          <w:spacing w:val="0"/>
          <w:w w:val="100"/>
          <w:position w:val="0"/>
          <w:sz w:val="18"/>
          <w:szCs w:val="18"/>
        </w:rPr>
        <w:t>2021-097）</w:t>
      </w:r>
      <w:r>
        <w:rPr>
          <w:color w:val="000000"/>
          <w:spacing w:val="0"/>
          <w:w w:val="100"/>
          <w:position w:val="0"/>
        </w:rPr>
        <w:t>、《关于变更注册资本 及修订〈公司章程〉》的公告》（公告编号：</w:t>
      </w:r>
      <w:r>
        <w:rPr>
          <w:color w:val="000000"/>
          <w:spacing w:val="0"/>
          <w:w w:val="100"/>
          <w:position w:val="0"/>
          <w:sz w:val="18"/>
          <w:szCs w:val="18"/>
        </w:rPr>
        <w:t>2021-067）</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tabs>
          <w:tab w:pos="334" w:val="left"/>
        </w:tabs>
        <w:bidi w:val="0"/>
        <w:spacing w:before="0" w:after="0" w:line="311" w:lineRule="exact"/>
        <w:ind w:left="0" w:right="0" w:firstLine="0"/>
        <w:jc w:val="left"/>
      </w:pPr>
      <w:bookmarkStart w:id="585" w:name="bookmark585"/>
      <w:r>
        <w:rPr>
          <w:color w:val="000000"/>
          <w:spacing w:val="0"/>
          <w:w w:val="100"/>
          <w:position w:val="0"/>
          <w:sz w:val="18"/>
          <w:szCs w:val="18"/>
        </w:rPr>
        <w:t>1</w:t>
      </w:r>
      <w:bookmarkEnd w:id="585"/>
      <w:r>
        <w:rPr>
          <w:color w:val="000000"/>
          <w:spacing w:val="0"/>
          <w:w w:val="100"/>
          <w:position w:val="0"/>
        </w:rPr>
        <w:t>、</w:t>
        <w:tab/>
        <w:t>限制性股票激励计划批准情况详见“第四节十三、公司股权激励计划、员工持股计划或其他员工激励措施的实施情况”;</w:t>
      </w:r>
    </w:p>
    <w:p>
      <w:pPr>
        <w:pStyle w:val="Style23"/>
        <w:keepNext w:val="0"/>
        <w:keepLines w:val="0"/>
        <w:widowControl w:val="0"/>
        <w:shd w:val="clear" w:color="auto" w:fill="auto"/>
        <w:tabs>
          <w:tab w:pos="344" w:val="left"/>
        </w:tabs>
        <w:bidi w:val="0"/>
        <w:spacing w:before="0" w:after="0" w:line="311" w:lineRule="exact"/>
        <w:ind w:left="0" w:right="0" w:firstLine="0"/>
        <w:jc w:val="left"/>
      </w:pPr>
      <w:bookmarkStart w:id="586" w:name="bookmark586"/>
      <w:r>
        <w:rPr>
          <w:color w:val="000000"/>
          <w:spacing w:val="0"/>
          <w:w w:val="100"/>
          <w:position w:val="0"/>
          <w:sz w:val="18"/>
          <w:szCs w:val="18"/>
        </w:rPr>
        <w:t>2</w:t>
      </w:r>
      <w:bookmarkEnd w:id="586"/>
      <w:r>
        <w:rPr>
          <w:color w:val="000000"/>
          <w:spacing w:val="0"/>
          <w:w w:val="100"/>
          <w:position w:val="0"/>
        </w:rPr>
        <w:t>、</w:t>
        <w:tab/>
      </w:r>
      <w:r>
        <w:rPr>
          <w:color w:val="000000"/>
          <w:spacing w:val="0"/>
          <w:w w:val="100"/>
          <w:position w:val="0"/>
          <w:sz w:val="18"/>
          <w:szCs w:val="18"/>
        </w:rPr>
        <w:t>2020</w:t>
      </w:r>
      <w:r>
        <w:rPr>
          <w:color w:val="000000"/>
          <w:spacing w:val="0"/>
          <w:w w:val="100"/>
          <w:position w:val="0"/>
        </w:rPr>
        <w:t>年度权益分派情况详见“第四节十二、公司利润分配及资本公积金转增股本情况”。</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上述股份变动，公司已按照深圳证券交易所及中国证券登记结算有限责任公司深圳分公司的要求，办理了相关业务。</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报告期内，公司总股本由</w:t>
      </w:r>
      <w:r>
        <w:rPr>
          <w:color w:val="000000"/>
          <w:spacing w:val="0"/>
          <w:w w:val="100"/>
          <w:position w:val="0"/>
          <w:sz w:val="18"/>
          <w:szCs w:val="18"/>
        </w:rPr>
        <w:t>252,450, 683</w:t>
      </w:r>
      <w:r>
        <w:rPr>
          <w:color w:val="000000"/>
          <w:spacing w:val="0"/>
          <w:w w:val="100"/>
          <w:position w:val="0"/>
        </w:rPr>
        <w:t>股增加至</w:t>
      </w:r>
      <w:r>
        <w:rPr>
          <w:color w:val="000000"/>
          <w:spacing w:val="0"/>
          <w:w w:val="100"/>
          <w:position w:val="0"/>
          <w:sz w:val="18"/>
          <w:szCs w:val="18"/>
        </w:rPr>
        <w:t>328, 107,975</w:t>
      </w:r>
      <w:r>
        <w:rPr>
          <w:color w:val="000000"/>
          <w:spacing w:val="0"/>
          <w:w w:val="100"/>
          <w:position w:val="0"/>
        </w:rPr>
        <w:t>股，股份变动对公司最近一年和最近一期基本每股收益和稀释每 股收益、归属于公司普通股股东的每股净资产等财务指标的影响如下：</w:t>
      </w:r>
    </w:p>
    <w:tbl>
      <w:tblPr>
        <w:tblOverlap w:val="never"/>
        <w:jc w:val="center"/>
        <w:tblLayout w:type="fixed"/>
      </w:tblPr>
      <w:tblGrid>
        <w:gridCol w:w="2222"/>
        <w:gridCol w:w="2510"/>
        <w:gridCol w:w="2592"/>
        <w:gridCol w:w="2194"/>
      </w:tblGrid>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年股份变动前后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稀释每股收益（元/股）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每股净资产（元/股）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62</w:t>
            </w:r>
          </w:p>
        </w:tc>
      </w:tr>
      <w:tr>
        <w:trPr>
          <w:trHeight w:val="3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01</w:t>
            </w:r>
          </w:p>
        </w:tc>
      </w:tr>
    </w:tbl>
    <w:p>
      <w:pPr>
        <w:widowControl w:val="0"/>
        <w:spacing w:after="39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、限售股份变动情况</w:t>
      </w:r>
      <w:bookmarkEnd w:id="587"/>
      <w:bookmarkEnd w:id="588"/>
      <w:bookmarkEnd w:id="590"/>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74"/>
        <w:gridCol w:w="1138"/>
        <w:gridCol w:w="1349"/>
        <w:gridCol w:w="1310"/>
        <w:gridCol w:w="1339"/>
        <w:gridCol w:w="1536"/>
        <w:gridCol w:w="1939"/>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72,313,168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21,693,951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94,007,119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按相关规定持续锁定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或解锁</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45,623,035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13,686,911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59,309,946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按相关规定持续锁定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或解锁</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牛俊伟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高管在其就任时确定 的任期内离职，在其原 定任期届满半年后其 持有股份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解锁。</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35,960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按相关规定持续锁定</w:t>
            </w:r>
          </w:p>
        </w:tc>
      </w:tr>
    </w:tbl>
    <w:tbl>
      <w:tblPr>
        <w:tblOverlap w:val="never"/>
        <w:jc w:val="center"/>
        <w:tblLayout w:type="fixed"/>
      </w:tblPr>
      <w:tblGrid>
        <w:gridCol w:w="974"/>
        <w:gridCol w:w="1138"/>
        <w:gridCol w:w="1349"/>
        <w:gridCol w:w="1310"/>
        <w:gridCol w:w="1339"/>
        <w:gridCol w:w="1536"/>
        <w:gridCol w:w="19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或解锁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刘继东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已回购注销</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117,996,136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35,418,958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81,812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153,333,282</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tabs>
          <w:tab w:pos="517" w:val="left"/>
        </w:tabs>
        <w:bidi w:val="0"/>
        <w:spacing w:before="0" w:after="380" w:line="240" w:lineRule="auto"/>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w:t>
        <w:tab/>
        <w:t>证券发行与上市情况</w:t>
      </w:r>
      <w:bookmarkEnd w:id="591"/>
      <w:bookmarkEnd w:id="592"/>
      <w:bookmarkEnd w:id="594"/>
    </w:p>
    <w:p>
      <w:pPr>
        <w:pStyle w:val="Style35"/>
        <w:keepNext/>
        <w:keepLines/>
        <w:widowControl w:val="0"/>
        <w:shd w:val="clear" w:color="auto" w:fill="auto"/>
        <w:tabs>
          <w:tab w:pos="380" w:val="left"/>
        </w:tabs>
        <w:bidi w:val="0"/>
        <w:spacing w:before="0" w:after="2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报告期内证券发行（不含优先股）情况</w:t>
      </w:r>
      <w:bookmarkEnd w:id="595"/>
      <w:bookmarkEnd w:id="596"/>
      <w:bookmarkEnd w:id="598"/>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380" w:val="left"/>
        </w:tabs>
        <w:bidi w:val="0"/>
        <w:spacing w:before="0" w:after="26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公司股份总数及股东结构的变动、公司资产和负债结构的变动情况说明</w:t>
      </w:r>
      <w:bookmarkEnd w:id="599"/>
      <w:bookmarkEnd w:id="600"/>
      <w:bookmarkEnd w:id="602"/>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tabs>
          <w:tab w:pos="704" w:val="left"/>
        </w:tabs>
        <w:bidi w:val="0"/>
        <w:spacing w:before="0" w:after="0" w:line="312" w:lineRule="exact"/>
        <w:ind w:left="0" w:right="0"/>
        <w:jc w:val="both"/>
      </w:pPr>
      <w:bookmarkStart w:id="603" w:name="bookmark603"/>
      <w:r>
        <w:rPr>
          <w:color w:val="000000"/>
          <w:spacing w:val="0"/>
          <w:w w:val="100"/>
          <w:position w:val="0"/>
          <w:sz w:val="18"/>
          <w:szCs w:val="18"/>
        </w:rPr>
        <w:t>1</w:t>
      </w:r>
      <w:bookmarkEnd w:id="603"/>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日，公司实施了</w:t>
      </w:r>
      <w:r>
        <w:rPr>
          <w:color w:val="000000"/>
          <w:spacing w:val="0"/>
          <w:w w:val="100"/>
          <w:position w:val="0"/>
          <w:sz w:val="18"/>
          <w:szCs w:val="18"/>
        </w:rPr>
        <w:t>2020</w:t>
      </w:r>
      <w:r>
        <w:rPr>
          <w:color w:val="000000"/>
          <w:spacing w:val="0"/>
          <w:w w:val="100"/>
          <w:position w:val="0"/>
        </w:rPr>
        <w:t>年度权益分派，以公司当时总股本</w:t>
      </w:r>
      <w:r>
        <w:rPr>
          <w:color w:val="000000"/>
          <w:spacing w:val="0"/>
          <w:w w:val="100"/>
          <w:position w:val="0"/>
          <w:sz w:val="18"/>
          <w:szCs w:val="18"/>
        </w:rPr>
        <w:t>252, 450, 683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 xml:space="preserve">0.80 </w:t>
      </w:r>
      <w:r>
        <w:rPr>
          <w:color w:val="000000"/>
          <w:spacing w:val="0"/>
          <w:w w:val="100"/>
          <w:position w:val="0"/>
        </w:rPr>
        <w:t>元人民币现金，同时，以资本公积金向全体股东每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3.00</w:t>
      </w:r>
      <w:r>
        <w:rPr>
          <w:color w:val="000000"/>
          <w:spacing w:val="0"/>
          <w:w w:val="100"/>
          <w:position w:val="0"/>
        </w:rPr>
        <w:t>股。本次权益分派后，公司总股本由</w:t>
      </w:r>
      <w:r>
        <w:rPr>
          <w:color w:val="000000"/>
          <w:spacing w:val="0"/>
          <w:w w:val="100"/>
          <w:position w:val="0"/>
          <w:sz w:val="18"/>
          <w:szCs w:val="18"/>
        </w:rPr>
        <w:t>25,245.0683</w:t>
      </w:r>
      <w:r>
        <w:rPr>
          <w:color w:val="000000"/>
          <w:spacing w:val="0"/>
          <w:w w:val="100"/>
          <w:position w:val="0"/>
        </w:rPr>
        <w:t>万股增加 至</w:t>
      </w:r>
      <w:r>
        <w:rPr>
          <w:color w:val="000000"/>
          <w:spacing w:val="0"/>
          <w:w w:val="100"/>
          <w:position w:val="0"/>
          <w:sz w:val="18"/>
          <w:szCs w:val="18"/>
        </w:rPr>
        <w:t xml:space="preserve">32,818. </w:t>
      </w:r>
      <w:r>
        <w:rPr>
          <w:color w:val="000000"/>
          <w:spacing w:val="0"/>
          <w:w w:val="100"/>
          <w:position w:val="0"/>
          <w:sz w:val="18"/>
          <w:szCs w:val="18"/>
        </w:rPr>
        <w:t>5887</w:t>
      </w:r>
      <w:r>
        <w:rPr>
          <w:color w:val="000000"/>
          <w:spacing w:val="0"/>
          <w:w w:val="100"/>
          <w:position w:val="0"/>
        </w:rPr>
        <w:t>万股。</w:t>
      </w:r>
    </w:p>
    <w:p>
      <w:pPr>
        <w:pStyle w:val="Style23"/>
        <w:keepNext w:val="0"/>
        <w:keepLines w:val="0"/>
        <w:widowControl w:val="0"/>
        <w:shd w:val="clear" w:color="auto" w:fill="auto"/>
        <w:tabs>
          <w:tab w:pos="685" w:val="left"/>
        </w:tabs>
        <w:bidi w:val="0"/>
        <w:spacing w:before="0" w:after="0" w:line="312" w:lineRule="exact"/>
        <w:ind w:left="0" w:right="0"/>
        <w:jc w:val="both"/>
      </w:pPr>
      <w:bookmarkStart w:id="604" w:name="bookmark604"/>
      <w:r>
        <w:rPr>
          <w:color w:val="000000"/>
          <w:spacing w:val="0"/>
          <w:w w:val="100"/>
          <w:position w:val="0"/>
          <w:sz w:val="18"/>
          <w:szCs w:val="18"/>
        </w:rPr>
        <w:t>2</w:t>
      </w:r>
      <w:bookmarkEnd w:id="604"/>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日，公司在中国证券登记结算有限责任公司深圳分公司完成对</w:t>
      </w:r>
      <w:r>
        <w:rPr>
          <w:color w:val="000000"/>
          <w:spacing w:val="0"/>
          <w:w w:val="100"/>
          <w:position w:val="0"/>
          <w:sz w:val="18"/>
          <w:szCs w:val="18"/>
        </w:rPr>
        <w:t>2017</w:t>
      </w:r>
      <w:r>
        <w:rPr>
          <w:color w:val="000000"/>
          <w:spacing w:val="0"/>
          <w:w w:val="100"/>
          <w:position w:val="0"/>
        </w:rPr>
        <w:t>年限制性股票激励计划预留授予的 尚未解除限售的限制性股票共计</w:t>
      </w:r>
      <w:r>
        <w:rPr>
          <w:color w:val="000000"/>
          <w:spacing w:val="0"/>
          <w:w w:val="100"/>
          <w:position w:val="0"/>
          <w:sz w:val="18"/>
          <w:szCs w:val="18"/>
        </w:rPr>
        <w:t>77,912</w:t>
      </w:r>
      <w:r>
        <w:rPr>
          <w:color w:val="000000"/>
          <w:spacing w:val="0"/>
          <w:w w:val="100"/>
          <w:position w:val="0"/>
        </w:rPr>
        <w:t>股的注销手续。本次回购注销完成后，公司总股本由</w:t>
      </w:r>
      <w:r>
        <w:rPr>
          <w:color w:val="000000"/>
          <w:spacing w:val="0"/>
          <w:w w:val="100"/>
          <w:position w:val="0"/>
          <w:sz w:val="18"/>
          <w:szCs w:val="18"/>
        </w:rPr>
        <w:t>328, 185,887</w:t>
      </w:r>
      <w:r>
        <w:rPr>
          <w:color w:val="000000"/>
          <w:spacing w:val="0"/>
          <w:w w:val="100"/>
          <w:position w:val="0"/>
        </w:rPr>
        <w:t>股变更为</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328, 107, 975</w:t>
      </w:r>
      <w:r>
        <w:rPr>
          <w:color w:val="000000"/>
          <w:spacing w:val="0"/>
          <w:w w:val="100"/>
          <w:position w:val="0"/>
        </w:rPr>
        <w:t>股。</w:t>
      </w:r>
    </w:p>
    <w:p>
      <w:pPr>
        <w:pStyle w:val="Style35"/>
        <w:keepNext/>
        <w:keepLines/>
        <w:widowControl w:val="0"/>
        <w:shd w:val="clear" w:color="auto" w:fill="auto"/>
        <w:tabs>
          <w:tab w:pos="380" w:val="left"/>
        </w:tabs>
        <w:bidi w:val="0"/>
        <w:spacing w:before="0" w:after="2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3</w:t>
      </w:r>
      <w:bookmarkEnd w:id="607"/>
      <w:r>
        <w:rPr>
          <w:color w:val="000000"/>
          <w:spacing w:val="0"/>
          <w:w w:val="100"/>
          <w:position w:val="0"/>
        </w:rPr>
        <w:t>、</w:t>
        <w:tab/>
        <w:t>现存的内部职工股情况</w:t>
      </w:r>
      <w:bookmarkEnd w:id="605"/>
      <w:bookmarkEnd w:id="606"/>
      <w:bookmarkEnd w:id="608"/>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三</w:t>
      </w:r>
      <w:bookmarkEnd w:id="611"/>
      <w:r>
        <w:rPr>
          <w:color w:val="000000"/>
          <w:spacing w:val="0"/>
          <w:w w:val="100"/>
          <w:position w:val="0"/>
        </w:rPr>
        <w:t>、</w:t>
        <w:tab/>
        <w:t>股东和实际控制人情况</w:t>
      </w:r>
      <w:bookmarkEnd w:id="609"/>
      <w:bookmarkEnd w:id="610"/>
      <w:bookmarkEnd w:id="612"/>
    </w:p>
    <w:p>
      <w:pPr>
        <w:pStyle w:val="Style35"/>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、公司股东数量及持股情况</w:t>
      </w:r>
      <w:bookmarkEnd w:id="613"/>
      <w:bookmarkEnd w:id="614"/>
      <w:bookmarkEnd w:id="61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869"/>
        <w:gridCol w:w="917"/>
        <w:gridCol w:w="898"/>
        <w:gridCol w:w="1094"/>
        <w:gridCol w:w="1224"/>
        <w:gridCol w:w="869"/>
        <w:gridCol w:w="610"/>
        <w:gridCol w:w="254"/>
        <w:gridCol w:w="878"/>
      </w:tblGrid>
      <w:tr>
        <w:trPr>
          <w:trHeight w:val="259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25,990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末表决</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权恢复</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的优先</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股股东</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总数（如 有）（参</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年度报告披 露日前上一 月末表决权 恢复的优先 股股东总数</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持有特 别表决 权股份 的股东 总数（如</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持有有限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gridSpan w:val="3"/>
            <w:tcBorders>
              <w:top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标记或冻结情况</w:t>
            </w:r>
          </w:p>
        </w:tc>
      </w:tr>
      <w:tr>
        <w:trPr>
          <w:trHeight w:val="634" w:hRule="exact"/>
        </w:trPr>
        <w:tc>
          <w:tcPr>
            <w:tcBorders>
              <w:left w:val="single" w:sz="4"/>
              <w:bottom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left w:val="single" w:sz="4"/>
              <w:bottom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末持股 数量</w:t>
            </w:r>
          </w:p>
        </w:tc>
        <w:tc>
          <w:tcPr>
            <w:tcBorders>
              <w:left w:val="single" w:sz="4"/>
              <w:bottom w:val="single" w:sz="4"/>
            </w:tcBorders>
            <w:shd w:val="clear" w:color="auto" w:fill="D3D3D3"/>
            <w:vAlign w:val="top"/>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内增减</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变动情</w:t>
            </w:r>
          </w:p>
        </w:tc>
        <w:tc>
          <w:tcPr>
            <w:tcBorders>
              <w:left w:val="single" w:sz="4"/>
              <w:bottom w:val="single" w:sz="4"/>
            </w:tcBorders>
            <w:shd w:val="clear" w:color="auto" w:fill="D3D3D3"/>
            <w:vAlign w:val="top"/>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售条件的</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股份数量</w:t>
            </w:r>
          </w:p>
        </w:tc>
        <w:tc>
          <w:tcPr>
            <w:tcBorders>
              <w:left w:val="single" w:sz="4"/>
              <w:bottom w:val="single" w:sz="4"/>
            </w:tcBorders>
            <w:shd w:val="clear" w:color="auto" w:fill="D3D3D3"/>
            <w:vAlign w:val="top"/>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条件的股份</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994"/>
        <w:gridCol w:w="979"/>
        <w:gridCol w:w="869"/>
        <w:gridCol w:w="917"/>
        <w:gridCol w:w="898"/>
        <w:gridCol w:w="1094"/>
        <w:gridCol w:w="1224"/>
        <w:gridCol w:w="1478"/>
        <w:gridCol w:w="113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125,342, 826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94,007,119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70,515,5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59,309,946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珠海瑞信 投资管理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9,108,27</w:t>
            </w:r>
          </w:p>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浙江银万 斯特投资 管理有限 公司一银 万增利</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号私募证 券投资基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6,560,00</w:t>
            </w:r>
          </w:p>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吴敬东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1,548,60</w:t>
            </w:r>
          </w:p>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李争铭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1,024,50</w:t>
            </w:r>
          </w:p>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夏友乐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李卫敏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厦门福联 兴机电设 备有限公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朱杰洲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公司控股股东、实际控制人陈喆女士持有珠海瑞信投资管理有限公司</w:t>
            </w:r>
            <w:r>
              <w:rPr>
                <w:rFonts w:ascii="Times New Roman" w:eastAsia="Times New Roman" w:hAnsi="Times New Roman" w:cs="Times New Roman"/>
                <w:color w:val="000000"/>
                <w:spacing w:val="0"/>
                <w:w w:val="100"/>
                <w:position w:val="0"/>
                <w:sz w:val="18"/>
                <w:szCs w:val="18"/>
              </w:rPr>
              <w:t>65.13%</w:t>
            </w:r>
            <w:r>
              <w:rPr>
                <w:color w:val="000000"/>
                <w:spacing w:val="0"/>
                <w:w w:val="100"/>
                <w:position w:val="0"/>
              </w:rPr>
              <w:t>的股份，为珠海瑞 信投资管理有限公司的实际控制人。</w:t>
            </w:r>
          </w:p>
        </w:tc>
      </w:tr>
      <w:tr>
        <w:trPr>
          <w:trHeight w:val="1027"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73"/>
        <w:gridCol w:w="5002"/>
        <w:gridCol w:w="869"/>
        <w:gridCol w:w="1742"/>
      </w:tblGrid>
      <w:tr>
        <w:trPr>
          <w:trHeight w:val="67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股份种 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31,335,707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31,335,707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11,205,611</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珠海瑞信投资管理有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9,108,274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9,108,274</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浙江银万斯特投资管 理有限公司一银万增 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6,560,000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6,560,000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吴敬东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1,548,600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1,548,600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李争铭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1,024,500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1,024,500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夏友乐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995,370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995,370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李卫敏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970,281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970,281</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厦门福联兴机电设备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739,470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739,470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朱杰洲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619,304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619,304</w:t>
            </w:r>
          </w:p>
        </w:tc>
      </w:tr>
      <w:tr>
        <w:trPr>
          <w:trHeight w:val="19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公司控股股东、实际控制人陈喆女士持有珠海瑞信投资管理有限公司</w:t>
            </w:r>
            <w:r>
              <w:rPr>
                <w:rFonts w:ascii="Times New Roman" w:eastAsia="Times New Roman" w:hAnsi="Times New Roman" w:cs="Times New Roman"/>
                <w:color w:val="000000"/>
                <w:spacing w:val="0"/>
                <w:w w:val="100"/>
                <w:position w:val="0"/>
                <w:sz w:val="18"/>
                <w:szCs w:val="18"/>
              </w:rPr>
              <w:t>65.13%</w:t>
            </w:r>
            <w:r>
              <w:rPr>
                <w:color w:val="000000"/>
                <w:spacing w:val="0"/>
                <w:w w:val="100"/>
                <w:position w:val="0"/>
              </w:rPr>
              <w:t>的股份，为珠海瑞 信投资管理有限公司的实际控制人。</w:t>
            </w:r>
          </w:p>
        </w:tc>
      </w:tr>
      <w:tr>
        <w:trPr>
          <w:trHeight w:val="169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东情况说明（如有）（参</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tabs>
                <w:tab w:pos="235"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公司股东吴敬东未通过普通证券账户持有公司股份，通过中国银河证券股份有限公司客户信 用交易担保证券账户持有</w:t>
            </w:r>
            <w:r>
              <w:rPr>
                <w:rFonts w:ascii="Times New Roman" w:eastAsia="Times New Roman" w:hAnsi="Times New Roman" w:cs="Times New Roman"/>
                <w:color w:val="000000"/>
                <w:spacing w:val="0"/>
                <w:w w:val="100"/>
                <w:position w:val="0"/>
                <w:sz w:val="18"/>
                <w:szCs w:val="18"/>
              </w:rPr>
              <w:t>1548600</w:t>
            </w:r>
            <w:r>
              <w:rPr>
                <w:color w:val="000000"/>
                <w:spacing w:val="0"/>
                <w:w w:val="100"/>
                <w:position w:val="0"/>
              </w:rPr>
              <w:t>股；</w:t>
            </w:r>
          </w:p>
          <w:p>
            <w:pPr>
              <w:pStyle w:val="Style26"/>
              <w:keepNext w:val="0"/>
              <w:keepLines w:val="0"/>
              <w:widowControl w:val="0"/>
              <w:shd w:val="clear" w:color="auto" w:fill="auto"/>
              <w:tabs>
                <w:tab w:pos="245"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公司股东李争铭除通过普通证券账户持有</w:t>
            </w:r>
            <w:r>
              <w:rPr>
                <w:rFonts w:ascii="Times New Roman" w:eastAsia="Times New Roman" w:hAnsi="Times New Roman" w:cs="Times New Roman"/>
                <w:color w:val="000000"/>
                <w:spacing w:val="0"/>
                <w:w w:val="100"/>
                <w:position w:val="0"/>
                <w:sz w:val="18"/>
                <w:szCs w:val="18"/>
              </w:rPr>
              <w:t>58000</w:t>
            </w:r>
            <w:r>
              <w:rPr>
                <w:color w:val="000000"/>
                <w:spacing w:val="0"/>
                <w:w w:val="100"/>
                <w:position w:val="0"/>
              </w:rPr>
              <w:t>股外，还通过国泰君安证券股份有限公司客 户信用交易担保证券账户持有</w:t>
            </w:r>
            <w:r>
              <w:rPr>
                <w:rFonts w:ascii="Times New Roman" w:eastAsia="Times New Roman" w:hAnsi="Times New Roman" w:cs="Times New Roman"/>
                <w:color w:val="000000"/>
                <w:spacing w:val="0"/>
                <w:w w:val="100"/>
                <w:position w:val="0"/>
                <w:sz w:val="18"/>
                <w:szCs w:val="18"/>
              </w:rPr>
              <w:t>966500</w:t>
            </w:r>
            <w:r>
              <w:rPr>
                <w:color w:val="000000"/>
                <w:spacing w:val="0"/>
                <w:w w:val="100"/>
                <w:position w:val="0"/>
              </w:rPr>
              <w:t>股；</w:t>
            </w:r>
          </w:p>
          <w:p>
            <w:pPr>
              <w:pStyle w:val="Style26"/>
              <w:keepNext w:val="0"/>
              <w:keepLines w:val="0"/>
              <w:widowControl w:val="0"/>
              <w:shd w:val="clear" w:color="auto" w:fill="auto"/>
              <w:tabs>
                <w:tab w:pos="235"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公司股东李卫敏未通过普通证券账户持有公司股份，通过上海证券有限责任公司客户信用交</w:t>
            </w:r>
          </w:p>
        </w:tc>
      </w:tr>
    </w:tbl>
    <w:tbl>
      <w:tblPr>
        <w:tblOverlap w:val="never"/>
        <w:jc w:val="center"/>
        <w:tblLayout w:type="fixed"/>
      </w:tblPr>
      <w:tblGrid>
        <w:gridCol w:w="1973"/>
        <w:gridCol w:w="761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易担保证券账户持有</w:t>
            </w:r>
            <w:r>
              <w:rPr>
                <w:rFonts w:ascii="Times New Roman" w:eastAsia="Times New Roman" w:hAnsi="Times New Roman" w:cs="Times New Roman"/>
                <w:color w:val="000000"/>
                <w:spacing w:val="0"/>
                <w:w w:val="100"/>
                <w:position w:val="0"/>
                <w:sz w:val="18"/>
                <w:szCs w:val="18"/>
              </w:rPr>
              <w:t>970281</w:t>
            </w:r>
            <w:r>
              <w:rPr>
                <w:color w:val="000000"/>
                <w:spacing w:val="0"/>
                <w:w w:val="100"/>
                <w:position w:val="0"/>
              </w:rPr>
              <w:t>股。</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2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、公司控股股东情况</w:t>
      </w:r>
      <w:bookmarkEnd w:id="617"/>
      <w:bookmarkEnd w:id="618"/>
      <w:bookmarkEnd w:id="620"/>
    </w:p>
    <w:p>
      <w:pPr>
        <w:pStyle w:val="Style23"/>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22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、公司实际控制人及其一致行动人</w:t>
      </w:r>
      <w:bookmarkEnd w:id="621"/>
      <w:bookmarkEnd w:id="622"/>
      <w:bookmarkEnd w:id="624"/>
    </w:p>
    <w:p>
      <w:pPr>
        <w:pStyle w:val="Style23"/>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1574"/>
        <w:gridCol w:w="322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珠海瑞信投资管理有限公司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汇金科技董事长兼总经理</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6149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2614930"/>
                    </a:xfrm>
                    <a:prstGeom prst="rect"/>
                  </pic:spPr>
                </pic:pic>
              </a:graphicData>
            </a:graphic>
          </wp:inline>
        </w:drawing>
      </w:r>
    </w:p>
    <w:p>
      <w:pPr>
        <w:widowControl w:val="0"/>
        <w:spacing w:after="3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4</w:t>
      </w:r>
      <w:bookmarkEnd w:id="62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5"/>
      <w:bookmarkEnd w:id="626"/>
      <w:bookmarkEnd w:id="62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5</w:t>
      </w:r>
      <w:bookmarkEnd w:id="63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9"/>
      <w:bookmarkEnd w:id="630"/>
      <w:bookmarkEnd w:id="63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6</w:t>
      </w:r>
      <w:bookmarkEnd w:id="635"/>
      <w:r>
        <w:rPr>
          <w:color w:val="000000"/>
          <w:spacing w:val="0"/>
          <w:w w:val="100"/>
          <w:position w:val="0"/>
        </w:rPr>
        <w:t>、</w:t>
        <w:tab/>
        <w:t>控股股东、实际控制人、重组方及其他承诺主体股份限制减持情况</w:t>
      </w:r>
      <w:bookmarkEnd w:id="633"/>
      <w:bookmarkEnd w:id="634"/>
      <w:bookmarkEnd w:id="63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四</w:t>
      </w:r>
      <w:bookmarkEnd w:id="639"/>
      <w:r>
        <w:rPr>
          <w:color w:val="000000"/>
          <w:spacing w:val="0"/>
          <w:w w:val="100"/>
          <w:position w:val="0"/>
        </w:rPr>
        <w:t>、股份回购在报告期的具体实施情况</w:t>
      </w:r>
      <w:bookmarkEnd w:id="637"/>
      <w:bookmarkEnd w:id="638"/>
      <w:bookmarkEnd w:id="64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380" w:line="240" w:lineRule="auto"/>
        <w:ind w:left="0" w:right="0" w:firstLine="0"/>
        <w:jc w:val="left"/>
        <w:sectPr>
          <w:footnotePr>
            <w:pos w:val="pageBottom"/>
            <w:numFmt w:val="upperRoman"/>
            <w:numStart w:val="1"/>
            <w:numRestart w:val="continuous"/>
            <w15:footnoteColumns w:val="1"/>
          </w:footnotePr>
          <w:pgSz w:w="11900" w:h="16840"/>
          <w:pgMar w:top="1374" w:right="1083" w:bottom="1460" w:left="1045"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txbxContent>
                </v:textbox>
                <w10:wrap type="topAndBottom" anchorx="page"/>
              </v:shape>
            </w:pict>
          </mc:Fallback>
        </mc:AlternateContent>
      </w:r>
    </w:p>
    <w:p>
      <w:pPr>
        <w:pStyle w:val="Style23"/>
        <w:keepNext w:val="0"/>
        <w:keepLines w:val="0"/>
        <w:widowControl w:val="0"/>
        <w:shd w:val="clear" w:color="auto" w:fill="auto"/>
        <w:bidi w:val="0"/>
        <w:spacing w:before="0" w:after="140" w:line="240" w:lineRule="auto"/>
        <w:ind w:left="0" w:right="0" w:firstLine="0"/>
        <w:jc w:val="left"/>
      </w:pPr>
      <w:bookmarkStart w:id="644" w:name="bookmark644"/>
      <w:r>
        <w:rPr>
          <w:color w:val="000000"/>
          <w:spacing w:val="0"/>
          <w:w w:val="100"/>
          <w:position w:val="0"/>
        </w:rPr>
        <w:t>□</w:t>
      </w:r>
      <w:r>
        <w:rPr>
          <w:color w:val="000000"/>
          <w:spacing w:val="0"/>
          <w:w w:val="100"/>
          <w:position w:val="0"/>
        </w:rPr>
        <w:t>适用”不适用</w:t>
      </w:r>
      <w:bookmarkEnd w:id="644"/>
    </w:p>
    <w:p>
      <w:pPr>
        <w:pStyle w:val="Style23"/>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0" w:after="580" w:line="240" w:lineRule="auto"/>
        <w:ind w:left="0" w:right="0" w:firstLine="0"/>
        <w:jc w:val="center"/>
      </w:pPr>
      <w:bookmarkStart w:id="645" w:name="bookmark645"/>
      <w:bookmarkStart w:id="646" w:name="bookmark646"/>
      <w:bookmarkStart w:id="647" w:name="bookmark647"/>
      <w:r>
        <w:rPr>
          <w:color w:val="000000"/>
          <w:spacing w:val="0"/>
          <w:w w:val="100"/>
          <w:position w:val="0"/>
        </w:rPr>
        <w:t>第九节债券相关情况</w:t>
      </w:r>
      <w:bookmarkEnd w:id="645"/>
      <w:bookmarkEnd w:id="646"/>
      <w:bookmarkEnd w:id="647"/>
    </w:p>
    <w:p>
      <w:pPr>
        <w:pStyle w:val="Style23"/>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pgSz w:w="11900" w:h="16840"/>
          <w:pgMar w:top="1930" w:right="1315" w:bottom="1930" w:left="1104" w:header="0" w:footer="3" w:gutter="0"/>
          <w:cols w:space="720"/>
          <w:noEndnote/>
          <w:rtlGutter w:val="0"/>
          <w:docGrid w:linePitch="360"/>
        </w:sectPr>
      </w:pPr>
      <w:bookmarkStart w:id="648" w:name="bookmark648"/>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bookmarkEnd w:id="648"/>
    </w:p>
    <w:p>
      <w:pPr>
        <w:pStyle w:val="Style15"/>
        <w:keepNext/>
        <w:keepLines/>
        <w:widowControl w:val="0"/>
        <w:shd w:val="clear" w:color="auto" w:fill="auto"/>
        <w:bidi w:val="0"/>
        <w:spacing w:before="560" w:after="540" w:line="240" w:lineRule="auto"/>
        <w:ind w:left="0" w:right="0" w:firstLine="0"/>
        <w:jc w:val="center"/>
      </w:pPr>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p>
    <w:p>
      <w:pPr>
        <w:pStyle w:val="Style29"/>
        <w:keepNext/>
        <w:keepLines/>
        <w:widowControl w:val="0"/>
        <w:shd w:val="clear" w:color="auto" w:fill="auto"/>
        <w:bidi w:val="0"/>
        <w:spacing w:before="0" w:after="300" w:line="240" w:lineRule="auto"/>
        <w:ind w:left="0" w:right="0" w:firstLine="0"/>
        <w:jc w:val="left"/>
      </w:pPr>
      <w:bookmarkStart w:id="652" w:name="bookmark652"/>
      <w:bookmarkStart w:id="653" w:name="bookmark653"/>
      <w:bookmarkStart w:id="654" w:name="bookmark654"/>
      <w:bookmarkStart w:id="655" w:name="bookmark655"/>
      <w:bookmarkStart w:id="656" w:name="bookmark656"/>
      <w:r>
        <w:rPr>
          <w:color w:val="000000"/>
          <w:spacing w:val="0"/>
          <w:w w:val="100"/>
          <w:position w:val="0"/>
        </w:rPr>
        <w:t>一</w:t>
      </w:r>
      <w:bookmarkEnd w:id="655"/>
      <w:r>
        <w:rPr>
          <w:color w:val="000000"/>
          <w:spacing w:val="0"/>
          <w:w w:val="100"/>
          <w:position w:val="0"/>
        </w:rPr>
        <w:t>、审计报告</w:t>
      </w:r>
      <w:bookmarkEnd w:id="653"/>
      <w:bookmarkEnd w:id="654"/>
      <w:bookmarkEnd w:id="656"/>
      <w:bookmarkEnd w:id="6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442A011843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邵桂荣、胡静</w:t>
            </w:r>
          </w:p>
        </w:tc>
      </w:tr>
    </w:tbl>
    <w:p>
      <w:pPr>
        <w:widowControl w:val="0"/>
        <w:spacing w:after="299" w:line="1" w:lineRule="exact"/>
      </w:pP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审计报告正文</w:t>
      </w:r>
    </w:p>
    <w:p>
      <w:pPr>
        <w:pStyle w:val="Style2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珠海汇金科技股份有限公司全体股东：</w:t>
      </w:r>
    </w:p>
    <w:p>
      <w:pPr>
        <w:pStyle w:val="Style23"/>
        <w:keepNext w:val="0"/>
        <w:keepLines w:val="0"/>
        <w:widowControl w:val="0"/>
        <w:shd w:val="clear" w:color="auto" w:fill="auto"/>
        <w:tabs>
          <w:tab w:pos="815" w:val="left"/>
        </w:tabs>
        <w:bidi w:val="0"/>
        <w:spacing w:before="0" w:after="0" w:line="310" w:lineRule="exact"/>
        <w:ind w:left="0" w:right="0"/>
        <w:jc w:val="both"/>
      </w:pPr>
      <w:bookmarkStart w:id="657" w:name="bookmark657"/>
      <w:r>
        <w:rPr>
          <w:color w:val="000000"/>
          <w:spacing w:val="0"/>
          <w:w w:val="100"/>
          <w:position w:val="0"/>
        </w:rPr>
        <w:t>一</w:t>
      </w:r>
      <w:bookmarkEnd w:id="657"/>
      <w:r>
        <w:rPr>
          <w:color w:val="000000"/>
          <w:spacing w:val="0"/>
          <w:w w:val="100"/>
          <w:position w:val="0"/>
        </w:rPr>
        <w:t>、</w:t>
        <w:tab/>
        <w:t>审计意见</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我们审计了珠海汇金科技股份有限公司（以下简称“汇金科技”）财务报表，包括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 债表，</w:t>
      </w:r>
      <w:r>
        <w:rPr>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3"/>
        <w:keepNext w:val="0"/>
        <w:keepLines w:val="0"/>
        <w:widowControl w:val="0"/>
        <w:shd w:val="clear" w:color="auto" w:fill="auto"/>
        <w:bidi w:val="0"/>
        <w:spacing w:before="0" w:after="300" w:line="310" w:lineRule="exact"/>
        <w:ind w:left="0" w:right="0"/>
        <w:jc w:val="both"/>
      </w:pPr>
      <w:r>
        <w:rPr>
          <w:color w:val="000000"/>
          <w:spacing w:val="0"/>
          <w:w w:val="100"/>
          <w:position w:val="0"/>
        </w:rPr>
        <w:t>我们认为，后附的财务报表在所有重大方面按照企业会计准则的规定编制，公允反映了汇金科技</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及公司财务状况以及</w:t>
      </w:r>
      <w:r>
        <w:rPr>
          <w:color w:val="000000"/>
          <w:spacing w:val="0"/>
          <w:w w:val="100"/>
          <w:position w:val="0"/>
          <w:sz w:val="18"/>
          <w:szCs w:val="18"/>
        </w:rPr>
        <w:t>2021</w:t>
      </w:r>
      <w:r>
        <w:rPr>
          <w:color w:val="000000"/>
          <w:spacing w:val="0"/>
          <w:w w:val="100"/>
          <w:position w:val="0"/>
        </w:rPr>
        <w:t>年度的合并及公司的经营成果和现金流量。</w:t>
      </w:r>
    </w:p>
    <w:p>
      <w:pPr>
        <w:pStyle w:val="Style23"/>
        <w:keepNext w:val="0"/>
        <w:keepLines w:val="0"/>
        <w:widowControl w:val="0"/>
        <w:shd w:val="clear" w:color="auto" w:fill="auto"/>
        <w:tabs>
          <w:tab w:pos="815" w:val="left"/>
        </w:tabs>
        <w:bidi w:val="0"/>
        <w:spacing w:before="0" w:after="0" w:line="312" w:lineRule="exact"/>
        <w:ind w:left="0" w:right="0"/>
        <w:jc w:val="both"/>
      </w:pPr>
      <w:bookmarkStart w:id="658" w:name="bookmark658"/>
      <w:r>
        <w:rPr>
          <w:color w:val="000000"/>
          <w:spacing w:val="0"/>
          <w:w w:val="100"/>
          <w:position w:val="0"/>
        </w:rPr>
        <w:t>二</w:t>
      </w:r>
      <w:bookmarkEnd w:id="658"/>
      <w:r>
        <w:rPr>
          <w:color w:val="000000"/>
          <w:spacing w:val="0"/>
          <w:w w:val="100"/>
          <w:position w:val="0"/>
        </w:rPr>
        <w:t>、</w:t>
        <w:tab/>
        <w:t>形成审计意见的基础</w:t>
      </w:r>
    </w:p>
    <w:p>
      <w:pPr>
        <w:pStyle w:val="Style23"/>
        <w:keepNext w:val="0"/>
        <w:keepLines w:val="0"/>
        <w:widowControl w:val="0"/>
        <w:shd w:val="clear" w:color="auto" w:fill="auto"/>
        <w:bidi w:val="0"/>
        <w:spacing w:before="0" w:after="300" w:line="312"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步阐述了我们在这些准则下的责任。按照中国注册会计师职业道德守则，我们独立于汇金科技，并履行了职业道德方面的其 他责任。我们相信，我们获取的审计证据是充分、适当的，为发表审计意见提供了基础。</w:t>
      </w:r>
    </w:p>
    <w:p>
      <w:pPr>
        <w:pStyle w:val="Style23"/>
        <w:keepNext w:val="0"/>
        <w:keepLines w:val="0"/>
        <w:widowControl w:val="0"/>
        <w:shd w:val="clear" w:color="auto" w:fill="auto"/>
        <w:tabs>
          <w:tab w:pos="815" w:val="left"/>
        </w:tabs>
        <w:bidi w:val="0"/>
        <w:spacing w:before="0" w:after="0" w:line="314" w:lineRule="exact"/>
        <w:ind w:left="0" w:right="0"/>
        <w:jc w:val="both"/>
      </w:pPr>
      <w:bookmarkStart w:id="659" w:name="bookmark659"/>
      <w:r>
        <w:rPr>
          <w:color w:val="000000"/>
          <w:spacing w:val="0"/>
          <w:w w:val="100"/>
          <w:position w:val="0"/>
        </w:rPr>
        <w:t>三</w:t>
      </w:r>
      <w:bookmarkEnd w:id="659"/>
      <w:r>
        <w:rPr>
          <w:color w:val="000000"/>
          <w:spacing w:val="0"/>
          <w:w w:val="100"/>
          <w:position w:val="0"/>
        </w:rPr>
        <w:t>、</w:t>
        <w:tab/>
        <w:t>关键审计事项</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（一）收入确认</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相关信息披露详见财务报表附注三</w:t>
      </w:r>
      <w:r>
        <w:rPr>
          <w:color w:val="000000"/>
          <w:spacing w:val="0"/>
          <w:w w:val="100"/>
          <w:position w:val="0"/>
          <w:sz w:val="18"/>
          <w:szCs w:val="18"/>
        </w:rPr>
        <w:t>-24</w:t>
      </w:r>
      <w:r>
        <w:rPr>
          <w:color w:val="000000"/>
          <w:spacing w:val="0"/>
          <w:w w:val="100"/>
          <w:position w:val="0"/>
        </w:rPr>
        <w:t>及五</w:t>
      </w:r>
      <w:r>
        <w:rPr>
          <w:color w:val="000000"/>
          <w:spacing w:val="0"/>
          <w:w w:val="100"/>
          <w:position w:val="0"/>
          <w:sz w:val="18"/>
          <w:szCs w:val="18"/>
        </w:rPr>
        <w:t>-34</w:t>
      </w:r>
      <w:r>
        <w:rPr>
          <w:color w:val="000000"/>
          <w:spacing w:val="0"/>
          <w:w w:val="100"/>
          <w:position w:val="0"/>
        </w:rPr>
        <w:t>。</w:t>
      </w:r>
    </w:p>
    <w:p>
      <w:pPr>
        <w:pStyle w:val="Style23"/>
        <w:keepNext w:val="0"/>
        <w:keepLines w:val="0"/>
        <w:widowControl w:val="0"/>
        <w:shd w:val="clear" w:color="auto" w:fill="auto"/>
        <w:tabs>
          <w:tab w:pos="728" w:val="left"/>
        </w:tabs>
        <w:bidi w:val="0"/>
        <w:spacing w:before="0" w:after="0" w:line="314" w:lineRule="exact"/>
        <w:ind w:left="0" w:right="0"/>
        <w:jc w:val="both"/>
      </w:pPr>
      <w:bookmarkStart w:id="660" w:name="bookmark660"/>
      <w:r>
        <w:rPr>
          <w:color w:val="000000"/>
          <w:spacing w:val="0"/>
          <w:w w:val="100"/>
          <w:position w:val="0"/>
          <w:sz w:val="18"/>
          <w:szCs w:val="18"/>
        </w:rPr>
        <w:t>1</w:t>
      </w:r>
      <w:bookmarkEnd w:id="660"/>
      <w:r>
        <w:rPr>
          <w:color w:val="000000"/>
          <w:spacing w:val="0"/>
          <w:w w:val="100"/>
          <w:position w:val="0"/>
        </w:rPr>
        <w:t>、</w:t>
        <w:tab/>
        <w:t>事项描述</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汇金科技的营业收入主要来自于金融安防产品的生产销售，通常在产品交付给购买方，或完成必要的安装、调试工作， 购买方验收通过后确认销售收入。汇金科技</w:t>
      </w:r>
      <w:r>
        <w:rPr>
          <w:color w:val="000000"/>
          <w:spacing w:val="0"/>
          <w:w w:val="100"/>
          <w:position w:val="0"/>
          <w:sz w:val="18"/>
          <w:szCs w:val="18"/>
        </w:rPr>
        <w:t>2021</w:t>
      </w:r>
      <w:r>
        <w:rPr>
          <w:color w:val="000000"/>
          <w:spacing w:val="0"/>
          <w:w w:val="100"/>
          <w:position w:val="0"/>
        </w:rPr>
        <w:t>年度合并财务报表中的营业收入为</w:t>
      </w:r>
      <w:r>
        <w:rPr>
          <w:color w:val="000000"/>
          <w:spacing w:val="0"/>
          <w:w w:val="100"/>
          <w:position w:val="0"/>
          <w:sz w:val="18"/>
          <w:szCs w:val="18"/>
        </w:rPr>
        <w:t>16,723.12</w:t>
      </w:r>
      <w:r>
        <w:rPr>
          <w:color w:val="000000"/>
          <w:spacing w:val="0"/>
          <w:w w:val="100"/>
          <w:position w:val="0"/>
        </w:rPr>
        <w:t>万元，较上年减少</w:t>
      </w:r>
      <w:r>
        <w:rPr>
          <w:color w:val="000000"/>
          <w:spacing w:val="0"/>
          <w:w w:val="100"/>
          <w:position w:val="0"/>
          <w:sz w:val="18"/>
          <w:szCs w:val="18"/>
        </w:rPr>
        <w:t>17.99%</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由于营业收入对汇金科技财务报表存在重大影响，是汇金科技关键业绩指标之一，可能存在收入确认的相关风险。因此， 我们将收入确认识别为关键审计事项。</w:t>
      </w:r>
    </w:p>
    <w:p>
      <w:pPr>
        <w:pStyle w:val="Style23"/>
        <w:keepNext w:val="0"/>
        <w:keepLines w:val="0"/>
        <w:widowControl w:val="0"/>
        <w:shd w:val="clear" w:color="auto" w:fill="auto"/>
        <w:tabs>
          <w:tab w:pos="728" w:val="left"/>
        </w:tabs>
        <w:bidi w:val="0"/>
        <w:spacing w:before="0" w:after="0" w:line="314" w:lineRule="exact"/>
        <w:ind w:left="0" w:right="0"/>
        <w:jc w:val="both"/>
      </w:pPr>
      <w:bookmarkStart w:id="661" w:name="bookmark661"/>
      <w:r>
        <w:rPr>
          <w:color w:val="000000"/>
          <w:spacing w:val="0"/>
          <w:w w:val="100"/>
          <w:position w:val="0"/>
          <w:sz w:val="18"/>
          <w:szCs w:val="18"/>
        </w:rPr>
        <w:t>2</w:t>
      </w:r>
      <w:bookmarkEnd w:id="661"/>
      <w:r>
        <w:rPr>
          <w:color w:val="000000"/>
          <w:spacing w:val="0"/>
          <w:w w:val="100"/>
          <w:position w:val="0"/>
        </w:rPr>
        <w:t>、</w:t>
        <w:tab/>
        <w:t>审计应对</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针对收入确认，我们主要实施了以下审计程序：</w:t>
      </w:r>
    </w:p>
    <w:p>
      <w:pPr>
        <w:pStyle w:val="Style23"/>
        <w:keepNext w:val="0"/>
        <w:keepLines w:val="0"/>
        <w:widowControl w:val="0"/>
        <w:shd w:val="clear" w:color="auto" w:fill="auto"/>
        <w:tabs>
          <w:tab w:pos="825" w:val="left"/>
        </w:tabs>
        <w:bidi w:val="0"/>
        <w:spacing w:before="0" w:after="0" w:line="314" w:lineRule="exact"/>
        <w:ind w:left="0" w:right="0"/>
        <w:jc w:val="left"/>
      </w:pPr>
      <w:bookmarkStart w:id="662" w:name="bookmark662"/>
      <w:r>
        <w:rPr>
          <w:color w:val="000000"/>
          <w:spacing w:val="0"/>
          <w:w w:val="100"/>
          <w:position w:val="0"/>
          <w:sz w:val="18"/>
          <w:szCs w:val="18"/>
        </w:rPr>
        <w:t>（</w:t>
      </w:r>
      <w:bookmarkEnd w:id="662"/>
      <w:r>
        <w:rPr>
          <w:color w:val="000000"/>
          <w:spacing w:val="0"/>
          <w:w w:val="100"/>
          <w:position w:val="0"/>
          <w:sz w:val="18"/>
          <w:szCs w:val="18"/>
        </w:rPr>
        <w:t>1）</w:t>
        <w:tab/>
      </w:r>
      <w:r>
        <w:rPr>
          <w:color w:val="000000"/>
          <w:spacing w:val="0"/>
          <w:w w:val="100"/>
          <w:position w:val="0"/>
        </w:rPr>
        <w:t>了解及评估管理层与收入确认相关的内部控制的设计有效性，并测试关键控制运行的有效性；</w:t>
      </w:r>
    </w:p>
    <w:p>
      <w:pPr>
        <w:pStyle w:val="Style23"/>
        <w:keepNext w:val="0"/>
        <w:keepLines w:val="0"/>
        <w:widowControl w:val="0"/>
        <w:shd w:val="clear" w:color="auto" w:fill="auto"/>
        <w:tabs>
          <w:tab w:pos="901" w:val="left"/>
        </w:tabs>
        <w:bidi w:val="0"/>
        <w:spacing w:before="0" w:after="0" w:line="314" w:lineRule="exact"/>
        <w:ind w:left="0" w:right="0"/>
        <w:jc w:val="left"/>
      </w:pPr>
      <w:bookmarkStart w:id="663" w:name="bookmark663"/>
      <w:r>
        <w:rPr>
          <w:color w:val="000000"/>
          <w:spacing w:val="0"/>
          <w:w w:val="100"/>
          <w:position w:val="0"/>
          <w:sz w:val="18"/>
          <w:szCs w:val="18"/>
        </w:rPr>
        <w:t>（</w:t>
      </w:r>
      <w:bookmarkEnd w:id="663"/>
      <w:r>
        <w:rPr>
          <w:color w:val="000000"/>
          <w:spacing w:val="0"/>
          <w:w w:val="100"/>
          <w:position w:val="0"/>
          <w:sz w:val="18"/>
          <w:szCs w:val="18"/>
        </w:rPr>
        <w:t>2）</w:t>
        <w:tab/>
      </w:r>
      <w:r>
        <w:rPr>
          <w:color w:val="000000"/>
          <w:spacing w:val="0"/>
          <w:w w:val="100"/>
          <w:position w:val="0"/>
        </w:rPr>
        <w:t>选取样本检查销售合同，识别与商品控制权转移相关的合同条款与条件，检查与产品交付、验收、结算及退货等 有关的单据，评价收入确认的会计政策是否符合企业会计准则的要求；</w:t>
      </w:r>
    </w:p>
    <w:p>
      <w:pPr>
        <w:pStyle w:val="Style23"/>
        <w:keepNext w:val="0"/>
        <w:keepLines w:val="0"/>
        <w:widowControl w:val="0"/>
        <w:shd w:val="clear" w:color="auto" w:fill="auto"/>
        <w:tabs>
          <w:tab w:pos="445" w:val="left"/>
        </w:tabs>
        <w:bidi w:val="0"/>
        <w:spacing w:before="0" w:after="0" w:line="314" w:lineRule="exact"/>
        <w:ind w:left="0" w:right="0"/>
        <w:jc w:val="left"/>
      </w:pPr>
      <w:bookmarkStart w:id="664" w:name="bookmark664"/>
      <w:r>
        <w:rPr>
          <w:color w:val="000000"/>
          <w:spacing w:val="0"/>
          <w:w w:val="100"/>
          <w:position w:val="0"/>
          <w:sz w:val="18"/>
          <w:szCs w:val="18"/>
        </w:rPr>
        <w:t>（</w:t>
      </w:r>
      <w:bookmarkEnd w:id="664"/>
      <w:r>
        <w:rPr>
          <w:color w:val="000000"/>
          <w:spacing w:val="0"/>
          <w:w w:val="100"/>
          <w:position w:val="0"/>
          <w:sz w:val="18"/>
          <w:szCs w:val="18"/>
        </w:rPr>
        <w:t>3）</w:t>
        <w:tab/>
      </w:r>
      <w:r>
        <w:rPr>
          <w:color w:val="000000"/>
          <w:spacing w:val="0"/>
          <w:w w:val="100"/>
          <w:position w:val="0"/>
        </w:rPr>
        <w:t xml:space="preserve">抽样检查与收入确认相关的支持性文件，包括销售合同或订单、发货单、安装验收单等，评价收入确认是否符合 </w:t>
      </w:r>
      <w:r>
        <w:rPr>
          <w:color w:val="000000"/>
          <w:spacing w:val="0"/>
          <w:w w:val="100"/>
          <w:position w:val="0"/>
        </w:rPr>
        <w:t>公司收入确认的具体方法；</w:t>
      </w:r>
    </w:p>
    <w:p>
      <w:pPr>
        <w:pStyle w:val="Style23"/>
        <w:keepNext w:val="0"/>
        <w:keepLines w:val="0"/>
        <w:widowControl w:val="0"/>
        <w:shd w:val="clear" w:color="auto" w:fill="auto"/>
        <w:tabs>
          <w:tab w:pos="825" w:val="left"/>
        </w:tabs>
        <w:bidi w:val="0"/>
        <w:spacing w:before="0" w:after="0" w:line="318" w:lineRule="exact"/>
        <w:ind w:left="0" w:right="0"/>
        <w:jc w:val="left"/>
      </w:pPr>
      <w:bookmarkStart w:id="665" w:name="bookmark665"/>
      <w:r>
        <w:rPr>
          <w:color w:val="000000"/>
          <w:spacing w:val="0"/>
          <w:w w:val="100"/>
          <w:position w:val="0"/>
          <w:sz w:val="18"/>
          <w:szCs w:val="18"/>
        </w:rPr>
        <w:t>（</w:t>
      </w:r>
      <w:bookmarkEnd w:id="665"/>
      <w:r>
        <w:rPr>
          <w:color w:val="000000"/>
          <w:spacing w:val="0"/>
          <w:w w:val="100"/>
          <w:position w:val="0"/>
          <w:sz w:val="18"/>
          <w:szCs w:val="18"/>
        </w:rPr>
        <w:t>4</w:t>
      </w:r>
      <w:r>
        <w:rPr>
          <w:color w:val="000000"/>
          <w:spacing w:val="0"/>
          <w:w w:val="100"/>
          <w:position w:val="0"/>
        </w:rPr>
        <w:t>）</w:t>
        <w:tab/>
        <w:t>对销售收入和毛利率等变动的合理性执行分析性程序；</w:t>
      </w:r>
    </w:p>
    <w:p>
      <w:pPr>
        <w:pStyle w:val="Style23"/>
        <w:keepNext w:val="0"/>
        <w:keepLines w:val="0"/>
        <w:widowControl w:val="0"/>
        <w:shd w:val="clear" w:color="auto" w:fill="auto"/>
        <w:tabs>
          <w:tab w:pos="825" w:val="left"/>
        </w:tabs>
        <w:bidi w:val="0"/>
        <w:spacing w:before="0" w:after="0" w:line="318" w:lineRule="exact"/>
        <w:ind w:left="0" w:right="0"/>
        <w:jc w:val="left"/>
      </w:pPr>
      <w:bookmarkStart w:id="666" w:name="bookmark666"/>
      <w:r>
        <w:rPr>
          <w:color w:val="000000"/>
          <w:spacing w:val="0"/>
          <w:w w:val="100"/>
          <w:position w:val="0"/>
          <w:sz w:val="18"/>
          <w:szCs w:val="18"/>
        </w:rPr>
        <w:t>（</w:t>
      </w:r>
      <w:bookmarkEnd w:id="666"/>
      <w:r>
        <w:rPr>
          <w:color w:val="000000"/>
          <w:spacing w:val="0"/>
          <w:w w:val="100"/>
          <w:position w:val="0"/>
          <w:sz w:val="18"/>
          <w:szCs w:val="18"/>
        </w:rPr>
        <w:t>5）</w:t>
        <w:tab/>
      </w:r>
      <w:r>
        <w:rPr>
          <w:color w:val="000000"/>
          <w:spacing w:val="0"/>
          <w:w w:val="100"/>
          <w:position w:val="0"/>
        </w:rPr>
        <w:t>采用积极式函证方式对重大客户执行交易函证，复核函证信息是否准确，对未回函的客户实施替代性审计程序；</w:t>
      </w:r>
    </w:p>
    <w:p>
      <w:pPr>
        <w:pStyle w:val="Style23"/>
        <w:keepNext w:val="0"/>
        <w:keepLines w:val="0"/>
        <w:widowControl w:val="0"/>
        <w:shd w:val="clear" w:color="auto" w:fill="auto"/>
        <w:tabs>
          <w:tab w:pos="896" w:val="left"/>
        </w:tabs>
        <w:bidi w:val="0"/>
        <w:spacing w:before="0" w:after="0" w:line="318" w:lineRule="exact"/>
        <w:ind w:left="0" w:right="0"/>
        <w:jc w:val="left"/>
      </w:pPr>
      <w:bookmarkStart w:id="667" w:name="bookmark667"/>
      <w:r>
        <w:rPr>
          <w:color w:val="000000"/>
          <w:spacing w:val="0"/>
          <w:w w:val="100"/>
          <w:position w:val="0"/>
          <w:sz w:val="18"/>
          <w:szCs w:val="18"/>
        </w:rPr>
        <w:t>（</w:t>
      </w:r>
      <w:bookmarkEnd w:id="667"/>
      <w:r>
        <w:rPr>
          <w:color w:val="000000"/>
          <w:spacing w:val="0"/>
          <w:w w:val="100"/>
          <w:position w:val="0"/>
          <w:sz w:val="18"/>
          <w:szCs w:val="18"/>
        </w:rPr>
        <w:t>6）</w:t>
        <w:tab/>
      </w:r>
      <w:r>
        <w:rPr>
          <w:color w:val="000000"/>
          <w:spacing w:val="0"/>
          <w:w w:val="100"/>
          <w:position w:val="0"/>
        </w:rPr>
        <w:t>从临近资产负债表日前后确认收入的记录中选取样本核对发货单、验收单等支持性文件，以评估收入是否被记录 于恰当的会计期间。</w:t>
      </w:r>
    </w:p>
    <w:p>
      <w:pPr>
        <w:pStyle w:val="Style23"/>
        <w:keepNext w:val="0"/>
        <w:keepLines w:val="0"/>
        <w:widowControl w:val="0"/>
        <w:shd w:val="clear" w:color="auto" w:fill="auto"/>
        <w:bidi w:val="0"/>
        <w:spacing w:before="0" w:after="0" w:line="318" w:lineRule="exact"/>
        <w:ind w:left="0" w:right="0"/>
        <w:jc w:val="left"/>
      </w:pPr>
      <w:r>
        <w:rPr>
          <w:color w:val="000000"/>
          <w:spacing w:val="0"/>
          <w:w w:val="100"/>
          <w:position w:val="0"/>
        </w:rPr>
        <w:t>（二）应收账款的减值</w:t>
      </w:r>
    </w:p>
    <w:p>
      <w:pPr>
        <w:pStyle w:val="Style23"/>
        <w:keepNext w:val="0"/>
        <w:keepLines w:val="0"/>
        <w:widowControl w:val="0"/>
        <w:shd w:val="clear" w:color="auto" w:fill="auto"/>
        <w:bidi w:val="0"/>
        <w:spacing w:before="0" w:after="0" w:line="318" w:lineRule="exact"/>
        <w:ind w:left="0" w:right="0"/>
        <w:jc w:val="left"/>
      </w:pPr>
      <w:r>
        <w:rPr>
          <w:color w:val="000000"/>
          <w:spacing w:val="0"/>
          <w:w w:val="100"/>
          <w:position w:val="0"/>
        </w:rPr>
        <w:t>相关信息披露详见财务报表附注三</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32</w:t>
      </w:r>
      <w:r>
        <w:rPr>
          <w:color w:val="000000"/>
          <w:spacing w:val="0"/>
          <w:w w:val="100"/>
          <w:position w:val="0"/>
        </w:rPr>
        <w:t>及五</w:t>
      </w:r>
      <w:r>
        <w:rPr>
          <w:color w:val="000000"/>
          <w:spacing w:val="0"/>
          <w:w w:val="100"/>
          <w:position w:val="0"/>
          <w:sz w:val="18"/>
          <w:szCs w:val="18"/>
        </w:rPr>
        <w:t>-4</w:t>
      </w:r>
      <w:r>
        <w:rPr>
          <w:color w:val="000000"/>
          <w:spacing w:val="0"/>
          <w:w w:val="100"/>
          <w:position w:val="0"/>
        </w:rPr>
        <w:t>。</w:t>
      </w:r>
    </w:p>
    <w:p>
      <w:pPr>
        <w:pStyle w:val="Style23"/>
        <w:keepNext w:val="0"/>
        <w:keepLines w:val="0"/>
        <w:widowControl w:val="0"/>
        <w:shd w:val="clear" w:color="auto" w:fill="auto"/>
        <w:tabs>
          <w:tab w:pos="733" w:val="left"/>
        </w:tabs>
        <w:bidi w:val="0"/>
        <w:spacing w:before="0" w:after="0" w:line="318" w:lineRule="exact"/>
        <w:ind w:left="0" w:right="0"/>
        <w:jc w:val="left"/>
      </w:pPr>
      <w:bookmarkStart w:id="668" w:name="bookmark668"/>
      <w:r>
        <w:rPr>
          <w:color w:val="000000"/>
          <w:spacing w:val="0"/>
          <w:w w:val="100"/>
          <w:position w:val="0"/>
          <w:sz w:val="18"/>
          <w:szCs w:val="18"/>
        </w:rPr>
        <w:t>1</w:t>
      </w:r>
      <w:bookmarkEnd w:id="668"/>
      <w:r>
        <w:rPr>
          <w:color w:val="000000"/>
          <w:spacing w:val="0"/>
          <w:w w:val="100"/>
          <w:position w:val="0"/>
        </w:rPr>
        <w:t>、</w:t>
        <w:tab/>
        <w:t>事项描述</w:t>
      </w:r>
    </w:p>
    <w:p>
      <w:pPr>
        <w:pStyle w:val="Style23"/>
        <w:keepNext w:val="0"/>
        <w:keepLines w:val="0"/>
        <w:widowControl w:val="0"/>
        <w:shd w:val="clear" w:color="auto" w:fill="auto"/>
        <w:bidi w:val="0"/>
        <w:spacing w:before="0" w:after="0" w:line="318"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日止，汇金科技合并财务报表中应收账款账面余额为</w:t>
      </w:r>
      <w:r>
        <w:rPr>
          <w:color w:val="000000"/>
          <w:spacing w:val="0"/>
          <w:w w:val="100"/>
          <w:position w:val="0"/>
          <w:sz w:val="18"/>
          <w:szCs w:val="18"/>
        </w:rPr>
        <w:t xml:space="preserve">8, </w:t>
      </w:r>
      <w:r>
        <w:rPr>
          <w:color w:val="000000"/>
          <w:spacing w:val="0"/>
          <w:w w:val="100"/>
          <w:position w:val="0"/>
          <w:sz w:val="18"/>
          <w:szCs w:val="18"/>
        </w:rPr>
        <w:t xml:space="preserve">400. </w:t>
      </w:r>
      <w:r>
        <w:rPr>
          <w:color w:val="000000"/>
          <w:spacing w:val="0"/>
          <w:w w:val="100"/>
          <w:position w:val="0"/>
          <w:sz w:val="18"/>
          <w:szCs w:val="18"/>
        </w:rPr>
        <w:t>68</w:t>
      </w:r>
      <w:r>
        <w:rPr>
          <w:color w:val="000000"/>
          <w:spacing w:val="0"/>
          <w:w w:val="100"/>
          <w:position w:val="0"/>
        </w:rPr>
        <w:t>万元，已计提的坏账准备金额为</w:t>
      </w:r>
      <w:r>
        <w:rPr>
          <w:color w:val="000000"/>
          <w:spacing w:val="0"/>
          <w:w w:val="100"/>
          <w:position w:val="0"/>
          <w:sz w:val="18"/>
          <w:szCs w:val="18"/>
        </w:rPr>
        <w:t xml:space="preserve">800. </w:t>
      </w:r>
      <w:r>
        <w:rPr>
          <w:color w:val="000000"/>
          <w:spacing w:val="0"/>
          <w:w w:val="100"/>
          <w:position w:val="0"/>
          <w:sz w:val="18"/>
          <w:szCs w:val="18"/>
        </w:rPr>
        <w:t xml:space="preserve">62 </w:t>
      </w:r>
      <w:r>
        <w:rPr>
          <w:color w:val="000000"/>
          <w:spacing w:val="0"/>
          <w:w w:val="100"/>
          <w:position w:val="0"/>
        </w:rPr>
        <w:t>万元，账面价值为</w:t>
      </w:r>
      <w:r>
        <w:rPr>
          <w:color w:val="000000"/>
          <w:spacing w:val="0"/>
          <w:w w:val="100"/>
          <w:position w:val="0"/>
          <w:sz w:val="18"/>
          <w:szCs w:val="18"/>
        </w:rPr>
        <w:t>7,600.06</w:t>
      </w:r>
      <w:r>
        <w:rPr>
          <w:color w:val="000000"/>
          <w:spacing w:val="0"/>
          <w:w w:val="100"/>
          <w:position w:val="0"/>
        </w:rPr>
        <w:t>万元，占期末资产总额的</w:t>
      </w:r>
      <w:r>
        <w:rPr>
          <w:color w:val="000000"/>
          <w:spacing w:val="0"/>
          <w:w w:val="100"/>
          <w:position w:val="0"/>
          <w:sz w:val="18"/>
          <w:szCs w:val="18"/>
        </w:rPr>
        <w:t>10.32%</w:t>
      </w:r>
      <w:r>
        <w:rPr>
          <w:color w:val="000000"/>
          <w:spacing w:val="0"/>
          <w:w w:val="100"/>
          <w:position w:val="0"/>
        </w:rPr>
        <w:t>。</w:t>
      </w:r>
    </w:p>
    <w:p>
      <w:pPr>
        <w:pStyle w:val="Style23"/>
        <w:keepNext w:val="0"/>
        <w:keepLines w:val="0"/>
        <w:widowControl w:val="0"/>
        <w:shd w:val="clear" w:color="auto" w:fill="auto"/>
        <w:bidi w:val="0"/>
        <w:spacing w:before="0" w:after="0" w:line="318" w:lineRule="exact"/>
        <w:ind w:left="0" w:right="0"/>
        <w:jc w:val="left"/>
      </w:pPr>
      <w:r>
        <w:rPr>
          <w:color w:val="000000"/>
          <w:spacing w:val="0"/>
          <w:w w:val="100"/>
          <w:position w:val="0"/>
        </w:rPr>
        <w:t>汇金科技管理层以预期信用损失为基础，对应收账款进行减值测试并确认坏账准备。</w:t>
      </w:r>
    </w:p>
    <w:p>
      <w:pPr>
        <w:pStyle w:val="Style23"/>
        <w:keepNext w:val="0"/>
        <w:keepLines w:val="0"/>
        <w:widowControl w:val="0"/>
        <w:shd w:val="clear" w:color="auto" w:fill="auto"/>
        <w:bidi w:val="0"/>
        <w:spacing w:before="0" w:after="0" w:line="318" w:lineRule="exact"/>
        <w:ind w:left="0" w:right="0"/>
        <w:jc w:val="left"/>
      </w:pPr>
      <w:r>
        <w:rPr>
          <w:color w:val="000000"/>
          <w:spacing w:val="0"/>
          <w:w w:val="100"/>
          <w:position w:val="0"/>
        </w:rPr>
        <w:t>由于管理层在确定应收账款预计可收回金额并进行减值测试时需要运用重大会计估计和判断，且影响金额重大，因此我 们将应收账款的减值识别为关键审计事项。</w:t>
      </w:r>
    </w:p>
    <w:p>
      <w:pPr>
        <w:pStyle w:val="Style23"/>
        <w:keepNext w:val="0"/>
        <w:keepLines w:val="0"/>
        <w:widowControl w:val="0"/>
        <w:shd w:val="clear" w:color="auto" w:fill="auto"/>
        <w:tabs>
          <w:tab w:pos="733" w:val="left"/>
        </w:tabs>
        <w:bidi w:val="0"/>
        <w:spacing w:before="0" w:after="0" w:line="318" w:lineRule="exact"/>
        <w:ind w:left="0" w:right="0"/>
        <w:jc w:val="left"/>
      </w:pPr>
      <w:bookmarkStart w:id="669" w:name="bookmark669"/>
      <w:r>
        <w:rPr>
          <w:color w:val="000000"/>
          <w:spacing w:val="0"/>
          <w:w w:val="100"/>
          <w:position w:val="0"/>
          <w:sz w:val="18"/>
          <w:szCs w:val="18"/>
        </w:rPr>
        <w:t>2</w:t>
      </w:r>
      <w:bookmarkEnd w:id="669"/>
      <w:r>
        <w:rPr>
          <w:color w:val="000000"/>
          <w:spacing w:val="0"/>
          <w:w w:val="100"/>
          <w:position w:val="0"/>
        </w:rPr>
        <w:t>、</w:t>
        <w:tab/>
        <w:t>审计应对</w:t>
      </w:r>
    </w:p>
    <w:p>
      <w:pPr>
        <w:pStyle w:val="Style23"/>
        <w:keepNext w:val="0"/>
        <w:keepLines w:val="0"/>
        <w:widowControl w:val="0"/>
        <w:shd w:val="clear" w:color="auto" w:fill="auto"/>
        <w:bidi w:val="0"/>
        <w:spacing w:before="0" w:after="0" w:line="318" w:lineRule="exact"/>
        <w:ind w:left="0" w:right="0"/>
        <w:jc w:val="left"/>
      </w:pPr>
      <w:r>
        <w:rPr>
          <w:color w:val="000000"/>
          <w:spacing w:val="0"/>
          <w:w w:val="100"/>
          <w:position w:val="0"/>
        </w:rPr>
        <w:t>针对应收账款的减值，我们主要实施了以下审计程序：</w:t>
      </w:r>
    </w:p>
    <w:p>
      <w:pPr>
        <w:pStyle w:val="Style23"/>
        <w:keepNext w:val="0"/>
        <w:keepLines w:val="0"/>
        <w:widowControl w:val="0"/>
        <w:shd w:val="clear" w:color="auto" w:fill="auto"/>
        <w:tabs>
          <w:tab w:pos="825" w:val="left"/>
        </w:tabs>
        <w:bidi w:val="0"/>
        <w:spacing w:before="0" w:after="0" w:line="318" w:lineRule="exact"/>
        <w:ind w:left="0" w:right="0"/>
        <w:jc w:val="left"/>
      </w:pPr>
      <w:bookmarkStart w:id="670" w:name="bookmark670"/>
      <w:r>
        <w:rPr>
          <w:color w:val="000000"/>
          <w:spacing w:val="0"/>
          <w:w w:val="100"/>
          <w:position w:val="0"/>
          <w:sz w:val="18"/>
          <w:szCs w:val="18"/>
        </w:rPr>
        <w:t>（</w:t>
      </w:r>
      <w:bookmarkEnd w:id="670"/>
      <w:r>
        <w:rPr>
          <w:color w:val="000000"/>
          <w:spacing w:val="0"/>
          <w:w w:val="100"/>
          <w:position w:val="0"/>
          <w:sz w:val="18"/>
          <w:szCs w:val="18"/>
        </w:rPr>
        <w:t>1）</w:t>
        <w:tab/>
      </w:r>
      <w:r>
        <w:rPr>
          <w:color w:val="000000"/>
          <w:spacing w:val="0"/>
          <w:w w:val="100"/>
          <w:position w:val="0"/>
        </w:rPr>
        <w:t>了解、评估和测试管理层与应收账款预期信用损失相关的内部控制设计和运行的有效性；</w:t>
      </w:r>
    </w:p>
    <w:p>
      <w:pPr>
        <w:pStyle w:val="Style23"/>
        <w:keepNext w:val="0"/>
        <w:keepLines w:val="0"/>
        <w:widowControl w:val="0"/>
        <w:shd w:val="clear" w:color="auto" w:fill="auto"/>
        <w:tabs>
          <w:tab w:pos="825" w:val="left"/>
        </w:tabs>
        <w:bidi w:val="0"/>
        <w:spacing w:before="0" w:after="0" w:line="318" w:lineRule="exact"/>
        <w:ind w:left="0" w:right="0"/>
        <w:jc w:val="left"/>
      </w:pPr>
      <w:bookmarkStart w:id="671" w:name="bookmark671"/>
      <w:r>
        <w:rPr>
          <w:color w:val="000000"/>
          <w:spacing w:val="0"/>
          <w:w w:val="100"/>
          <w:position w:val="0"/>
          <w:sz w:val="18"/>
          <w:szCs w:val="18"/>
        </w:rPr>
        <w:t>（</w:t>
      </w:r>
      <w:bookmarkEnd w:id="671"/>
      <w:r>
        <w:rPr>
          <w:color w:val="000000"/>
          <w:spacing w:val="0"/>
          <w:w w:val="100"/>
          <w:position w:val="0"/>
          <w:sz w:val="18"/>
          <w:szCs w:val="18"/>
        </w:rPr>
        <w:t>2）</w:t>
        <w:tab/>
      </w:r>
      <w:r>
        <w:rPr>
          <w:color w:val="000000"/>
          <w:spacing w:val="0"/>
          <w:w w:val="100"/>
          <w:position w:val="0"/>
        </w:rPr>
        <w:t>采用抽样方法，检查公司编制的应收账款账龄分析表的准确性；</w:t>
      </w:r>
    </w:p>
    <w:p>
      <w:pPr>
        <w:pStyle w:val="Style23"/>
        <w:keepNext w:val="0"/>
        <w:keepLines w:val="0"/>
        <w:widowControl w:val="0"/>
        <w:shd w:val="clear" w:color="auto" w:fill="auto"/>
        <w:tabs>
          <w:tab w:pos="901" w:val="left"/>
        </w:tabs>
        <w:bidi w:val="0"/>
        <w:spacing w:before="0" w:after="0" w:line="318" w:lineRule="exact"/>
        <w:ind w:left="0" w:right="0"/>
        <w:jc w:val="left"/>
      </w:pPr>
      <w:bookmarkStart w:id="672" w:name="bookmark672"/>
      <w:r>
        <w:rPr>
          <w:color w:val="000000"/>
          <w:spacing w:val="0"/>
          <w:w w:val="100"/>
          <w:position w:val="0"/>
          <w:sz w:val="18"/>
          <w:szCs w:val="18"/>
        </w:rPr>
        <w:t>（</w:t>
      </w:r>
      <w:bookmarkEnd w:id="672"/>
      <w:r>
        <w:rPr>
          <w:color w:val="000000"/>
          <w:spacing w:val="0"/>
          <w:w w:val="100"/>
          <w:position w:val="0"/>
          <w:sz w:val="18"/>
          <w:szCs w:val="18"/>
        </w:rPr>
        <w:t>3）</w:t>
        <w:tab/>
      </w:r>
      <w:r>
        <w:rPr>
          <w:color w:val="000000"/>
          <w:spacing w:val="0"/>
          <w:w w:val="100"/>
          <w:position w:val="0"/>
        </w:rPr>
        <w:t>获取管理层确认预期损失率所依据的数据及相关资料，检查应收账款的账龄迁徙情况、客户信誉情况及经营情况、 历史坏账情况、预期信用损失判断等，并结合应收账款函证程序及期后回款情况的检查结果，评价应收账款预期信用损失率 的合理性及应收账款坏账准备计提的充分性；</w:t>
      </w:r>
    </w:p>
    <w:p>
      <w:pPr>
        <w:pStyle w:val="Style23"/>
        <w:keepNext w:val="0"/>
        <w:keepLines w:val="0"/>
        <w:widowControl w:val="0"/>
        <w:shd w:val="clear" w:color="auto" w:fill="auto"/>
        <w:tabs>
          <w:tab w:pos="825" w:val="left"/>
        </w:tabs>
        <w:bidi w:val="0"/>
        <w:spacing w:before="0" w:after="320" w:line="318" w:lineRule="exact"/>
        <w:ind w:left="0" w:right="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4）</w:t>
        <w:tab/>
      </w:r>
      <w:r>
        <w:rPr>
          <w:color w:val="000000"/>
          <w:spacing w:val="0"/>
          <w:w w:val="100"/>
          <w:position w:val="0"/>
        </w:rPr>
        <w:t>针对单项计提坏账准备的应收账款，检查管理层评估其可回收性的相关支持性证据。</w:t>
      </w:r>
    </w:p>
    <w:p>
      <w:pPr>
        <w:pStyle w:val="Style23"/>
        <w:keepNext w:val="0"/>
        <w:keepLines w:val="0"/>
        <w:widowControl w:val="0"/>
        <w:shd w:val="clear" w:color="auto" w:fill="auto"/>
        <w:tabs>
          <w:tab w:pos="801" w:val="left"/>
        </w:tabs>
        <w:bidi w:val="0"/>
        <w:spacing w:before="0" w:after="0" w:line="302" w:lineRule="exact"/>
        <w:ind w:left="0" w:right="0"/>
        <w:jc w:val="both"/>
      </w:pPr>
      <w:bookmarkStart w:id="674" w:name="bookmark674"/>
      <w:r>
        <w:rPr>
          <w:color w:val="000000"/>
          <w:spacing w:val="0"/>
          <w:w w:val="100"/>
          <w:position w:val="0"/>
        </w:rPr>
        <w:t>四</w:t>
      </w:r>
      <w:bookmarkEnd w:id="674"/>
      <w:r>
        <w:rPr>
          <w:color w:val="000000"/>
          <w:spacing w:val="0"/>
          <w:w w:val="100"/>
          <w:position w:val="0"/>
        </w:rPr>
        <w:t>、</w:t>
        <w:tab/>
        <w:t>其他信息</w:t>
      </w:r>
    </w:p>
    <w:p>
      <w:pPr>
        <w:pStyle w:val="Style23"/>
        <w:keepNext w:val="0"/>
        <w:keepLines w:val="0"/>
        <w:widowControl w:val="0"/>
        <w:shd w:val="clear" w:color="auto" w:fill="auto"/>
        <w:bidi w:val="0"/>
        <w:spacing w:before="0" w:after="0" w:line="302" w:lineRule="exact"/>
        <w:ind w:left="0" w:right="0"/>
        <w:jc w:val="both"/>
      </w:pPr>
      <w:r>
        <w:rPr>
          <w:color w:val="000000"/>
          <w:spacing w:val="0"/>
          <w:w w:val="100"/>
          <w:position w:val="0"/>
        </w:rPr>
        <w:t>汇金科技管理层对其他信息负责。其他信息包括汇金科技</w:t>
      </w:r>
      <w:r>
        <w:rPr>
          <w:color w:val="000000"/>
          <w:spacing w:val="0"/>
          <w:w w:val="100"/>
          <w:position w:val="0"/>
          <w:sz w:val="18"/>
          <w:szCs w:val="18"/>
        </w:rPr>
        <w:t>2021</w:t>
      </w:r>
      <w:r>
        <w:rPr>
          <w:color w:val="000000"/>
          <w:spacing w:val="0"/>
          <w:w w:val="100"/>
          <w:position w:val="0"/>
        </w:rPr>
        <w:t>年年度报告中涵盖的信息，但不包括财务报表和我们的审 计报告。</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3"/>
        <w:keepNext w:val="0"/>
        <w:keepLines w:val="0"/>
        <w:widowControl w:val="0"/>
        <w:shd w:val="clear" w:color="auto" w:fill="auto"/>
        <w:bidi w:val="0"/>
        <w:spacing w:before="0" w:after="320" w:line="30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3"/>
        <w:keepNext w:val="0"/>
        <w:keepLines w:val="0"/>
        <w:widowControl w:val="0"/>
        <w:shd w:val="clear" w:color="auto" w:fill="auto"/>
        <w:tabs>
          <w:tab w:pos="815" w:val="left"/>
        </w:tabs>
        <w:bidi w:val="0"/>
        <w:spacing w:before="0" w:after="0" w:line="312" w:lineRule="exact"/>
        <w:ind w:left="0" w:right="0"/>
        <w:jc w:val="both"/>
      </w:pPr>
      <w:bookmarkStart w:id="675" w:name="bookmark675"/>
      <w:r>
        <w:rPr>
          <w:color w:val="000000"/>
          <w:spacing w:val="0"/>
          <w:w w:val="100"/>
          <w:position w:val="0"/>
        </w:rPr>
        <w:t>五</w:t>
      </w:r>
      <w:bookmarkEnd w:id="675"/>
      <w:r>
        <w:rPr>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汇金科技管理层负责按照企业会计准则的规定编制财务报表，使其实现公允反映，并设计、执行和维护必要的内部控制， 以使财务报表不存在由于舞弊或错误导致的重大错报。</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在编制财务报表时，管理层负责评估汇金科技的持续经营能力，披露与持续经营相关的事项（如适用），并运用持续经 营假设，除非管理层计划清算汇金科技、终止运营或别无其他现实的选择。</w:t>
      </w:r>
    </w:p>
    <w:p>
      <w:pPr>
        <w:pStyle w:val="Style23"/>
        <w:keepNext w:val="0"/>
        <w:keepLines w:val="0"/>
        <w:widowControl w:val="0"/>
        <w:shd w:val="clear" w:color="auto" w:fill="auto"/>
        <w:bidi w:val="0"/>
        <w:spacing w:before="0" w:after="320" w:line="312" w:lineRule="exact"/>
        <w:ind w:left="0" w:right="0"/>
        <w:jc w:val="both"/>
      </w:pPr>
      <w:r>
        <w:rPr>
          <w:color w:val="000000"/>
          <w:spacing w:val="0"/>
          <w:w w:val="100"/>
          <w:position w:val="0"/>
        </w:rPr>
        <w:t>治理层负责监督汇金科技的财务报告过程。</w:t>
      </w:r>
    </w:p>
    <w:p>
      <w:pPr>
        <w:pStyle w:val="Style23"/>
        <w:keepNext w:val="0"/>
        <w:keepLines w:val="0"/>
        <w:widowControl w:val="0"/>
        <w:shd w:val="clear" w:color="auto" w:fill="auto"/>
        <w:tabs>
          <w:tab w:pos="815" w:val="left"/>
        </w:tabs>
        <w:bidi w:val="0"/>
        <w:spacing w:before="0" w:after="0" w:line="307" w:lineRule="exact"/>
        <w:ind w:left="0" w:right="0"/>
        <w:jc w:val="both"/>
      </w:pPr>
      <w:bookmarkStart w:id="676" w:name="bookmark676"/>
      <w:r>
        <w:rPr>
          <w:color w:val="000000"/>
          <w:spacing w:val="0"/>
          <w:w w:val="100"/>
          <w:position w:val="0"/>
        </w:rPr>
        <w:t>六</w:t>
      </w:r>
      <w:bookmarkEnd w:id="676"/>
      <w:r>
        <w:rPr>
          <w:color w:val="000000"/>
          <w:spacing w:val="0"/>
          <w:w w:val="100"/>
          <w:position w:val="0"/>
        </w:rPr>
        <w:t>、</w:t>
        <w:tab/>
        <w:t>注册会计师对财务报表审计的责任</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在按照审计准则执行审计工作的过程中，我们运用职业判断，并保持职业怀疑。同时，我们也执行以下工作：</w:t>
      </w:r>
      <w:r>
        <w:br w:type="page"/>
      </w:r>
    </w:p>
    <w:p>
      <w:pPr>
        <w:pStyle w:val="Style23"/>
        <w:keepNext w:val="0"/>
        <w:keepLines w:val="0"/>
        <w:widowControl w:val="0"/>
        <w:shd w:val="clear" w:color="auto" w:fill="auto"/>
        <w:tabs>
          <w:tab w:pos="901" w:val="left"/>
        </w:tabs>
        <w:bidi w:val="0"/>
        <w:spacing w:before="0" w:after="0" w:line="316" w:lineRule="exact"/>
        <w:ind w:left="0" w:right="0" w:firstLine="360"/>
        <w:jc w:val="both"/>
      </w:pPr>
      <w:bookmarkStart w:id="677" w:name="bookmark677"/>
      <w:r>
        <w:rPr>
          <w:color w:val="000000"/>
          <w:spacing w:val="0"/>
          <w:w w:val="100"/>
          <w:position w:val="0"/>
          <w:sz w:val="18"/>
          <w:szCs w:val="18"/>
        </w:rPr>
        <w:t>（</w:t>
      </w:r>
      <w:bookmarkEnd w:id="677"/>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3"/>
        <w:keepNext w:val="0"/>
        <w:keepLines w:val="0"/>
        <w:widowControl w:val="0"/>
        <w:shd w:val="clear" w:color="auto" w:fill="auto"/>
        <w:tabs>
          <w:tab w:pos="805" w:val="left"/>
        </w:tabs>
        <w:bidi w:val="0"/>
        <w:spacing w:before="0" w:after="0" w:line="316" w:lineRule="exact"/>
        <w:ind w:left="0" w:right="0" w:firstLine="360"/>
        <w:jc w:val="both"/>
      </w:pPr>
      <w:bookmarkStart w:id="678" w:name="bookmark678"/>
      <w:r>
        <w:rPr>
          <w:color w:val="000000"/>
          <w:spacing w:val="0"/>
          <w:w w:val="100"/>
          <w:position w:val="0"/>
          <w:sz w:val="18"/>
          <w:szCs w:val="18"/>
        </w:rPr>
        <w:t>（</w:t>
      </w:r>
      <w:bookmarkEnd w:id="678"/>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23"/>
        <w:keepNext w:val="0"/>
        <w:keepLines w:val="0"/>
        <w:widowControl w:val="0"/>
        <w:shd w:val="clear" w:color="auto" w:fill="auto"/>
        <w:tabs>
          <w:tab w:pos="805" w:val="left"/>
        </w:tabs>
        <w:bidi w:val="0"/>
        <w:spacing w:before="0" w:after="0" w:line="316" w:lineRule="exact"/>
        <w:ind w:left="0" w:right="0" w:firstLine="360"/>
        <w:jc w:val="both"/>
      </w:pPr>
      <w:bookmarkStart w:id="679" w:name="bookmark679"/>
      <w:r>
        <w:rPr>
          <w:color w:val="000000"/>
          <w:spacing w:val="0"/>
          <w:w w:val="100"/>
          <w:position w:val="0"/>
          <w:sz w:val="18"/>
          <w:szCs w:val="18"/>
        </w:rPr>
        <w:t>（</w:t>
      </w:r>
      <w:bookmarkEnd w:id="679"/>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23"/>
        <w:keepNext w:val="0"/>
        <w:keepLines w:val="0"/>
        <w:widowControl w:val="0"/>
        <w:shd w:val="clear" w:color="auto" w:fill="auto"/>
        <w:tabs>
          <w:tab w:pos="901" w:val="left"/>
        </w:tabs>
        <w:bidi w:val="0"/>
        <w:spacing w:before="0" w:after="0" w:line="316" w:lineRule="exact"/>
        <w:ind w:left="0" w:right="0" w:firstLine="360"/>
        <w:jc w:val="both"/>
      </w:pPr>
      <w:bookmarkStart w:id="680" w:name="bookmark680"/>
      <w:r>
        <w:rPr>
          <w:color w:val="000000"/>
          <w:spacing w:val="0"/>
          <w:w w:val="100"/>
          <w:position w:val="0"/>
          <w:sz w:val="18"/>
          <w:szCs w:val="18"/>
        </w:rPr>
        <w:t>（</w:t>
      </w:r>
      <w:bookmarkEnd w:id="680"/>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对管理层使用持续经营假设的恰当性得出结论。同时，根据获取的审计证据，就可能导致对汇金科技的持续经营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基于截至审计报告日可获得的信息。然而，未来的事项或情况可能导致汇金科技不能持续经营。</w:t>
      </w:r>
    </w:p>
    <w:p>
      <w:pPr>
        <w:pStyle w:val="Style23"/>
        <w:keepNext w:val="0"/>
        <w:keepLines w:val="0"/>
        <w:widowControl w:val="0"/>
        <w:shd w:val="clear" w:color="auto" w:fill="auto"/>
        <w:tabs>
          <w:tab w:pos="805" w:val="left"/>
        </w:tabs>
        <w:bidi w:val="0"/>
        <w:spacing w:before="0" w:after="0" w:line="316" w:lineRule="exact"/>
        <w:ind w:left="0" w:right="0" w:firstLine="360"/>
        <w:jc w:val="both"/>
      </w:pPr>
      <w:bookmarkStart w:id="681" w:name="bookmark681"/>
      <w:r>
        <w:rPr>
          <w:color w:val="000000"/>
          <w:spacing w:val="0"/>
          <w:w w:val="100"/>
          <w:position w:val="0"/>
          <w:sz w:val="18"/>
          <w:szCs w:val="18"/>
        </w:rPr>
        <w:t>（</w:t>
      </w:r>
      <w:bookmarkEnd w:id="681"/>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23"/>
        <w:keepNext w:val="0"/>
        <w:keepLines w:val="0"/>
        <w:widowControl w:val="0"/>
        <w:shd w:val="clear" w:color="auto" w:fill="auto"/>
        <w:tabs>
          <w:tab w:pos="901" w:val="left"/>
        </w:tabs>
        <w:bidi w:val="0"/>
        <w:spacing w:before="0" w:after="0" w:line="316" w:lineRule="exact"/>
        <w:ind w:left="0" w:right="0" w:firstLine="360"/>
        <w:jc w:val="both"/>
      </w:pPr>
      <w:bookmarkStart w:id="682" w:name="bookmark682"/>
      <w:r>
        <w:rPr>
          <w:color w:val="000000"/>
          <w:spacing w:val="0"/>
          <w:w w:val="100"/>
          <w:position w:val="0"/>
          <w:sz w:val="18"/>
          <w:szCs w:val="18"/>
        </w:rPr>
        <w:t>（</w:t>
      </w:r>
      <w:bookmarkEnd w:id="682"/>
      <w:r>
        <w:rPr>
          <w:color w:val="000000"/>
          <w:spacing w:val="0"/>
          <w:w w:val="100"/>
          <w:position w:val="0"/>
          <w:sz w:val="18"/>
          <w:szCs w:val="18"/>
        </w:rPr>
        <w:t>6）</w:t>
        <w:tab/>
      </w:r>
      <w:r>
        <w:rPr>
          <w:color w:val="000000"/>
          <w:spacing w:val="0"/>
          <w:w w:val="100"/>
          <w:position w:val="0"/>
        </w:rPr>
        <w:t>就汇金科技中实体或业务活动的财务信息获取充分、适当的审计证据，以对财务报表发表意见。我们负责指导、 监督和执行集团审计，并对审计意见承担全部责任。</w:t>
      </w:r>
    </w:p>
    <w:p>
      <w:pPr>
        <w:pStyle w:val="Style2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3"/>
        <w:keepNext w:val="0"/>
        <w:keepLines w:val="0"/>
        <w:widowControl w:val="0"/>
        <w:shd w:val="clear" w:color="auto" w:fill="auto"/>
        <w:bidi w:val="0"/>
        <w:spacing w:before="0" w:after="300" w:line="316"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3"/>
        <w:keepNext w:val="0"/>
        <w:keepLines w:val="0"/>
        <w:widowControl w:val="0"/>
        <w:shd w:val="clear" w:color="auto" w:fill="auto"/>
        <w:bidi w:val="0"/>
        <w:spacing w:before="0" w:after="60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3"/>
        <w:keepNext w:val="0"/>
        <w:keepLines w:val="0"/>
        <w:widowControl w:val="0"/>
        <w:shd w:val="clear" w:color="auto" w:fill="auto"/>
        <w:bidi w:val="0"/>
        <w:spacing w:before="0" w:after="720" w:line="317" w:lineRule="exact"/>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1477010</wp:posOffset>
                </wp:positionH>
                <wp:positionV relativeFrom="paragraph">
                  <wp:posOffset>76200</wp:posOffset>
                </wp:positionV>
                <wp:extent cx="941705" cy="344170"/>
                <wp:wrapSquare wrapText="right"/>
                <wp:docPr id="5" name="Shape 5"/>
                <a:graphic xmlns:a="http://schemas.openxmlformats.org/drawingml/2006/main">
                  <a:graphicData uri="http://schemas.microsoft.com/office/word/2010/wordprocessingShape">
                    <wps:wsp>
                      <wps:cNvSpPr txBox="1"/>
                      <wps:spPr>
                        <a:xfrm>
                          <a:ext cx="941705" cy="344170"/>
                        </a:xfrm>
                        <a:prstGeom prst="rect"/>
                        <a:noFill/>
                      </wps:spPr>
                      <wps:txbx>
                        <w:txbxContent>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致同会计师事务所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31" type="#_x0000_t202" style="position:absolute;margin-left:116.3pt;margin-top:6.pt;width:74.150000000000006pt;height:27.100000000000001pt;z-index:-125829373;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致同会计师事务所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w:rPr>
          <w:color w:val="000000"/>
          <w:spacing w:val="0"/>
          <w:w w:val="100"/>
          <w:position w:val="0"/>
        </w:rPr>
        <w:t>中国注册会计师</w:t>
        <w:br/>
        <w:t>（项目合伙人）</w:t>
      </w:r>
    </w:p>
    <w:p>
      <w:pPr>
        <w:pStyle w:val="Style23"/>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中国注册会计师</w:t>
      </w:r>
    </w:p>
    <w:p>
      <w:pPr>
        <w:pStyle w:val="Style23"/>
        <w:keepNext w:val="0"/>
        <w:keepLines w:val="0"/>
        <w:widowControl w:val="0"/>
        <w:shd w:val="clear" w:color="auto" w:fill="auto"/>
        <w:tabs>
          <w:tab w:pos="5021" w:val="left"/>
        </w:tabs>
        <w:bidi w:val="0"/>
        <w:spacing w:before="0" w:after="380" w:line="240" w:lineRule="auto"/>
        <w:ind w:left="1440" w:right="0" w:firstLine="0"/>
        <w:jc w:val="both"/>
      </w:pPr>
      <w:r>
        <w:rPr>
          <w:color w:val="000000"/>
          <w:spacing w:val="0"/>
          <w:w w:val="100"/>
          <w:position w:val="0"/>
        </w:rPr>
        <w:t>中国•北京</w:t>
        <w:tab/>
        <w:t>二</w:t>
      </w:r>
      <w:r>
        <w:rPr>
          <w:color w:val="000000"/>
          <w:spacing w:val="0"/>
          <w:w w:val="100"/>
          <w:position w:val="0"/>
          <w:sz w:val="18"/>
          <w:szCs w:val="18"/>
        </w:rPr>
        <w:t>O</w:t>
      </w:r>
      <w:r>
        <w:rPr>
          <w:color w:val="000000"/>
          <w:spacing w:val="0"/>
          <w:w w:val="100"/>
          <w:position w:val="0"/>
        </w:rPr>
        <w:t>二二年四月二十一日</w:t>
      </w:r>
    </w:p>
    <w:p>
      <w:pPr>
        <w:pStyle w:val="Style29"/>
        <w:keepNext/>
        <w:keepLines/>
        <w:widowControl w:val="0"/>
        <w:shd w:val="clear" w:color="auto" w:fill="auto"/>
        <w:bidi w:val="0"/>
        <w:spacing w:before="0" w:after="380" w:line="240" w:lineRule="auto"/>
        <w:ind w:left="0" w:right="0" w:firstLine="0"/>
        <w:jc w:val="both"/>
      </w:pPr>
      <w:bookmarkStart w:id="683" w:name="bookmark683"/>
      <w:bookmarkStart w:id="684" w:name="bookmark684"/>
      <w:bookmarkStart w:id="685" w:name="bookmark685"/>
      <w:bookmarkStart w:id="686" w:name="bookmark686"/>
      <w:r>
        <w:rPr>
          <w:color w:val="000000"/>
          <w:spacing w:val="0"/>
          <w:w w:val="100"/>
          <w:position w:val="0"/>
        </w:rPr>
        <w:t>二</w:t>
      </w:r>
      <w:bookmarkEnd w:id="685"/>
      <w:r>
        <w:rPr>
          <w:color w:val="000000"/>
          <w:spacing w:val="0"/>
          <w:w w:val="100"/>
          <w:position w:val="0"/>
        </w:rPr>
        <w:t>、财务报表</w:t>
      </w:r>
      <w:bookmarkEnd w:id="683"/>
      <w:bookmarkEnd w:id="684"/>
      <w:bookmarkEnd w:id="686"/>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5"/>
        <w:keepNext/>
        <w:keepLines/>
        <w:widowControl w:val="0"/>
        <w:shd w:val="clear" w:color="auto" w:fill="auto"/>
        <w:bidi w:val="0"/>
        <w:spacing w:before="0" w:after="38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23"/>
        <w:keepNext w:val="0"/>
        <w:keepLines w:val="0"/>
        <w:widowControl w:val="0"/>
        <w:shd w:val="clear" w:color="auto" w:fill="auto"/>
        <w:bidi w:val="0"/>
        <w:spacing w:before="0" w:after="160" w:line="240" w:lineRule="auto"/>
        <w:ind w:left="0" w:right="0" w:firstLine="0"/>
        <w:jc w:val="both"/>
      </w:pPr>
      <w:r>
        <mc:AlternateContent>
          <mc:Choice Requires="wps">
            <w:drawing>
              <wp:anchor distT="0" distB="0" distL="0" distR="0" simplePos="0" relativeHeight="125829382" behindDoc="0" locked="0" layoutInCell="1" allowOverlap="1">
                <wp:simplePos x="0" y="0"/>
                <wp:positionH relativeFrom="page">
                  <wp:posOffset>6341110</wp:posOffset>
                </wp:positionH>
                <wp:positionV relativeFrom="paragraph">
                  <wp:posOffset>444500</wp:posOffset>
                </wp:positionV>
                <wp:extent cx="481330" cy="143510"/>
                <wp:wrapSquare wrapText="left"/>
                <wp:docPr id="7" name="Shape 7"/>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3" type="#_x0000_t202" style="position:absolute;margin-left:499.30000000000001pt;margin-top:35.pt;width:37.899999999999999pt;height:11.300000000000001pt;z-index:-125829371;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编制单位：珠海汇金科技股份有限公司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1224" w:hSpace="10" w:vSpace="629" w:wrap="notBeside" w:vAnchor="text" w:hAnchor="text" w:x="100" w:y="630"/>
              <w:widowControl w:val="0"/>
              <w:rPr>
                <w:sz w:val="10"/>
                <w:szCs w:val="10"/>
              </w:rPr>
            </w:pPr>
          </w:p>
        </w:tc>
        <w:tc>
          <w:tcPr>
            <w:tcBorders>
              <w:top w:val="single" w:sz="4"/>
              <w:left w:val="single" w:sz="4"/>
              <w:right w:val="single" w:sz="4"/>
            </w:tcBorders>
            <w:shd w:val="clear" w:color="auto" w:fill="D3D3D3"/>
            <w:vAlign w:val="top"/>
          </w:tcPr>
          <w:p>
            <w:pPr>
              <w:framePr w:w="9586" w:h="1224" w:hSpace="10" w:vSpace="629" w:wrap="notBeside" w:vAnchor="text" w:hAnchor="text" w:x="100"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50,072,954.09</w:t>
            </w:r>
          </w:p>
        </w:tc>
        <w:tc>
          <w:tcPr>
            <w:tcBorders>
              <w:top w:val="single" w:sz="4"/>
              <w:left w:val="single" w:sz="4"/>
              <w:bottom w:val="single" w:sz="4"/>
              <w:right w:val="single" w:sz="4"/>
            </w:tcBorders>
            <w:shd w:val="clear" w:color="auto" w:fill="FFFFFF"/>
            <w:vAlign w:val="center"/>
          </w:tcPr>
          <w:p>
            <w:pPr>
              <w:pStyle w:val="Style26"/>
              <w:keepNext w:val="0"/>
              <w:keepLines w:val="0"/>
              <w:framePr w:w="9586" w:h="1224" w:hSpace="10" w:vSpace="629" w:wrap="notBeside" w:vAnchor="text" w:hAnchor="text" w:x="10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82,900,839.71</w:t>
            </w:r>
          </w:p>
        </w:tc>
      </w:tr>
    </w:tbl>
    <w:p>
      <w:pPr>
        <w:pStyle w:val="Style31"/>
        <w:keepNext w:val="0"/>
        <w:keepLines w:val="0"/>
        <w:framePr w:w="7061" w:h="206" w:hSpace="89" w:wrap="notBeside" w:vAnchor="text" w:hAnchor="text" w:x="90"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8,976,457.33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76,000,618.81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87,144,787.42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5,691,102.93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2,233,170.37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1,905,639.88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1,956,642.52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61,581,490.54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46,812,828.40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26,579,247.90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23,191,780.58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352,991,210.12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434,346,914.10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16,589,404.87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329,710,423.65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9,873,096.10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4,432,201.74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18,797,700.93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9,796,697.08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352,552.45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3,744,639.11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3,805,556.69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1,140,910.00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383,616,409.37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322,708,272.41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736,607,619.49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757,055,186.51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52,172,046.55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55,247,402.22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2,542,282.64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6,343,496.90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9,288,470.24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12,670,688.17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1,044,899.51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2,306,742.47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623,867.72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1,577,225.51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2,668,000.27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441,903.01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701,096.74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824,654.60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69,133,223.67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79,412,112.88</w:t>
            </w:r>
          </w:p>
        </w:tc>
      </w:tr>
    </w:tbl>
    <w:p>
      <w:pPr>
        <w:widowControl w:val="0"/>
        <w:spacing w:line="1" w:lineRule="exact"/>
      </w:pPr>
      <w:r>
        <w:br w:type="page"/>
      </w:r>
    </w:p>
    <w:p>
      <w:pPr>
        <w:widowControl w:val="0"/>
        <w:spacing w:line="1" w:lineRule="exact"/>
      </w:pPr>
      <w:r>
        <mc:AlternateContent>
          <mc:Choice Requires="wps">
            <w:drawing>
              <wp:anchor distT="152400" distB="0" distL="114300" distR="5265420" simplePos="0" relativeHeight="125829384" behindDoc="0" locked="0" layoutInCell="1" allowOverlap="1">
                <wp:simplePos x="0" y="0"/>
                <wp:positionH relativeFrom="page">
                  <wp:posOffset>723900</wp:posOffset>
                </wp:positionH>
                <wp:positionV relativeFrom="margin">
                  <wp:posOffset>8180705</wp:posOffset>
                </wp:positionV>
                <wp:extent cx="938530" cy="149225"/>
                <wp:wrapTopAndBottom/>
                <wp:docPr id="9" name="Shape 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wps:txbx>
                      <wps:bodyPr wrap="none" lIns="0" tIns="0" rIns="0" bIns="0">
                        <a:noAutoFit/>
                      </wps:bodyPr>
                    </wps:wsp>
                  </a:graphicData>
                </a:graphic>
              </wp:anchor>
            </w:drawing>
          </mc:Choice>
          <mc:Fallback>
            <w:pict>
              <v:shape id="_x0000_s1035" type="#_x0000_t202" style="position:absolute;margin-left:57.pt;margin-top:644.14999999999998pt;width:73.900000000000006pt;height:11.75pt;z-index:-125829369;mso-wrap-distance-left:9.pt;mso-wrap-distance-top:12.pt;mso-wrap-distance-right:414.60000000000002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v:textbox>
                <w10:wrap type="topAndBottom" anchorx="page" anchory="margin"/>
              </v:shape>
            </w:pict>
          </mc:Fallback>
        </mc:AlternateContent>
      </w:r>
      <w:r>
        <mc:AlternateContent>
          <mc:Choice Requires="wps">
            <w:drawing>
              <wp:anchor distT="152400" distB="3175" distL="2235835" distR="2573655" simplePos="0" relativeHeight="125829386" behindDoc="0" locked="0" layoutInCell="1" allowOverlap="1">
                <wp:simplePos x="0" y="0"/>
                <wp:positionH relativeFrom="page">
                  <wp:posOffset>2845435</wp:posOffset>
                </wp:positionH>
                <wp:positionV relativeFrom="margin">
                  <wp:posOffset>8180705</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主管会计工作负责人：孙玉玲</w:t>
                            </w:r>
                          </w:p>
                        </w:txbxContent>
                      </wps:txbx>
                      <wps:bodyPr wrap="none" lIns="0" tIns="0" rIns="0" bIns="0">
                        <a:noAutoFit/>
                      </wps:bodyPr>
                    </wps:wsp>
                  </a:graphicData>
                </a:graphic>
              </wp:anchor>
            </w:drawing>
          </mc:Choice>
          <mc:Fallback>
            <w:pict>
              <v:shape id="_x0000_s1037" type="#_x0000_t202" style="position:absolute;margin-left:224.05000000000001pt;margin-top:644.14999999999998pt;width:118.8pt;height:11.5pt;z-index:-125829367;mso-wrap-distance-left:176.05000000000001pt;mso-wrap-distance-top:12.pt;mso-wrap-distance-right:202.65000000000001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主管会计工作负责人：孙玉玲</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5524500</wp:posOffset>
                </wp:positionH>
                <wp:positionV relativeFrom="margin">
                  <wp:posOffset>8180705</wp:posOffset>
                </wp:positionV>
                <wp:extent cx="1289050" cy="149225"/>
                <wp:wrapTopAndBottom/>
                <wp:docPr id="13" name="Shape 1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会计机构负责人：孙玉玲</w:t>
                            </w:r>
                          </w:p>
                        </w:txbxContent>
                      </wps:txbx>
                      <wps:bodyPr wrap="none" lIns="0" tIns="0" rIns="0" bIns="0">
                        <a:noAutoFit/>
                      </wps:bodyPr>
                    </wps:wsp>
                  </a:graphicData>
                </a:graphic>
              </wp:anchor>
            </w:drawing>
          </mc:Choice>
          <mc:Fallback>
            <w:pict>
              <v:shape id="_x0000_s1039" type="#_x0000_t202" style="position:absolute;margin-left:435.pt;margin-top:644.14999999999998pt;width:101.5pt;height:11.75pt;z-index:-125829365;mso-wrap-distance-left:387.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会计机构负责人：孙玉玲</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5,631,757.16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1,353,289.68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7,402,749.45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6,988,845.51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8,783,593.93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12,657,492.40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77,916,817.60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92,069,605.28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328,107,975.00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252,450,683.00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95,726,355.56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171,787,273.73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44,187,680.04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42,909,543.74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192,641,076.29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199,927,401.93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660,663,086.89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666,671,271.63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-1,972,285.00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-1,685,690.40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658,690,801.89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664,985,581.23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736,607,619.49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757,055,186.51</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49,553,994.88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82,881,348.72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8,976,457.33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11,860,933.60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76,000,618.81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67,603,269.33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5,691,102.93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2,233,170.37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19,745,839.88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19,790,342.52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61,581,490.54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46,812,828.40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26,579,247.90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23,061,187.70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368,312,450.91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432,489,012.14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329,702,204.90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9,864,122.30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4,432,201.74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18,797,700.93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9,796,697.08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352,552.45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4,044,639.11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3,805,556.69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1,140,910.00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367,318,785.75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324,699,298.61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735,631,236.66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757,188,310.75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49,411,269.23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52,486,624.90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2,542,282.64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6,343,496.90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9,288,470.24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12,670,688.17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505,540.57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1,767,012.58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622,549.72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1,570,672.47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2,668,000.27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441,903.01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701,096.74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824,654.60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65,831,769.41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76,105,052.63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5,631,757.16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1,353,289.68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7,402,749.45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6,988,845.51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8,783,593.93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12,657,492.40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74,615,363.34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88,762,545.03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328,107,975.00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252,450,683.00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95,726,355.56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171,787,273.73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44,187,680.04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42,909,543.74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192,993,862.72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201,681,896.02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661,015,873.32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668,425,765.72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735,631,236.66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757,188,310.75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203,926,202.98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203,926,202.98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169,403,491.79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206,439,244.32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84,985,305.26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110,543,834.31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2,640,743.89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1,496,645.62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39,474,113.50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49,379,432.43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20,332,491.75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19,402,728.20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22,289,514.97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25,946,781.83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-318,677.58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-330,178.07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496,698.07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400,766.51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9,659,489.13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17,829,532.98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5,271,854.55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245,931.50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1,518,316.67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1,044,918.32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-3,311,465.24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13,539,423.77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18,567,730.77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34,064.83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254,429.03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13,505,602.68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18,313,301.74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-390,873.38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1,058,081.54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13,896,476.06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17,255,220.20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13,896,476.06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17,255,220.20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14,183,070.66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17,285,190.02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-286,594.60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-29,969.82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13,896,476.06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17,255,220.20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14,183,070.66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17,285,190.02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-286,594.60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-29,969.82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3"/>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法定代表人：陈喆</w:t>
        <w:tab/>
        <w:t>主管会计工作负责人：孙玉玲</w:t>
        <w:tab/>
        <w:t>会计机构负责人：孙玉玲</w:t>
      </w:r>
    </w:p>
    <w:p>
      <w:pPr>
        <w:pStyle w:val="Style35"/>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203,926,202.98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84,985,305.26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110,543,834.31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2,640,737.29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1,486,730.02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39,480,299.88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49,259,953.20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20,325,274.21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19,530,586.23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22,289,514.97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25,946,781.83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-319,820.66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-331,054.16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496,635.65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400,648.10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9,659,489.13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17,829,532.98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投资收益（损失以“一”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5,271,854.55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20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840"/>
              <w:jc w:val="left"/>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245,931.50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1,970,429.89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1,044,918.32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i/>
                <w:iCs/>
                <w:color w:val="000000"/>
                <w:spacing w:val="0"/>
                <w:w w:val="100"/>
                <w:position w:val="0"/>
              </w:rPr>
              <w:t>“</w:t>
            </w:r>
            <w:r>
              <w:rPr>
                <w:rFonts w:ascii="Times New Roman" w:eastAsia="Times New Roman" w:hAnsi="Times New Roman" w:cs="Times New Roman"/>
                <w:i/>
                <w:iCs/>
                <w:color w:val="000000"/>
                <w:spacing w:val="0"/>
                <w:w w:val="100"/>
                <w:position w:val="0"/>
                <w:sz w:val="18"/>
                <w:szCs w:val="18"/>
              </w:rPr>
              <w:t>-</w:t>
            </w:r>
            <w:r>
              <w:rPr>
                <w:i/>
                <w:iCs/>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-3,311,465.24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11,993,717.83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18,570,143.66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34,064.83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195,679.03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11,959,896.74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18,374,464.63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-821,466.26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1,058,081.54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12,781,363.00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17,316,383.09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12,781,363.00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17,316,383.09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12,781,363.00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17,316,383.09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174,403,613.00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263,846,971.36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6,529,043.86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14,314,687.38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4,089,446.99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7,507,798.75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185,022,103.85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285,669,457.49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480"/>
              <w:jc w:val="left"/>
            </w:pPr>
            <w:r>
              <w:rPr>
                <w:color w:val="000000"/>
                <w:spacing w:val="0"/>
                <w:w w:val="100"/>
                <w:position w:val="0"/>
              </w:rPr>
              <w:t>购买商品、接受劳务支付的现 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103,233,588.66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126,288,522.98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53,127,918.12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49,902,819.53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12,648,817.93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16,739,154.90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37,323,291.75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43,845,051.03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206,333,616.46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236,775,548.44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-21,311,512.61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48,893,909.05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622,000,000.00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807,000,000.00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5,766,936.74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27,294.40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626,647,011.47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812,794,231.14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43,512,931.86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92,947,039.28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782,000,000.00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607,512,931.86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874,947,039.28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19,134,079.61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-62,152,808.14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6,354,057.16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6,354,057.16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6,065,157.16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20,306,593.81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20,402,240.55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4,584,517.65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9,921,520.64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30,956,268.62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30,612,661.19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-30,956,268.62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-24,258,604.03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-33,133,701.62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-37,519,664.93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81,989,838.59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119,509,503.52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48,856,136.97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81,989,838.59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173,903,613.00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263,846,971.36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6,529,043.86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14,314,687.38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4,088,433.23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7,502,445.30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184,521,090.09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285,664,104.04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103,233,588.66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125,581,067.48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53,127,918.12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49,739,611.33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12,648,811.33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16,729,239.30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37,321,752.81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44,702,764.72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206,332,070.92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236,752,682.83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-21,810,980.83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48,911,421.21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622,000,000.00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807,000,000.00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5,766,936.74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27,294.40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626,647,011.47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812,794,231.14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43,512,931.86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92,947,039.28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782,000,000.00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607,512,931.86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874,947,039.28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19,134,079.61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-62,152,808.14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6,354,057.16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6,354,057.16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6,065,157.16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20,306,593.81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20,402,240.55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4,584,517.65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9,921,520.64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30,956,268.62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30,612,661.19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-30,956,268.62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-24,258,604.03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-33,633,169.84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-37,502,152.77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81,970,347.60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119,472,500.37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48,337,177.76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81,970,347.60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w:t>
            </w:r>
          </w:p>
          <w:p>
            <w:pPr>
              <w:pStyle w:val="Style2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,45 0,6 </w:t>
            </w:r>
            <w:r>
              <w:rPr>
                <w:rFonts w:ascii="Times New Roman" w:eastAsia="Times New Roman" w:hAnsi="Times New Roman" w:cs="Times New Roman"/>
                <w:color w:val="000000"/>
                <w:spacing w:val="0"/>
                <w:w w:val="100"/>
                <w:position w:val="0"/>
                <w:sz w:val="18"/>
                <w:szCs w:val="18"/>
              </w:rPr>
              <w:t xml:space="preserve">83.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w:t>
            </w:r>
          </w:p>
          <w:p>
            <w:pPr>
              <w:pStyle w:val="Style26"/>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42,9 09,5 </w:t>
            </w:r>
            <w:r>
              <w:rPr>
                <w:rFonts w:ascii="Times New Roman" w:eastAsia="Times New Roman" w:hAnsi="Times New Roman" w:cs="Times New Roman"/>
                <w:color w:val="000000"/>
                <w:spacing w:val="0"/>
                <w:w w:val="100"/>
                <w:position w:val="0"/>
                <w:sz w:val="18"/>
                <w:szCs w:val="18"/>
              </w:rPr>
              <w:t>43.7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199, 927, </w:t>
            </w:r>
            <w:r>
              <w:rPr>
                <w:rFonts w:ascii="Times New Roman" w:eastAsia="Times New Roman" w:hAnsi="Times New Roman" w:cs="Times New Roman"/>
                <w:color w:val="000000"/>
                <w:spacing w:val="0"/>
                <w:w w:val="100"/>
                <w:position w:val="0"/>
                <w:sz w:val="18"/>
                <w:szCs w:val="18"/>
              </w:rPr>
              <w:t>401.</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p>
            <w:pPr>
              <w:pStyle w:val="Style2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w:t>
            </w:r>
          </w:p>
          <w:p>
            <w:pPr>
              <w:pStyle w:val="Style2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,45 0,6 </w:t>
            </w:r>
            <w:r>
              <w:rPr>
                <w:rFonts w:ascii="Times New Roman" w:eastAsia="Times New Roman" w:hAnsi="Times New Roman" w:cs="Times New Roman"/>
                <w:color w:val="000000"/>
                <w:spacing w:val="0"/>
                <w:w w:val="100"/>
                <w:position w:val="0"/>
                <w:sz w:val="18"/>
                <w:szCs w:val="18"/>
              </w:rPr>
              <w:t xml:space="preserve">83.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w:t>
            </w:r>
          </w:p>
          <w:p>
            <w:pPr>
              <w:pStyle w:val="Style26"/>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42,9 09,5 </w:t>
            </w:r>
            <w:r>
              <w:rPr>
                <w:rFonts w:ascii="Times New Roman" w:eastAsia="Times New Roman" w:hAnsi="Times New Roman" w:cs="Times New Roman"/>
                <w:color w:val="000000"/>
                <w:spacing w:val="0"/>
                <w:w w:val="100"/>
                <w:position w:val="0"/>
                <w:sz w:val="18"/>
                <w:szCs w:val="18"/>
              </w:rPr>
              <w:t>43.7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199,</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927,</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985,</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99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少以“_”号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86,3</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83,0</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96,4</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投入和减少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-325 ,714.</w:t>
            </w:r>
          </w:p>
          <w:p>
            <w:pPr>
              <w:pStyle w:val="Style26"/>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-325 ,714.</w:t>
            </w:r>
          </w:p>
          <w:p>
            <w:pPr>
              <w:pStyle w:val="Style26"/>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469,</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w:t>
            </w:r>
          </w:p>
          <w:p>
            <w:pPr>
              <w:pStyle w:val="Style2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w:t>
            </w:r>
          </w:p>
          <w:p>
            <w:pPr>
              <w:pStyle w:val="Style26"/>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w:t>
            </w:r>
          </w:p>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55.5</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641,</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669,</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69,47</w:t>
            </w:r>
          </w:p>
          <w:p>
            <w:pPr>
              <w:pStyle w:val="Style2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同</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一控制下企</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253 ,73 6,8 </w:t>
            </w:r>
            <w:r>
              <w:rPr>
                <w:rFonts w:ascii="Times New Roman" w:eastAsia="Times New Roman" w:hAnsi="Times New Roman" w:cs="Times New Roman"/>
                <w:color w:val="000000"/>
                <w:spacing w:val="0"/>
                <w:w w:val="100"/>
                <w:position w:val="0"/>
                <w:sz w:val="18"/>
                <w:szCs w:val="18"/>
              </w:rPr>
              <w:t>48.</w:t>
            </w:r>
          </w:p>
          <w:p>
            <w:pPr>
              <w:pStyle w:val="Style26"/>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w:t>
            </w:r>
          </w:p>
          <w:p>
            <w:pPr>
              <w:pStyle w:val="Style2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06.3</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204,</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672,</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p>
            <w:pPr>
              <w:pStyle w:val="Style2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2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029,</w:t>
            </w:r>
          </w:p>
          <w:p>
            <w:pPr>
              <w:pStyle w:val="Style26"/>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w:t>
            </w:r>
          </w:p>
          <w:p>
            <w:pPr>
              <w:pStyle w:val="Style2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45,3</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96.1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85,1</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17,25</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p>
            <w:pPr>
              <w:pStyle w:val="Style2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2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p>
            <w:pPr>
              <w:pStyle w:val="Style2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p>
            <w:pPr>
              <w:pStyle w:val="Style26"/>
              <w:keepNext w:val="0"/>
              <w:keepLines w:val="0"/>
              <w:widowControl w:val="0"/>
              <w:shd w:val="clear" w:color="auto" w:fill="auto"/>
              <w:bidi w:val="0"/>
              <w:spacing w:before="0" w:after="8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w:t>
            </w:r>
          </w:p>
          <w:p>
            <w:pPr>
              <w:pStyle w:val="Style2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030,</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298, </w:t>
            </w:r>
            <w:r>
              <w:rPr>
                <w:rFonts w:ascii="Times New Roman" w:eastAsia="Times New Roman" w:hAnsi="Times New Roman" w:cs="Times New Roman"/>
                <w:color w:val="000000"/>
                <w:spacing w:val="0"/>
                <w:w w:val="100"/>
                <w:position w:val="0"/>
                <w:sz w:val="18"/>
                <w:szCs w:val="18"/>
              </w:rPr>
              <w:t>947.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98,94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p>
            <w:pPr>
              <w:pStyle w:val="Style26"/>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31,6</w:t>
            </w:r>
          </w:p>
          <w:p>
            <w:pPr>
              <w:pStyle w:val="Style26"/>
              <w:keepNext w:val="0"/>
              <w:keepLines w:val="0"/>
              <w:widowControl w:val="0"/>
              <w:shd w:val="clear" w:color="auto" w:fill="auto"/>
              <w:bidi w:val="0"/>
              <w:spacing w:before="0" w:after="14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38.3</w:t>
            </w:r>
          </w:p>
          <w:p>
            <w:pPr>
              <w:pStyle w:val="Style2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298, </w:t>
            </w:r>
            <w:r>
              <w:rPr>
                <w:rFonts w:ascii="Times New Roman" w:eastAsia="Times New Roman" w:hAnsi="Times New Roman" w:cs="Times New Roman"/>
                <w:color w:val="000000"/>
                <w:spacing w:val="0"/>
                <w:w w:val="100"/>
                <w:position w:val="0"/>
                <w:sz w:val="18"/>
                <w:szCs w:val="18"/>
              </w:rPr>
              <w:t>947.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298, </w:t>
            </w:r>
            <w:r>
              <w:rPr>
                <w:rFonts w:ascii="Times New Roman" w:eastAsia="Times New Roman" w:hAnsi="Times New Roman" w:cs="Times New Roman"/>
                <w:color w:val="000000"/>
                <w:spacing w:val="0"/>
                <w:w w:val="100"/>
                <w:position w:val="0"/>
                <w:sz w:val="18"/>
                <w:szCs w:val="18"/>
              </w:rPr>
              <w:t>947.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98,94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107,6</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54.97</w:t>
            </w: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w:t>
            </w:r>
          </w:p>
          <w:p>
            <w:pPr>
              <w:pStyle w:val="Style26"/>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,45 0,6 </w:t>
            </w:r>
            <w:r>
              <w:rPr>
                <w:rFonts w:ascii="Times New Roman" w:eastAsia="Times New Roman" w:hAnsi="Times New Roman" w:cs="Times New Roman"/>
                <w:color w:val="000000"/>
                <w:spacing w:val="0"/>
                <w:w w:val="100"/>
                <w:position w:val="0"/>
                <w:sz w:val="18"/>
                <w:szCs w:val="18"/>
              </w:rPr>
              <w:t>83.</w:t>
            </w:r>
          </w:p>
          <w:p>
            <w:pPr>
              <w:pStyle w:val="Style26"/>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787,</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42,9 09,5 </w:t>
            </w:r>
            <w:r>
              <w:rPr>
                <w:rFonts w:ascii="Times New Roman" w:eastAsia="Times New Roman" w:hAnsi="Times New Roman" w:cs="Times New Roman"/>
                <w:color w:val="000000"/>
                <w:spacing w:val="0"/>
                <w:w w:val="100"/>
                <w:position w:val="0"/>
                <w:sz w:val="18"/>
                <w:szCs w:val="18"/>
              </w:rPr>
              <w:t>43.7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664,9</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85,58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其他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综合</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50,68</w:t>
            </w:r>
          </w:p>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171,78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7,273.</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403,63</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42,909 </w:t>
            </w:r>
            <w:r>
              <w:rPr>
                <w:rFonts w:ascii="Times New Roman" w:eastAsia="Times New Roman" w:hAnsi="Times New Roman" w:cs="Times New Roman"/>
                <w:color w:val="000000"/>
                <w:spacing w:val="0"/>
                <w:w w:val="100"/>
                <w:position w:val="0"/>
                <w:sz w:val="18"/>
                <w:szCs w:val="18"/>
              </w:rPr>
              <w:t xml:space="preserve">,543.7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p>
            <w:pPr>
              <w:pStyle w:val="Style26"/>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681, </w:t>
            </w:r>
            <w:r>
              <w:rPr>
                <w:rFonts w:ascii="Times New Roman" w:eastAsia="Times New Roman" w:hAnsi="Times New Roman" w:cs="Times New Roman"/>
                <w:color w:val="000000"/>
                <w:spacing w:val="0"/>
                <w:w w:val="100"/>
                <w:position w:val="0"/>
                <w:sz w:val="18"/>
                <w:szCs w:val="18"/>
              </w:rPr>
              <w:t>896.</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668,425,</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765.72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50,68</w:t>
            </w:r>
          </w:p>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171,78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7,273.</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403,63</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42,909 </w:t>
            </w:r>
            <w:r>
              <w:rPr>
                <w:rFonts w:ascii="Times New Roman" w:eastAsia="Times New Roman" w:hAnsi="Times New Roman" w:cs="Times New Roman"/>
                <w:color w:val="000000"/>
                <w:spacing w:val="0"/>
                <w:w w:val="100"/>
                <w:position w:val="0"/>
                <w:sz w:val="18"/>
                <w:szCs w:val="18"/>
              </w:rPr>
              <w:t xml:space="preserve">,543.7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p>
            <w:pPr>
              <w:pStyle w:val="Style26"/>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681, </w:t>
            </w:r>
            <w:r>
              <w:rPr>
                <w:rFonts w:ascii="Times New Roman" w:eastAsia="Times New Roman" w:hAnsi="Times New Roman" w:cs="Times New Roman"/>
                <w:color w:val="000000"/>
                <w:spacing w:val="0"/>
                <w:w w:val="100"/>
                <w:position w:val="0"/>
                <w:sz w:val="18"/>
                <w:szCs w:val="18"/>
              </w:rPr>
              <w:t>896.</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668,425,</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765.72</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7,292</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-76,06 0,918.</w:t>
            </w:r>
          </w:p>
          <w:p>
            <w:pPr>
              <w:pStyle w:val="Style26"/>
              <w:keepNext w:val="0"/>
              <w:keepLines w:val="0"/>
              <w:widowControl w:val="0"/>
              <w:shd w:val="clear" w:color="auto" w:fill="auto"/>
              <w:bidi w:val="0"/>
              <w:spacing w:before="0" w:after="0" w:line="36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8,03</w:t>
            </w:r>
          </w:p>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-7,409,8</w:t>
            </w:r>
          </w:p>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92.40</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12,7</w:t>
            </w:r>
          </w:p>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81,3</w:t>
            </w:r>
          </w:p>
          <w:p>
            <w:pPr>
              <w:pStyle w:val="Style2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12,781,3</w:t>
            </w:r>
          </w:p>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-325,7</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-403,6</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8,13</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91,2</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5,204</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-75,73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5,204.</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5,204</w:t>
            </w:r>
          </w:p>
          <w:p>
            <w:pPr>
              <w:pStyle w:val="Style2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-75,73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5,204.</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07,97</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95,726 </w:t>
            </w:r>
            <w:r>
              <w:rPr>
                <w:rFonts w:ascii="Times New Roman" w:eastAsia="Times New Roman" w:hAnsi="Times New Roman" w:cs="Times New Roman"/>
                <w:color w:val="000000"/>
                <w:spacing w:val="0"/>
                <w:w w:val="100"/>
                <w:position w:val="0"/>
                <w:sz w:val="18"/>
                <w:szCs w:val="18"/>
              </w:rPr>
              <w:t xml:space="preserve">,355.5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44,187 </w:t>
            </w:r>
            <w:r>
              <w:rPr>
                <w:rFonts w:ascii="Times New Roman" w:eastAsia="Times New Roman" w:hAnsi="Times New Roman" w:cs="Times New Roman"/>
                <w:color w:val="000000"/>
                <w:spacing w:val="0"/>
                <w:w w:val="100"/>
                <w:position w:val="0"/>
                <w:sz w:val="18"/>
                <w:szCs w:val="18"/>
              </w:rPr>
              <w:t xml:space="preserve">,680.0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661,015,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所有者</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权益合</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848.</w:t>
            </w:r>
          </w:p>
          <w:p>
            <w:pPr>
              <w:pStyle w:val="Style2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180,5</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70,44</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w:t>
            </w:r>
          </w:p>
          <w:p>
            <w:pPr>
              <w:pStyle w:val="Style26"/>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41,17</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7,905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206,39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671,448,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848.</w:t>
            </w:r>
          </w:p>
          <w:p>
            <w:pPr>
              <w:pStyle w:val="Style2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180,5</w:t>
            </w:r>
          </w:p>
          <w:p>
            <w:pPr>
              <w:pStyle w:val="Style2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70,44</w:t>
            </w:r>
          </w:p>
          <w:p>
            <w:pPr>
              <w:pStyle w:val="Style26"/>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w:t>
            </w:r>
          </w:p>
          <w:p>
            <w:pPr>
              <w:pStyle w:val="Style26"/>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41,17</w:t>
            </w:r>
          </w:p>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7,905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206,39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671,448,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493.28</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-8,783 ,173.4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9,175.</w:t>
            </w:r>
          </w:p>
          <w:p>
            <w:pPr>
              <w:pStyle w:val="Style26"/>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-4,714,</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17,316, </w:t>
            </w:r>
            <w:r>
              <w:rPr>
                <w:rFonts w:ascii="Times New Roman" w:eastAsia="Times New Roman" w:hAnsi="Times New Roman" w:cs="Times New Roman"/>
                <w:color w:val="000000"/>
                <w:spacing w:val="0"/>
                <w:w w:val="100"/>
                <w:position w:val="0"/>
                <w:sz w:val="18"/>
                <w:szCs w:val="18"/>
              </w:rPr>
              <w:t>383.09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17,316,3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-8,783 ,173.4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-9,921 ,520.6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-9,921 ,520.6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683.</w:t>
            </w:r>
          </w:p>
          <w:p>
            <w:pPr>
              <w:pStyle w:val="Style2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87,27</w:t>
            </w:r>
          </w:p>
          <w:p>
            <w:pPr>
              <w:pStyle w:val="Style26"/>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403,6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42,90</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765.72</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三</w:t>
      </w:r>
      <w:bookmarkEnd w:id="721"/>
      <w:r>
        <w:rPr>
          <w:color w:val="000000"/>
          <w:spacing w:val="0"/>
          <w:w w:val="100"/>
          <w:position w:val="0"/>
        </w:rPr>
        <w:t>、公司基本情况</w:t>
      </w:r>
      <w:bookmarkEnd w:id="719"/>
      <w:bookmarkEnd w:id="720"/>
      <w:bookmarkEnd w:id="722"/>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珠海汇金科技股份有限公司（以下简称“本公司”或“公司”）系</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日由珠海汇金科技有限公司整体改制变更 成立，珠海汇金科技有限公司系由陈喆、马铮于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日出资设立。</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本公司境内发行的人民币普通股</w:t>
      </w:r>
      <w:r>
        <w:rPr>
          <w:color w:val="000000"/>
          <w:spacing w:val="0"/>
          <w:w w:val="100"/>
          <w:position w:val="0"/>
          <w:sz w:val="18"/>
          <w:szCs w:val="18"/>
        </w:rPr>
        <w:t>A</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日在深圳证券交易所上市。</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月向全体股东以资本公积每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股股本，于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月回购注销限制性股票</w:t>
      </w:r>
      <w:r>
        <w:rPr>
          <w:color w:val="000000"/>
          <w:spacing w:val="0"/>
          <w:w w:val="100"/>
          <w:position w:val="0"/>
          <w:sz w:val="18"/>
          <w:szCs w:val="18"/>
        </w:rPr>
        <w:t xml:space="preserve">77, </w:t>
      </w:r>
      <w:r>
        <w:rPr>
          <w:color w:val="000000"/>
          <w:spacing w:val="0"/>
          <w:w w:val="100"/>
          <w:position w:val="0"/>
          <w:sz w:val="18"/>
          <w:szCs w:val="18"/>
        </w:rPr>
        <w:t xml:space="preserve">912. </w:t>
      </w:r>
      <w:r>
        <w:rPr>
          <w:color w:val="000000"/>
          <w:spacing w:val="0"/>
          <w:w w:val="100"/>
          <w:position w:val="0"/>
          <w:sz w:val="18"/>
          <w:szCs w:val="18"/>
        </w:rPr>
        <w:t>00</w:t>
      </w:r>
      <w:r>
        <w:rPr>
          <w:color w:val="000000"/>
          <w:spacing w:val="0"/>
          <w:w w:val="100"/>
          <w:position w:val="0"/>
        </w:rPr>
        <w:t>股。</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日止，本公司注册资本为</w:t>
      </w:r>
      <w:r>
        <w:rPr>
          <w:color w:val="000000"/>
          <w:spacing w:val="0"/>
          <w:w w:val="100"/>
          <w:position w:val="0"/>
          <w:sz w:val="18"/>
          <w:szCs w:val="18"/>
        </w:rPr>
        <w:t>328,107,975</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本公司所属行业：软件和信息技术服务业。</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本公司经营范围：电子计算机软硬件、电子产品、安全防范技术产品、通信设备的设计、研发、生产、批发、零售及其 他商业批发零售（不含许可经营项目）；卡封锁、卡封片、卡封箱、卡封包及其识别系统的设计、研发、生产、批发、零售； 智能物联尾箱实物流转系统、智慧网点重控管理系统、智能库（柜）相关系统软硬件的设计、研发、销售；智能识别技术及 设备、机器学习技术及设备的设计、研发、销售；集成电路设计、研发；智能移动终端的设计、研发、生产、批发、零售； 加密算法、加密体系及相关软硬件产品的设计、研发；电子工程及智能系统工程的设计、施工；信息、通信、网络领域的技 术咨询、技术服务、技术转让、技术开发；信息系统设计、集成、运行维护；电子设备安装，电子工程、智能系统工程及安 全技术防护工程的设计、施工及维护。</w:t>
      </w:r>
    </w:p>
    <w:p>
      <w:pPr>
        <w:pStyle w:val="Style23"/>
        <w:keepNext w:val="0"/>
        <w:keepLines w:val="0"/>
        <w:widowControl w:val="0"/>
        <w:shd w:val="clear" w:color="auto" w:fill="auto"/>
        <w:bidi w:val="0"/>
        <w:spacing w:before="0" w:after="0" w:line="313" w:lineRule="exact"/>
        <w:ind w:left="0" w:right="0"/>
        <w:jc w:val="left"/>
      </w:pPr>
      <w:r>
        <w:rPr>
          <w:color w:val="000000"/>
          <w:spacing w:val="0"/>
          <w:w w:val="100"/>
          <w:position w:val="0"/>
        </w:rPr>
        <w:t>本公司及子公司（以下简称“本集团”）主要产品：银行自助设备现金管理系统、银行现金流转内控系统、银行印章管 理系统、银行支付系统人脸语音识别及安全解决方案等。</w:t>
      </w:r>
    </w:p>
    <w:p>
      <w:pPr>
        <w:pStyle w:val="Style23"/>
        <w:keepNext w:val="0"/>
        <w:keepLines w:val="0"/>
        <w:widowControl w:val="0"/>
        <w:shd w:val="clear" w:color="auto" w:fill="auto"/>
        <w:bidi w:val="0"/>
        <w:spacing w:before="0" w:after="0" w:line="322" w:lineRule="exact"/>
        <w:ind w:left="0" w:right="0"/>
        <w:jc w:val="left"/>
      </w:pPr>
      <w:r>
        <w:rPr>
          <w:color w:val="000000"/>
          <w:spacing w:val="0"/>
          <w:w w:val="100"/>
          <w:position w:val="0"/>
        </w:rPr>
        <w:t>本公司注册地址：广东省珠海市软件园路</w:t>
      </w:r>
      <w:r>
        <w:rPr>
          <w:color w:val="000000"/>
          <w:spacing w:val="0"/>
          <w:w w:val="100"/>
          <w:position w:val="0"/>
          <w:sz w:val="18"/>
          <w:szCs w:val="18"/>
        </w:rPr>
        <w:t>1</w:t>
      </w:r>
      <w:r>
        <w:rPr>
          <w:color w:val="000000"/>
          <w:spacing w:val="0"/>
          <w:w w:val="100"/>
          <w:position w:val="0"/>
        </w:rPr>
        <w:t>号会展中心</w:t>
      </w:r>
      <w:r>
        <w:rPr>
          <w:color w:val="000000"/>
          <w:spacing w:val="0"/>
          <w:w w:val="100"/>
          <w:position w:val="0"/>
          <w:sz w:val="18"/>
          <w:szCs w:val="18"/>
        </w:rPr>
        <w:t>3#</w:t>
      </w:r>
      <w:r>
        <w:rPr>
          <w:color w:val="000000"/>
          <w:spacing w:val="0"/>
          <w:w w:val="100"/>
          <w:position w:val="0"/>
        </w:rPr>
        <w:t>第三层。</w:t>
      </w:r>
    </w:p>
    <w:p>
      <w:pPr>
        <w:pStyle w:val="Style23"/>
        <w:keepNext w:val="0"/>
        <w:keepLines w:val="0"/>
        <w:widowControl w:val="0"/>
        <w:shd w:val="clear" w:color="auto" w:fill="auto"/>
        <w:bidi w:val="0"/>
        <w:spacing w:before="0" w:after="0" w:line="322" w:lineRule="exact"/>
        <w:ind w:left="0" w:right="0"/>
        <w:jc w:val="left"/>
      </w:pPr>
      <w:r>
        <w:rPr>
          <w:color w:val="000000"/>
          <w:spacing w:val="0"/>
          <w:w w:val="100"/>
          <w:position w:val="0"/>
        </w:rPr>
        <w:t>本财务报表及财务报表附注业经本公司第四届董事会第十一次会议于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日批准。根据本公司章程，本财务报 表将提交股东大会审议。</w:t>
      </w:r>
    </w:p>
    <w:p>
      <w:pPr>
        <w:pStyle w:val="Style23"/>
        <w:keepNext w:val="0"/>
        <w:keepLines w:val="0"/>
        <w:widowControl w:val="0"/>
        <w:shd w:val="clear" w:color="auto" w:fill="auto"/>
        <w:bidi w:val="0"/>
        <w:spacing w:before="0" w:after="400" w:line="322" w:lineRule="exact"/>
        <w:ind w:left="0" w:right="0"/>
        <w:jc w:val="left"/>
      </w:pPr>
      <w:r>
        <w:rPr>
          <w:color w:val="000000"/>
          <w:spacing w:val="0"/>
          <w:w w:val="100"/>
          <w:position w:val="0"/>
          <w:sz w:val="18"/>
          <w:szCs w:val="18"/>
        </w:rPr>
        <w:t>2021</w:t>
      </w:r>
      <w:r>
        <w:rPr>
          <w:color w:val="000000"/>
          <w:spacing w:val="0"/>
          <w:w w:val="100"/>
          <w:position w:val="0"/>
        </w:rPr>
        <w:t>年度纳入合并范围的子公司共</w:t>
      </w:r>
      <w:r>
        <w:rPr>
          <w:color w:val="000000"/>
          <w:spacing w:val="0"/>
          <w:w w:val="100"/>
          <w:position w:val="0"/>
          <w:sz w:val="18"/>
          <w:szCs w:val="18"/>
        </w:rPr>
        <w:t>1</w:t>
      </w:r>
      <w:r>
        <w:rPr>
          <w:color w:val="000000"/>
          <w:spacing w:val="0"/>
          <w:w w:val="100"/>
          <w:position w:val="0"/>
        </w:rPr>
        <w:t>户，详见“本附注八、合并范围的变动”、“本附注九、在其他主体中的权益披露”。</w:t>
      </w:r>
    </w:p>
    <w:p>
      <w:pPr>
        <w:pStyle w:val="Style29"/>
        <w:keepNext/>
        <w:keepLines/>
        <w:widowControl w:val="0"/>
        <w:shd w:val="clear" w:color="auto" w:fill="auto"/>
        <w:bidi w:val="0"/>
        <w:spacing w:before="0" w:line="240" w:lineRule="auto"/>
        <w:ind w:left="0" w:right="0" w:firstLine="0"/>
        <w:jc w:val="both"/>
      </w:pPr>
      <w:bookmarkStart w:id="723" w:name="bookmark723"/>
      <w:bookmarkStart w:id="724" w:name="bookmark724"/>
      <w:bookmarkStart w:id="725" w:name="bookmark725"/>
      <w:bookmarkStart w:id="726" w:name="bookmark726"/>
      <w:r>
        <w:rPr>
          <w:color w:val="000000"/>
          <w:spacing w:val="0"/>
          <w:w w:val="100"/>
          <w:position w:val="0"/>
        </w:rPr>
        <w:t>四</w:t>
      </w:r>
      <w:bookmarkEnd w:id="725"/>
      <w:r>
        <w:rPr>
          <w:color w:val="000000"/>
          <w:spacing w:val="0"/>
          <w:w w:val="100"/>
          <w:position w:val="0"/>
        </w:rPr>
        <w:t>、财务报表的编制基础</w:t>
      </w:r>
      <w:bookmarkEnd w:id="723"/>
      <w:bookmarkEnd w:id="724"/>
      <w:bookmarkEnd w:id="726"/>
    </w:p>
    <w:p>
      <w:pPr>
        <w:pStyle w:val="Style35"/>
        <w:keepNext/>
        <w:keepLines/>
        <w:widowControl w:val="0"/>
        <w:shd w:val="clear" w:color="auto" w:fill="auto"/>
        <w:tabs>
          <w:tab w:pos="368" w:val="left"/>
        </w:tabs>
        <w:bidi w:val="0"/>
        <w:spacing w:before="0" w:after="26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w:t>
        <w:tab/>
        <w:t>编制基础</w:t>
      </w:r>
      <w:bookmarkEnd w:id="727"/>
      <w:bookmarkEnd w:id="728"/>
      <w:bookmarkEnd w:id="730"/>
    </w:p>
    <w:p>
      <w:pPr>
        <w:pStyle w:val="Style23"/>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本财务报表按照财政部颁布的企业会计准则及其应用指南、解释及其他有关规定（统称“企业会计准则”）编制。此外，本 集团还按照中国证监会《公开发行证券的公司信息披露编报规则第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 务信息。</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w:t>
        <w:tab/>
        <w:t>持续经营</w:t>
      </w:r>
      <w:bookmarkEnd w:id="731"/>
      <w:bookmarkEnd w:id="732"/>
      <w:bookmarkEnd w:id="734"/>
    </w:p>
    <w:p>
      <w:pPr>
        <w:pStyle w:val="Style23"/>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本财务报表以持续经营为基础列报。</w:t>
      </w:r>
    </w:p>
    <w:p>
      <w:pPr>
        <w:pStyle w:val="Style2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本集团会计核算以权责发生制为基础。除某些金融工具外，本财务报表均以历史成本为计量基础。资产如果发生减值，则按 照相关规定计提相应的减值准备。</w:t>
      </w:r>
    </w:p>
    <w:p>
      <w:pPr>
        <w:pStyle w:val="Style29"/>
        <w:keepNext/>
        <w:keepLines/>
        <w:widowControl w:val="0"/>
        <w:shd w:val="clear" w:color="auto" w:fill="auto"/>
        <w:bidi w:val="0"/>
        <w:spacing w:before="0" w:after="26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五</w:t>
      </w:r>
      <w:bookmarkEnd w:id="737"/>
      <w:r>
        <w:rPr>
          <w:color w:val="000000"/>
          <w:spacing w:val="0"/>
          <w:w w:val="100"/>
          <w:position w:val="0"/>
        </w:rPr>
        <w:t>、重要会计政策及会计估计</w:t>
      </w:r>
      <w:bookmarkEnd w:id="735"/>
      <w:bookmarkEnd w:id="736"/>
      <w:bookmarkEnd w:id="738"/>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400" w:line="305" w:lineRule="exact"/>
        <w:ind w:left="0" w:right="0" w:firstLine="0"/>
        <w:jc w:val="left"/>
      </w:pPr>
      <w:r>
        <w:rPr>
          <w:color w:val="000000"/>
          <w:spacing w:val="0"/>
          <w:w w:val="100"/>
          <w:position w:val="0"/>
        </w:rPr>
        <w:t>本集团根据实际生产经营特点，依据相关企业会计准则的规定，对应收款项坏账准备的确认标准和计提方法、固定资产折旧 政策、无形资产摊销政策和收入确认原则等交易和事项指定了若干具体会计政策和会计估计，具体会计政策参见附注五</w:t>
      </w:r>
      <w:r>
        <w:rPr>
          <w:color w:val="000000"/>
          <w:spacing w:val="0"/>
          <w:w w:val="100"/>
          <w:position w:val="0"/>
          <w:sz w:val="18"/>
          <w:szCs w:val="18"/>
        </w:rPr>
        <w:t>12</w:t>
      </w:r>
      <w:r>
        <w:rPr>
          <w:color w:val="000000"/>
          <w:spacing w:val="0"/>
          <w:w w:val="100"/>
          <w:position w:val="0"/>
        </w:rPr>
        <w:t>、 附注五</w:t>
      </w:r>
      <w:r>
        <w:rPr>
          <w:color w:val="000000"/>
          <w:spacing w:val="0"/>
          <w:w w:val="100"/>
          <w:position w:val="0"/>
          <w:sz w:val="18"/>
          <w:szCs w:val="18"/>
        </w:rPr>
        <w:t>24</w:t>
      </w:r>
      <w:r>
        <w:rPr>
          <w:color w:val="000000"/>
          <w:spacing w:val="0"/>
          <w:w w:val="100"/>
          <w:position w:val="0"/>
        </w:rPr>
        <w:t>、附注五</w:t>
      </w:r>
      <w:r>
        <w:rPr>
          <w:color w:val="000000"/>
          <w:spacing w:val="0"/>
          <w:w w:val="100"/>
          <w:position w:val="0"/>
          <w:sz w:val="18"/>
          <w:szCs w:val="18"/>
        </w:rPr>
        <w:t>30</w:t>
      </w:r>
      <w:r>
        <w:rPr>
          <w:color w:val="000000"/>
          <w:spacing w:val="0"/>
          <w:w w:val="100"/>
          <w:position w:val="0"/>
        </w:rPr>
        <w:t>、附注五</w:t>
      </w:r>
      <w:r>
        <w:rPr>
          <w:color w:val="000000"/>
          <w:spacing w:val="0"/>
          <w:w w:val="100"/>
          <w:position w:val="0"/>
          <w:sz w:val="18"/>
          <w:szCs w:val="18"/>
        </w:rPr>
        <w:t>39</w:t>
      </w:r>
      <w:r>
        <w:rPr>
          <w:color w:val="000000"/>
          <w:spacing w:val="0"/>
          <w:w w:val="100"/>
          <w:position w:val="0"/>
        </w:rPr>
        <w:t>等相关说明。</w:t>
      </w:r>
    </w:p>
    <w:p>
      <w:pPr>
        <w:pStyle w:val="Style35"/>
        <w:keepNext/>
        <w:keepLines/>
        <w:widowControl w:val="0"/>
        <w:shd w:val="clear" w:color="auto" w:fill="auto"/>
        <w:tabs>
          <w:tab w:pos="368"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w:t>
        <w:tab/>
        <w:t>遵循企业会计准则的声明</w:t>
      </w:r>
      <w:bookmarkEnd w:id="739"/>
      <w:bookmarkEnd w:id="740"/>
      <w:bookmarkEnd w:id="742"/>
    </w:p>
    <w:p>
      <w:pPr>
        <w:pStyle w:val="Style23"/>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本财务报表符合企业会计准则的要求，真实、完整地反映了本公司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2021</w:t>
      </w:r>
      <w:r>
        <w:rPr>
          <w:color w:val="000000"/>
          <w:spacing w:val="0"/>
          <w:w w:val="100"/>
          <w:position w:val="0"/>
        </w:rPr>
        <w:t>年的合并 及公司经营成果和合并及公司现金流量等有关信息。</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会计期间</w:t>
      </w:r>
      <w:bookmarkEnd w:id="743"/>
      <w:bookmarkEnd w:id="744"/>
      <w:bookmarkEnd w:id="746"/>
    </w:p>
    <w:p>
      <w:pPr>
        <w:pStyle w:val="Style2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本集团会计期间采用公历年度，即每年自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w:t>
        <w:tab/>
        <w:t>营业周期</w:t>
      </w:r>
      <w:bookmarkEnd w:id="747"/>
      <w:bookmarkEnd w:id="748"/>
      <w:bookmarkEnd w:id="750"/>
    </w:p>
    <w:p>
      <w:pPr>
        <w:pStyle w:val="Style2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本集团的营业周期为</w:t>
      </w:r>
      <w:r>
        <w:rPr>
          <w:color w:val="000000"/>
          <w:spacing w:val="0"/>
          <w:w w:val="100"/>
          <w:position w:val="0"/>
          <w:sz w:val="18"/>
          <w:szCs w:val="18"/>
        </w:rPr>
        <w:t>12</w:t>
      </w:r>
      <w:r>
        <w:rPr>
          <w:color w:val="000000"/>
          <w:spacing w:val="0"/>
          <w:w w:val="100"/>
          <w:position w:val="0"/>
        </w:rPr>
        <w:t>个月。</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t>记账本位币</w:t>
      </w:r>
      <w:bookmarkEnd w:id="751"/>
      <w:bookmarkEnd w:id="752"/>
      <w:bookmarkEnd w:id="754"/>
    </w:p>
    <w:p>
      <w:pPr>
        <w:pStyle w:val="Style2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本集团以人民币为记账本位币。</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5</w:t>
      </w:r>
      <w:bookmarkEnd w:id="757"/>
      <w:r>
        <w:rPr>
          <w:color w:val="000000"/>
          <w:spacing w:val="0"/>
          <w:w w:val="100"/>
          <w:position w:val="0"/>
        </w:rPr>
        <w:t>、</w:t>
        <w:tab/>
        <w:t>同一控制下和非同一控制下企业合并的会计处理方法</w:t>
      </w:r>
      <w:bookmarkEnd w:id="755"/>
      <w:bookmarkEnd w:id="756"/>
      <w:bookmarkEnd w:id="758"/>
    </w:p>
    <w:p>
      <w:pPr>
        <w:pStyle w:val="Style23"/>
        <w:keepNext w:val="0"/>
        <w:keepLines w:val="0"/>
        <w:widowControl w:val="0"/>
        <w:shd w:val="clear" w:color="auto" w:fill="auto"/>
        <w:tabs>
          <w:tab w:pos="445" w:val="left"/>
        </w:tabs>
        <w:bidi w:val="0"/>
        <w:spacing w:before="0" w:after="0" w:line="312" w:lineRule="exact"/>
        <w:ind w:left="0" w:right="0" w:firstLine="0"/>
        <w:jc w:val="left"/>
      </w:pPr>
      <w:bookmarkStart w:id="759" w:name="bookmark759"/>
      <w:r>
        <w:rPr>
          <w:color w:val="000000"/>
          <w:spacing w:val="0"/>
          <w:w w:val="100"/>
          <w:position w:val="0"/>
          <w:sz w:val="18"/>
          <w:szCs w:val="18"/>
        </w:rPr>
        <w:t>（</w:t>
      </w:r>
      <w:bookmarkEnd w:id="759"/>
      <w:r>
        <w:rPr>
          <w:color w:val="000000"/>
          <w:spacing w:val="0"/>
          <w:w w:val="100"/>
          <w:position w:val="0"/>
          <w:sz w:val="18"/>
          <w:szCs w:val="18"/>
        </w:rPr>
        <w:t>1）</w:t>
        <w:tab/>
      </w:r>
      <w:r>
        <w:rPr>
          <w:color w:val="000000"/>
          <w:spacing w:val="0"/>
          <w:w w:val="100"/>
          <w:position w:val="0"/>
        </w:rPr>
        <w:t>同一控制下的企业合并</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对于同一控制下的企业合并，合并方在合并中取得的被合并方的资产、负债，除因会计政策不同而进行的调整以外，按合并 日被合并方在最终控制方合并财务报表中的账面价值计量。合并对价的账面价值与合并中取得的净资产账面价值的差额调整 资本公积，资本公积不足冲减的，调整留存收益。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通过多次交易分步实现同一控制下的企业合并</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在个别财务报表中，以合并日持股比例计算的合并日应享有被合并方净资产在最终控制方合并财务报表中的账面价值的份额 作为该项投资的初始投资成本；初始投资成本与合并前持有投资的账面价值加上合并日新支付对价的账面价值之和的差额， 调整资本公积，资本公积不足冲减的，调整留存收益。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的净资产账面价值的差额，调整资本公积，资本公积不足冲减的，调整留存收益。合并方在取得被合并方控制权之前持有的 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Style23"/>
        <w:keepNext w:val="0"/>
        <w:keepLines w:val="0"/>
        <w:widowControl w:val="0"/>
        <w:shd w:val="clear" w:color="auto" w:fill="auto"/>
        <w:tabs>
          <w:tab w:pos="445" w:val="left"/>
        </w:tabs>
        <w:bidi w:val="0"/>
        <w:spacing w:before="0" w:after="0" w:line="312" w:lineRule="exact"/>
        <w:ind w:left="0" w:right="0" w:firstLine="0"/>
        <w:jc w:val="left"/>
      </w:pPr>
      <w:bookmarkStart w:id="760" w:name="bookmark760"/>
      <w:r>
        <w:rPr>
          <w:color w:val="000000"/>
          <w:spacing w:val="0"/>
          <w:w w:val="100"/>
          <w:position w:val="0"/>
          <w:sz w:val="18"/>
          <w:szCs w:val="18"/>
        </w:rPr>
        <w:t>（</w:t>
      </w:r>
      <w:bookmarkEnd w:id="760"/>
      <w:r>
        <w:rPr>
          <w:color w:val="000000"/>
          <w:spacing w:val="0"/>
          <w:w w:val="100"/>
          <w:position w:val="0"/>
          <w:sz w:val="18"/>
          <w:szCs w:val="18"/>
        </w:rPr>
        <w:t>2）</w:t>
        <w:tab/>
      </w:r>
      <w:r>
        <w:rPr>
          <w:color w:val="000000"/>
          <w:spacing w:val="0"/>
          <w:w w:val="100"/>
          <w:position w:val="0"/>
        </w:rPr>
        <w:t>非同一控制下的企业合并</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对于非同一控制下的企业合并，合并成本为购买日为取得对被购买方的控制权而付出的资产、发生或承担的负债以及发行的 权益性证券的公允价值。在购买日，取得的被购买方的资产、负债及或有负债按公允价值确认。 </w:t>
      </w:r>
      <w:r>
        <w:rPr>
          <w:color w:val="000000"/>
          <w:spacing w:val="0"/>
          <w:w w:val="100"/>
          <w:position w:val="0"/>
        </w:rPr>
        <w:t>对合并成本大于合并中取得的被购买方可辨认净资产公允价值份额的差额，确认为商誉，按成本扣除累计减值准备进行后续 计量；对合并成本小于合并中取得的被购买方可辨认净资产公允价值份额的差额，经复核后计入当期损益。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通过多次交易分步实现非同一控制下的企业合并</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资成本。购买日之前持有的股权投资因采用权益法核算而确认的其他综合收益，购买日对这部分其他综合收益不作处理，在 处置该项投资时采用与被投资单位直接处置相关资产或负债相同的基础进行会计处理；因被投资方除净损益、其他综合收益 和利润分配以外的其他所有者权益变动而确认的所有者权益，在处置该项投资时转入处置期间的当期损益。购买日之前持有 的股权投资采用公允价值计量的，原计入其他综合收益的累计公允价值变动在改按成本法核算时转入当期损益。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在合并财务报表中，合并成本为购买日支付的对价与购买日之前已经持有的被购买方的股权在购买日的公允价值之和。对于 购买日之前已经持有的被购买方的股权，按照该股权在购买日的公允价值进行重新计量，公允价值与其账面价值之间的差额 计入当期收益；购买日之前已经持有的被购买方的股权涉及其他综合收益、其他所有者权益变动转为购买日当期收益，由于 被投资方重新计量设定收益计划净负债或净资产变动而产生的其他综合收益除外。</w:t>
      </w:r>
    </w:p>
    <w:p>
      <w:pPr>
        <w:pStyle w:val="Style23"/>
        <w:keepNext w:val="0"/>
        <w:keepLines w:val="0"/>
        <w:widowControl w:val="0"/>
        <w:shd w:val="clear" w:color="auto" w:fill="auto"/>
        <w:bidi w:val="0"/>
        <w:spacing w:before="0" w:after="0" w:line="312" w:lineRule="exact"/>
        <w:ind w:left="0" w:right="0" w:firstLine="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3）</w:t>
      </w:r>
      <w:r>
        <w:rPr>
          <w:color w:val="000000"/>
          <w:spacing w:val="0"/>
          <w:w w:val="100"/>
          <w:position w:val="0"/>
        </w:rPr>
        <w:t>企业合并中有关交易费用的处理</w:t>
      </w:r>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35"/>
        <w:keepNext/>
        <w:keepLines/>
        <w:widowControl w:val="0"/>
        <w:shd w:val="clear" w:color="auto" w:fill="auto"/>
        <w:bidi w:val="0"/>
        <w:spacing w:before="0" w:after="26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、合并财务报表的编制方法</w:t>
      </w:r>
      <w:bookmarkEnd w:id="762"/>
      <w:bookmarkEnd w:id="763"/>
      <w:bookmarkEnd w:id="765"/>
    </w:p>
    <w:p>
      <w:pPr>
        <w:pStyle w:val="Style23"/>
        <w:keepNext w:val="0"/>
        <w:keepLines w:val="0"/>
        <w:widowControl w:val="0"/>
        <w:shd w:val="clear" w:color="auto" w:fill="auto"/>
        <w:tabs>
          <w:tab w:pos="402" w:val="left"/>
        </w:tabs>
        <w:bidi w:val="0"/>
        <w:spacing w:before="0" w:after="0" w:line="313" w:lineRule="exact"/>
        <w:ind w:left="0" w:right="0" w:firstLine="0"/>
        <w:jc w:val="both"/>
      </w:pPr>
      <w:bookmarkStart w:id="766" w:name="bookmark766"/>
      <w:r>
        <w:rPr>
          <w:color w:val="000000"/>
          <w:spacing w:val="0"/>
          <w:w w:val="100"/>
          <w:position w:val="0"/>
          <w:sz w:val="18"/>
          <w:szCs w:val="18"/>
        </w:rPr>
        <w:t>（</w:t>
      </w:r>
      <w:bookmarkEnd w:id="766"/>
      <w:r>
        <w:rPr>
          <w:color w:val="000000"/>
          <w:spacing w:val="0"/>
          <w:w w:val="100"/>
          <w:position w:val="0"/>
          <w:sz w:val="18"/>
          <w:szCs w:val="18"/>
        </w:rPr>
        <w:t>1）</w:t>
        <w:tab/>
      </w:r>
      <w:r>
        <w:rPr>
          <w:color w:val="000000"/>
          <w:spacing w:val="0"/>
          <w:w w:val="100"/>
          <w:position w:val="0"/>
        </w:rPr>
        <w:t>合并范围</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合并财务报表的合并范围以控制为基础予以确定。控制，是指本公司拥有对被投资单位的权力，通过参与被投资单位的相关 活动而享有可变回报，并且有能力运用对被投资单位的权力影响其回报金额。子公司，是指被本公司控制的主体（含企业、 被投资单位中可分割的部分、结构化主体等）。</w:t>
      </w:r>
    </w:p>
    <w:p>
      <w:pPr>
        <w:pStyle w:val="Style23"/>
        <w:keepNext w:val="0"/>
        <w:keepLines w:val="0"/>
        <w:widowControl w:val="0"/>
        <w:shd w:val="clear" w:color="auto" w:fill="auto"/>
        <w:tabs>
          <w:tab w:pos="402" w:val="left"/>
        </w:tabs>
        <w:bidi w:val="0"/>
        <w:spacing w:before="0" w:after="0" w:line="313" w:lineRule="exact"/>
        <w:ind w:left="0" w:right="0" w:firstLine="0"/>
        <w:jc w:val="both"/>
      </w:pPr>
      <w:bookmarkStart w:id="767" w:name="bookmark767"/>
      <w:r>
        <w:rPr>
          <w:color w:val="000000"/>
          <w:spacing w:val="0"/>
          <w:w w:val="100"/>
          <w:position w:val="0"/>
          <w:sz w:val="18"/>
          <w:szCs w:val="18"/>
        </w:rPr>
        <w:t>（</w:t>
      </w:r>
      <w:bookmarkEnd w:id="767"/>
      <w:r>
        <w:rPr>
          <w:color w:val="000000"/>
          <w:spacing w:val="0"/>
          <w:w w:val="100"/>
          <w:position w:val="0"/>
          <w:sz w:val="18"/>
          <w:szCs w:val="18"/>
        </w:rPr>
        <w:t>2）</w:t>
        <w:tab/>
      </w:r>
      <w:r>
        <w:rPr>
          <w:color w:val="000000"/>
          <w:spacing w:val="0"/>
          <w:w w:val="100"/>
          <w:position w:val="0"/>
        </w:rPr>
        <w:t>合并财务报表的编制方法</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合并财务报表以本公司和子公司的财务报表为基础，根据其他有关资料，由本公司编制。在编制合并财务报表时，本公司和 子公司的会计政策和会计期间要求保持一致，公司间的重大交易和往来余额予以抵销。</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在报告期内因同一控制下企业合并增加的子公司以及业务，视同该子公司以及业务自同受最终控制方控制之日起纳入本公司 的合并范围，将其自同受最终控制方控制之日起的经营成果、现金流量分别纳入合并利润表、合并现金流量表中。</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在报告期内因非同一控制下企业合并增加的子公司以及业务，将该子公司以及业务自购买日至报告期末的收入、费用、利润 纳入合并利润表，将其现金流量纳入合并现金流量表。</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子公司的股东权益中不属于本公司所拥有的部分，作为少数股东权益在合并资产负债表中股东权益项下单独列示；子公司当 期净损益中属于少数股东权益的份额，在合并利润表中净利润项目下以“少数股东损益”项目列示。少数股东分担的子公司 的亏损超过了少数股东在该子公司期初所有者权益中所享有的份额，其余额仍冲减少数股东权益。</w:t>
      </w:r>
    </w:p>
    <w:p>
      <w:pPr>
        <w:pStyle w:val="Style23"/>
        <w:keepNext w:val="0"/>
        <w:keepLines w:val="0"/>
        <w:widowControl w:val="0"/>
        <w:shd w:val="clear" w:color="auto" w:fill="auto"/>
        <w:tabs>
          <w:tab w:pos="402" w:val="left"/>
        </w:tabs>
        <w:bidi w:val="0"/>
        <w:spacing w:before="0" w:after="0" w:line="313" w:lineRule="exact"/>
        <w:ind w:left="0" w:right="0" w:firstLine="0"/>
        <w:jc w:val="both"/>
      </w:pPr>
      <w:bookmarkStart w:id="768" w:name="bookmark768"/>
      <w:r>
        <w:rPr>
          <w:color w:val="000000"/>
          <w:spacing w:val="0"/>
          <w:w w:val="100"/>
          <w:position w:val="0"/>
          <w:sz w:val="18"/>
          <w:szCs w:val="18"/>
        </w:rPr>
        <w:t>（</w:t>
      </w:r>
      <w:bookmarkEnd w:id="768"/>
      <w:r>
        <w:rPr>
          <w:color w:val="000000"/>
          <w:spacing w:val="0"/>
          <w:w w:val="100"/>
          <w:position w:val="0"/>
          <w:sz w:val="18"/>
          <w:szCs w:val="18"/>
        </w:rPr>
        <w:t>3）</w:t>
        <w:tab/>
      </w:r>
      <w:r>
        <w:rPr>
          <w:color w:val="000000"/>
          <w:spacing w:val="0"/>
          <w:w w:val="100"/>
          <w:position w:val="0"/>
        </w:rPr>
        <w:t>购买子公司少数股东股权</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产份额之间的差额，以及在不丧失控制权的情况下因部分处置对子公司的股权投资而取得的处置价款与处置长期股权投资相 对应享有子公司自购买日或合并日开始持续计算的净资产份额之间的差额，均调整合并资产负债表中的资本公积，资本公积 不足冲减的，调整留存收益。</w:t>
      </w:r>
    </w:p>
    <w:p>
      <w:pPr>
        <w:pStyle w:val="Style23"/>
        <w:keepNext w:val="0"/>
        <w:keepLines w:val="0"/>
        <w:widowControl w:val="0"/>
        <w:shd w:val="clear" w:color="auto" w:fill="auto"/>
        <w:tabs>
          <w:tab w:pos="402" w:val="left"/>
        </w:tabs>
        <w:bidi w:val="0"/>
        <w:spacing w:before="0" w:after="0" w:line="313" w:lineRule="exact"/>
        <w:ind w:left="0" w:right="0" w:firstLine="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4）</w:t>
        <w:tab/>
      </w:r>
      <w:r>
        <w:rPr>
          <w:color w:val="000000"/>
          <w:spacing w:val="0"/>
          <w:w w:val="100"/>
          <w:position w:val="0"/>
        </w:rPr>
        <w:t>丧失子公司控制权的处理</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因处置部分股权投资或其他原因丧失了对原有子公司控制权的，剩余股权按照其在丧失控制权日的公允价值进行重新计量； 处置股权取得的对价与剩余股权公允价值之和，减去按原持股比例计算应享有原有子公司自购买日开始持续计算的净资产账 面价值的份额与商誉之和，形成的差额计入丧失控制权当期的投资收益。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与原有子公司的股权投资相关的其他综合收益等，在丧失控制权时转入当期损益，由于被投资方重新计量设定收益计划净负 债或净资产变动而产生的其他综合收益除外。</w:t>
      </w:r>
    </w:p>
    <w:p>
      <w:pPr>
        <w:pStyle w:val="Style23"/>
        <w:keepNext w:val="0"/>
        <w:keepLines w:val="0"/>
        <w:widowControl w:val="0"/>
        <w:shd w:val="clear" w:color="auto" w:fill="auto"/>
        <w:tabs>
          <w:tab w:pos="402" w:val="left"/>
        </w:tabs>
        <w:bidi w:val="0"/>
        <w:spacing w:before="0" w:after="0" w:line="313" w:lineRule="exact"/>
        <w:ind w:left="0" w:right="0" w:firstLine="0"/>
        <w:jc w:val="both"/>
      </w:pPr>
      <w:bookmarkStart w:id="770" w:name="bookmark770"/>
      <w:r>
        <w:rPr>
          <w:color w:val="000000"/>
          <w:spacing w:val="0"/>
          <w:w w:val="100"/>
          <w:position w:val="0"/>
          <w:sz w:val="18"/>
          <w:szCs w:val="18"/>
        </w:rPr>
        <w:t>（</w:t>
      </w:r>
      <w:bookmarkEnd w:id="770"/>
      <w:r>
        <w:rPr>
          <w:color w:val="000000"/>
          <w:spacing w:val="0"/>
          <w:w w:val="100"/>
          <w:position w:val="0"/>
          <w:sz w:val="18"/>
          <w:szCs w:val="18"/>
        </w:rPr>
        <w:t>5）</w:t>
        <w:tab/>
      </w:r>
      <w:r>
        <w:rPr>
          <w:color w:val="000000"/>
          <w:spacing w:val="0"/>
          <w:w w:val="100"/>
          <w:position w:val="0"/>
        </w:rPr>
        <w:t>分步处置股权直至丧失控制权的处理</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通过多次交易分步处置股权直至丧失控制权的各项交易的条款、条件以及经济影响符合以下一种或多种情况的，本公司将多 次交易事项作为一揽子交易进行会计处理：</w:t>
      </w:r>
    </w:p>
    <w:p>
      <w:pPr>
        <w:pStyle w:val="Style23"/>
        <w:keepNext w:val="0"/>
        <w:keepLines w:val="0"/>
        <w:widowControl w:val="0"/>
        <w:numPr>
          <w:ilvl w:val="0"/>
          <w:numId w:val="11"/>
        </w:numPr>
        <w:shd w:val="clear" w:color="auto" w:fill="auto"/>
        <w:tabs>
          <w:tab w:pos="373" w:val="left"/>
        </w:tabs>
        <w:bidi w:val="0"/>
        <w:spacing w:before="0" w:after="0" w:line="312" w:lineRule="exact"/>
        <w:ind w:left="0" w:right="0" w:firstLine="0"/>
        <w:jc w:val="both"/>
      </w:pPr>
      <w:bookmarkStart w:id="771" w:name="bookmark771"/>
      <w:bookmarkEnd w:id="771"/>
      <w:r>
        <w:rPr>
          <w:color w:val="000000"/>
          <w:spacing w:val="0"/>
          <w:w w:val="100"/>
          <w:position w:val="0"/>
        </w:rPr>
        <w:t>这些交易是同时或者在考虑了彼此影响的情况下订立的；</w:t>
      </w:r>
    </w:p>
    <w:p>
      <w:pPr>
        <w:pStyle w:val="Style23"/>
        <w:keepNext w:val="0"/>
        <w:keepLines w:val="0"/>
        <w:widowControl w:val="0"/>
        <w:numPr>
          <w:ilvl w:val="0"/>
          <w:numId w:val="11"/>
        </w:numPr>
        <w:shd w:val="clear" w:color="auto" w:fill="auto"/>
        <w:tabs>
          <w:tab w:pos="373" w:val="left"/>
        </w:tabs>
        <w:bidi w:val="0"/>
        <w:spacing w:before="0" w:after="0" w:line="312" w:lineRule="exact"/>
        <w:ind w:left="0" w:right="0" w:firstLine="0"/>
        <w:jc w:val="both"/>
      </w:pPr>
      <w:bookmarkStart w:id="772" w:name="bookmark772"/>
      <w:bookmarkEnd w:id="772"/>
      <w:r>
        <w:rPr>
          <w:color w:val="000000"/>
          <w:spacing w:val="0"/>
          <w:w w:val="100"/>
          <w:position w:val="0"/>
        </w:rPr>
        <w:t>这些交易整体才能达成一项完整的商业结果；</w:t>
      </w:r>
    </w:p>
    <w:p>
      <w:pPr>
        <w:pStyle w:val="Style23"/>
        <w:keepNext w:val="0"/>
        <w:keepLines w:val="0"/>
        <w:widowControl w:val="0"/>
        <w:numPr>
          <w:ilvl w:val="0"/>
          <w:numId w:val="11"/>
        </w:numPr>
        <w:shd w:val="clear" w:color="auto" w:fill="auto"/>
        <w:tabs>
          <w:tab w:pos="373" w:val="left"/>
        </w:tabs>
        <w:bidi w:val="0"/>
        <w:spacing w:before="0" w:after="0" w:line="312" w:lineRule="exact"/>
        <w:ind w:left="0" w:right="0" w:firstLine="0"/>
        <w:jc w:val="both"/>
      </w:pPr>
      <w:bookmarkStart w:id="773" w:name="bookmark773"/>
      <w:bookmarkEnd w:id="773"/>
      <w:r>
        <w:rPr>
          <w:color w:val="000000"/>
          <w:spacing w:val="0"/>
          <w:w w:val="100"/>
          <w:position w:val="0"/>
        </w:rPr>
        <w:t>一项交易的发生取决于其他至少一项交易的发生；</w:t>
      </w:r>
    </w:p>
    <w:p>
      <w:pPr>
        <w:pStyle w:val="Style23"/>
        <w:keepNext w:val="0"/>
        <w:keepLines w:val="0"/>
        <w:widowControl w:val="0"/>
        <w:numPr>
          <w:ilvl w:val="0"/>
          <w:numId w:val="11"/>
        </w:numPr>
        <w:shd w:val="clear" w:color="auto" w:fill="auto"/>
        <w:tabs>
          <w:tab w:pos="373" w:val="left"/>
        </w:tabs>
        <w:bidi w:val="0"/>
        <w:spacing w:before="0" w:after="0" w:line="312" w:lineRule="exact"/>
        <w:ind w:left="0" w:right="0" w:firstLine="0"/>
        <w:jc w:val="both"/>
      </w:pPr>
      <w:bookmarkStart w:id="774" w:name="bookmark774"/>
      <w:bookmarkEnd w:id="774"/>
      <w:r>
        <w:rPr>
          <w:color w:val="000000"/>
          <w:spacing w:val="0"/>
          <w:w w:val="100"/>
          <w:position w:val="0"/>
        </w:rPr>
        <w:t>一项交易单独看是不经济的，但是和其他交易一并考虑时是经济的。</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在个别财务报表中，分步处置股权直至丧失控制权的各项交易不属于“一揽子交易”的，结转每一次处置股权相对应的长期 股权投资的账面价值，所得价款与处置长期股权投资账面价值之间的差额计入当期投资收益；属于“一揽子交易”的，在丧 失控制权之前每一次处置价款与所处置的股权对应的长期股权投资账面价值之间的差额，先确认为其他综合收益，到丧失控 制权时再一并转入丧失控制权的当期损益。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在合并财务报表中，分步处置股权直至丧失控制权时，剩余股权的计量以及有关处置股权损益的核算比照前述“丧失子公司 控制权的处理”。在丧失控制权之前每一次处置价款与处置投资对应的享有该子公司自购买日开始持续计算的净资产账面价 值份额之间的差额，分别进行如下处理：</w:t>
      </w:r>
    </w:p>
    <w:p>
      <w:pPr>
        <w:pStyle w:val="Style23"/>
        <w:keepNext w:val="0"/>
        <w:keepLines w:val="0"/>
        <w:widowControl w:val="0"/>
        <w:numPr>
          <w:ilvl w:val="0"/>
          <w:numId w:val="13"/>
        </w:numPr>
        <w:shd w:val="clear" w:color="auto" w:fill="auto"/>
        <w:tabs>
          <w:tab w:pos="373" w:val="left"/>
        </w:tabs>
        <w:bidi w:val="0"/>
        <w:spacing w:before="0" w:after="0" w:line="312" w:lineRule="exact"/>
        <w:ind w:left="0" w:right="0" w:firstLine="0"/>
        <w:jc w:val="both"/>
      </w:pPr>
      <w:bookmarkStart w:id="775" w:name="bookmark775"/>
      <w:bookmarkEnd w:id="775"/>
      <w:r>
        <w:rPr>
          <w:color w:val="000000"/>
          <w:spacing w:val="0"/>
          <w:w w:val="100"/>
          <w:position w:val="0"/>
        </w:rPr>
        <w:t>属于“一揽子交易”的，确认为其他综合收益。在丧失控制权时一并转入丧失控制权当期的损益。</w:t>
      </w:r>
    </w:p>
    <w:p>
      <w:pPr>
        <w:pStyle w:val="Style23"/>
        <w:keepNext w:val="0"/>
        <w:keepLines w:val="0"/>
        <w:widowControl w:val="0"/>
        <w:numPr>
          <w:ilvl w:val="0"/>
          <w:numId w:val="13"/>
        </w:numPr>
        <w:shd w:val="clear" w:color="auto" w:fill="auto"/>
        <w:tabs>
          <w:tab w:pos="373" w:val="left"/>
        </w:tabs>
        <w:bidi w:val="0"/>
        <w:spacing w:before="0" w:after="400" w:line="312" w:lineRule="exact"/>
        <w:ind w:left="0" w:right="0" w:firstLine="0"/>
        <w:jc w:val="both"/>
      </w:pPr>
      <w:bookmarkStart w:id="776" w:name="bookmark776"/>
      <w:bookmarkEnd w:id="776"/>
      <w:r>
        <w:rPr>
          <w:color w:val="000000"/>
          <w:spacing w:val="0"/>
          <w:w w:val="100"/>
          <w:position w:val="0"/>
        </w:rPr>
        <w:t>不属于“一揽子交易”的，作为权益性交易计入资本公积。在丧失控制权时不得转入丧失控制权当期的损益。</w:t>
      </w:r>
    </w:p>
    <w:p>
      <w:pPr>
        <w:pStyle w:val="Style35"/>
        <w:keepNext/>
        <w:keepLines/>
        <w:widowControl w:val="0"/>
        <w:shd w:val="clear" w:color="auto" w:fill="auto"/>
        <w:tabs>
          <w:tab w:pos="373" w:val="left"/>
        </w:tabs>
        <w:bidi w:val="0"/>
        <w:spacing w:before="0" w:after="26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7</w:t>
      </w:r>
      <w:bookmarkEnd w:id="779"/>
      <w:r>
        <w:rPr>
          <w:color w:val="000000"/>
          <w:spacing w:val="0"/>
          <w:w w:val="100"/>
          <w:position w:val="0"/>
        </w:rPr>
        <w:t>、</w:t>
        <w:tab/>
        <w:t>合营安排分类及共同经营会计处理方法</w:t>
      </w:r>
      <w:bookmarkEnd w:id="777"/>
      <w:bookmarkEnd w:id="778"/>
      <w:bookmarkEnd w:id="780"/>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合营安排，是指一项由两个或两个以上的参与方共同控制的安排。本集团合营安排分为共同经营和合营企业。</w:t>
      </w:r>
    </w:p>
    <w:p>
      <w:pPr>
        <w:pStyle w:val="Style23"/>
        <w:keepNext w:val="0"/>
        <w:keepLines w:val="0"/>
        <w:widowControl w:val="0"/>
        <w:shd w:val="clear" w:color="auto" w:fill="auto"/>
        <w:tabs>
          <w:tab w:pos="445" w:val="left"/>
        </w:tabs>
        <w:bidi w:val="0"/>
        <w:spacing w:before="0" w:after="0" w:line="312" w:lineRule="exact"/>
        <w:ind w:left="0" w:right="0" w:firstLine="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1）</w:t>
        <w:tab/>
      </w:r>
      <w:r>
        <w:rPr>
          <w:color w:val="000000"/>
          <w:spacing w:val="0"/>
          <w:w w:val="100"/>
          <w:position w:val="0"/>
        </w:rPr>
        <w:t>共同经营</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共同经营是指本集团享有该安排相关资产且承担该安排相关负债的合营安排。</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本集团确认与共同经营中利益份额相关的下列项目，并按照相关企业会计准则的规定进行会计处理：</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782" w:name="bookmark782"/>
      <w:r>
        <w:rPr>
          <w:color w:val="000000"/>
          <w:spacing w:val="0"/>
          <w:w w:val="100"/>
          <w:position w:val="0"/>
          <w:sz w:val="18"/>
          <w:szCs w:val="18"/>
        </w:rPr>
        <w:t>A</w:t>
      </w:r>
      <w:bookmarkEnd w:id="782"/>
      <w:r>
        <w:rPr>
          <w:color w:val="000000"/>
          <w:spacing w:val="0"/>
          <w:w w:val="100"/>
          <w:position w:val="0"/>
        </w:rPr>
        <w:t>、</w:t>
        <w:tab/>
      </w:r>
      <w:r>
        <w:rPr>
          <w:color w:val="000000"/>
          <w:spacing w:val="0"/>
          <w:w w:val="100"/>
          <w:position w:val="0"/>
        </w:rPr>
        <w:t>确认单独所持有的资产，以及按其份额确认共同持有的资产；</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783" w:name="bookmark783"/>
      <w:r>
        <w:rPr>
          <w:color w:val="000000"/>
          <w:spacing w:val="0"/>
          <w:w w:val="100"/>
          <w:position w:val="0"/>
          <w:sz w:val="18"/>
          <w:szCs w:val="18"/>
        </w:rPr>
        <w:t>B</w:t>
      </w:r>
      <w:bookmarkEnd w:id="783"/>
      <w:r>
        <w:rPr>
          <w:color w:val="000000"/>
          <w:spacing w:val="0"/>
          <w:w w:val="100"/>
          <w:position w:val="0"/>
        </w:rPr>
        <w:t>、</w:t>
        <w:tab/>
      </w:r>
      <w:r>
        <w:rPr>
          <w:color w:val="000000"/>
          <w:spacing w:val="0"/>
          <w:w w:val="100"/>
          <w:position w:val="0"/>
        </w:rPr>
        <w:t>确认单独所承担的负债，以及按其份额确认共同承担的负债；</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784" w:name="bookmark784"/>
      <w:r>
        <w:rPr>
          <w:color w:val="000000"/>
          <w:spacing w:val="0"/>
          <w:w w:val="100"/>
          <w:position w:val="0"/>
          <w:sz w:val="18"/>
          <w:szCs w:val="18"/>
        </w:rPr>
        <w:t>C</w:t>
      </w:r>
      <w:bookmarkEnd w:id="784"/>
      <w:r>
        <w:rPr>
          <w:color w:val="000000"/>
          <w:spacing w:val="0"/>
          <w:w w:val="100"/>
          <w:position w:val="0"/>
        </w:rPr>
        <w:t>、</w:t>
        <w:tab/>
      </w:r>
      <w:r>
        <w:rPr>
          <w:color w:val="000000"/>
          <w:spacing w:val="0"/>
          <w:w w:val="100"/>
          <w:position w:val="0"/>
        </w:rPr>
        <w:t>确认出售其享有的共同经营产出份额所产生的收入；</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785" w:name="bookmark785"/>
      <w:r>
        <w:rPr>
          <w:color w:val="000000"/>
          <w:spacing w:val="0"/>
          <w:w w:val="100"/>
          <w:position w:val="0"/>
          <w:sz w:val="18"/>
          <w:szCs w:val="18"/>
        </w:rPr>
        <w:t>D</w:t>
      </w:r>
      <w:bookmarkEnd w:id="785"/>
      <w:r>
        <w:rPr>
          <w:color w:val="000000"/>
          <w:spacing w:val="0"/>
          <w:w w:val="100"/>
          <w:position w:val="0"/>
        </w:rPr>
        <w:t>、</w:t>
        <w:tab/>
      </w:r>
      <w:r>
        <w:rPr>
          <w:color w:val="000000"/>
          <w:spacing w:val="0"/>
          <w:w w:val="100"/>
          <w:position w:val="0"/>
        </w:rPr>
        <w:t>按其份额确认共同经营因出售产出所产生的收入；</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786" w:name="bookmark786"/>
      <w:r>
        <w:rPr>
          <w:color w:val="000000"/>
          <w:spacing w:val="0"/>
          <w:w w:val="100"/>
          <w:position w:val="0"/>
          <w:sz w:val="18"/>
          <w:szCs w:val="18"/>
        </w:rPr>
        <w:t>E</w:t>
      </w:r>
      <w:bookmarkEnd w:id="786"/>
      <w:r>
        <w:rPr>
          <w:color w:val="000000"/>
          <w:spacing w:val="0"/>
          <w:w w:val="100"/>
          <w:position w:val="0"/>
        </w:rPr>
        <w:t>、</w:t>
        <w:tab/>
      </w:r>
      <w:r>
        <w:rPr>
          <w:color w:val="000000"/>
          <w:spacing w:val="0"/>
          <w:w w:val="100"/>
          <w:position w:val="0"/>
        </w:rPr>
        <w:t>确认单独所发生的费用，以及按其份额确认共同经营发生的费用。</w:t>
      </w:r>
    </w:p>
    <w:p>
      <w:pPr>
        <w:pStyle w:val="Style23"/>
        <w:keepNext w:val="0"/>
        <w:keepLines w:val="0"/>
        <w:widowControl w:val="0"/>
        <w:shd w:val="clear" w:color="auto" w:fill="auto"/>
        <w:tabs>
          <w:tab w:pos="445" w:val="left"/>
        </w:tabs>
        <w:bidi w:val="0"/>
        <w:spacing w:before="0" w:after="0" w:line="312" w:lineRule="exact"/>
        <w:ind w:left="0" w:right="0" w:firstLine="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2）</w:t>
        <w:tab/>
      </w:r>
      <w:r>
        <w:rPr>
          <w:color w:val="000000"/>
          <w:spacing w:val="0"/>
          <w:w w:val="100"/>
          <w:position w:val="0"/>
        </w:rPr>
        <w:t>合营企业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合营企业是指本集团仅对该安排的净资产享有权利的合营安排。</w:t>
      </w:r>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本集团按照长期股权投资有关权益法核算的规定对合营企业的投资进行会计处理。</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8</w:t>
      </w:r>
      <w:bookmarkEnd w:id="790"/>
      <w:r>
        <w:rPr>
          <w:color w:val="000000"/>
          <w:spacing w:val="0"/>
          <w:w w:val="100"/>
          <w:position w:val="0"/>
        </w:rPr>
        <w:t>、</w:t>
        <w:tab/>
        <w:t>现金及现金等价物的确定标准</w:t>
      </w:r>
      <w:bookmarkEnd w:id="788"/>
      <w:bookmarkEnd w:id="789"/>
      <w:bookmarkEnd w:id="791"/>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现金是指库存现金以及可以随时用于支付的存款。现金等价物，是指本集团持有的期限短、流动性强、易于转换为已知金额 现金、价值变动风险很小的投资。</w:t>
      </w:r>
    </w:p>
    <w:p>
      <w:pPr>
        <w:pStyle w:val="Style35"/>
        <w:keepNext/>
        <w:keepLines/>
        <w:widowControl w:val="0"/>
        <w:shd w:val="clear" w:color="auto" w:fill="auto"/>
        <w:tabs>
          <w:tab w:pos="378" w:val="left"/>
        </w:tabs>
        <w:bidi w:val="0"/>
        <w:spacing w:before="0" w:after="2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9</w:t>
      </w:r>
      <w:bookmarkEnd w:id="794"/>
      <w:r>
        <w:rPr>
          <w:color w:val="000000"/>
          <w:spacing w:val="0"/>
          <w:w w:val="100"/>
          <w:position w:val="0"/>
        </w:rPr>
        <w:t>、</w:t>
        <w:tab/>
        <w:t>外币业务和外币报表折算</w:t>
      </w:r>
      <w:bookmarkEnd w:id="792"/>
      <w:bookmarkEnd w:id="793"/>
      <w:bookmarkEnd w:id="795"/>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本集团发生外币业务，按交易发生日的即期汇率折算为记账本位币金额。</w:t>
      </w:r>
    </w:p>
    <w:p>
      <w:pPr>
        <w:pStyle w:val="Style23"/>
        <w:keepNext w:val="0"/>
        <w:keepLines w:val="0"/>
        <w:widowControl w:val="0"/>
        <w:shd w:val="clear" w:color="auto" w:fill="auto"/>
        <w:bidi w:val="0"/>
        <w:spacing w:before="0" w:after="260" w:line="310" w:lineRule="exact"/>
        <w:ind w:left="0" w:right="0" w:firstLine="0"/>
        <w:jc w:val="both"/>
      </w:pPr>
      <w:r>
        <w:rPr>
          <w:color w:val="000000"/>
          <w:spacing w:val="0"/>
          <w:w w:val="100"/>
          <w:position w:val="0"/>
        </w:rPr>
        <w:t>资产负债表日，对外币货币性项目，采用资产负债表日即期汇率折算。因资产负债表日即期汇率与初始确认时或者前一资产 负债表日即期汇率不同而产生的汇兑差额，计入当期损益；对以历史成本计量的外币非货币性项目，仍采用交易发生日的即 期汇率折算；对以公允价值计量的外币非货币性项目，采用公允价值确定日的即期汇率折算，折算后的记账本位币金额与原 记账本位币金额的差额，计入当期损益。</w:t>
      </w:r>
    </w:p>
    <w:p>
      <w:pPr>
        <w:pStyle w:val="Style35"/>
        <w:keepNext/>
        <w:keepLines/>
        <w:widowControl w:val="0"/>
        <w:shd w:val="clear" w:color="auto" w:fill="auto"/>
        <w:bidi w:val="0"/>
        <w:spacing w:before="0" w:after="28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6"/>
      <w:bookmarkEnd w:id="797"/>
      <w:bookmarkEnd w:id="799"/>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金融工具是指形成一方的金融资产，并形成其他方的金融负债或权益工具的合同。</w:t>
      </w:r>
    </w:p>
    <w:p>
      <w:pPr>
        <w:pStyle w:val="Style23"/>
        <w:keepNext w:val="0"/>
        <w:keepLines w:val="0"/>
        <w:widowControl w:val="0"/>
        <w:shd w:val="clear" w:color="auto" w:fill="auto"/>
        <w:tabs>
          <w:tab w:pos="445" w:val="left"/>
        </w:tabs>
        <w:bidi w:val="0"/>
        <w:spacing w:before="0" w:after="0" w:line="310" w:lineRule="exact"/>
        <w:ind w:left="0" w:right="0" w:firstLine="0"/>
        <w:jc w:val="both"/>
      </w:pPr>
      <w:bookmarkStart w:id="800" w:name="bookmark800"/>
      <w:r>
        <w:rPr>
          <w:color w:val="000000"/>
          <w:spacing w:val="0"/>
          <w:w w:val="100"/>
          <w:position w:val="0"/>
          <w:sz w:val="18"/>
          <w:szCs w:val="18"/>
        </w:rPr>
        <w:t>（</w:t>
      </w:r>
      <w:bookmarkEnd w:id="800"/>
      <w:r>
        <w:rPr>
          <w:color w:val="000000"/>
          <w:spacing w:val="0"/>
          <w:w w:val="100"/>
          <w:position w:val="0"/>
          <w:sz w:val="18"/>
          <w:szCs w:val="18"/>
        </w:rPr>
        <w:t>1）</w:t>
        <w:tab/>
      </w:r>
      <w:r>
        <w:rPr>
          <w:color w:val="000000"/>
          <w:spacing w:val="0"/>
          <w:w w:val="100"/>
          <w:position w:val="0"/>
        </w:rPr>
        <w:t>金融工具的确认和终止确认</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本集团于成为金融工具合同的一方时确认一项金融资产或金融负债。</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金融资产满足下列条件之一的，终止确认：</w:t>
      </w:r>
    </w:p>
    <w:p>
      <w:pPr>
        <w:pStyle w:val="Style23"/>
        <w:keepNext w:val="0"/>
        <w:keepLines w:val="0"/>
        <w:widowControl w:val="0"/>
        <w:numPr>
          <w:ilvl w:val="0"/>
          <w:numId w:val="15"/>
        </w:numPr>
        <w:shd w:val="clear" w:color="auto" w:fill="auto"/>
        <w:tabs>
          <w:tab w:pos="373" w:val="left"/>
        </w:tabs>
        <w:bidi w:val="0"/>
        <w:spacing w:before="0" w:after="0" w:line="310" w:lineRule="exact"/>
        <w:ind w:left="0" w:right="0" w:firstLine="0"/>
        <w:jc w:val="both"/>
      </w:pPr>
      <w:bookmarkStart w:id="801" w:name="bookmark801"/>
      <w:bookmarkEnd w:id="801"/>
      <w:r>
        <w:rPr>
          <w:color w:val="000000"/>
          <w:spacing w:val="0"/>
          <w:w w:val="100"/>
          <w:position w:val="0"/>
        </w:rPr>
        <w:t>收取该金融资产现金流量的合同权利终止；</w:t>
      </w:r>
    </w:p>
    <w:p>
      <w:pPr>
        <w:pStyle w:val="Style23"/>
        <w:keepNext w:val="0"/>
        <w:keepLines w:val="0"/>
        <w:widowControl w:val="0"/>
        <w:numPr>
          <w:ilvl w:val="0"/>
          <w:numId w:val="15"/>
        </w:numPr>
        <w:shd w:val="clear" w:color="auto" w:fill="auto"/>
        <w:tabs>
          <w:tab w:pos="373" w:val="left"/>
        </w:tabs>
        <w:bidi w:val="0"/>
        <w:spacing w:before="0" w:after="0" w:line="310" w:lineRule="exact"/>
        <w:ind w:left="0" w:right="0" w:firstLine="0"/>
        <w:jc w:val="both"/>
      </w:pPr>
      <w:bookmarkStart w:id="802" w:name="bookmark802"/>
      <w:bookmarkEnd w:id="802"/>
      <w:r>
        <w:rPr>
          <w:color w:val="000000"/>
          <w:spacing w:val="0"/>
          <w:w w:val="100"/>
          <w:position w:val="0"/>
        </w:rPr>
        <w:t>该金融资产已转移，且符合下述金融资产转移的终止确认条件。</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金融负债的现时义务全部或部分已经解除的，终止确认该金融负债或其一部分。本集团（债务人）与债权人之间签订协议， 以承担新金融负债方式替换现存金融负债，且新金融负债与现存金融负债的合同条款实质上不同的，终止确认现存金融负债， 并同时确认新金融负债。</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以常规方式买卖金融资产，按交易日进行会计确认和终止确认。</w:t>
      </w:r>
    </w:p>
    <w:p>
      <w:pPr>
        <w:pStyle w:val="Style23"/>
        <w:keepNext w:val="0"/>
        <w:keepLines w:val="0"/>
        <w:widowControl w:val="0"/>
        <w:shd w:val="clear" w:color="auto" w:fill="auto"/>
        <w:tabs>
          <w:tab w:pos="445" w:val="left"/>
        </w:tabs>
        <w:bidi w:val="0"/>
        <w:spacing w:before="0" w:after="0" w:line="310" w:lineRule="exact"/>
        <w:ind w:left="0" w:right="0" w:firstLine="0"/>
        <w:jc w:val="both"/>
      </w:pPr>
      <w:bookmarkStart w:id="803" w:name="bookmark803"/>
      <w:r>
        <w:rPr>
          <w:color w:val="000000"/>
          <w:spacing w:val="0"/>
          <w:w w:val="100"/>
          <w:position w:val="0"/>
          <w:sz w:val="18"/>
          <w:szCs w:val="18"/>
        </w:rPr>
        <w:t>（</w:t>
      </w:r>
      <w:bookmarkEnd w:id="803"/>
      <w:r>
        <w:rPr>
          <w:color w:val="000000"/>
          <w:spacing w:val="0"/>
          <w:w w:val="100"/>
          <w:position w:val="0"/>
          <w:sz w:val="18"/>
          <w:szCs w:val="18"/>
        </w:rPr>
        <w:t>2）</w:t>
        <w:tab/>
      </w:r>
      <w:r>
        <w:rPr>
          <w:color w:val="000000"/>
          <w:spacing w:val="0"/>
          <w:w w:val="100"/>
          <w:position w:val="0"/>
        </w:rPr>
        <w:t>金融资产分类和计量</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产。</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以摊余成本计量的金融资产</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本集团将同时符合下列条件且未被指定为以公允价值计量且其变动计入当期损益的金融资产，分类为以摊余成本计量的金融 资产：</w:t>
      </w:r>
    </w:p>
    <w:p>
      <w:pPr>
        <w:pStyle w:val="Style23"/>
        <w:keepNext w:val="0"/>
        <w:keepLines w:val="0"/>
        <w:widowControl w:val="0"/>
        <w:numPr>
          <w:ilvl w:val="0"/>
          <w:numId w:val="17"/>
        </w:numPr>
        <w:shd w:val="clear" w:color="auto" w:fill="auto"/>
        <w:tabs>
          <w:tab w:pos="373" w:val="left"/>
        </w:tabs>
        <w:bidi w:val="0"/>
        <w:spacing w:before="0" w:after="0" w:line="310" w:lineRule="exact"/>
        <w:ind w:left="0" w:right="0" w:firstLine="0"/>
        <w:jc w:val="both"/>
      </w:pPr>
      <w:bookmarkStart w:id="804" w:name="bookmark804"/>
      <w:bookmarkEnd w:id="804"/>
      <w:r>
        <w:rPr>
          <w:color w:val="000000"/>
          <w:spacing w:val="0"/>
          <w:w w:val="100"/>
          <w:position w:val="0"/>
        </w:rPr>
        <w:t>本集团管理该金融资产的业务模式是以收取合同现金流量为目标；</w:t>
      </w:r>
    </w:p>
    <w:p>
      <w:pPr>
        <w:pStyle w:val="Style23"/>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05" w:name="bookmark805"/>
      <w:bookmarkEnd w:id="805"/>
      <w:r>
        <w:rPr>
          <w:color w:val="000000"/>
          <w:spacing w:val="0"/>
          <w:w w:val="100"/>
          <w:position w:val="0"/>
        </w:rPr>
        <w:t>该金融资产的合同条款规定，在特定日期产生的现金流量，仅为对本金和以未偿付本金金额为基础的利息的支付。</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产所产生的利得或损失，在终止确认、按照实际利率法摊销或确认减值时，计入当期损益。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以公允价值计量且其变动计入其他综合收益的金融资产</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本集团将同时符合下列条件且未被指定为以公允价值计量且其变动计入当期损益的金融资产，分类为以公允价值计量且其变 动计入其他综合收益的金融资产：</w:t>
      </w:r>
    </w:p>
    <w:p>
      <w:pPr>
        <w:pStyle w:val="Style23"/>
        <w:keepNext w:val="0"/>
        <w:keepLines w:val="0"/>
        <w:widowControl w:val="0"/>
        <w:numPr>
          <w:ilvl w:val="0"/>
          <w:numId w:val="19"/>
        </w:numPr>
        <w:shd w:val="clear" w:color="auto" w:fill="auto"/>
        <w:tabs>
          <w:tab w:pos="373" w:val="left"/>
        </w:tabs>
        <w:bidi w:val="0"/>
        <w:spacing w:before="0" w:after="0" w:line="312" w:lineRule="exact"/>
        <w:ind w:left="0" w:right="0" w:firstLine="0"/>
        <w:jc w:val="left"/>
      </w:pPr>
      <w:bookmarkStart w:id="806" w:name="bookmark806"/>
      <w:bookmarkEnd w:id="806"/>
      <w:r>
        <w:rPr>
          <w:color w:val="000000"/>
          <w:spacing w:val="0"/>
          <w:w w:val="100"/>
          <w:position w:val="0"/>
        </w:rPr>
        <w:t>本集团管理该金融资产的业务模式既以收取合同现金流量为目标又以出售该金融资产为目标；</w:t>
      </w:r>
    </w:p>
    <w:p>
      <w:pPr>
        <w:pStyle w:val="Style23"/>
        <w:keepNext w:val="0"/>
        <w:keepLines w:val="0"/>
        <w:widowControl w:val="0"/>
        <w:numPr>
          <w:ilvl w:val="0"/>
          <w:numId w:val="19"/>
        </w:numPr>
        <w:shd w:val="clear" w:color="auto" w:fill="auto"/>
        <w:tabs>
          <w:tab w:pos="373" w:val="left"/>
        </w:tabs>
        <w:bidi w:val="0"/>
        <w:spacing w:before="0" w:after="0" w:line="311" w:lineRule="exact"/>
        <w:ind w:left="0" w:right="0" w:firstLine="0"/>
        <w:jc w:val="left"/>
      </w:pPr>
      <w:bookmarkStart w:id="807" w:name="bookmark807"/>
      <w:bookmarkEnd w:id="807"/>
      <w:r>
        <w:rPr>
          <w:color w:val="000000"/>
          <w:spacing w:val="0"/>
          <w:w w:val="100"/>
          <w:position w:val="0"/>
        </w:rPr>
        <w:t>该金融资产的合同条款规定，在特定日期产生的现金流量，仅为对本金和以未偿付本金金额为基础的利息的支付。</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以公允价值计量且其变动计入当期损益的金融资产</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除上述以摊余成本计量和以公允价值计量且其变动计入其他综合收益的金融资产外，本集团将其余所有的金融资产分类为以 公允价值计量且其变动计入当期损益的金融资产。在初始确认时，为消除或显著减少会计错配，本集团将部分本应以摊余成 本计量或以公允价值计量且其变动计入其他综合收益的金融资产不可撤销地指定为以公允价值计量且其变动计入当期损益 的金融资产。</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本集团对金融资产的合同现金流量特征进行评估，以确定相关金融资产在特定日期产生的合同现金流量是否仅为对本金和以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定时期未偿付本金金额相关的信用风险、以及其他基本借贷风险、成本和利润的对价。此外，本集团对可能导致金融资产合 </w:t>
      </w:r>
      <w:r>
        <w:rPr>
          <w:color w:val="000000"/>
          <w:spacing w:val="0"/>
          <w:w w:val="100"/>
          <w:position w:val="0"/>
        </w:rPr>
        <w:t>同现金流量的时间分布或金额发生变更的合同条款进行评估，以确定其是否满足上述合同现金流量特征的要求。</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仅在本集团改变管理金融资产的业务模式时，所有受影响的相关金融资产在业务模式发生变更后的首个报告期间的第一天进 行重分类，否则金融资产在初始确认后不得进行重分类。</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大融资成分的应收账款，本集团按照预期有权收取的对价金额作为初始确认金额。</w:t>
      </w:r>
    </w:p>
    <w:p>
      <w:pPr>
        <w:pStyle w:val="Style23"/>
        <w:keepNext w:val="0"/>
        <w:keepLines w:val="0"/>
        <w:widowControl w:val="0"/>
        <w:shd w:val="clear" w:color="auto" w:fill="auto"/>
        <w:tabs>
          <w:tab w:pos="445" w:val="left"/>
        </w:tabs>
        <w:bidi w:val="0"/>
        <w:spacing w:before="0" w:after="0" w:line="313" w:lineRule="exact"/>
        <w:ind w:left="0" w:right="0" w:firstLine="0"/>
        <w:jc w:val="both"/>
      </w:pPr>
      <w:bookmarkStart w:id="808" w:name="bookmark808"/>
      <w:r>
        <w:rPr>
          <w:color w:val="000000"/>
          <w:spacing w:val="0"/>
          <w:w w:val="100"/>
          <w:position w:val="0"/>
          <w:sz w:val="18"/>
          <w:szCs w:val="18"/>
        </w:rPr>
        <w:t>（</w:t>
      </w:r>
      <w:bookmarkEnd w:id="808"/>
      <w:r>
        <w:rPr>
          <w:color w:val="000000"/>
          <w:spacing w:val="0"/>
          <w:w w:val="100"/>
          <w:position w:val="0"/>
          <w:sz w:val="18"/>
          <w:szCs w:val="18"/>
        </w:rPr>
        <w:t>3）</w:t>
        <w:tab/>
      </w:r>
      <w:r>
        <w:rPr>
          <w:color w:val="000000"/>
          <w:spacing w:val="0"/>
          <w:w w:val="100"/>
          <w:position w:val="0"/>
        </w:rPr>
        <w:t>金融负债分类和计量</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以公允价值计量且其变动计入当期损益的金融负债</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以公允价值计量且其变动计入当期损益的金融负债，包括交易性金融负债和初始确认时指定为以公允价值计量且其变动计入 当期损益的金融负债。对于此类金融负债，按照公允价值进行后续计量，公允价值变动形成的利得或损失以及与该等金融负 债相关的股利和利息支出计入当期损益。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以摊余成本计量的金融负债</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其他金融负债采用实际利率法，按摊余成本进行后续计量，终止确认或摊销产生的利得或损失计入当期损益。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金融负债与权益工具的区分</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金融负债，是指符合下列条件之一的负债：</w:t>
      </w:r>
    </w:p>
    <w:p>
      <w:pPr>
        <w:pStyle w:val="Style23"/>
        <w:keepNext w:val="0"/>
        <w:keepLines w:val="0"/>
        <w:widowControl w:val="0"/>
        <w:numPr>
          <w:ilvl w:val="0"/>
          <w:numId w:val="21"/>
        </w:numPr>
        <w:shd w:val="clear" w:color="auto" w:fill="auto"/>
        <w:tabs>
          <w:tab w:pos="373" w:val="left"/>
        </w:tabs>
        <w:bidi w:val="0"/>
        <w:spacing w:before="0" w:after="0" w:line="313" w:lineRule="exact"/>
        <w:ind w:left="0" w:right="0" w:firstLine="0"/>
        <w:jc w:val="both"/>
      </w:pPr>
      <w:bookmarkStart w:id="809" w:name="bookmark809"/>
      <w:bookmarkEnd w:id="809"/>
      <w:r>
        <w:rPr>
          <w:color w:val="000000"/>
          <w:spacing w:val="0"/>
          <w:w w:val="100"/>
          <w:position w:val="0"/>
        </w:rPr>
        <w:t>向其他方交付现金或其他金融资产的合同义务。</w:t>
      </w:r>
    </w:p>
    <w:p>
      <w:pPr>
        <w:pStyle w:val="Style23"/>
        <w:keepNext w:val="0"/>
        <w:keepLines w:val="0"/>
        <w:widowControl w:val="0"/>
        <w:numPr>
          <w:ilvl w:val="0"/>
          <w:numId w:val="21"/>
        </w:numPr>
        <w:shd w:val="clear" w:color="auto" w:fill="auto"/>
        <w:tabs>
          <w:tab w:pos="373" w:val="left"/>
        </w:tabs>
        <w:bidi w:val="0"/>
        <w:spacing w:before="0" w:after="0" w:line="313" w:lineRule="exact"/>
        <w:ind w:left="0" w:right="0" w:firstLine="0"/>
        <w:jc w:val="both"/>
      </w:pPr>
      <w:bookmarkStart w:id="810" w:name="bookmark810"/>
      <w:bookmarkEnd w:id="810"/>
      <w:r>
        <w:rPr>
          <w:color w:val="000000"/>
          <w:spacing w:val="0"/>
          <w:w w:val="100"/>
          <w:position w:val="0"/>
        </w:rPr>
        <w:t>在潜在不利条件下，与其他方交换金融资产或金融负债的合同义务。</w:t>
      </w:r>
    </w:p>
    <w:p>
      <w:pPr>
        <w:pStyle w:val="Style23"/>
        <w:keepNext w:val="0"/>
        <w:keepLines w:val="0"/>
        <w:widowControl w:val="0"/>
        <w:numPr>
          <w:ilvl w:val="0"/>
          <w:numId w:val="21"/>
        </w:numPr>
        <w:shd w:val="clear" w:color="auto" w:fill="auto"/>
        <w:tabs>
          <w:tab w:pos="373" w:val="left"/>
        </w:tabs>
        <w:bidi w:val="0"/>
        <w:spacing w:before="0" w:after="0" w:line="313" w:lineRule="exact"/>
        <w:ind w:left="0" w:right="0" w:firstLine="0"/>
        <w:jc w:val="both"/>
      </w:pPr>
      <w:bookmarkStart w:id="811" w:name="bookmark811"/>
      <w:bookmarkEnd w:id="811"/>
      <w:r>
        <w:rPr>
          <w:color w:val="000000"/>
          <w:spacing w:val="0"/>
          <w:w w:val="100"/>
          <w:position w:val="0"/>
        </w:rPr>
        <w:t>将来须用或可用企业自身权益工具进行结算的非衍生工具合同，且企业根据该合同将交付可变数量的自身权益工具。</w:t>
      </w:r>
    </w:p>
    <w:p>
      <w:pPr>
        <w:pStyle w:val="Style23"/>
        <w:keepNext w:val="0"/>
        <w:keepLines w:val="0"/>
        <w:widowControl w:val="0"/>
        <w:numPr>
          <w:ilvl w:val="0"/>
          <w:numId w:val="21"/>
        </w:numPr>
        <w:shd w:val="clear" w:color="auto" w:fill="auto"/>
        <w:tabs>
          <w:tab w:pos="373" w:val="left"/>
        </w:tabs>
        <w:bidi w:val="0"/>
        <w:spacing w:before="0" w:after="0" w:line="313" w:lineRule="exact"/>
        <w:ind w:left="0" w:right="0" w:firstLine="0"/>
        <w:jc w:val="both"/>
      </w:pPr>
      <w:bookmarkStart w:id="812" w:name="bookmark812"/>
      <w:bookmarkEnd w:id="812"/>
      <w:r>
        <w:rPr>
          <w:color w:val="000000"/>
          <w:spacing w:val="0"/>
          <w:w w:val="100"/>
          <w:position w:val="0"/>
        </w:rPr>
        <w:t>将来须用或可用企业自身权益工具进行结算的衍生工具合同，但以固定数量的自身权益工具交换固定金额的现金或其他金 融资产的衍生工具合同除外。</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权益工具，是指能证明拥有某个企业在扣除所有负债后的资产中剩余权益的合同。</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如果本集团不能无条件地避免以交付现金或其他金融资产来履行一项合同义务，则该合同义务符合金融负债的定义。</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如果一项金融工具须用或可用本集团自身权益工具进行结算，需要考虑用于结算该工具的本集团自身权益工具，是作为现金 或其他金融资产的替代品，还是为了使该工具持有方享有在发行方扣除所有负债后的资产中的剩余权益。如果是前者，该工 具是本集团的金融负债；如果是后者，该工具是本集团的权益工具。</w:t>
      </w:r>
    </w:p>
    <w:p>
      <w:pPr>
        <w:pStyle w:val="Style23"/>
        <w:keepNext w:val="0"/>
        <w:keepLines w:val="0"/>
        <w:widowControl w:val="0"/>
        <w:shd w:val="clear" w:color="auto" w:fill="auto"/>
        <w:tabs>
          <w:tab w:pos="445" w:val="left"/>
        </w:tabs>
        <w:bidi w:val="0"/>
        <w:spacing w:before="0" w:after="0" w:line="313" w:lineRule="exact"/>
        <w:ind w:left="0" w:right="0" w:firstLine="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4）</w:t>
        <w:tab/>
      </w:r>
      <w:r>
        <w:rPr>
          <w:color w:val="000000"/>
          <w:spacing w:val="0"/>
          <w:w w:val="100"/>
          <w:position w:val="0"/>
        </w:rPr>
        <w:t>金融工具的公允价值</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本集团以公允价值计量相关资产或负债，假定出售资产或者转移负债的有序交易在相关资产或负债的主要市场进行；不存在 主要市场的，本集团假定该交易在相关资产或负债的最有利市场进行。主要市场（或最有利市场）是本集团在计量日能够进 入的交易市场。本集团采用市场参与者在对该资产或负债定价时为实现其经济利益最大化所使用的假设。</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存在活跃市场的金融资产或金融负债，本集团采用活跃市场中的报价确定其公允价值。金融工具不存在活跃市场的，本集团 采用估值技术确定其公允价值。</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本集团采用在当前情况下适用并且有足够可利用数据和其他信息支持的估值技术，优先使用相关可观察输入值，只有在可观 察输入值无法取得或取得不切实可行的情况下，才使用不可观察输入值。</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 入值。</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每个资产负债表日，本集团对在财务报表中确认的持续以公允价值计量的资产和负债进行重新评估，以确定是否在公允价值 计量层次之间发生转换。</w:t>
      </w:r>
    </w:p>
    <w:p>
      <w:pPr>
        <w:pStyle w:val="Style23"/>
        <w:keepNext w:val="0"/>
        <w:keepLines w:val="0"/>
        <w:widowControl w:val="0"/>
        <w:shd w:val="clear" w:color="auto" w:fill="auto"/>
        <w:bidi w:val="0"/>
        <w:spacing w:before="0" w:after="0" w:line="312" w:lineRule="exact"/>
        <w:ind w:left="0" w:right="0" w:firstLine="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5）</w:t>
      </w:r>
      <w:r>
        <w:rPr>
          <w:color w:val="000000"/>
          <w:spacing w:val="0"/>
          <w:w w:val="100"/>
          <w:position w:val="0"/>
        </w:rPr>
        <w:t>金融资产减值</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本集团以预期信用损失为基础，对下列项目进行减值会计处理并确认损失准备：</w:t>
      </w:r>
    </w:p>
    <w:p>
      <w:pPr>
        <w:pStyle w:val="Style23"/>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815" w:name="bookmark815"/>
      <w:bookmarkEnd w:id="815"/>
      <w:r>
        <w:rPr>
          <w:color w:val="000000"/>
          <w:spacing w:val="0"/>
          <w:w w:val="100"/>
          <w:position w:val="0"/>
        </w:rPr>
        <w:t>以摊余成本计量的金融资产；</w:t>
      </w:r>
    </w:p>
    <w:p>
      <w:pPr>
        <w:pStyle w:val="Style23"/>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816" w:name="bookmark816"/>
      <w:bookmarkEnd w:id="816"/>
      <w:r>
        <w:rPr>
          <w:color w:val="000000"/>
          <w:spacing w:val="0"/>
          <w:w w:val="100"/>
          <w:position w:val="0"/>
        </w:rPr>
        <w:t>以公允价值计量且其变动计入其他综合收益的应收款项和债权投资；</w:t>
      </w:r>
    </w:p>
    <w:p>
      <w:pPr>
        <w:pStyle w:val="Style23"/>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817" w:name="bookmark817"/>
      <w:bookmarkEnd w:id="817"/>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23"/>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818" w:name="bookmark818"/>
      <w:bookmarkEnd w:id="818"/>
      <w:r>
        <w:rPr>
          <w:color w:val="000000"/>
          <w:spacing w:val="0"/>
          <w:w w:val="100"/>
          <w:position w:val="0"/>
        </w:rPr>
        <w:t>租赁应收款；</w:t>
      </w:r>
    </w:p>
    <w:p>
      <w:pPr>
        <w:pStyle w:val="Style23"/>
        <w:keepNext w:val="0"/>
        <w:keepLines w:val="0"/>
        <w:widowControl w:val="0"/>
        <w:numPr>
          <w:ilvl w:val="0"/>
          <w:numId w:val="23"/>
        </w:numPr>
        <w:shd w:val="clear" w:color="auto" w:fill="auto"/>
        <w:tabs>
          <w:tab w:pos="373" w:val="left"/>
        </w:tabs>
        <w:bidi w:val="0"/>
        <w:spacing w:before="0" w:after="0" w:line="312" w:lineRule="exact"/>
        <w:ind w:left="0" w:right="0" w:firstLine="0"/>
        <w:jc w:val="both"/>
      </w:pPr>
      <w:bookmarkStart w:id="819" w:name="bookmark819"/>
      <w:bookmarkEnd w:id="819"/>
      <w:r>
        <w:rPr>
          <w:color w:val="000000"/>
          <w:spacing w:val="0"/>
          <w:w w:val="100"/>
          <w:position w:val="0"/>
        </w:rPr>
        <w:t>财务担保合同（以公允价值计量且其变动计入当期损益、金融资产转移不符合终止确认条件或继续涉入被转移金融资产所 形成的除外）。</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预期信用损失的计量</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本集团对于处于不同阶段的金融工具的预期信用损失分别进行计量。金融工具自初始确认后信用风险未显著增加的，处于第 一阶段，本集团按照未来</w:t>
      </w:r>
      <w:r>
        <w:rPr>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个月内的预期信用损失计量损失准备；金融工具自初始确认后信用风险已显著增加但尚未发生信 用减值的，处于第二阶段，本集团按照该工具整个存续期的预期信用损失计量损失准备；金融工具自初始确认后已经发生信 用减值的，处于第三阶段，本集团按照该工具整个存续期的预期信用损失计量损失准备。</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color w:val="000000"/>
          <w:spacing w:val="0"/>
          <w:w w:val="100"/>
          <w:position w:val="0"/>
          <w:sz w:val="18"/>
          <w:szCs w:val="18"/>
        </w:rPr>
        <w:t>12</w:t>
      </w:r>
      <w:r>
        <w:rPr>
          <w:color w:val="000000"/>
          <w:spacing w:val="0"/>
          <w:w w:val="100"/>
          <w:position w:val="0"/>
        </w:rPr>
        <w:t>个月内 的预期信用损失计量损失准备。</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color w:val="000000"/>
          <w:spacing w:val="0"/>
          <w:w w:val="100"/>
          <w:position w:val="0"/>
          <w:sz w:val="18"/>
          <w:szCs w:val="18"/>
        </w:rPr>
        <w:t>12</w:t>
      </w:r>
      <w:r>
        <w:rPr>
          <w:color w:val="000000"/>
          <w:spacing w:val="0"/>
          <w:w w:val="100"/>
          <w:position w:val="0"/>
        </w:rPr>
        <w:t>个月 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个月内（若金融工具的预计存续期少于</w:t>
      </w:r>
      <w:r>
        <w:rPr>
          <w:color w:val="000000"/>
          <w:spacing w:val="0"/>
          <w:w w:val="100"/>
          <w:position w:val="0"/>
          <w:sz w:val="18"/>
          <w:szCs w:val="18"/>
        </w:rPr>
        <w:t>12</w:t>
      </w:r>
      <w:r>
        <w:rPr>
          <w:color w:val="000000"/>
          <w:spacing w:val="0"/>
          <w:w w:val="100"/>
          <w:position w:val="0"/>
        </w:rPr>
        <w:t>个月，则为预计存续期）可能发生的金 融工具违约事件而导致的预期信用损失，是整个存续期预期信用损失的一部分。</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在计量预期信用损失时，本集团需考虑的最长期限为企业面临信用风险的最长合同期限（包括考虑续约选择权）。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对于应收票据、应收账款、合同资产，无论是否存在重大融资成分，本集团始终按照相当于整个存续期内预期信用损失的金 额计量其损失准备。</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当单项金融资产无法以合理成本评估预期信用损失的信息时，本集团依据信用风险特征对应收票据和应收账款划分组合，在 组合基础上计算预期信用损失，确定组合的依据如下：</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820" w:name="bookmark820"/>
      <w:r>
        <w:rPr>
          <w:color w:val="000000"/>
          <w:spacing w:val="0"/>
          <w:w w:val="100"/>
          <w:position w:val="0"/>
          <w:sz w:val="18"/>
          <w:szCs w:val="18"/>
        </w:rPr>
        <w:t>A</w:t>
      </w:r>
      <w:bookmarkEnd w:id="820"/>
      <w:r>
        <w:rPr>
          <w:color w:val="000000"/>
          <w:spacing w:val="0"/>
          <w:w w:val="100"/>
          <w:position w:val="0"/>
        </w:rPr>
        <w:t>、</w:t>
        <w:tab/>
      </w:r>
      <w:r>
        <w:rPr>
          <w:color w:val="000000"/>
          <w:spacing w:val="0"/>
          <w:w w:val="100"/>
          <w:position w:val="0"/>
        </w:rPr>
        <w:t>应收票据</w:t>
      </w:r>
    </w:p>
    <w:p>
      <w:pPr>
        <w:pStyle w:val="Style23"/>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821" w:name="bookmark821"/>
      <w:bookmarkEnd w:id="821"/>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信用等级高的银行承兑汇票</w:t>
      </w:r>
    </w:p>
    <w:p>
      <w:pPr>
        <w:pStyle w:val="Style23"/>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822" w:name="bookmark822"/>
      <w:bookmarkEnd w:id="822"/>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信用等级低的银行承兑汇票和商业承兑汇票</w:t>
      </w:r>
    </w:p>
    <w:p>
      <w:pPr>
        <w:pStyle w:val="Style23"/>
        <w:keepNext w:val="0"/>
        <w:keepLines w:val="0"/>
        <w:widowControl w:val="0"/>
        <w:shd w:val="clear" w:color="auto" w:fill="auto"/>
        <w:tabs>
          <w:tab w:pos="354" w:val="left"/>
        </w:tabs>
        <w:bidi w:val="0"/>
        <w:spacing w:before="0" w:after="0" w:line="312" w:lineRule="exact"/>
        <w:ind w:left="0" w:right="0" w:firstLine="0"/>
        <w:jc w:val="both"/>
      </w:pPr>
      <w:bookmarkStart w:id="823" w:name="bookmark823"/>
      <w:r>
        <w:rPr>
          <w:color w:val="000000"/>
          <w:spacing w:val="0"/>
          <w:w w:val="100"/>
          <w:position w:val="0"/>
          <w:sz w:val="18"/>
          <w:szCs w:val="18"/>
        </w:rPr>
        <w:t>B</w:t>
      </w:r>
      <w:bookmarkEnd w:id="823"/>
      <w:r>
        <w:rPr>
          <w:color w:val="000000"/>
          <w:spacing w:val="0"/>
          <w:w w:val="100"/>
          <w:position w:val="0"/>
        </w:rPr>
        <w:t>、</w:t>
        <w:tab/>
      </w:r>
      <w:r>
        <w:rPr>
          <w:color w:val="000000"/>
          <w:spacing w:val="0"/>
          <w:w w:val="100"/>
          <w:position w:val="0"/>
        </w:rPr>
        <w:t>应收账款</w:t>
      </w:r>
    </w:p>
    <w:p>
      <w:pPr>
        <w:pStyle w:val="Style23"/>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824" w:name="bookmark824"/>
      <w:bookmarkEnd w:id="824"/>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应收货款</w:t>
      </w:r>
    </w:p>
    <w:p>
      <w:pPr>
        <w:pStyle w:val="Style23"/>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825" w:name="bookmark825"/>
      <w:bookmarkEnd w:id="825"/>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应收客户质保金</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对于划分为组合的应收票据、合同资产，本集团参考历史信用损失经验，结合当前状况以及对未来经济状况的预测，通过违 约风险敞口和整个存续期预期信用损失率，计算预期信用损失。</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对于划分为组合的应收账款，本集团参考历史信用损失经验，结合当前状况以及对未来经济状况的预测，编制应收账款账龄 /逾期天数与整个存续期预期信用损失率对照表，计算预期信用损失。</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长期应收款</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本集团的长期应收款为应收货款。</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对于长期应收款，本集团参考历史信用损失经验，结合当前状况以及对未来经济状况的预测，通过违约风险敞口和整个存续 期预期信用损失率，计算预期信用损失。</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本集团依据信用风险特征将其他应收款划分为若干组合，在组合基础上计算预期信用损失，确定组合的依据如下：</w:t>
      </w:r>
    </w:p>
    <w:p>
      <w:pPr>
        <w:pStyle w:val="Style23"/>
        <w:keepNext w:val="0"/>
        <w:keepLines w:val="0"/>
        <w:widowControl w:val="0"/>
        <w:numPr>
          <w:ilvl w:val="0"/>
          <w:numId w:val="29"/>
        </w:numPr>
        <w:shd w:val="clear" w:color="auto" w:fill="auto"/>
        <w:tabs>
          <w:tab w:pos="373" w:val="left"/>
        </w:tabs>
        <w:bidi w:val="0"/>
        <w:spacing w:before="0" w:after="0" w:line="313" w:lineRule="exact"/>
        <w:ind w:left="0" w:right="0" w:firstLine="0"/>
        <w:jc w:val="left"/>
      </w:pPr>
      <w:bookmarkStart w:id="826" w:name="bookmark826"/>
      <w:bookmarkEnd w:id="826"/>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应收押金和保证金</w:t>
      </w:r>
    </w:p>
    <w:p>
      <w:pPr>
        <w:pStyle w:val="Style23"/>
        <w:keepNext w:val="0"/>
        <w:keepLines w:val="0"/>
        <w:widowControl w:val="0"/>
        <w:numPr>
          <w:ilvl w:val="0"/>
          <w:numId w:val="29"/>
        </w:numPr>
        <w:shd w:val="clear" w:color="auto" w:fill="auto"/>
        <w:tabs>
          <w:tab w:pos="373" w:val="left"/>
        </w:tabs>
        <w:bidi w:val="0"/>
        <w:spacing w:before="0" w:after="0" w:line="313" w:lineRule="exact"/>
        <w:ind w:left="0" w:right="0" w:firstLine="0"/>
        <w:jc w:val="left"/>
      </w:pPr>
      <w:bookmarkStart w:id="827" w:name="bookmark827"/>
      <w:bookmarkEnd w:id="827"/>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应收员工备用金和代垫款</w:t>
      </w:r>
    </w:p>
    <w:p>
      <w:pPr>
        <w:pStyle w:val="Style23"/>
        <w:keepNext w:val="0"/>
        <w:keepLines w:val="0"/>
        <w:widowControl w:val="0"/>
        <w:numPr>
          <w:ilvl w:val="0"/>
          <w:numId w:val="29"/>
        </w:numPr>
        <w:shd w:val="clear" w:color="auto" w:fill="auto"/>
        <w:tabs>
          <w:tab w:pos="373" w:val="left"/>
        </w:tabs>
        <w:bidi w:val="0"/>
        <w:spacing w:before="0" w:after="0" w:line="313" w:lineRule="exact"/>
        <w:ind w:left="0" w:right="0" w:firstLine="0"/>
        <w:jc w:val="left"/>
      </w:pPr>
      <w:bookmarkStart w:id="828" w:name="bookmark828"/>
      <w:bookmarkEnd w:id="828"/>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应收关联方款项</w:t>
      </w:r>
    </w:p>
    <w:p>
      <w:pPr>
        <w:pStyle w:val="Style23"/>
        <w:keepNext w:val="0"/>
        <w:keepLines w:val="0"/>
        <w:widowControl w:val="0"/>
        <w:numPr>
          <w:ilvl w:val="0"/>
          <w:numId w:val="29"/>
        </w:numPr>
        <w:shd w:val="clear" w:color="auto" w:fill="auto"/>
        <w:tabs>
          <w:tab w:pos="373" w:val="left"/>
        </w:tabs>
        <w:bidi w:val="0"/>
        <w:spacing w:before="0" w:after="0" w:line="313" w:lineRule="exact"/>
        <w:ind w:left="0" w:right="0" w:firstLine="0"/>
        <w:jc w:val="left"/>
      </w:pPr>
      <w:bookmarkStart w:id="829" w:name="bookmark829"/>
      <w:bookmarkEnd w:id="829"/>
      <w:r>
        <w:rPr>
          <w:color w:val="000000"/>
          <w:spacing w:val="0"/>
          <w:w w:val="100"/>
          <w:position w:val="0"/>
        </w:rPr>
        <w:t>其他应收款组合</w:t>
      </w:r>
      <w:r>
        <w:rPr>
          <w:color w:val="000000"/>
          <w:spacing w:val="0"/>
          <w:w w:val="100"/>
          <w:position w:val="0"/>
          <w:sz w:val="18"/>
          <w:szCs w:val="18"/>
        </w:rPr>
        <w:t>4：</w:t>
      </w:r>
      <w:r>
        <w:rPr>
          <w:color w:val="000000"/>
          <w:spacing w:val="0"/>
          <w:w w:val="100"/>
          <w:position w:val="0"/>
        </w:rPr>
        <w:t>应收其他款项</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对划分为组合的其他应收款，本集团通过违约风险敞口和未来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 债权投资、其他债权投资</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对于债权投资和其他债权投资，本集团按照投资的性质，根据交易对手和风险敞口的各种类型，通过违约风险敞口和未来</w:t>
      </w:r>
      <w:r>
        <w:rPr>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信用风险显著增加的评估</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在确定信用风险自初始确认后是否显著增加时，本集团考虑无须付出不必要的额外成本或努力即可获得的合理且有依据的信 息，包括前瞻性信息。本集团考虑的信息包括：</w:t>
      </w:r>
    </w:p>
    <w:p>
      <w:pPr>
        <w:pStyle w:val="Style23"/>
        <w:keepNext w:val="0"/>
        <w:keepLines w:val="0"/>
        <w:widowControl w:val="0"/>
        <w:numPr>
          <w:ilvl w:val="0"/>
          <w:numId w:val="31"/>
        </w:numPr>
        <w:shd w:val="clear" w:color="auto" w:fill="auto"/>
        <w:tabs>
          <w:tab w:pos="373" w:val="left"/>
        </w:tabs>
        <w:bidi w:val="0"/>
        <w:spacing w:before="0" w:after="0" w:line="313" w:lineRule="exact"/>
        <w:ind w:left="0" w:right="0" w:firstLine="0"/>
        <w:jc w:val="left"/>
      </w:pPr>
      <w:bookmarkStart w:id="830" w:name="bookmark830"/>
      <w:bookmarkEnd w:id="830"/>
      <w:r>
        <w:rPr>
          <w:color w:val="000000"/>
          <w:spacing w:val="0"/>
          <w:w w:val="100"/>
          <w:position w:val="0"/>
        </w:rPr>
        <w:t>债务人未能按合同到期日支付本金和利息的情况；</w:t>
      </w:r>
    </w:p>
    <w:p>
      <w:pPr>
        <w:pStyle w:val="Style23"/>
        <w:keepNext w:val="0"/>
        <w:keepLines w:val="0"/>
        <w:widowControl w:val="0"/>
        <w:numPr>
          <w:ilvl w:val="0"/>
          <w:numId w:val="31"/>
        </w:numPr>
        <w:shd w:val="clear" w:color="auto" w:fill="auto"/>
        <w:tabs>
          <w:tab w:pos="373" w:val="left"/>
        </w:tabs>
        <w:bidi w:val="0"/>
        <w:spacing w:before="0" w:after="0" w:line="313" w:lineRule="exact"/>
        <w:ind w:left="0" w:right="0" w:firstLine="0"/>
        <w:jc w:val="left"/>
      </w:pPr>
      <w:bookmarkStart w:id="831" w:name="bookmark831"/>
      <w:bookmarkEnd w:id="831"/>
      <w:r>
        <w:rPr>
          <w:color w:val="000000"/>
          <w:spacing w:val="0"/>
          <w:w w:val="100"/>
          <w:position w:val="0"/>
        </w:rPr>
        <w:t>已发生的或预期的金融工具的外部或内部信用评级（如有）的严重恶化；</w:t>
      </w:r>
    </w:p>
    <w:p>
      <w:pPr>
        <w:pStyle w:val="Style23"/>
        <w:keepNext w:val="0"/>
        <w:keepLines w:val="0"/>
        <w:widowControl w:val="0"/>
        <w:numPr>
          <w:ilvl w:val="0"/>
          <w:numId w:val="31"/>
        </w:numPr>
        <w:shd w:val="clear" w:color="auto" w:fill="auto"/>
        <w:tabs>
          <w:tab w:pos="373" w:val="left"/>
        </w:tabs>
        <w:bidi w:val="0"/>
        <w:spacing w:before="0" w:after="0" w:line="313" w:lineRule="exact"/>
        <w:ind w:left="0" w:right="0" w:firstLine="0"/>
        <w:jc w:val="left"/>
      </w:pPr>
      <w:bookmarkStart w:id="832" w:name="bookmark832"/>
      <w:bookmarkEnd w:id="832"/>
      <w:r>
        <w:rPr>
          <w:color w:val="000000"/>
          <w:spacing w:val="0"/>
          <w:w w:val="100"/>
          <w:position w:val="0"/>
        </w:rPr>
        <w:t>已发生的或预期的债务人经营成果的严重恶化；</w:t>
      </w:r>
    </w:p>
    <w:p>
      <w:pPr>
        <w:pStyle w:val="Style23"/>
        <w:keepNext w:val="0"/>
        <w:keepLines w:val="0"/>
        <w:widowControl w:val="0"/>
        <w:numPr>
          <w:ilvl w:val="0"/>
          <w:numId w:val="31"/>
        </w:numPr>
        <w:shd w:val="clear" w:color="auto" w:fill="auto"/>
        <w:tabs>
          <w:tab w:pos="373" w:val="left"/>
        </w:tabs>
        <w:bidi w:val="0"/>
        <w:spacing w:before="0" w:after="0" w:line="313" w:lineRule="exact"/>
        <w:ind w:left="0" w:right="0" w:firstLine="0"/>
        <w:jc w:val="left"/>
      </w:pPr>
      <w:bookmarkStart w:id="833" w:name="bookmark833"/>
      <w:bookmarkEnd w:id="833"/>
      <w:r>
        <w:rPr>
          <w:color w:val="000000"/>
          <w:spacing w:val="0"/>
          <w:w w:val="100"/>
          <w:position w:val="0"/>
        </w:rPr>
        <w:t>现存的或预期的技术、市场、经济或法律环境变化，并将对债务人对本集团的还款能力产生重大不利影响。</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已发生信用减值的金融资产</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23"/>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834" w:name="bookmark834"/>
      <w:bookmarkEnd w:id="834"/>
      <w:r>
        <w:rPr>
          <w:color w:val="000000"/>
          <w:spacing w:val="0"/>
          <w:w w:val="100"/>
          <w:position w:val="0"/>
        </w:rPr>
        <w:t>发行方或债务人发生重大财务困难；</w:t>
      </w:r>
    </w:p>
    <w:p>
      <w:pPr>
        <w:pStyle w:val="Style23"/>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835" w:name="bookmark835"/>
      <w:bookmarkEnd w:id="835"/>
      <w:r>
        <w:rPr>
          <w:color w:val="000000"/>
          <w:spacing w:val="0"/>
          <w:w w:val="100"/>
          <w:position w:val="0"/>
        </w:rPr>
        <w:t>债务人违反合同，如偿付利息或本金违约或逾期等；</w:t>
      </w:r>
    </w:p>
    <w:p>
      <w:pPr>
        <w:pStyle w:val="Style23"/>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836" w:name="bookmark836"/>
      <w:bookmarkEnd w:id="836"/>
      <w:r>
        <w:rPr>
          <w:color w:val="000000"/>
          <w:spacing w:val="0"/>
          <w:w w:val="100"/>
          <w:position w:val="0"/>
        </w:rPr>
        <w:t>本集团出于与债务人财务困难有关的经济或合同考虑，给予债务人在任何其他情况下都不会做出的让步；</w:t>
      </w:r>
    </w:p>
    <w:p>
      <w:pPr>
        <w:pStyle w:val="Style23"/>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837" w:name="bookmark837"/>
      <w:bookmarkEnd w:id="837"/>
      <w:r>
        <w:rPr>
          <w:color w:val="000000"/>
          <w:spacing w:val="0"/>
          <w:w w:val="100"/>
          <w:position w:val="0"/>
        </w:rPr>
        <w:t>债务人很可能破产或进行其他财务重组；</w:t>
      </w:r>
    </w:p>
    <w:p>
      <w:pPr>
        <w:pStyle w:val="Style23"/>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838" w:name="bookmark838"/>
      <w:bookmarkEnd w:id="838"/>
      <w:r>
        <w:rPr>
          <w:color w:val="000000"/>
          <w:spacing w:val="0"/>
          <w:w w:val="100"/>
          <w:position w:val="0"/>
        </w:rPr>
        <w:t>发行方或债务人财务困难导致该金融资产的活跃市场消失。</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预期信用损失准备的列报</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核销</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关金融资产的终止确认。这种情况通常发生在本集团确定债务人没有资产或收入来源可产生足够的现金流量以偿还将被减记 的金额。但是，按照本集团收回到期款项的程序，被减记的金融资产仍可能受到执行活动的影响。</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已减记的金融资产以后又收回的，作为减值损失的转回计入收回当期的损益。</w:t>
      </w:r>
    </w:p>
    <w:p>
      <w:pPr>
        <w:pStyle w:val="Style23"/>
        <w:keepNext w:val="0"/>
        <w:keepLines w:val="0"/>
        <w:widowControl w:val="0"/>
        <w:shd w:val="clear" w:color="auto" w:fill="auto"/>
        <w:bidi w:val="0"/>
        <w:spacing w:before="0" w:after="0" w:line="313" w:lineRule="exact"/>
        <w:ind w:left="0" w:right="0" w:firstLine="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6）</w:t>
      </w:r>
      <w:r>
        <w:rPr>
          <w:color w:val="000000"/>
          <w:spacing w:val="0"/>
          <w:w w:val="100"/>
          <w:position w:val="0"/>
        </w:rPr>
        <w:t>金融资产转移</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本集团既没有转移也没有保留金融资产所有权上几乎所有的风险和报酬的，分别下列情况处理:放弃了对该金融资产控制的， </w:t>
      </w:r>
      <w:r>
        <w:rPr>
          <w:color w:val="000000"/>
          <w:spacing w:val="0"/>
          <w:w w:val="100"/>
          <w:position w:val="0"/>
        </w:rPr>
        <w:t>终止确认该金融资产并确认产生的资产和负债；未放弃对该金融资产控制的，按照其继续涉入所转移金融资产的程度确认有 关金融资产，并相应确认有关负债。</w:t>
      </w:r>
    </w:p>
    <w:p>
      <w:pPr>
        <w:pStyle w:val="Style23"/>
        <w:keepNext w:val="0"/>
        <w:keepLines w:val="0"/>
        <w:widowControl w:val="0"/>
        <w:shd w:val="clear" w:color="auto" w:fill="auto"/>
        <w:bidi w:val="0"/>
        <w:spacing w:before="0" w:after="0" w:line="317" w:lineRule="exact"/>
        <w:ind w:left="0" w:right="0" w:firstLine="0"/>
        <w:jc w:val="left"/>
      </w:pPr>
      <w:bookmarkStart w:id="840" w:name="bookmark840"/>
      <w:r>
        <w:rPr>
          <w:color w:val="000000"/>
          <w:spacing w:val="0"/>
          <w:w w:val="100"/>
          <w:position w:val="0"/>
          <w:sz w:val="18"/>
          <w:szCs w:val="18"/>
        </w:rPr>
        <w:t>（</w:t>
      </w:r>
      <w:bookmarkEnd w:id="840"/>
      <w:r>
        <w:rPr>
          <w:color w:val="000000"/>
          <w:spacing w:val="0"/>
          <w:w w:val="100"/>
          <w:position w:val="0"/>
          <w:sz w:val="18"/>
          <w:szCs w:val="18"/>
        </w:rPr>
        <w:t>7）</w:t>
      </w:r>
      <w:r>
        <w:rPr>
          <w:color w:val="000000"/>
          <w:spacing w:val="0"/>
          <w:w w:val="100"/>
          <w:position w:val="0"/>
        </w:rPr>
        <w:t>金融资产和金融负债的抵销</w:t>
      </w:r>
    </w:p>
    <w:p>
      <w:pPr>
        <w:pStyle w:val="Style2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当本集团具有抵销已确认金融资产和金融负债的法定权利，且目前可执行该种法定权利，同时本集团计划以净额结算或同时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5"/>
        <w:keepNext/>
        <w:keepLines/>
        <w:widowControl w:val="0"/>
        <w:shd w:val="clear" w:color="auto" w:fill="auto"/>
        <w:tabs>
          <w:tab w:pos="474" w:val="left"/>
        </w:tabs>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41"/>
      <w:bookmarkEnd w:id="842"/>
      <w:bookmarkEnd w:id="844"/>
    </w:p>
    <w:p>
      <w:pPr>
        <w:pStyle w:val="Style35"/>
        <w:keepNext/>
        <w:keepLines/>
        <w:widowControl w:val="0"/>
        <w:shd w:val="clear" w:color="auto" w:fill="auto"/>
        <w:tabs>
          <w:tab w:pos="474"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5"/>
      <w:bookmarkEnd w:id="846"/>
      <w:bookmarkEnd w:id="848"/>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应收款项预期信用损失的计量</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本集团通过应收款项违约风险敞口和预期信用损失率计算应收账款预期信用损失，并基于违约概率和违约损失率确定预期信 用损失率。在确定预期信用损失率时，本集团使用内部历史信用损失经验等数据，并结合当前状况和前瞻性信息对历史数据 进行调整。在考虑前瞻性信息时，本集团使用的指标包括经济下滑的风险、外部市场环境、技术环境和客户情况的变化等。 本集团定期监控并复核与预期信用损失计算相关的假设。</w:t>
      </w:r>
    </w:p>
    <w:p>
      <w:pPr>
        <w:pStyle w:val="Style35"/>
        <w:keepNext/>
        <w:keepLines/>
        <w:widowControl w:val="0"/>
        <w:shd w:val="clear" w:color="auto" w:fill="auto"/>
        <w:tabs>
          <w:tab w:pos="474" w:val="left"/>
        </w:tabs>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9"/>
      <w:bookmarkEnd w:id="850"/>
      <w:bookmarkEnd w:id="852"/>
    </w:p>
    <w:p>
      <w:pPr>
        <w:pStyle w:val="Style35"/>
        <w:keepNext/>
        <w:keepLines/>
        <w:widowControl w:val="0"/>
        <w:shd w:val="clear" w:color="auto" w:fill="auto"/>
        <w:tabs>
          <w:tab w:pos="474"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3"/>
      <w:bookmarkEnd w:id="854"/>
      <w:bookmarkEnd w:id="856"/>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其他应收款的预期信用损失的确定方法及会计处理方法</w:t>
      </w:r>
    </w:p>
    <w:p>
      <w:pPr>
        <w:pStyle w:val="Style35"/>
        <w:keepNext/>
        <w:keepLines/>
        <w:widowControl w:val="0"/>
        <w:shd w:val="clear" w:color="auto" w:fill="auto"/>
        <w:tabs>
          <w:tab w:pos="474"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57"/>
      <w:bookmarkEnd w:id="858"/>
      <w:bookmarkEnd w:id="860"/>
    </w:p>
    <w:p>
      <w:pPr>
        <w:pStyle w:val="Style23"/>
        <w:keepNext w:val="0"/>
        <w:keepLines w:val="0"/>
        <w:widowControl w:val="0"/>
        <w:shd w:val="clear" w:color="auto" w:fill="auto"/>
        <w:tabs>
          <w:tab w:pos="445" w:val="left"/>
        </w:tabs>
        <w:bidi w:val="0"/>
        <w:spacing w:before="0" w:after="0" w:line="312" w:lineRule="exact"/>
        <w:ind w:left="0" w:right="0" w:firstLine="0"/>
        <w:jc w:val="left"/>
      </w:pPr>
      <w:bookmarkStart w:id="861" w:name="bookmark861"/>
      <w:r>
        <w:rPr>
          <w:color w:val="000000"/>
          <w:spacing w:val="0"/>
          <w:w w:val="100"/>
          <w:position w:val="0"/>
          <w:sz w:val="18"/>
          <w:szCs w:val="18"/>
        </w:rPr>
        <w:t>（</w:t>
      </w:r>
      <w:bookmarkEnd w:id="861"/>
      <w:r>
        <w:rPr>
          <w:color w:val="000000"/>
          <w:spacing w:val="0"/>
          <w:w w:val="100"/>
          <w:position w:val="0"/>
          <w:sz w:val="18"/>
          <w:szCs w:val="18"/>
        </w:rPr>
        <w:t>1）</w:t>
        <w:tab/>
      </w:r>
      <w:r>
        <w:rPr>
          <w:color w:val="000000"/>
          <w:spacing w:val="0"/>
          <w:w w:val="100"/>
          <w:position w:val="0"/>
        </w:rPr>
        <w:t>存货的分类</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本集团存货分为原材料、委托加工物资、在产品及库存商品、发出商品等。</w:t>
      </w:r>
    </w:p>
    <w:p>
      <w:pPr>
        <w:pStyle w:val="Style23"/>
        <w:keepNext w:val="0"/>
        <w:keepLines w:val="0"/>
        <w:widowControl w:val="0"/>
        <w:shd w:val="clear" w:color="auto" w:fill="auto"/>
        <w:tabs>
          <w:tab w:pos="445" w:val="left"/>
        </w:tabs>
        <w:bidi w:val="0"/>
        <w:spacing w:before="0" w:after="0" w:line="312" w:lineRule="exact"/>
        <w:ind w:left="0" w:right="0" w:firstLine="0"/>
        <w:jc w:val="left"/>
      </w:pPr>
      <w:bookmarkStart w:id="862" w:name="bookmark862"/>
      <w:r>
        <w:rPr>
          <w:color w:val="000000"/>
          <w:spacing w:val="0"/>
          <w:w w:val="100"/>
          <w:position w:val="0"/>
          <w:sz w:val="18"/>
          <w:szCs w:val="18"/>
        </w:rPr>
        <w:t>（</w:t>
      </w:r>
      <w:bookmarkEnd w:id="862"/>
      <w:r>
        <w:rPr>
          <w:color w:val="000000"/>
          <w:spacing w:val="0"/>
          <w:w w:val="100"/>
          <w:position w:val="0"/>
          <w:sz w:val="18"/>
          <w:szCs w:val="18"/>
        </w:rPr>
        <w:t>2）</w:t>
        <w:tab/>
      </w:r>
      <w:r>
        <w:rPr>
          <w:color w:val="000000"/>
          <w:spacing w:val="0"/>
          <w:w w:val="100"/>
          <w:position w:val="0"/>
        </w:rPr>
        <w:t>发出存货的计价方法</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本集团存货取得时按实际成本计价。原材料、库存商品等发出时采用加权平均法计价。</w:t>
      </w:r>
    </w:p>
    <w:p>
      <w:pPr>
        <w:pStyle w:val="Style23"/>
        <w:keepNext w:val="0"/>
        <w:keepLines w:val="0"/>
        <w:widowControl w:val="0"/>
        <w:shd w:val="clear" w:color="auto" w:fill="auto"/>
        <w:tabs>
          <w:tab w:pos="445" w:val="left"/>
        </w:tabs>
        <w:bidi w:val="0"/>
        <w:spacing w:before="0" w:after="0" w:line="312" w:lineRule="exact"/>
        <w:ind w:left="0" w:right="0" w:firstLine="0"/>
        <w:jc w:val="left"/>
      </w:pPr>
      <w:bookmarkStart w:id="863" w:name="bookmark863"/>
      <w:r>
        <w:rPr>
          <w:color w:val="000000"/>
          <w:spacing w:val="0"/>
          <w:w w:val="100"/>
          <w:position w:val="0"/>
          <w:sz w:val="18"/>
          <w:szCs w:val="18"/>
        </w:rPr>
        <w:t>（</w:t>
      </w:r>
      <w:bookmarkEnd w:id="863"/>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存货可变现净值是按存货的估计售价减去至完工时估计将要发生的成本、估计的销售费用以及相关税费后的金额。在确定存 货的可变现净值时，以取得的确凿证据为基础，同时考虑持有存货的目的以及资产负债表日后事项的影响。</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资产负债表日，存货成本高于其可变现净值的，计提存货跌价准备。本集团通常按照单个存货项目计提存货跌价准备，资产 负债表日，以前减记存货价值的影响因素已经消失的，存货跌价准备在原已计提的金额内转回。</w:t>
      </w:r>
    </w:p>
    <w:p>
      <w:pPr>
        <w:pStyle w:val="Style23"/>
        <w:keepNext w:val="0"/>
        <w:keepLines w:val="0"/>
        <w:widowControl w:val="0"/>
        <w:shd w:val="clear" w:color="auto" w:fill="auto"/>
        <w:tabs>
          <w:tab w:pos="445" w:val="left"/>
        </w:tabs>
        <w:bidi w:val="0"/>
        <w:spacing w:before="0" w:after="0" w:line="312" w:lineRule="exact"/>
        <w:ind w:left="0" w:right="0" w:firstLine="0"/>
        <w:jc w:val="left"/>
      </w:pPr>
      <w:bookmarkStart w:id="864" w:name="bookmark864"/>
      <w:r>
        <w:rPr>
          <w:color w:val="000000"/>
          <w:spacing w:val="0"/>
          <w:w w:val="100"/>
          <w:position w:val="0"/>
          <w:sz w:val="18"/>
          <w:szCs w:val="18"/>
        </w:rPr>
        <w:t>（</w:t>
      </w:r>
      <w:bookmarkEnd w:id="864"/>
      <w:r>
        <w:rPr>
          <w:color w:val="000000"/>
          <w:spacing w:val="0"/>
          <w:w w:val="100"/>
          <w:position w:val="0"/>
          <w:sz w:val="18"/>
          <w:szCs w:val="18"/>
        </w:rPr>
        <w:t>4）</w:t>
        <w:tab/>
      </w:r>
      <w:r>
        <w:rPr>
          <w:color w:val="000000"/>
          <w:spacing w:val="0"/>
          <w:w w:val="100"/>
          <w:position w:val="0"/>
        </w:rPr>
        <w:t>存货的盘存制度</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本集团存货盘存制度采用永续盘存制。</w:t>
      </w:r>
    </w:p>
    <w:p>
      <w:pPr>
        <w:pStyle w:val="Style35"/>
        <w:keepNext/>
        <w:keepLines/>
        <w:widowControl w:val="0"/>
        <w:shd w:val="clear" w:color="auto" w:fill="auto"/>
        <w:tabs>
          <w:tab w:pos="474"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5"/>
      <w:bookmarkEnd w:id="866"/>
      <w:bookmarkEnd w:id="868"/>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合同成本包括为取得合同发生的增量成本及合同履约成本。为取得合同发生的增量成本是指本集团不取得合同就不会发生的 成本（如销售佣金等）。该成本预期能够收回的，本集团将其作为合同取得成本确认为一项资产。本集团为取得合同发生的、 除预期能够收回的增量成本之外的其他支出于发生时计入当期损益。</w:t>
      </w:r>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23"/>
        <w:keepNext w:val="0"/>
        <w:keepLines w:val="0"/>
        <w:widowControl w:val="0"/>
        <w:numPr>
          <w:ilvl w:val="0"/>
          <w:numId w:val="35"/>
        </w:numPr>
        <w:shd w:val="clear" w:color="auto" w:fill="auto"/>
        <w:bidi w:val="0"/>
        <w:spacing w:before="0" w:after="0" w:line="240" w:lineRule="auto"/>
        <w:ind w:left="0" w:right="0" w:firstLine="0"/>
        <w:jc w:val="left"/>
      </w:pPr>
      <w:bookmarkStart w:id="869" w:name="bookmark869"/>
      <w:bookmarkEnd w:id="869"/>
      <w:r>
        <w:rPr>
          <w:color w:val="000000"/>
          <w:spacing w:val="0"/>
          <w:w w:val="100"/>
          <w:position w:val="0"/>
        </w:rPr>
        <w:t xml:space="preserve">该成本与一份当前或预期取得的合同直接相关，包括直接人工、直接材料、制造费用（或类似费用）、明确由客户承担的 </w:t>
      </w:r>
      <w:r>
        <w:rPr>
          <w:color w:val="000000"/>
          <w:spacing w:val="0"/>
          <w:w w:val="100"/>
          <w:position w:val="0"/>
        </w:rPr>
        <w:t>成本以及仅因该合同而发生的其他成本；</w:t>
      </w:r>
    </w:p>
    <w:p>
      <w:pPr>
        <w:pStyle w:val="Style23"/>
        <w:keepNext w:val="0"/>
        <w:keepLines w:val="0"/>
        <w:widowControl w:val="0"/>
        <w:numPr>
          <w:ilvl w:val="0"/>
          <w:numId w:val="35"/>
        </w:numPr>
        <w:shd w:val="clear" w:color="auto" w:fill="auto"/>
        <w:tabs>
          <w:tab w:pos="373" w:val="left"/>
        </w:tabs>
        <w:bidi w:val="0"/>
        <w:spacing w:before="0" w:after="0" w:line="312" w:lineRule="exact"/>
        <w:ind w:left="0" w:right="0" w:firstLine="0"/>
        <w:jc w:val="both"/>
      </w:pPr>
      <w:bookmarkStart w:id="870" w:name="bookmark870"/>
      <w:bookmarkEnd w:id="870"/>
      <w:r>
        <w:rPr>
          <w:color w:val="000000"/>
          <w:spacing w:val="0"/>
          <w:w w:val="100"/>
          <w:position w:val="0"/>
        </w:rPr>
        <w:t>该成本增加了本集团未来用于履行履约义务的资源；</w:t>
      </w:r>
    </w:p>
    <w:p>
      <w:pPr>
        <w:pStyle w:val="Style23"/>
        <w:keepNext w:val="0"/>
        <w:keepLines w:val="0"/>
        <w:widowControl w:val="0"/>
        <w:numPr>
          <w:ilvl w:val="0"/>
          <w:numId w:val="35"/>
        </w:numPr>
        <w:shd w:val="clear" w:color="auto" w:fill="auto"/>
        <w:tabs>
          <w:tab w:pos="373" w:val="left"/>
        </w:tabs>
        <w:bidi w:val="0"/>
        <w:spacing w:before="0" w:after="0" w:line="312" w:lineRule="exact"/>
        <w:ind w:left="0" w:right="0" w:firstLine="0"/>
        <w:jc w:val="both"/>
      </w:pPr>
      <w:bookmarkStart w:id="871" w:name="bookmark871"/>
      <w:bookmarkEnd w:id="871"/>
      <w:r>
        <w:rPr>
          <w:color w:val="000000"/>
          <w:spacing w:val="0"/>
          <w:w w:val="100"/>
          <w:position w:val="0"/>
        </w:rPr>
        <w:t>该成本预期能够收回。</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合同取得成本确认的资产和合同履约成本确认的资产（以下简称“与合同成本有关的资产”）采用与该资产相关的商品或服 务收入确认相同的基础进行摊销，计入当期损益。</w:t>
      </w:r>
    </w:p>
    <w:p>
      <w:pPr>
        <w:pStyle w:val="Style35"/>
        <w:keepNext/>
        <w:keepLines/>
        <w:widowControl w:val="0"/>
        <w:shd w:val="clear" w:color="auto" w:fill="auto"/>
        <w:tabs>
          <w:tab w:pos="474" w:val="left"/>
        </w:tabs>
        <w:bidi w:val="0"/>
        <w:spacing w:before="0" w:after="26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2"/>
      <w:bookmarkEnd w:id="873"/>
      <w:bookmarkEnd w:id="875"/>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当与合同成本有关的资产的账面价值高于下列两项的差额时，本集团对超出部分计提减值准备，并确认为资产减值损失：</w:t>
      </w:r>
    </w:p>
    <w:p>
      <w:pPr>
        <w:pStyle w:val="Style23"/>
        <w:keepNext w:val="0"/>
        <w:keepLines w:val="0"/>
        <w:widowControl w:val="0"/>
        <w:numPr>
          <w:ilvl w:val="0"/>
          <w:numId w:val="37"/>
        </w:numPr>
        <w:shd w:val="clear" w:color="auto" w:fill="auto"/>
        <w:tabs>
          <w:tab w:pos="373" w:val="left"/>
        </w:tabs>
        <w:bidi w:val="0"/>
        <w:spacing w:before="0" w:after="0" w:line="317" w:lineRule="exact"/>
        <w:ind w:left="0" w:right="0" w:firstLine="0"/>
        <w:jc w:val="both"/>
      </w:pPr>
      <w:bookmarkStart w:id="876" w:name="bookmark876"/>
      <w:bookmarkEnd w:id="876"/>
      <w:r>
        <w:rPr>
          <w:color w:val="000000"/>
          <w:spacing w:val="0"/>
          <w:w w:val="100"/>
          <w:position w:val="0"/>
        </w:rPr>
        <w:t>本集团因转让与该资产相关的商品或服务预期能够取得的剩余对价；</w:t>
      </w:r>
    </w:p>
    <w:p>
      <w:pPr>
        <w:pStyle w:val="Style23"/>
        <w:keepNext w:val="0"/>
        <w:keepLines w:val="0"/>
        <w:widowControl w:val="0"/>
        <w:numPr>
          <w:ilvl w:val="0"/>
          <w:numId w:val="37"/>
        </w:numPr>
        <w:shd w:val="clear" w:color="auto" w:fill="auto"/>
        <w:tabs>
          <w:tab w:pos="373" w:val="left"/>
        </w:tabs>
        <w:bidi w:val="0"/>
        <w:spacing w:before="0" w:after="0" w:line="317" w:lineRule="exact"/>
        <w:ind w:left="0" w:right="0" w:firstLine="0"/>
        <w:jc w:val="both"/>
      </w:pPr>
      <w:bookmarkStart w:id="877" w:name="bookmark877"/>
      <w:bookmarkEnd w:id="877"/>
      <w:r>
        <w:rPr>
          <w:color w:val="000000"/>
          <w:spacing w:val="0"/>
          <w:w w:val="100"/>
          <w:position w:val="0"/>
        </w:rPr>
        <w:t>为转让该相关商品或服务估计将要发生的成本。</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确认为资产的合同履约成本，初始确认时摊销期限不超过一年或一个正常营业周期，在“存货”项目中列示，初始确认时摊 销期限超过一年或一个正常营业周期，在“其他非流动资产”项目中列示。</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确认为资产的合同取得成本，初始确认时摊销期限不超过一年或一个正常营业周期，在“其他流动资产”项目中列示，初始 确认时摊销期限超过一年或一个正常营业周期，在“其他非流动资产”项目中列示。</w:t>
      </w:r>
    </w:p>
    <w:p>
      <w:pPr>
        <w:pStyle w:val="Style35"/>
        <w:keepNext/>
        <w:keepLines/>
        <w:widowControl w:val="0"/>
        <w:shd w:val="clear" w:color="auto" w:fill="auto"/>
        <w:tabs>
          <w:tab w:pos="474" w:val="left"/>
        </w:tabs>
        <w:bidi w:val="0"/>
        <w:spacing w:before="0" w:after="38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8"/>
      <w:bookmarkEnd w:id="879"/>
      <w:bookmarkEnd w:id="881"/>
    </w:p>
    <w:p>
      <w:pPr>
        <w:pStyle w:val="Style35"/>
        <w:keepNext/>
        <w:keepLines/>
        <w:widowControl w:val="0"/>
        <w:shd w:val="clear" w:color="auto" w:fill="auto"/>
        <w:tabs>
          <w:tab w:pos="474" w:val="left"/>
        </w:tabs>
        <w:bidi w:val="0"/>
        <w:spacing w:before="0" w:after="3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2"/>
      <w:bookmarkEnd w:id="883"/>
      <w:bookmarkEnd w:id="885"/>
    </w:p>
    <w:p>
      <w:pPr>
        <w:pStyle w:val="Style35"/>
        <w:keepNext/>
        <w:keepLines/>
        <w:widowControl w:val="0"/>
        <w:shd w:val="clear" w:color="auto" w:fill="auto"/>
        <w:tabs>
          <w:tab w:pos="483" w:val="left"/>
        </w:tabs>
        <w:bidi w:val="0"/>
        <w:spacing w:before="0" w:after="38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6"/>
      <w:bookmarkEnd w:id="887"/>
      <w:bookmarkEnd w:id="889"/>
    </w:p>
    <w:p>
      <w:pPr>
        <w:pStyle w:val="Style35"/>
        <w:keepNext/>
        <w:keepLines/>
        <w:widowControl w:val="0"/>
        <w:shd w:val="clear" w:color="auto" w:fill="auto"/>
        <w:tabs>
          <w:tab w:pos="483" w:val="left"/>
        </w:tabs>
        <w:bidi w:val="0"/>
        <w:spacing w:before="0" w:after="38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90"/>
      <w:bookmarkEnd w:id="891"/>
      <w:bookmarkEnd w:id="893"/>
    </w:p>
    <w:p>
      <w:pPr>
        <w:pStyle w:val="Style35"/>
        <w:keepNext/>
        <w:keepLines/>
        <w:widowControl w:val="0"/>
        <w:shd w:val="clear" w:color="auto" w:fill="auto"/>
        <w:tabs>
          <w:tab w:pos="483" w:val="left"/>
        </w:tabs>
        <w:bidi w:val="0"/>
        <w:spacing w:before="0" w:after="2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4"/>
      <w:bookmarkEnd w:id="895"/>
      <w:bookmarkEnd w:id="897"/>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长期股权投资包括对子公司、合营企业和联营企业的权益性投资。本集团能够对被投资单位施加重大影响的，为本集团的联 营企业。</w:t>
      </w:r>
    </w:p>
    <w:p>
      <w:pPr>
        <w:pStyle w:val="Style23"/>
        <w:keepNext w:val="0"/>
        <w:keepLines w:val="0"/>
        <w:widowControl w:val="0"/>
        <w:shd w:val="clear" w:color="auto" w:fill="auto"/>
        <w:tabs>
          <w:tab w:pos="445" w:val="left"/>
        </w:tabs>
        <w:bidi w:val="0"/>
        <w:spacing w:before="0" w:after="0" w:line="312" w:lineRule="exact"/>
        <w:ind w:left="0" w:right="0" w:firstLine="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1）</w:t>
        <w:tab/>
      </w:r>
      <w:r>
        <w:rPr>
          <w:color w:val="000000"/>
          <w:spacing w:val="0"/>
          <w:w w:val="100"/>
          <w:position w:val="0"/>
        </w:rPr>
        <w:t>初始投资成本确定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形成企业合并的长期股权投资：同一控制下企业合并取得的长期股权投资，在合并日按照取得被合并方所有者权益在最终控 制方合并财务报表中的账面价值份额作为投资成本；非同一控制下企业合并取得的长期股权投资，按照合并成本作为长期股 权投资的投资成本。</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对于其他方式取得的长期股权投资：支付现金取得的长期股权投资，按照实际支付的购买价款作为初始投资成本；发行权益 性证券取得的长期股权投资，以发行权益性证券的公允价值作为初始投资成本。</w:t>
      </w:r>
    </w:p>
    <w:p>
      <w:pPr>
        <w:pStyle w:val="Style23"/>
        <w:keepNext w:val="0"/>
        <w:keepLines w:val="0"/>
        <w:widowControl w:val="0"/>
        <w:shd w:val="clear" w:color="auto" w:fill="auto"/>
        <w:tabs>
          <w:tab w:pos="445" w:val="left"/>
        </w:tabs>
        <w:bidi w:val="0"/>
        <w:spacing w:before="0" w:after="0" w:line="312" w:lineRule="exact"/>
        <w:ind w:left="0" w:right="0" w:firstLine="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2）</w:t>
        <w:tab/>
      </w:r>
      <w:r>
        <w:rPr>
          <w:color w:val="000000"/>
          <w:spacing w:val="0"/>
          <w:w w:val="100"/>
          <w:position w:val="0"/>
        </w:rPr>
        <w:t>后续计量及损益确认方法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对子公司的投资，采用成本法核算，除非投资符合持有待售的条件；对联营企业和合营企业的投资，采用权益法核算。</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采用成本法核算的长期股权投资，除取得投资时实际支付的价款或对价中包含的已宣告但尚未发放的现金股利或利润外，被 投资单位宣告分派的现金股利或利润，确认为投资收益计入当期损益。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采用权益法核算的长期股权投资，初始投资成本大于投资时应享有被投资单位可辨认净资产公允价值份额的，不调整长期股 权投资的投资成本；初始投资成本小于投资时应享有被投资单位可辨认净资产公允价值份额的，对长期股权投资的账面价值 进行调整，差额计入投资当期的损益。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权投资的账面价值；被投资单位除净损益、其他综合收益和利润分配以外所有者权益的其他变动，调整长期股权投资的账面 价值并计入资本公积（其他资本公积）。在确认应享有被投资单位净损益的份额时，以取得投资时被投资单位各项可辨认资 </w:t>
      </w:r>
      <w:r>
        <w:rPr>
          <w:color w:val="000000"/>
          <w:spacing w:val="0"/>
          <w:w w:val="100"/>
          <w:position w:val="0"/>
        </w:rPr>
        <w:t>产等的公允价值为基础，并按照本集团的会计政策及会计期间，对被投资单位的净利润进行调整后确认。</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因追加投资等原因能够对被投资单位施加重大影响或实施共同控制但不构成控制的，在转换日，按照原股权的公允价值加上 新增投资成本之和，作为改按权益法核算的初始投资成本。原股权于转换日的公允价值与账面价值之间的差额，以及原计入 其他综合收益的累计公允价值变动转入改按权益法核算的当期损益。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因处置部分股权投资等原因丧失了对被投资单位的共同控制或重大影响的，处置后的剩余股权在丧失共同控制或重大影响之 日改按《企业会计准则第</w:t>
      </w:r>
      <w:r>
        <w:rPr>
          <w:color w:val="000000"/>
          <w:spacing w:val="0"/>
          <w:w w:val="100"/>
          <w:position w:val="0"/>
          <w:sz w:val="18"/>
          <w:szCs w:val="18"/>
        </w:rPr>
        <w:t>22</w:t>
      </w:r>
      <w:r>
        <w:rPr>
          <w:color w:val="000000"/>
          <w:spacing w:val="0"/>
          <w:w w:val="100"/>
          <w:position w:val="0"/>
        </w:rPr>
        <w:t>号一金融工具确认和计量》进行会计处理，公允价值与账面价值之间的差额计入当期损益。原股 权投资因采用权益法核算而确认的其他综合收益，在终止采用权益法核算时采用与被投资单位直接处置相关资产或负债相同 的基础进行会计处理；原股权投资相关的其他所有者权益变动转入当期损益。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因处置部分股权投资等原因丧失了对被投资单位的控制的，处置后的剩余股权能够对被投资单位实施共同控制或施加重大影 响的，改按权益法核算，并对该剩余股权视同自取得时即采用权益法核算进行调整；处置后的剩余股权不能对被投资单位实 施共同控制或施加重大影响的，改按《企业会计准则第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号一金融工具确认和计量》的有关规定进行会计处理，其在丧失控 制之日的公允价值与账面价值之间的差额计入当期损益。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本集团与联营企业及合营企业之间发生的未实现内部交易损益按照持股比例计算归属于本集团的部分，在抵销基础上确认投 资损益。但本集团与被投资单位发生的未实现内部交易损失，属于所转让资产减值损失的，不予以抵销。</w:t>
      </w:r>
    </w:p>
    <w:p>
      <w:pPr>
        <w:pStyle w:val="Style23"/>
        <w:keepNext w:val="0"/>
        <w:keepLines w:val="0"/>
        <w:widowControl w:val="0"/>
        <w:shd w:val="clear" w:color="auto" w:fill="auto"/>
        <w:tabs>
          <w:tab w:pos="403" w:val="left"/>
        </w:tabs>
        <w:bidi w:val="0"/>
        <w:spacing w:before="0" w:after="0" w:line="312" w:lineRule="exact"/>
        <w:ind w:left="0" w:right="0" w:firstLine="0"/>
        <w:jc w:val="both"/>
      </w:pPr>
      <w:bookmarkStart w:id="900" w:name="bookmark900"/>
      <w:r>
        <w:rPr>
          <w:color w:val="000000"/>
          <w:spacing w:val="0"/>
          <w:w w:val="100"/>
          <w:position w:val="0"/>
          <w:sz w:val="18"/>
          <w:szCs w:val="18"/>
        </w:rPr>
        <w:t>（</w:t>
      </w:r>
      <w:bookmarkEnd w:id="900"/>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能决策。在判断是否存在共同控制时，首先判断是否由所有参与方或参与方组合集体控制该安排，其次再判断该安排相关活 动的决策是否必须经过这些集体控制该安排的参与方一致同意。如果所有参与方或一组参与方必须一致行动才能决定某项安 排的相关活动，则认为所有参与方或一组参与方集体控制该安排；如果存在两个或两个以上的参与方组合能够集体控制某项 安排的，不构成共同控制。判断是否存在共同控制时，不考虑享有的保护性权利。</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当本公司直接或通过子公司间接拥有被投资单位</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 xml:space="preserve">的表决权股份时，一般认为对被投资单位具有 重大影响，除非有明确证据表明该种情况下不能参与被投资单位的生产经营决策，不形成重大影响；本集团拥有被投资单位 </w:t>
      </w:r>
      <w:r>
        <w:rPr>
          <w:color w:val="000000"/>
          <w:spacing w:val="0"/>
          <w:w w:val="100"/>
          <w:position w:val="0"/>
          <w:sz w:val="18"/>
          <w:szCs w:val="18"/>
        </w:rPr>
        <w:t>20%</w:t>
      </w:r>
      <w:r>
        <w:rPr>
          <w:color w:val="000000"/>
          <w:spacing w:val="0"/>
          <w:w w:val="100"/>
          <w:position w:val="0"/>
        </w:rPr>
        <w:t>（不含）以下的表决权股份时，一般不认为对被投资单位具有重大影响，除非有明确证据表明该种情况下能够参与被投 资单位的生产经营决策，形成重大影响。</w:t>
      </w:r>
    </w:p>
    <w:p>
      <w:pPr>
        <w:pStyle w:val="Style23"/>
        <w:keepNext w:val="0"/>
        <w:keepLines w:val="0"/>
        <w:widowControl w:val="0"/>
        <w:shd w:val="clear" w:color="auto" w:fill="auto"/>
        <w:tabs>
          <w:tab w:pos="403" w:val="left"/>
        </w:tabs>
        <w:bidi w:val="0"/>
        <w:spacing w:before="0" w:after="0" w:line="312" w:lineRule="exact"/>
        <w:ind w:left="0" w:right="0" w:firstLine="0"/>
        <w:jc w:val="both"/>
      </w:pPr>
      <w:bookmarkStart w:id="901" w:name="bookmark901"/>
      <w:r>
        <w:rPr>
          <w:color w:val="000000"/>
          <w:spacing w:val="0"/>
          <w:w w:val="100"/>
          <w:position w:val="0"/>
          <w:sz w:val="18"/>
          <w:szCs w:val="18"/>
        </w:rPr>
        <w:t>（</w:t>
      </w:r>
      <w:bookmarkEnd w:id="901"/>
      <w:r>
        <w:rPr>
          <w:color w:val="000000"/>
          <w:spacing w:val="0"/>
          <w:w w:val="100"/>
          <w:position w:val="0"/>
          <w:sz w:val="18"/>
          <w:szCs w:val="18"/>
        </w:rPr>
        <w:t>4）</w:t>
        <w:tab/>
      </w:r>
      <w:r>
        <w:rPr>
          <w:color w:val="000000"/>
          <w:spacing w:val="0"/>
          <w:w w:val="100"/>
          <w:position w:val="0"/>
        </w:rPr>
        <w:t>减值测试方法及减值准备计提方法</w:t>
      </w:r>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对子公司、联营企业及合营企业的投资，计提资产减值的方法见附注五、</w:t>
      </w:r>
      <w:r>
        <w:rPr>
          <w:color w:val="000000"/>
          <w:spacing w:val="0"/>
          <w:w w:val="100"/>
          <w:position w:val="0"/>
          <w:sz w:val="18"/>
          <w:szCs w:val="18"/>
        </w:rPr>
        <w:t>31</w:t>
      </w:r>
      <w:r>
        <w:rPr>
          <w:color w:val="000000"/>
          <w:spacing w:val="0"/>
          <w:w w:val="100"/>
          <w:position w:val="0"/>
        </w:rPr>
        <w:t>。</w:t>
      </w:r>
    </w:p>
    <w:p>
      <w:pPr>
        <w:pStyle w:val="Style35"/>
        <w:keepNext/>
        <w:keepLines/>
        <w:widowControl w:val="0"/>
        <w:shd w:val="clear" w:color="auto" w:fill="auto"/>
        <w:tabs>
          <w:tab w:pos="441" w:val="left"/>
        </w:tabs>
        <w:bidi w:val="0"/>
        <w:spacing w:before="0" w:after="26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02"/>
      <w:bookmarkEnd w:id="903"/>
      <w:bookmarkEnd w:id="905"/>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不适用</w:t>
      </w:r>
    </w:p>
    <w:p>
      <w:pPr>
        <w:pStyle w:val="Style35"/>
        <w:keepNext/>
        <w:keepLines/>
        <w:widowControl w:val="0"/>
        <w:shd w:val="clear" w:color="auto" w:fill="auto"/>
        <w:tabs>
          <w:tab w:pos="441" w:val="left"/>
        </w:tabs>
        <w:bidi w:val="0"/>
        <w:spacing w:before="0" w:after="40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6"/>
      <w:bookmarkEnd w:id="907"/>
      <w:bookmarkEnd w:id="909"/>
    </w:p>
    <w:p>
      <w:pPr>
        <w:pStyle w:val="Style41"/>
        <w:keepNext/>
        <w:keepLines/>
        <w:widowControl w:val="0"/>
        <w:shd w:val="clear" w:color="auto" w:fill="auto"/>
        <w:bidi w:val="0"/>
        <w:spacing w:before="0" w:after="260" w:line="240" w:lineRule="auto"/>
        <w:ind w:left="0" w:right="0" w:firstLine="0"/>
        <w:jc w:val="both"/>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0"/>
      <w:bookmarkEnd w:id="911"/>
      <w:bookmarkEnd w:id="913"/>
    </w:p>
    <w:p>
      <w:pPr>
        <w:pStyle w:val="Style2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本集团固定资产是指为生产商品、提供劳务、出租或经营管理而持有的，使用寿命超过一个会计年度的有形资产。</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与该固定资产有关的经济利益很可能流入企业，并且该固定资产的成本能够可靠地计量时，固定资产才能予以确认。</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本集团固定资产按照取得时的实际成本进行初始计量。</w:t>
      </w:r>
    </w:p>
    <w:p>
      <w:pPr>
        <w:pStyle w:val="Style41"/>
        <w:keepNext/>
        <w:keepLines/>
        <w:widowControl w:val="0"/>
        <w:shd w:val="clear" w:color="auto" w:fill="auto"/>
        <w:bidi w:val="0"/>
        <w:spacing w:before="0" w:after="280" w:line="240" w:lineRule="auto"/>
        <w:ind w:left="0" w:right="0" w:firstLine="0"/>
        <w:jc w:val="both"/>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4"/>
      <w:bookmarkEnd w:id="915"/>
      <w:bookmarkEnd w:id="917"/>
    </w:p>
    <w:p>
      <w:pPr>
        <w:pStyle w:val="Style23"/>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本集团采用年限平均法计提折旧。固定资产自达到预定可使用状态时开始计提折旧，终止确认时或划分为持有待售非流动资 产时停止计提折旧。在不考虑减值准备的情况下，按固定资产类别、预计使用寿命和预计残值，本集团确定各类固定资产的 年折旧率如下：</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31.67-6.33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w:t>
            </w:r>
          </w:p>
        </w:tc>
      </w:tr>
    </w:tbl>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固定资产自达到预定可使用状态时开始计提折旧，终止确认时或划分为持有待售非流动资产时停止计提折旧。 其中，已计提减值准备的固定资产，还应扣除已计提的固定资产减值准备累计金额计算确定折旧率。</w:t>
      </w:r>
    </w:p>
    <w:p>
      <w:pPr>
        <w:widowControl w:val="0"/>
        <w:spacing w:after="279" w:line="1" w:lineRule="exact"/>
      </w:pPr>
    </w:p>
    <w:p>
      <w:pPr>
        <w:pStyle w:val="Style41"/>
        <w:keepNext/>
        <w:keepLines/>
        <w:widowControl w:val="0"/>
        <w:shd w:val="clear" w:color="auto" w:fill="auto"/>
        <w:tabs>
          <w:tab w:pos="493" w:val="left"/>
        </w:tabs>
        <w:bidi w:val="0"/>
        <w:spacing w:before="0" w:after="280" w:line="240" w:lineRule="auto"/>
        <w:ind w:left="0" w:right="0" w:firstLine="0"/>
        <w:jc w:val="both"/>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918"/>
      <w:bookmarkEnd w:id="919"/>
      <w:bookmarkEnd w:id="921"/>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当本集团租入的固定资产符合下列一项或数项标准时，确认为融资租入固定资产：</w:t>
      </w:r>
    </w:p>
    <w:p>
      <w:pPr>
        <w:pStyle w:val="Style23"/>
        <w:keepNext w:val="0"/>
        <w:keepLines w:val="0"/>
        <w:widowControl w:val="0"/>
        <w:numPr>
          <w:ilvl w:val="0"/>
          <w:numId w:val="39"/>
        </w:numPr>
        <w:shd w:val="clear" w:color="auto" w:fill="auto"/>
        <w:tabs>
          <w:tab w:pos="373" w:val="left"/>
        </w:tabs>
        <w:bidi w:val="0"/>
        <w:spacing w:before="0" w:after="0" w:line="312" w:lineRule="exact"/>
        <w:ind w:left="0" w:right="0" w:firstLine="0"/>
        <w:jc w:val="both"/>
      </w:pPr>
      <w:bookmarkStart w:id="922" w:name="bookmark922"/>
      <w:bookmarkEnd w:id="922"/>
      <w:r>
        <w:rPr>
          <w:color w:val="000000"/>
          <w:spacing w:val="0"/>
          <w:w w:val="100"/>
          <w:position w:val="0"/>
        </w:rPr>
        <w:t>在租赁期届满时，租赁资产的所有权转移给本集团。</w:t>
      </w:r>
    </w:p>
    <w:p>
      <w:pPr>
        <w:pStyle w:val="Style23"/>
        <w:keepNext w:val="0"/>
        <w:keepLines w:val="0"/>
        <w:widowControl w:val="0"/>
        <w:numPr>
          <w:ilvl w:val="0"/>
          <w:numId w:val="39"/>
        </w:numPr>
        <w:shd w:val="clear" w:color="auto" w:fill="auto"/>
        <w:tabs>
          <w:tab w:pos="373" w:val="left"/>
        </w:tabs>
        <w:bidi w:val="0"/>
        <w:spacing w:before="0" w:after="0" w:line="312" w:lineRule="exact"/>
        <w:ind w:left="0" w:right="0" w:firstLine="0"/>
        <w:jc w:val="both"/>
      </w:pPr>
      <w:bookmarkStart w:id="923" w:name="bookmark923"/>
      <w:bookmarkEnd w:id="923"/>
      <w:r>
        <w:rPr>
          <w:color w:val="000000"/>
          <w:spacing w:val="0"/>
          <w:w w:val="100"/>
          <w:position w:val="0"/>
        </w:rPr>
        <w:t>本集团有购买租赁资产的选择权，所订立的购买价款预计将远低于行使选择权时租赁资产的公允价值，因而在租赁开始日 就可以合理确定本集团将会行使这种选择权。</w:t>
      </w:r>
    </w:p>
    <w:p>
      <w:pPr>
        <w:pStyle w:val="Style23"/>
        <w:keepNext w:val="0"/>
        <w:keepLines w:val="0"/>
        <w:widowControl w:val="0"/>
        <w:numPr>
          <w:ilvl w:val="0"/>
          <w:numId w:val="39"/>
        </w:numPr>
        <w:shd w:val="clear" w:color="auto" w:fill="auto"/>
        <w:tabs>
          <w:tab w:pos="373" w:val="left"/>
        </w:tabs>
        <w:bidi w:val="0"/>
        <w:spacing w:before="0" w:after="0" w:line="312" w:lineRule="exact"/>
        <w:ind w:left="0" w:right="0" w:firstLine="0"/>
        <w:jc w:val="both"/>
      </w:pPr>
      <w:bookmarkStart w:id="924" w:name="bookmark924"/>
      <w:bookmarkEnd w:id="924"/>
      <w:r>
        <w:rPr>
          <w:color w:val="000000"/>
          <w:spacing w:val="0"/>
          <w:w w:val="100"/>
          <w:position w:val="0"/>
        </w:rPr>
        <w:t>即使资产的所有权不转移，但租赁期占租赁资产使用寿命的大部分。</w:t>
      </w:r>
    </w:p>
    <w:p>
      <w:pPr>
        <w:pStyle w:val="Style23"/>
        <w:keepNext w:val="0"/>
        <w:keepLines w:val="0"/>
        <w:widowControl w:val="0"/>
        <w:numPr>
          <w:ilvl w:val="0"/>
          <w:numId w:val="39"/>
        </w:numPr>
        <w:shd w:val="clear" w:color="auto" w:fill="auto"/>
        <w:tabs>
          <w:tab w:pos="373" w:val="left"/>
        </w:tabs>
        <w:bidi w:val="0"/>
        <w:spacing w:before="0" w:after="0" w:line="312" w:lineRule="exact"/>
        <w:ind w:left="0" w:right="0" w:firstLine="0"/>
        <w:jc w:val="both"/>
      </w:pPr>
      <w:bookmarkStart w:id="925" w:name="bookmark925"/>
      <w:bookmarkEnd w:id="925"/>
      <w:r>
        <w:rPr>
          <w:color w:val="000000"/>
          <w:spacing w:val="0"/>
          <w:w w:val="100"/>
          <w:position w:val="0"/>
        </w:rPr>
        <w:t>本集团在租赁开始日的最低租赁付款额现值，几乎相当于租赁开始日租赁资产公允价值。</w:t>
      </w:r>
    </w:p>
    <w:p>
      <w:pPr>
        <w:pStyle w:val="Style23"/>
        <w:keepNext w:val="0"/>
        <w:keepLines w:val="0"/>
        <w:widowControl w:val="0"/>
        <w:numPr>
          <w:ilvl w:val="0"/>
          <w:numId w:val="39"/>
        </w:numPr>
        <w:shd w:val="clear" w:color="auto" w:fill="auto"/>
        <w:tabs>
          <w:tab w:pos="373" w:val="left"/>
        </w:tabs>
        <w:bidi w:val="0"/>
        <w:spacing w:before="0" w:after="0" w:line="312" w:lineRule="exact"/>
        <w:ind w:left="0" w:right="0" w:firstLine="0"/>
        <w:jc w:val="both"/>
      </w:pPr>
      <w:bookmarkStart w:id="926" w:name="bookmark926"/>
      <w:bookmarkEnd w:id="926"/>
      <w:r>
        <w:rPr>
          <w:color w:val="000000"/>
          <w:spacing w:val="0"/>
          <w:w w:val="100"/>
          <w:position w:val="0"/>
        </w:rPr>
        <w:t>租赁资产性质特殊，如果不作较大改造，只有本集团才能使用。</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赁项目的手续费、律师费、差旅费、印花税等初始直接费用，计入租入资产价值。未确认融资费用在租赁期内各个期间采用 实际利率法进行分摊。</w:t>
      </w:r>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每年年度终了，本集团对固定资产的使用寿命、预计净残值和折旧方法进行复核。</w:t>
      </w:r>
      <w:bookmarkEnd w:id="927"/>
      <w:bookmarkEnd w:id="928"/>
      <w:bookmarkEnd w:id="930"/>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使用寿命预计数与原先估计数有差异的，调整固定资产使用寿命；预计净残值预计数与原先估计数有差异的，调整预计净残 值。</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5</w:t>
      </w:r>
      <w:r>
        <w:rPr>
          <w:color w:val="000000"/>
          <w:spacing w:val="0"/>
          <w:w w:val="100"/>
          <w:position w:val="0"/>
        </w:rPr>
        <w:t>）</w:t>
        <w:tab/>
        <w:t>大修理费用</w:t>
      </w:r>
      <w:bookmarkEnd w:id="931"/>
      <w:bookmarkEnd w:id="932"/>
      <w:bookmarkEnd w:id="934"/>
    </w:p>
    <w:p>
      <w:pPr>
        <w:pStyle w:val="Style2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本集团对固定资产进行定期检查发生的大修理费用，有确凿证据表明符合固定资产确认条件的部分，计入固定资产成本，不 符合固定资产确认条件的计入当期损益。固定资产在定期大修理间隔期间，照提折旧。</w:t>
      </w:r>
    </w:p>
    <w:p>
      <w:pPr>
        <w:pStyle w:val="Style35"/>
        <w:keepNext/>
        <w:keepLines/>
        <w:widowControl w:val="0"/>
        <w:shd w:val="clear" w:color="auto" w:fill="auto"/>
        <w:tabs>
          <w:tab w:pos="483" w:val="left"/>
        </w:tabs>
        <w:bidi w:val="0"/>
        <w:spacing w:before="0" w:after="28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35"/>
      <w:bookmarkEnd w:id="936"/>
      <w:bookmarkEnd w:id="938"/>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本集团在建工程成本按实际工程支出确定，包括在建期间发生的各项必要工程支出、工程达到预定可使用状态前的应予资本 化的借款费用以及其他相关费用等。</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在建工程在达到预定可使用状态时转入固定资产。</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在建工程计提资产减值方法见附注五、</w:t>
      </w:r>
      <w:r>
        <w:rPr>
          <w:color w:val="000000"/>
          <w:spacing w:val="0"/>
          <w:w w:val="100"/>
          <w:position w:val="0"/>
          <w:sz w:val="18"/>
          <w:szCs w:val="18"/>
        </w:rPr>
        <w:t>31</w:t>
      </w:r>
      <w:r>
        <w:rPr>
          <w:color w:val="000000"/>
          <w:spacing w:val="0"/>
          <w:w w:val="100"/>
          <w:position w:val="0"/>
        </w:rPr>
        <w:t>。</w:t>
      </w:r>
    </w:p>
    <w:p>
      <w:pPr>
        <w:pStyle w:val="Style35"/>
        <w:keepNext/>
        <w:keepLines/>
        <w:widowControl w:val="0"/>
        <w:shd w:val="clear" w:color="auto" w:fill="auto"/>
        <w:tabs>
          <w:tab w:pos="483" w:val="left"/>
        </w:tabs>
        <w:bidi w:val="0"/>
        <w:spacing w:before="0" w:after="2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39"/>
      <w:bookmarkEnd w:id="940"/>
      <w:bookmarkEnd w:id="942"/>
    </w:p>
    <w:p>
      <w:pPr>
        <w:pStyle w:val="Style23"/>
        <w:keepNext w:val="0"/>
        <w:keepLines w:val="0"/>
        <w:widowControl w:val="0"/>
        <w:shd w:val="clear" w:color="auto" w:fill="auto"/>
        <w:tabs>
          <w:tab w:pos="445" w:val="left"/>
        </w:tabs>
        <w:bidi w:val="0"/>
        <w:spacing w:before="0" w:after="0" w:line="314" w:lineRule="exact"/>
        <w:ind w:left="0" w:right="0" w:firstLine="0"/>
        <w:jc w:val="both"/>
      </w:pPr>
      <w:bookmarkStart w:id="943" w:name="bookmark943"/>
      <w:r>
        <w:rPr>
          <w:color w:val="000000"/>
          <w:spacing w:val="0"/>
          <w:w w:val="100"/>
          <w:position w:val="0"/>
          <w:sz w:val="18"/>
          <w:szCs w:val="18"/>
        </w:rPr>
        <w:t>（</w:t>
      </w:r>
      <w:bookmarkEnd w:id="943"/>
      <w:r>
        <w:rPr>
          <w:color w:val="000000"/>
          <w:spacing w:val="0"/>
          <w:w w:val="100"/>
          <w:position w:val="0"/>
          <w:sz w:val="18"/>
          <w:szCs w:val="18"/>
        </w:rPr>
        <w:t>1）</w:t>
        <w:tab/>
      </w:r>
      <w:r>
        <w:rPr>
          <w:color w:val="000000"/>
          <w:spacing w:val="0"/>
          <w:w w:val="100"/>
          <w:position w:val="0"/>
        </w:rPr>
        <w:t>借款费用资本化的确认原则</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本集团发生的借款费用，可直接归属于符合资本化条件的资产的购建或者生产的，予以资本化，计入相关资产成本；其他借 款费用，在发生时根据其发生额确认为费用，计入当期损益。借款费用同时满足下列条件的，开始资本化：</w:t>
      </w:r>
    </w:p>
    <w:p>
      <w:pPr>
        <w:pStyle w:val="Style23"/>
        <w:keepNext w:val="0"/>
        <w:keepLines w:val="0"/>
        <w:widowControl w:val="0"/>
        <w:numPr>
          <w:ilvl w:val="0"/>
          <w:numId w:val="41"/>
        </w:numPr>
        <w:shd w:val="clear" w:color="auto" w:fill="auto"/>
        <w:tabs>
          <w:tab w:pos="373" w:val="left"/>
        </w:tabs>
        <w:bidi w:val="0"/>
        <w:spacing w:before="0" w:after="0" w:line="314" w:lineRule="exact"/>
        <w:ind w:left="0" w:right="0" w:firstLine="0"/>
        <w:jc w:val="both"/>
      </w:pPr>
      <w:bookmarkStart w:id="944" w:name="bookmark944"/>
      <w:bookmarkEnd w:id="944"/>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23"/>
        <w:keepNext w:val="0"/>
        <w:keepLines w:val="0"/>
        <w:widowControl w:val="0"/>
        <w:numPr>
          <w:ilvl w:val="0"/>
          <w:numId w:val="41"/>
        </w:numPr>
        <w:shd w:val="clear" w:color="auto" w:fill="auto"/>
        <w:tabs>
          <w:tab w:pos="373" w:val="left"/>
        </w:tabs>
        <w:bidi w:val="0"/>
        <w:spacing w:before="0" w:after="0" w:line="314" w:lineRule="exact"/>
        <w:ind w:left="0" w:right="0" w:firstLine="0"/>
        <w:jc w:val="both"/>
      </w:pPr>
      <w:bookmarkStart w:id="945" w:name="bookmark945"/>
      <w:bookmarkEnd w:id="945"/>
      <w:r>
        <w:rPr>
          <w:color w:val="000000"/>
          <w:spacing w:val="0"/>
          <w:w w:val="100"/>
          <w:position w:val="0"/>
        </w:rPr>
        <w:t>借款费用已经发生；</w:t>
      </w:r>
    </w:p>
    <w:p>
      <w:pPr>
        <w:pStyle w:val="Style23"/>
        <w:keepNext w:val="0"/>
        <w:keepLines w:val="0"/>
        <w:widowControl w:val="0"/>
        <w:numPr>
          <w:ilvl w:val="0"/>
          <w:numId w:val="41"/>
        </w:numPr>
        <w:shd w:val="clear" w:color="auto" w:fill="auto"/>
        <w:tabs>
          <w:tab w:pos="373" w:val="left"/>
        </w:tabs>
        <w:bidi w:val="0"/>
        <w:spacing w:before="0" w:after="0" w:line="314" w:lineRule="exact"/>
        <w:ind w:left="0" w:right="0" w:firstLine="0"/>
        <w:jc w:val="both"/>
      </w:pPr>
      <w:bookmarkStart w:id="946" w:name="bookmark946"/>
      <w:bookmarkEnd w:id="946"/>
      <w:r>
        <w:rPr>
          <w:color w:val="000000"/>
          <w:spacing w:val="0"/>
          <w:w w:val="100"/>
          <w:position w:val="0"/>
        </w:rPr>
        <w:t>为使资产达到预定可使用或者可销售状态所必要的购建或者生产活动已经开始。</w:t>
      </w:r>
    </w:p>
    <w:p>
      <w:pPr>
        <w:pStyle w:val="Style23"/>
        <w:keepNext w:val="0"/>
        <w:keepLines w:val="0"/>
        <w:widowControl w:val="0"/>
        <w:shd w:val="clear" w:color="auto" w:fill="auto"/>
        <w:tabs>
          <w:tab w:pos="445" w:val="left"/>
        </w:tabs>
        <w:bidi w:val="0"/>
        <w:spacing w:before="0" w:after="0" w:line="314" w:lineRule="exact"/>
        <w:ind w:left="0" w:right="0" w:firstLine="0"/>
        <w:jc w:val="both"/>
      </w:pPr>
      <w:bookmarkStart w:id="947" w:name="bookmark947"/>
      <w:r>
        <w:rPr>
          <w:color w:val="000000"/>
          <w:spacing w:val="0"/>
          <w:w w:val="100"/>
          <w:position w:val="0"/>
          <w:sz w:val="18"/>
          <w:szCs w:val="18"/>
        </w:rPr>
        <w:t>（</w:t>
      </w:r>
      <w:bookmarkEnd w:id="947"/>
      <w:r>
        <w:rPr>
          <w:color w:val="000000"/>
          <w:spacing w:val="0"/>
          <w:w w:val="100"/>
          <w:position w:val="0"/>
          <w:sz w:val="18"/>
          <w:szCs w:val="18"/>
        </w:rPr>
        <w:t>2）</w:t>
        <w:tab/>
      </w:r>
      <w:r>
        <w:rPr>
          <w:color w:val="000000"/>
          <w:spacing w:val="0"/>
          <w:w w:val="100"/>
          <w:position w:val="0"/>
        </w:rPr>
        <w:t>借款费用资本化期间</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本集团购建或者生产符合资本化条件的资产达到预定可使用或者可销售状态时，借款费用停止资本化。在符合资本化条件的 资产达到预定可使用或者可销售状态之后所发生的借款费用，在发生时根据其发生额确认为费用，计入当期损益。</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个月的，暂停借款费用的资本化；正 常中断期间的借款费用继续资本化。</w:t>
      </w:r>
    </w:p>
    <w:p>
      <w:pPr>
        <w:pStyle w:val="Style23"/>
        <w:keepNext w:val="0"/>
        <w:keepLines w:val="0"/>
        <w:widowControl w:val="0"/>
        <w:shd w:val="clear" w:color="auto" w:fill="auto"/>
        <w:tabs>
          <w:tab w:pos="445" w:val="left"/>
        </w:tabs>
        <w:bidi w:val="0"/>
        <w:spacing w:before="0" w:after="0" w:line="314" w:lineRule="exact"/>
        <w:ind w:left="0" w:right="0" w:firstLine="0"/>
        <w:jc w:val="both"/>
      </w:pPr>
      <w:bookmarkStart w:id="948" w:name="bookmark948"/>
      <w:r>
        <w:rPr>
          <w:color w:val="000000"/>
          <w:spacing w:val="0"/>
          <w:w w:val="100"/>
          <w:position w:val="0"/>
          <w:sz w:val="18"/>
          <w:szCs w:val="18"/>
        </w:rPr>
        <w:t>（</w:t>
      </w:r>
      <w:bookmarkEnd w:id="948"/>
      <w:r>
        <w:rPr>
          <w:color w:val="000000"/>
          <w:spacing w:val="0"/>
          <w:w w:val="100"/>
          <w:position w:val="0"/>
          <w:sz w:val="18"/>
          <w:szCs w:val="18"/>
        </w:rPr>
        <w:t>3）</w:t>
        <w:tab/>
      </w:r>
      <w:r>
        <w:rPr>
          <w:color w:val="000000"/>
          <w:spacing w:val="0"/>
          <w:w w:val="100"/>
          <w:position w:val="0"/>
        </w:rPr>
        <w:t>借款费用资本化率以及资本化金额的计算方法</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35"/>
        <w:keepNext/>
        <w:keepLines/>
        <w:widowControl w:val="0"/>
        <w:shd w:val="clear" w:color="auto" w:fill="auto"/>
        <w:tabs>
          <w:tab w:pos="483" w:val="left"/>
        </w:tabs>
        <w:bidi w:val="0"/>
        <w:spacing w:before="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49"/>
      <w:bookmarkEnd w:id="950"/>
      <w:bookmarkEnd w:id="952"/>
    </w:p>
    <w:p>
      <w:pPr>
        <w:pStyle w:val="Style35"/>
        <w:keepNext/>
        <w:keepLines/>
        <w:widowControl w:val="0"/>
        <w:shd w:val="clear" w:color="auto" w:fill="auto"/>
        <w:tabs>
          <w:tab w:pos="483" w:val="left"/>
        </w:tabs>
        <w:bidi w:val="0"/>
        <w:spacing w:before="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3"/>
      <w:bookmarkEnd w:id="954"/>
      <w:bookmarkEnd w:id="956"/>
    </w:p>
    <w:p>
      <w:pPr>
        <w:pStyle w:val="Style35"/>
        <w:keepNext/>
        <w:keepLines/>
        <w:widowControl w:val="0"/>
        <w:shd w:val="clear" w:color="auto" w:fill="auto"/>
        <w:tabs>
          <w:tab w:pos="483" w:val="left"/>
        </w:tabs>
        <w:bidi w:val="0"/>
        <w:spacing w:before="0" w:after="28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7"/>
      <w:bookmarkEnd w:id="958"/>
      <w:bookmarkEnd w:id="960"/>
    </w:p>
    <w:p>
      <w:pPr>
        <w:pStyle w:val="Style23"/>
        <w:keepNext w:val="0"/>
        <w:keepLines w:val="0"/>
        <w:widowControl w:val="0"/>
        <w:shd w:val="clear" w:color="auto" w:fill="auto"/>
        <w:tabs>
          <w:tab w:pos="445" w:val="left"/>
        </w:tabs>
        <w:bidi w:val="0"/>
        <w:spacing w:before="0" w:after="0" w:line="310" w:lineRule="exact"/>
        <w:ind w:left="0" w:right="0" w:firstLine="0"/>
        <w:jc w:val="both"/>
      </w:pPr>
      <w:bookmarkStart w:id="961" w:name="bookmark961"/>
      <w:r>
        <w:rPr>
          <w:color w:val="000000"/>
          <w:spacing w:val="0"/>
          <w:w w:val="100"/>
          <w:position w:val="0"/>
          <w:sz w:val="18"/>
          <w:szCs w:val="18"/>
        </w:rPr>
        <w:t>（</w:t>
      </w:r>
      <w:bookmarkEnd w:id="961"/>
      <w:r>
        <w:rPr>
          <w:color w:val="000000"/>
          <w:spacing w:val="0"/>
          <w:w w:val="100"/>
          <w:position w:val="0"/>
          <w:sz w:val="18"/>
          <w:szCs w:val="18"/>
        </w:rPr>
        <w:t>1）</w:t>
        <w:tab/>
      </w:r>
      <w:r>
        <w:rPr>
          <w:color w:val="000000"/>
          <w:spacing w:val="0"/>
          <w:w w:val="100"/>
          <w:position w:val="0"/>
        </w:rPr>
        <w:t>使用权资产确认条件</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本集团使用权资产是指本集团作为承租人可在租赁期内使用租赁资产的权利。</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在租赁期开始日，使用权资产按照成本进行初始计量。该成本包括：租赁负债的初始计量金额；在租赁期开始日或之前支付 的租赁付款额，存在租赁激励的，扣除已享受的租赁激励相关金额；本集团作为承租人发生的初始直接费用；本集团作为承 租人为拆卸及移除租赁资产、复原租赁资产所在场地或将租赁资产恢复至租赁条款约定状态预计将发生的成本。本集团作为 承租人按照《企业会计准则第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或有事项》对拆除复原等成本进行确认和计量。后续就租赁负债的任何重新计量作出 调整。</w:t>
      </w:r>
    </w:p>
    <w:p>
      <w:pPr>
        <w:pStyle w:val="Style23"/>
        <w:keepNext w:val="0"/>
        <w:keepLines w:val="0"/>
        <w:widowControl w:val="0"/>
        <w:shd w:val="clear" w:color="auto" w:fill="auto"/>
        <w:tabs>
          <w:tab w:pos="445" w:val="left"/>
        </w:tabs>
        <w:bidi w:val="0"/>
        <w:spacing w:before="0" w:after="0" w:line="310" w:lineRule="exact"/>
        <w:ind w:left="0" w:right="0" w:firstLine="0"/>
        <w:jc w:val="both"/>
      </w:pPr>
      <w:bookmarkStart w:id="962" w:name="bookmark962"/>
      <w:r>
        <w:rPr>
          <w:color w:val="000000"/>
          <w:spacing w:val="0"/>
          <w:w w:val="100"/>
          <w:position w:val="0"/>
          <w:sz w:val="18"/>
          <w:szCs w:val="18"/>
        </w:rPr>
        <w:t>（</w:t>
      </w:r>
      <w:bookmarkEnd w:id="962"/>
      <w:r>
        <w:rPr>
          <w:color w:val="000000"/>
          <w:spacing w:val="0"/>
          <w:w w:val="100"/>
          <w:position w:val="0"/>
          <w:sz w:val="18"/>
          <w:szCs w:val="18"/>
        </w:rPr>
        <w:t>2）</w:t>
        <w:tab/>
      </w:r>
      <w:r>
        <w:rPr>
          <w:color w:val="000000"/>
          <w:spacing w:val="0"/>
          <w:w w:val="100"/>
          <w:position w:val="0"/>
        </w:rPr>
        <w:t>使用权资产的折旧方法</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本集团采用直线法计提折旧。本集团作为承租人能够合理确定租赁期届满时取得租赁资产所有权的，在租赁资产剩余使用寿 命内计提折旧。无法合理确定租赁期届满时能够取得租赁资产所有权的，在租赁期与租赁资产剩余使用寿命两者孰短的期间 内计提折旧。</w:t>
      </w:r>
    </w:p>
    <w:p>
      <w:pPr>
        <w:pStyle w:val="Style23"/>
        <w:keepNext w:val="0"/>
        <w:keepLines w:val="0"/>
        <w:widowControl w:val="0"/>
        <w:shd w:val="clear" w:color="auto" w:fill="auto"/>
        <w:bidi w:val="0"/>
        <w:spacing w:before="0" w:after="280" w:line="310" w:lineRule="exact"/>
        <w:ind w:left="0" w:right="0" w:firstLine="0"/>
        <w:jc w:val="both"/>
      </w:pPr>
      <w:r>
        <w:rPr>
          <w:color w:val="000000"/>
          <w:spacing w:val="0"/>
          <w:w w:val="100"/>
          <w:position w:val="0"/>
          <w:sz w:val="18"/>
          <w:szCs w:val="18"/>
        </w:rPr>
        <w:t>（2）</w:t>
      </w:r>
      <w:r>
        <w:rPr>
          <w:color w:val="000000"/>
          <w:spacing w:val="0"/>
          <w:w w:val="100"/>
          <w:position w:val="0"/>
        </w:rPr>
        <w:t>使用权资产的减值测试方法、减值准备计提方法见附注五、</w:t>
      </w:r>
      <w:r>
        <w:rPr>
          <w:color w:val="000000"/>
          <w:spacing w:val="0"/>
          <w:w w:val="100"/>
          <w:position w:val="0"/>
          <w:sz w:val="18"/>
          <w:szCs w:val="18"/>
        </w:rPr>
        <w:t>31</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63"/>
      <w:bookmarkEnd w:id="964"/>
      <w:bookmarkEnd w:id="966"/>
    </w:p>
    <w:p>
      <w:pPr>
        <w:pStyle w:val="Style41"/>
        <w:keepNext/>
        <w:keepLines/>
        <w:widowControl w:val="0"/>
        <w:shd w:val="clear" w:color="auto" w:fill="auto"/>
        <w:bidi w:val="0"/>
        <w:spacing w:before="0" w:after="26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7"/>
      <w:bookmarkEnd w:id="968"/>
      <w:bookmarkEnd w:id="970"/>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本集团无形资产包括土地使用权、软件使用权等。</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无形资产按照成本进行初始计量，并于取得无形资产时分析判断其使用寿命。使用寿命为有限的，自无形资产可供使用时起， 采用能反映与该资产有关的经济利益的预期实现方式的摊销方法，在预计使用年限内摊销；无法可靠确定预期实现方式的， 采用直线法摊销；使用寿命不确定的无形资产，不作摊销。</w:t>
      </w:r>
    </w:p>
    <w:p>
      <w:pPr>
        <w:pStyle w:val="Style23"/>
        <w:keepNext w:val="0"/>
        <w:keepLines w:val="0"/>
        <w:widowControl w:val="0"/>
        <w:shd w:val="clear" w:color="auto" w:fill="auto"/>
        <w:bidi w:val="0"/>
        <w:spacing w:before="0" w:after="40" w:line="310" w:lineRule="exact"/>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2429"/>
        <w:gridCol w:w="2861"/>
        <w:gridCol w:w="2482"/>
        <w:gridCol w:w="1382"/>
      </w:tblGrid>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摊销方法</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备注</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8"/>
                <w:szCs w:val="18"/>
              </w:rPr>
              <w:t>50</w:t>
            </w:r>
            <w:r>
              <w:rPr>
                <w:color w:val="000000"/>
                <w:spacing w:val="0"/>
                <w:w w:val="100"/>
                <w:position w:val="0"/>
                <w:sz w:val="20"/>
                <w:szCs w:val="20"/>
              </w:rPr>
              <w:t>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直线法</w:t>
            </w:r>
          </w:p>
        </w:tc>
        <w:tc>
          <w:tcPr>
            <w:tcBorders>
              <w:top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软件使用权</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8"/>
                <w:szCs w:val="18"/>
              </w:rPr>
              <w:t>5</w:t>
            </w:r>
            <w:r>
              <w:rPr>
                <w:color w:val="000000"/>
                <w:spacing w:val="0"/>
                <w:w w:val="100"/>
                <w:position w:val="0"/>
                <w:sz w:val="20"/>
                <w:szCs w:val="20"/>
              </w:rPr>
              <w:t>年</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直线法</w:t>
            </w:r>
          </w:p>
        </w:tc>
        <w:tc>
          <w:tcPr>
            <w:tcBorders>
              <w:top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本集团于每年年度终了，对使用寿命有限的无形资产的使用寿命及摊销方法进行复核，与以前估计不同的，调整原先估计数， 并按会计估计变更处理。</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资产负债表日预计某项无形资产已经不能给企业带来未来经济利益的，将该项无形资产的账面价值全部转入当期损益。</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无形资产计提资产减值方法见附注五、</w:t>
      </w:r>
      <w:r>
        <w:rPr>
          <w:color w:val="000000"/>
          <w:spacing w:val="0"/>
          <w:w w:val="100"/>
          <w:position w:val="0"/>
          <w:sz w:val="18"/>
          <w:szCs w:val="18"/>
        </w:rPr>
        <w:t>31</w:t>
      </w:r>
      <w:r>
        <w:rPr>
          <w:color w:val="000000"/>
          <w:spacing w:val="0"/>
          <w:w w:val="100"/>
          <w:position w:val="0"/>
        </w:rPr>
        <w:t>。</w:t>
      </w:r>
    </w:p>
    <w:p>
      <w:pPr>
        <w:pStyle w:val="Style41"/>
        <w:keepNext/>
        <w:keepLines/>
        <w:widowControl w:val="0"/>
        <w:shd w:val="clear" w:color="auto" w:fill="auto"/>
        <w:bidi w:val="0"/>
        <w:spacing w:before="0" w:after="26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1"/>
      <w:bookmarkEnd w:id="972"/>
      <w:bookmarkEnd w:id="974"/>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本集团将内部研究开发项目的支出，区分为研究阶段支出和开发阶段支出。</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35"/>
        <w:keepNext/>
        <w:keepLines/>
        <w:widowControl w:val="0"/>
        <w:shd w:val="clear" w:color="auto" w:fill="auto"/>
        <w:bidi w:val="0"/>
        <w:spacing w:before="0" w:after="26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75"/>
      <w:bookmarkEnd w:id="976"/>
      <w:bookmarkEnd w:id="978"/>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对子公司、联营企业和合营企业的长期股权投资、固定资产、在建工程、无形资产等（存货、按公允价值模式计量的投资性 房地产、递延所得税资产、金融资产除外）的资产减值，按以下方法确定：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于资产负债表日判断资产是否存在可能发生减值的迹象，存在减值迹象的，本集团将估计其可收回金额，进行减值测试。对 因企业合并所形成的商誉、使用寿命不确定的无形资产和尚未达到可使用状态的无形资产无论是否存在减值迹象，每年都进 行减值测试。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当资产或资产组的可收回金额低于其账面价值时，本集团将其账面价值减记至可收回金额，减记的金额计入当期损益，同时 计提相应的资产减值准备。</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资产组或者资产组组合，且不大于本集团确定的报告分部。</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w:t>
      </w:r>
      <w:r>
        <w:rPr>
          <w:color w:val="000000"/>
          <w:spacing w:val="0"/>
          <w:w w:val="100"/>
          <w:position w:val="0"/>
        </w:rPr>
        <w:t>可收回金额，如可收回金额低于账面价值的，确认商誉的减值损失。</w:t>
      </w:r>
    </w:p>
    <w:p>
      <w:pPr>
        <w:pStyle w:val="Style2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资产减值损失一经确认，在以后会计期间不再转回。</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79"/>
      <w:bookmarkEnd w:id="980"/>
      <w:bookmarkEnd w:id="982"/>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本集团发生的长期待摊费用按实际成本计价，并按预计受益期限平均摊销。对不能使以后会计期间受益的长期待摊费用项目， 其摊余价值全部计入当期损益。</w:t>
      </w:r>
    </w:p>
    <w:p>
      <w:pPr>
        <w:pStyle w:val="Style35"/>
        <w:keepNext/>
        <w:keepLines/>
        <w:widowControl w:val="0"/>
        <w:shd w:val="clear" w:color="auto" w:fill="auto"/>
        <w:tabs>
          <w:tab w:pos="483" w:val="left"/>
        </w:tabs>
        <w:bidi w:val="0"/>
        <w:spacing w:before="0" w:after="38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3"/>
      <w:bookmarkEnd w:id="984"/>
      <w:bookmarkEnd w:id="986"/>
    </w:p>
    <w:p>
      <w:pPr>
        <w:pStyle w:val="Style35"/>
        <w:keepNext/>
        <w:keepLines/>
        <w:widowControl w:val="0"/>
        <w:shd w:val="clear" w:color="auto" w:fill="auto"/>
        <w:tabs>
          <w:tab w:pos="483" w:val="left"/>
        </w:tabs>
        <w:bidi w:val="0"/>
        <w:spacing w:before="0" w:after="38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7"/>
      <w:bookmarkEnd w:id="988"/>
      <w:bookmarkEnd w:id="990"/>
    </w:p>
    <w:p>
      <w:pPr>
        <w:pStyle w:val="Style41"/>
        <w:keepNext/>
        <w:keepLines/>
        <w:widowControl w:val="0"/>
        <w:shd w:val="clear" w:color="auto" w:fill="auto"/>
        <w:tabs>
          <w:tab w:pos="493" w:val="left"/>
        </w:tabs>
        <w:bidi w:val="0"/>
        <w:spacing w:before="0" w:after="260" w:line="240" w:lineRule="auto"/>
        <w:ind w:left="0" w:right="0" w:firstLine="0"/>
        <w:jc w:val="both"/>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91"/>
      <w:bookmarkEnd w:id="992"/>
      <w:bookmarkEnd w:id="994"/>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本集团在职工提供服务的会计期间，将实际发生的职工工资、奖金、按规定的基准和比例为职工缴纳的医疗保险费、工伤保 险费和生育保险费等社会保险费和住房公积金，确认为负债，并计入当期损益或相关资产成本。如果该负债预期在职工提供 相关服务的年度报告期结束后十二个月内不能完全支付，且财务影响重大的，则该负债将以折现后的金额计量。</w:t>
      </w:r>
    </w:p>
    <w:p>
      <w:pPr>
        <w:pStyle w:val="Style41"/>
        <w:keepNext/>
        <w:keepLines/>
        <w:widowControl w:val="0"/>
        <w:shd w:val="clear" w:color="auto" w:fill="auto"/>
        <w:tabs>
          <w:tab w:pos="493" w:val="left"/>
        </w:tabs>
        <w:bidi w:val="0"/>
        <w:spacing w:before="0" w:after="260" w:line="240" w:lineRule="auto"/>
        <w:ind w:left="0" w:right="0" w:firstLine="0"/>
        <w:jc w:val="both"/>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5"/>
      <w:bookmarkEnd w:id="996"/>
      <w:bookmarkEnd w:id="998"/>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设定提存计划</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设定提存计划包括基本养老保险、失业保险等。</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 设定受益计划</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对于设定受益计划，在年度资产负债表日由独立精算师进行精算估值，以预期累积福利单位法确定提供福利的成本。本集团 设定受益计划导致的职工薪酬成本包括下列组成部分：</w:t>
      </w:r>
    </w:p>
    <w:p>
      <w:pPr>
        <w:pStyle w:val="Style23"/>
        <w:keepNext w:val="0"/>
        <w:keepLines w:val="0"/>
        <w:widowControl w:val="0"/>
        <w:numPr>
          <w:ilvl w:val="0"/>
          <w:numId w:val="43"/>
        </w:numPr>
        <w:shd w:val="clear" w:color="auto" w:fill="auto"/>
        <w:tabs>
          <w:tab w:pos="373" w:val="left"/>
        </w:tabs>
        <w:bidi w:val="0"/>
        <w:spacing w:before="0" w:after="0" w:line="310" w:lineRule="exact"/>
        <w:ind w:left="0" w:right="0" w:firstLine="0"/>
        <w:jc w:val="both"/>
      </w:pPr>
      <w:bookmarkStart w:id="999" w:name="bookmark999"/>
      <w:bookmarkEnd w:id="999"/>
      <w:r>
        <w:rPr>
          <w:color w:val="000000"/>
          <w:spacing w:val="0"/>
          <w:w w:val="100"/>
          <w:position w:val="0"/>
        </w:rPr>
        <w:t>服务成本，包括当期服务成本、过去服务成本和结算利得或损失。其中，当期服务成本，是指职工当期提供服务所导致的 设定受益计划义务现值的增加额；过去服务成本，是指设定受益计划修改所导致的与以前期间职工服务相关的设定受益计划 义务现值的增加或减少。</w:t>
      </w:r>
    </w:p>
    <w:p>
      <w:pPr>
        <w:pStyle w:val="Style23"/>
        <w:keepNext w:val="0"/>
        <w:keepLines w:val="0"/>
        <w:widowControl w:val="0"/>
        <w:numPr>
          <w:ilvl w:val="0"/>
          <w:numId w:val="43"/>
        </w:numPr>
        <w:shd w:val="clear" w:color="auto" w:fill="auto"/>
        <w:tabs>
          <w:tab w:pos="373" w:val="left"/>
        </w:tabs>
        <w:bidi w:val="0"/>
        <w:spacing w:before="0" w:after="0" w:line="310" w:lineRule="exact"/>
        <w:ind w:left="0" w:right="0" w:firstLine="0"/>
        <w:jc w:val="both"/>
      </w:pPr>
      <w:bookmarkStart w:id="1000" w:name="bookmark1000"/>
      <w:bookmarkEnd w:id="1000"/>
      <w:r>
        <w:rPr>
          <w:color w:val="000000"/>
          <w:spacing w:val="0"/>
          <w:w w:val="100"/>
          <w:position w:val="0"/>
        </w:rPr>
        <w:t>设定受益计划净负债或净资产的利息净额，包括计划资产的利息收益、设定受益计划义务的利息费用以及资产上限影响的 利息。</w:t>
      </w:r>
    </w:p>
    <w:p>
      <w:pPr>
        <w:pStyle w:val="Style23"/>
        <w:keepNext w:val="0"/>
        <w:keepLines w:val="0"/>
        <w:widowControl w:val="0"/>
        <w:numPr>
          <w:ilvl w:val="0"/>
          <w:numId w:val="43"/>
        </w:numPr>
        <w:shd w:val="clear" w:color="auto" w:fill="auto"/>
        <w:tabs>
          <w:tab w:pos="373" w:val="left"/>
        </w:tabs>
        <w:bidi w:val="0"/>
        <w:spacing w:before="0" w:after="0" w:line="310" w:lineRule="exact"/>
        <w:ind w:left="0" w:right="0" w:firstLine="0"/>
        <w:jc w:val="both"/>
      </w:pPr>
      <w:bookmarkStart w:id="1001" w:name="bookmark1001"/>
      <w:bookmarkEnd w:id="1001"/>
      <w:r>
        <w:rPr>
          <w:color w:val="000000"/>
          <w:spacing w:val="0"/>
          <w:w w:val="100"/>
          <w:position w:val="0"/>
        </w:rPr>
        <w:t>重新计量设定受益计划净负债或净资产所产生的变动。</w:t>
      </w:r>
    </w:p>
    <w:p>
      <w:pPr>
        <w:pStyle w:val="Style2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除非其他会计准则要求或允许职工福利成本计入资产成本，本集团将上述第①和②项计入当期损益；第③项计入其他综合收 益且不会在后续会计期间转回至损益，在原设定受益计划终止时在权益范围内将原计入其他综合收益的部分全部结转至未分 配利润。</w:t>
      </w:r>
    </w:p>
    <w:p>
      <w:pPr>
        <w:pStyle w:val="Style41"/>
        <w:keepNext/>
        <w:keepLines/>
        <w:widowControl w:val="0"/>
        <w:shd w:val="clear" w:color="auto" w:fill="auto"/>
        <w:tabs>
          <w:tab w:pos="493" w:val="left"/>
        </w:tabs>
        <w:bidi w:val="0"/>
        <w:spacing w:before="0" w:after="26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2"/>
      <w:bookmarkEnd w:id="1003"/>
      <w:bookmarkEnd w:id="1005"/>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本集团向职工提供辞退福利的，在下列两者孰早日确认辞退福利产生的职工薪酬负债，并计入当期损益：本集团不能单方面 撤回因解除劳动关系计划或裁减建议所提供的辞退福利时；本集团确认与涉及支付辞退福利的重组相关的成本或费用时。</w:t>
      </w:r>
    </w:p>
    <w:p>
      <w:pPr>
        <w:pStyle w:val="Style23"/>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实行职工内部退休计划的，在正式退休日之前的经济补偿，属于辞退福利，自职工停止提供服务日至正常退休日期间，拟支 付的内退职工工资和缴纳的社会保险费等一次性计入当期损益。正式退休日期之后的经济补偿（如正常养老退休金），按照 离职后福利处理。</w:t>
      </w:r>
    </w:p>
    <w:p>
      <w:pPr>
        <w:pStyle w:val="Style41"/>
        <w:keepNext/>
        <w:keepLines/>
        <w:widowControl w:val="0"/>
        <w:shd w:val="clear" w:color="auto" w:fill="auto"/>
        <w:bidi w:val="0"/>
        <w:spacing w:before="0" w:after="28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06"/>
      <w:bookmarkEnd w:id="1007"/>
      <w:bookmarkEnd w:id="1009"/>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本集团向职工提供的其他长期职工福利，符合设定提存计划条件的，按照上述关于设定提存计划的有关规定进行处理。符合 设定受益计划的，按照上述关于设定受益计划的有关规定进行处理，但相关职工薪酬成本中“重新计量设定受益计划净负债 或净资产所产生的变动”部分计入当期损益或相关资产成本。</w:t>
      </w:r>
    </w:p>
    <w:p>
      <w:pPr>
        <w:pStyle w:val="Style35"/>
        <w:keepNext/>
        <w:keepLines/>
        <w:widowControl w:val="0"/>
        <w:shd w:val="clear" w:color="auto" w:fill="auto"/>
        <w:tabs>
          <w:tab w:pos="474" w:val="left"/>
        </w:tabs>
        <w:bidi w:val="0"/>
        <w:spacing w:before="0" w:after="380" w:line="240"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0"/>
      <w:bookmarkEnd w:id="1011"/>
      <w:bookmarkEnd w:id="1013"/>
    </w:p>
    <w:p>
      <w:pPr>
        <w:pStyle w:val="Style35"/>
        <w:keepNext/>
        <w:keepLines/>
        <w:widowControl w:val="0"/>
        <w:shd w:val="clear" w:color="auto" w:fill="auto"/>
        <w:tabs>
          <w:tab w:pos="474" w:val="left"/>
        </w:tabs>
        <w:bidi w:val="0"/>
        <w:spacing w:before="0" w:after="280" w:line="240"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4"/>
      <w:bookmarkEnd w:id="1015"/>
      <w:bookmarkEnd w:id="1017"/>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如果与或有事项相关的义务同时符合以下条件，本集团将其确认为预计负债：</w:t>
      </w:r>
    </w:p>
    <w:p>
      <w:pPr>
        <w:pStyle w:val="Style23"/>
        <w:keepNext w:val="0"/>
        <w:keepLines w:val="0"/>
        <w:widowControl w:val="0"/>
        <w:shd w:val="clear" w:color="auto" w:fill="auto"/>
        <w:tabs>
          <w:tab w:pos="435" w:val="left"/>
        </w:tabs>
        <w:bidi w:val="0"/>
        <w:spacing w:before="0" w:after="0" w:line="313" w:lineRule="exact"/>
        <w:ind w:left="0" w:right="0" w:firstLine="0"/>
        <w:jc w:val="both"/>
      </w:pPr>
      <w:bookmarkStart w:id="1018" w:name="bookmark1018"/>
      <w:r>
        <w:rPr>
          <w:color w:val="000000"/>
          <w:spacing w:val="0"/>
          <w:w w:val="100"/>
          <w:position w:val="0"/>
          <w:sz w:val="18"/>
          <w:szCs w:val="18"/>
        </w:rPr>
        <w:t>（</w:t>
      </w:r>
      <w:bookmarkEnd w:id="1018"/>
      <w:r>
        <w:rPr>
          <w:color w:val="000000"/>
          <w:spacing w:val="0"/>
          <w:w w:val="100"/>
          <w:position w:val="0"/>
          <w:sz w:val="18"/>
          <w:szCs w:val="18"/>
        </w:rPr>
        <w:t>1）</w:t>
        <w:tab/>
      </w:r>
      <w:r>
        <w:rPr>
          <w:color w:val="000000"/>
          <w:spacing w:val="0"/>
          <w:w w:val="100"/>
          <w:position w:val="0"/>
        </w:rPr>
        <w:t>该义务是本集团承担的现时义务；</w:t>
      </w:r>
    </w:p>
    <w:p>
      <w:pPr>
        <w:pStyle w:val="Style23"/>
        <w:keepNext w:val="0"/>
        <w:keepLines w:val="0"/>
        <w:widowControl w:val="0"/>
        <w:shd w:val="clear" w:color="auto" w:fill="auto"/>
        <w:tabs>
          <w:tab w:pos="435" w:val="left"/>
        </w:tabs>
        <w:bidi w:val="0"/>
        <w:spacing w:before="0" w:after="0" w:line="313" w:lineRule="exact"/>
        <w:ind w:left="0" w:right="0" w:firstLine="0"/>
        <w:jc w:val="both"/>
      </w:pPr>
      <w:bookmarkStart w:id="1019" w:name="bookmark1019"/>
      <w:r>
        <w:rPr>
          <w:color w:val="000000"/>
          <w:spacing w:val="0"/>
          <w:w w:val="100"/>
          <w:position w:val="0"/>
          <w:sz w:val="18"/>
          <w:szCs w:val="18"/>
        </w:rPr>
        <w:t>（</w:t>
      </w:r>
      <w:bookmarkEnd w:id="1019"/>
      <w:r>
        <w:rPr>
          <w:color w:val="000000"/>
          <w:spacing w:val="0"/>
          <w:w w:val="100"/>
          <w:position w:val="0"/>
          <w:sz w:val="18"/>
          <w:szCs w:val="18"/>
        </w:rPr>
        <w:t>2）</w:t>
        <w:tab/>
      </w:r>
      <w:r>
        <w:rPr>
          <w:color w:val="000000"/>
          <w:spacing w:val="0"/>
          <w:w w:val="100"/>
          <w:position w:val="0"/>
        </w:rPr>
        <w:t>该义务的履行很可能导致经济利益流出本集团；</w:t>
      </w:r>
    </w:p>
    <w:p>
      <w:pPr>
        <w:pStyle w:val="Style23"/>
        <w:keepNext w:val="0"/>
        <w:keepLines w:val="0"/>
        <w:widowControl w:val="0"/>
        <w:shd w:val="clear" w:color="auto" w:fill="auto"/>
        <w:tabs>
          <w:tab w:pos="435" w:val="left"/>
        </w:tabs>
        <w:bidi w:val="0"/>
        <w:spacing w:before="0" w:after="0" w:line="313" w:lineRule="exact"/>
        <w:ind w:left="0" w:right="0" w:firstLine="0"/>
        <w:jc w:val="both"/>
      </w:pPr>
      <w:bookmarkStart w:id="1020" w:name="bookmark1020"/>
      <w:r>
        <w:rPr>
          <w:color w:val="000000"/>
          <w:spacing w:val="0"/>
          <w:w w:val="100"/>
          <w:position w:val="0"/>
          <w:sz w:val="18"/>
          <w:szCs w:val="18"/>
        </w:rPr>
        <w:t>（</w:t>
      </w:r>
      <w:bookmarkEnd w:id="1020"/>
      <w:r>
        <w:rPr>
          <w:color w:val="000000"/>
          <w:spacing w:val="0"/>
          <w:w w:val="100"/>
          <w:position w:val="0"/>
          <w:sz w:val="18"/>
          <w:szCs w:val="18"/>
        </w:rPr>
        <w:t>3）</w:t>
        <w:tab/>
      </w:r>
      <w:r>
        <w:rPr>
          <w:color w:val="000000"/>
          <w:spacing w:val="0"/>
          <w:w w:val="100"/>
          <w:position w:val="0"/>
        </w:rPr>
        <w:t>该义务的金额能够可靠地计量。</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时间价值等因素。货币时间价值影响重大的，通过对相关未来现金流出进行折现后确定最佳估计数。本集团于资产负债表日 对预计负债的账面价值进行复核，并对账面价值进行调整以反映当前最佳估计数。</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本集团根据合约条款、现有知识及历史经验，对产品质量保证、预计合同亏损、延迟交货违约金等估计并计提相应准备。在 该等或有事项已经形成一项现时义务，且履行该等现时义务很可能导致经济利益流出本集团的情况下，本集团对或有事项按 履行相关现时义务所需支出的最佳估计数确认为预计负债。预计负债的确认和计量在很大程度上依赖于管理层的判断。在进 行判断过程中本集团需评估该等或有事项相关的风险、不确定性及货币时间价值等因素。</w:t>
      </w:r>
    </w:p>
    <w:p>
      <w:pPr>
        <w:pStyle w:val="Style2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其中，本集团会就出售、维修及改造所售商品向客户提供的售后质量维修承诺预计负债。预计负债时已考虑本公司近期的维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35"/>
        <w:keepNext/>
        <w:keepLines/>
        <w:widowControl w:val="0"/>
        <w:shd w:val="clear" w:color="auto" w:fill="auto"/>
        <w:tabs>
          <w:tab w:pos="474" w:val="left"/>
        </w:tabs>
        <w:bidi w:val="0"/>
        <w:spacing w:before="0" w:after="28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1"/>
      <w:bookmarkEnd w:id="1022"/>
      <w:bookmarkEnd w:id="1024"/>
    </w:p>
    <w:p>
      <w:pPr>
        <w:pStyle w:val="Style23"/>
        <w:keepNext w:val="0"/>
        <w:keepLines w:val="0"/>
        <w:widowControl w:val="0"/>
        <w:shd w:val="clear" w:color="auto" w:fill="auto"/>
        <w:tabs>
          <w:tab w:pos="435" w:val="left"/>
        </w:tabs>
        <w:bidi w:val="0"/>
        <w:spacing w:before="0" w:after="0" w:line="311" w:lineRule="exact"/>
        <w:ind w:left="0" w:right="0" w:firstLine="0"/>
        <w:jc w:val="both"/>
      </w:pPr>
      <w:bookmarkStart w:id="1025" w:name="bookmark1025"/>
      <w:r>
        <w:rPr>
          <w:color w:val="000000"/>
          <w:spacing w:val="0"/>
          <w:w w:val="100"/>
          <w:position w:val="0"/>
          <w:sz w:val="18"/>
          <w:szCs w:val="18"/>
        </w:rPr>
        <w:t>（</w:t>
      </w:r>
      <w:bookmarkEnd w:id="1025"/>
      <w:r>
        <w:rPr>
          <w:color w:val="000000"/>
          <w:spacing w:val="0"/>
          <w:w w:val="100"/>
          <w:position w:val="0"/>
          <w:sz w:val="18"/>
          <w:szCs w:val="18"/>
        </w:rPr>
        <w:t>1）</w:t>
        <w:tab/>
      </w:r>
      <w:r>
        <w:rPr>
          <w:color w:val="000000"/>
          <w:spacing w:val="0"/>
          <w:w w:val="100"/>
          <w:position w:val="0"/>
        </w:rPr>
        <w:t>股份支付的种类</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本集团股份支付分为以权益结算的股份支付和以现金结算的股份支付。</w:t>
      </w:r>
    </w:p>
    <w:p>
      <w:pPr>
        <w:pStyle w:val="Style23"/>
        <w:keepNext w:val="0"/>
        <w:keepLines w:val="0"/>
        <w:widowControl w:val="0"/>
        <w:shd w:val="clear" w:color="auto" w:fill="auto"/>
        <w:tabs>
          <w:tab w:pos="435" w:val="left"/>
        </w:tabs>
        <w:bidi w:val="0"/>
        <w:spacing w:before="0" w:after="0" w:line="311" w:lineRule="exact"/>
        <w:ind w:left="0" w:right="0" w:firstLine="0"/>
        <w:jc w:val="both"/>
      </w:pPr>
      <w:bookmarkStart w:id="1026" w:name="bookmark1026"/>
      <w:r>
        <w:rPr>
          <w:color w:val="000000"/>
          <w:spacing w:val="0"/>
          <w:w w:val="100"/>
          <w:position w:val="0"/>
          <w:sz w:val="18"/>
          <w:szCs w:val="18"/>
        </w:rPr>
        <w:t>（</w:t>
      </w:r>
      <w:bookmarkEnd w:id="1026"/>
      <w:r>
        <w:rPr>
          <w:color w:val="000000"/>
          <w:spacing w:val="0"/>
          <w:w w:val="100"/>
          <w:position w:val="0"/>
          <w:sz w:val="18"/>
          <w:szCs w:val="18"/>
        </w:rPr>
        <w:t>2）</w:t>
        <w:tab/>
      </w:r>
      <w:r>
        <w:rPr>
          <w:color w:val="000000"/>
          <w:spacing w:val="0"/>
          <w:w w:val="100"/>
          <w:position w:val="0"/>
        </w:rPr>
        <w:t>权益工具公允价值的确定方法</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本集团对于授予的存在活跃市场的期权等权益工具，按照活跃市场中的报价确定其公允价值。对于授予的不存在活跃市场的 期权等权益工具，采用期权定价模型等确定其公允价值。选用的期权定价模型考虑以下因素：</w:t>
      </w:r>
      <w:r>
        <w:rPr>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color w:val="000000"/>
          <w:spacing w:val="0"/>
          <w:w w:val="100"/>
          <w:position w:val="0"/>
          <w:sz w:val="18"/>
          <w:szCs w:val="18"/>
        </w:rPr>
        <w:t>B</w:t>
      </w:r>
      <w:r>
        <w:rPr>
          <w:color w:val="000000"/>
          <w:spacing w:val="0"/>
          <w:w w:val="100"/>
          <w:position w:val="0"/>
        </w:rPr>
        <w:t>、</w:t>
      </w:r>
      <w:r>
        <w:rPr>
          <w:color w:val="000000"/>
          <w:spacing w:val="0"/>
          <w:w w:val="100"/>
          <w:position w:val="0"/>
        </w:rPr>
        <w:t>期权 的有效期；</w:t>
      </w:r>
      <w:r>
        <w:rPr>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23"/>
        <w:keepNext w:val="0"/>
        <w:keepLines w:val="0"/>
        <w:widowControl w:val="0"/>
        <w:shd w:val="clear" w:color="auto" w:fill="auto"/>
        <w:tabs>
          <w:tab w:pos="435" w:val="left"/>
        </w:tabs>
        <w:bidi w:val="0"/>
        <w:spacing w:before="0" w:after="0" w:line="311" w:lineRule="exact"/>
        <w:ind w:left="0" w:right="0" w:firstLine="0"/>
        <w:jc w:val="both"/>
      </w:pPr>
      <w:bookmarkStart w:id="1027" w:name="bookmark1027"/>
      <w:r>
        <w:rPr>
          <w:color w:val="000000"/>
          <w:spacing w:val="0"/>
          <w:w w:val="100"/>
          <w:position w:val="0"/>
          <w:sz w:val="18"/>
          <w:szCs w:val="18"/>
        </w:rPr>
        <w:t>（</w:t>
      </w:r>
      <w:bookmarkEnd w:id="1027"/>
      <w:r>
        <w:rPr>
          <w:color w:val="000000"/>
          <w:spacing w:val="0"/>
          <w:w w:val="100"/>
          <w:position w:val="0"/>
          <w:sz w:val="18"/>
          <w:szCs w:val="18"/>
        </w:rPr>
        <w:t>3）</w:t>
        <w:tab/>
      </w:r>
      <w:r>
        <w:rPr>
          <w:color w:val="000000"/>
          <w:spacing w:val="0"/>
          <w:w w:val="100"/>
          <w:position w:val="0"/>
        </w:rPr>
        <w:t>确认可行权权益工具最佳估计的依据</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等待期内每个资产负债表日，本集团根据最新取得的可行权职工人数变动等后续信息作出最佳估计，修正预计可行权的权益 工具数量。在可行权日，最终预计可行权权益工具的数量应当与实际可行权数量一致。</w:t>
      </w:r>
    </w:p>
    <w:p>
      <w:pPr>
        <w:pStyle w:val="Style23"/>
        <w:keepNext w:val="0"/>
        <w:keepLines w:val="0"/>
        <w:widowControl w:val="0"/>
        <w:shd w:val="clear" w:color="auto" w:fill="auto"/>
        <w:tabs>
          <w:tab w:pos="435" w:val="left"/>
        </w:tabs>
        <w:bidi w:val="0"/>
        <w:spacing w:before="0" w:after="0" w:line="311" w:lineRule="exact"/>
        <w:ind w:left="0" w:right="0" w:firstLine="0"/>
        <w:jc w:val="both"/>
      </w:pPr>
      <w:bookmarkStart w:id="1028" w:name="bookmark1028"/>
      <w:r>
        <w:rPr>
          <w:color w:val="000000"/>
          <w:spacing w:val="0"/>
          <w:w w:val="100"/>
          <w:position w:val="0"/>
          <w:sz w:val="18"/>
          <w:szCs w:val="18"/>
        </w:rPr>
        <w:t>（</w:t>
      </w:r>
      <w:bookmarkEnd w:id="1028"/>
      <w:r>
        <w:rPr>
          <w:color w:val="000000"/>
          <w:spacing w:val="0"/>
          <w:w w:val="100"/>
          <w:position w:val="0"/>
          <w:sz w:val="18"/>
          <w:szCs w:val="18"/>
        </w:rPr>
        <w:t>4）</w:t>
        <w:tab/>
      </w:r>
      <w:r>
        <w:rPr>
          <w:color w:val="000000"/>
          <w:spacing w:val="0"/>
          <w:w w:val="100"/>
          <w:position w:val="0"/>
        </w:rPr>
        <w:t>实施、修改、终止股份支付计划的相关会计处理</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以现金结算的股份支付，按照本集团承担的以股份或其他权益工具为基础计算确定的负债的公允价值计量。授予后立即可行 权的，在授予日以本集团承担负债的公允价值计入相关成本或费用，相应增加负债。在完成等待期内的服务或达到规定业绩 条件以后才可行权的以现金结算的股份支付，在等待期内的每个资产负债表日，以对可行权情况的最佳估计为基础，按照本 </w:t>
      </w:r>
      <w:r>
        <w:rPr>
          <w:color w:val="000000"/>
          <w:spacing w:val="0"/>
          <w:w w:val="100"/>
          <w:position w:val="0"/>
        </w:rPr>
        <w:t>集团承担负债的公允价值金额，将当期取得的服务计入成本或费用和相应的负债。在相关负债结算前的每个资产负债表日以 及结算日，对负债的公允价值重新计量，其变动计入当期损益。</w:t>
      </w:r>
    </w:p>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本集团对股份支付计划进行修改时，若修改增加了所授予权益工具的公允价值，按照权益工具公允价值的增加相应地确认取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非本集团取消了部分或全部已授予的权益工具。</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在等待期内，如果取消了授予的权益工具（因未满足可行权条件的非市场条件而被取消的除外），本集团对取消所授予的权 益性工具作为加速行权处理，将剩余等待期内应确认的金额立即计入当期损益，同时确认资本公积。职工或其他方能够选择 满足非可行权条件但在等待期内未满足的，本集团将其作为授予权益工具的取消处理。</w:t>
      </w:r>
    </w:p>
    <w:p>
      <w:pPr>
        <w:pStyle w:val="Style23"/>
        <w:keepNext w:val="0"/>
        <w:keepLines w:val="0"/>
        <w:widowControl w:val="0"/>
        <w:shd w:val="clear" w:color="auto" w:fill="auto"/>
        <w:tabs>
          <w:tab w:pos="440" w:val="left"/>
        </w:tabs>
        <w:bidi w:val="0"/>
        <w:spacing w:before="0" w:after="0" w:line="313" w:lineRule="exact"/>
        <w:ind w:left="0" w:right="0" w:firstLine="0"/>
        <w:jc w:val="left"/>
      </w:pPr>
      <w:bookmarkStart w:id="1029" w:name="bookmark1029"/>
      <w:r>
        <w:rPr>
          <w:color w:val="000000"/>
          <w:spacing w:val="0"/>
          <w:w w:val="100"/>
          <w:position w:val="0"/>
          <w:sz w:val="18"/>
          <w:szCs w:val="18"/>
        </w:rPr>
        <w:t>（</w:t>
      </w:r>
      <w:bookmarkEnd w:id="1029"/>
      <w:r>
        <w:rPr>
          <w:color w:val="000000"/>
          <w:spacing w:val="0"/>
          <w:w w:val="100"/>
          <w:position w:val="0"/>
          <w:sz w:val="18"/>
          <w:szCs w:val="18"/>
        </w:rPr>
        <w:t>5）</w:t>
        <w:tab/>
      </w:r>
      <w:r>
        <w:rPr>
          <w:color w:val="000000"/>
          <w:spacing w:val="0"/>
          <w:w w:val="100"/>
          <w:position w:val="0"/>
        </w:rPr>
        <w:t>回购股份</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本公司回购的股份在注销或者转让之前，作为库存股管理，回购股份的全部支出转作库存股成本。股份回购中支付的对价和 交易费用减少所有者权益，回购、转让或注销本公司股份时，不确认利得或损失。</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转让库存股，按实际收到的金额与库存股账面金额的差额，计入资本公积，资本公积不足冲减的，冲减盈余公积和未分配利 润。注销库存股，按股票面值和注销股数减少股本，按注销库存股的账面余额与面值的差额，冲减资本公积，资本公积不足 冲减的，冲减盈余公积和未分配利润。</w:t>
      </w:r>
    </w:p>
    <w:p>
      <w:pPr>
        <w:pStyle w:val="Style23"/>
        <w:keepNext w:val="0"/>
        <w:keepLines w:val="0"/>
        <w:widowControl w:val="0"/>
        <w:shd w:val="clear" w:color="auto" w:fill="auto"/>
        <w:tabs>
          <w:tab w:pos="440" w:val="left"/>
        </w:tabs>
        <w:bidi w:val="0"/>
        <w:spacing w:before="0" w:after="0" w:line="313" w:lineRule="exact"/>
        <w:ind w:left="0" w:right="0" w:firstLine="0"/>
        <w:jc w:val="left"/>
      </w:pPr>
      <w:bookmarkStart w:id="1030" w:name="bookmark1030"/>
      <w:r>
        <w:rPr>
          <w:color w:val="000000"/>
          <w:spacing w:val="0"/>
          <w:w w:val="100"/>
          <w:position w:val="0"/>
          <w:sz w:val="18"/>
          <w:szCs w:val="18"/>
        </w:rPr>
        <w:t>（</w:t>
      </w:r>
      <w:bookmarkEnd w:id="1030"/>
      <w:r>
        <w:rPr>
          <w:color w:val="000000"/>
          <w:spacing w:val="0"/>
          <w:w w:val="100"/>
          <w:position w:val="0"/>
          <w:sz w:val="18"/>
          <w:szCs w:val="18"/>
        </w:rPr>
        <w:t>6）</w:t>
        <w:tab/>
      </w:r>
      <w:r>
        <w:rPr>
          <w:color w:val="000000"/>
          <w:spacing w:val="0"/>
          <w:w w:val="100"/>
          <w:position w:val="0"/>
        </w:rPr>
        <w:t>限制性股票</w:t>
      </w:r>
    </w:p>
    <w:p>
      <w:pPr>
        <w:pStyle w:val="Style2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股权激励计划中，本公司授予被激励对象限制性股票，被激励对象先认购股票，如果后续未达到股权激励计划规定的解锁条 件，则本公司按照事先约定的价格回购股票。向职工发行的限制性股票按有关规定履行了注册登记等增资手续的，在授予日， 本公司根据收到的职工缴纳的认股款确认股本和资本公积（股本溢价）；同时就回购义务确认库存股和其他应付款。</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1"/>
      <w:bookmarkEnd w:id="1032"/>
      <w:bookmarkEnd w:id="1034"/>
    </w:p>
    <w:p>
      <w:pPr>
        <w:pStyle w:val="Style35"/>
        <w:keepNext/>
        <w:keepLines/>
        <w:widowControl w:val="0"/>
        <w:shd w:val="clear" w:color="auto" w:fill="auto"/>
        <w:tabs>
          <w:tab w:pos="478" w:val="left"/>
        </w:tabs>
        <w:bidi w:val="0"/>
        <w:spacing w:before="0" w:after="24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5"/>
      <w:bookmarkEnd w:id="1036"/>
      <w:bookmarkEnd w:id="1038"/>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 xml:space="preserve">行业信息披露》中的“软件与信息技术服务业”的披露要求 </w:t>
      </w:r>
      <w:r>
        <w:rPr>
          <w:color w:val="000000"/>
          <w:spacing w:val="0"/>
          <w:w w:val="100"/>
          <w:position w:val="0"/>
          <w:sz w:val="18"/>
          <w:szCs w:val="18"/>
        </w:rPr>
        <w:t>（1）</w:t>
      </w:r>
      <w:r>
        <w:rPr>
          <w:color w:val="000000"/>
          <w:spacing w:val="0"/>
          <w:w w:val="100"/>
          <w:position w:val="0"/>
        </w:rPr>
        <w:t>一般原则</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本集团在履行了合同中的履约义务，即在客户取得相关商品或服务的控制权时确认收入。</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将交易价格分摊至各单项履约义务，按照分摊至各单项履约义务的交易价格计量收入。</w:t>
      </w:r>
    </w:p>
    <w:p>
      <w:pPr>
        <w:pStyle w:val="Style23"/>
        <w:keepNext w:val="0"/>
        <w:keepLines w:val="0"/>
        <w:widowControl w:val="0"/>
        <w:shd w:val="clear" w:color="auto" w:fill="auto"/>
        <w:bidi w:val="0"/>
        <w:spacing w:before="0" w:after="80" w:line="317" w:lineRule="exact"/>
        <w:ind w:left="0" w:right="0" w:firstLine="0"/>
        <w:jc w:val="left"/>
      </w:pPr>
      <w:r>
        <w:rPr>
          <w:color w:val="000000"/>
          <w:spacing w:val="0"/>
          <w:w w:val="100"/>
          <w:position w:val="0"/>
        </w:rPr>
        <w:t>满足下列条件之一时，本集团属于在某一时段内履行履约义务；否则，属于在某一时点履行履约义务：</w:t>
      </w:r>
    </w:p>
    <w:p>
      <w:pPr>
        <w:pStyle w:val="Style23"/>
        <w:keepNext w:val="0"/>
        <w:keepLines w:val="0"/>
        <w:widowControl w:val="0"/>
        <w:numPr>
          <w:ilvl w:val="0"/>
          <w:numId w:val="45"/>
        </w:numPr>
        <w:shd w:val="clear" w:color="auto" w:fill="auto"/>
        <w:tabs>
          <w:tab w:pos="368" w:val="left"/>
        </w:tabs>
        <w:bidi w:val="0"/>
        <w:spacing w:before="0" w:after="0" w:line="240" w:lineRule="auto"/>
        <w:ind w:left="0" w:right="0" w:firstLine="0"/>
        <w:jc w:val="left"/>
      </w:pPr>
      <w:bookmarkStart w:id="1039" w:name="bookmark1039"/>
      <w:bookmarkEnd w:id="1039"/>
      <w:r>
        <w:rPr>
          <w:color w:val="000000"/>
          <w:spacing w:val="0"/>
          <w:w w:val="100"/>
          <w:position w:val="0"/>
        </w:rPr>
        <w:t>客户在本集团履约的同时即取得并消耗本集团履约所带来的经济利益。</w:t>
      </w:r>
    </w:p>
    <w:p>
      <w:pPr>
        <w:pStyle w:val="Style23"/>
        <w:keepNext w:val="0"/>
        <w:keepLines w:val="0"/>
        <w:widowControl w:val="0"/>
        <w:numPr>
          <w:ilvl w:val="0"/>
          <w:numId w:val="45"/>
        </w:numPr>
        <w:shd w:val="clear" w:color="auto" w:fill="auto"/>
        <w:tabs>
          <w:tab w:pos="368" w:val="left"/>
        </w:tabs>
        <w:bidi w:val="0"/>
        <w:spacing w:before="0" w:after="0" w:line="314" w:lineRule="exact"/>
        <w:ind w:left="0" w:right="0" w:firstLine="0"/>
        <w:jc w:val="left"/>
      </w:pPr>
      <w:bookmarkStart w:id="1040" w:name="bookmark1040"/>
      <w:bookmarkEnd w:id="1040"/>
      <w:r>
        <w:rPr>
          <w:color w:val="000000"/>
          <w:spacing w:val="0"/>
          <w:w w:val="100"/>
          <w:position w:val="0"/>
        </w:rPr>
        <w:t>客户能够控制本集团履约过程中在建的商品。</w:t>
      </w:r>
    </w:p>
    <w:p>
      <w:pPr>
        <w:pStyle w:val="Style23"/>
        <w:keepNext w:val="0"/>
        <w:keepLines w:val="0"/>
        <w:widowControl w:val="0"/>
        <w:numPr>
          <w:ilvl w:val="0"/>
          <w:numId w:val="45"/>
        </w:numPr>
        <w:shd w:val="clear" w:color="auto" w:fill="auto"/>
        <w:tabs>
          <w:tab w:pos="368" w:val="left"/>
        </w:tabs>
        <w:bidi w:val="0"/>
        <w:spacing w:before="0" w:after="0" w:line="314" w:lineRule="exact"/>
        <w:ind w:left="0" w:right="0" w:firstLine="0"/>
        <w:jc w:val="left"/>
      </w:pPr>
      <w:bookmarkStart w:id="1041" w:name="bookmark1041"/>
      <w:bookmarkEnd w:id="1041"/>
      <w:r>
        <w:rPr>
          <w:color w:val="000000"/>
          <w:spacing w:val="0"/>
          <w:w w:val="100"/>
          <w:position w:val="0"/>
        </w:rPr>
        <w:t>本集团履约过程中所产出的商品具有不可替代用途，且本集团在整个合同期间内有权就累计至今已完成的履约部分收取款 项。</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23"/>
        <w:keepNext w:val="0"/>
        <w:keepLines w:val="0"/>
        <w:widowControl w:val="0"/>
        <w:numPr>
          <w:ilvl w:val="0"/>
          <w:numId w:val="47"/>
        </w:numPr>
        <w:shd w:val="clear" w:color="auto" w:fill="auto"/>
        <w:tabs>
          <w:tab w:pos="368" w:val="left"/>
        </w:tabs>
        <w:bidi w:val="0"/>
        <w:spacing w:before="0" w:after="0" w:line="314" w:lineRule="exact"/>
        <w:ind w:left="0" w:right="0" w:firstLine="0"/>
        <w:jc w:val="left"/>
      </w:pPr>
      <w:bookmarkStart w:id="1042" w:name="bookmark1042"/>
      <w:bookmarkEnd w:id="1042"/>
      <w:r>
        <w:rPr>
          <w:color w:val="000000"/>
          <w:spacing w:val="0"/>
          <w:w w:val="100"/>
          <w:position w:val="0"/>
        </w:rPr>
        <w:t>本集团就该商品或服务享有现时收款权利，即客户就该商品负有现时付款义务。</w:t>
      </w:r>
    </w:p>
    <w:p>
      <w:pPr>
        <w:pStyle w:val="Style23"/>
        <w:keepNext w:val="0"/>
        <w:keepLines w:val="0"/>
        <w:widowControl w:val="0"/>
        <w:numPr>
          <w:ilvl w:val="0"/>
          <w:numId w:val="47"/>
        </w:numPr>
        <w:shd w:val="clear" w:color="auto" w:fill="auto"/>
        <w:tabs>
          <w:tab w:pos="368" w:val="left"/>
        </w:tabs>
        <w:bidi w:val="0"/>
        <w:spacing w:before="0" w:after="0" w:line="314" w:lineRule="exact"/>
        <w:ind w:left="0" w:right="0" w:firstLine="0"/>
        <w:jc w:val="left"/>
      </w:pPr>
      <w:bookmarkStart w:id="1043" w:name="bookmark1043"/>
      <w:bookmarkEnd w:id="1043"/>
      <w:r>
        <w:rPr>
          <w:color w:val="000000"/>
          <w:spacing w:val="0"/>
          <w:w w:val="100"/>
          <w:position w:val="0"/>
        </w:rPr>
        <w:t>本集团已将该商品的法定所有权转移给客户，即客户已拥有该商品的法定所有权。</w:t>
      </w:r>
    </w:p>
    <w:p>
      <w:pPr>
        <w:pStyle w:val="Style23"/>
        <w:keepNext w:val="0"/>
        <w:keepLines w:val="0"/>
        <w:widowControl w:val="0"/>
        <w:numPr>
          <w:ilvl w:val="0"/>
          <w:numId w:val="47"/>
        </w:numPr>
        <w:shd w:val="clear" w:color="auto" w:fill="auto"/>
        <w:tabs>
          <w:tab w:pos="368" w:val="left"/>
        </w:tabs>
        <w:bidi w:val="0"/>
        <w:spacing w:before="0" w:after="0" w:line="314" w:lineRule="exact"/>
        <w:ind w:left="0" w:right="0" w:firstLine="0"/>
        <w:jc w:val="left"/>
      </w:pPr>
      <w:bookmarkStart w:id="1044" w:name="bookmark1044"/>
      <w:bookmarkEnd w:id="1044"/>
      <w:r>
        <w:rPr>
          <w:color w:val="000000"/>
          <w:spacing w:val="0"/>
          <w:w w:val="100"/>
          <w:position w:val="0"/>
        </w:rPr>
        <w:t>本集团已将该商品的实物转移给客户，即客户已实物占有该商品。</w:t>
      </w:r>
    </w:p>
    <w:p>
      <w:pPr>
        <w:pStyle w:val="Style23"/>
        <w:keepNext w:val="0"/>
        <w:keepLines w:val="0"/>
        <w:widowControl w:val="0"/>
        <w:numPr>
          <w:ilvl w:val="0"/>
          <w:numId w:val="47"/>
        </w:numPr>
        <w:shd w:val="clear" w:color="auto" w:fill="auto"/>
        <w:tabs>
          <w:tab w:pos="368" w:val="left"/>
        </w:tabs>
        <w:bidi w:val="0"/>
        <w:spacing w:before="0" w:after="0" w:line="314" w:lineRule="exact"/>
        <w:ind w:left="0" w:right="0" w:firstLine="0"/>
        <w:jc w:val="left"/>
      </w:pPr>
      <w:bookmarkStart w:id="1045" w:name="bookmark1045"/>
      <w:bookmarkEnd w:id="1045"/>
      <w:r>
        <w:rPr>
          <w:color w:val="000000"/>
          <w:spacing w:val="0"/>
          <w:w w:val="100"/>
          <w:position w:val="0"/>
        </w:rPr>
        <w:t>本集团已将该商品所有权上的主要风险和报酬转移给客户，即客户已取得该商品所有权上的主要风险和报酬。</w:t>
      </w:r>
    </w:p>
    <w:p>
      <w:pPr>
        <w:pStyle w:val="Style23"/>
        <w:keepNext w:val="0"/>
        <w:keepLines w:val="0"/>
        <w:widowControl w:val="0"/>
        <w:numPr>
          <w:ilvl w:val="0"/>
          <w:numId w:val="47"/>
        </w:numPr>
        <w:shd w:val="clear" w:color="auto" w:fill="auto"/>
        <w:tabs>
          <w:tab w:pos="368" w:val="left"/>
        </w:tabs>
        <w:bidi w:val="0"/>
        <w:spacing w:before="0" w:after="40" w:line="314" w:lineRule="exact"/>
        <w:ind w:left="0" w:right="0" w:firstLine="0"/>
        <w:jc w:val="left"/>
      </w:pPr>
      <w:bookmarkStart w:id="1046" w:name="bookmark1046"/>
      <w:bookmarkEnd w:id="1046"/>
      <w:r>
        <w:rPr>
          <w:color w:val="000000"/>
          <w:spacing w:val="0"/>
          <w:w w:val="100"/>
          <w:position w:val="0"/>
        </w:rPr>
        <w:t>客户已接受该商品或服务。</w:t>
      </w:r>
    </w:p>
    <w:p>
      <w:pPr>
        <w:pStyle w:val="Style23"/>
        <w:keepNext w:val="0"/>
        <w:keepLines w:val="0"/>
        <w:widowControl w:val="0"/>
        <w:numPr>
          <w:ilvl w:val="0"/>
          <w:numId w:val="47"/>
        </w:numPr>
        <w:shd w:val="clear" w:color="auto" w:fill="auto"/>
        <w:bidi w:val="0"/>
        <w:spacing w:before="0" w:after="0" w:line="311" w:lineRule="exact"/>
        <w:ind w:left="0" w:right="0" w:firstLine="0"/>
        <w:jc w:val="both"/>
      </w:pPr>
      <w:bookmarkStart w:id="1047" w:name="bookmark1047"/>
      <w:bookmarkEnd w:id="1047"/>
      <w:r>
        <w:rPr>
          <w:color w:val="000000"/>
          <w:spacing w:val="0"/>
          <w:w w:val="100"/>
          <w:position w:val="0"/>
        </w:rPr>
        <w:t>其他表明客户已取得商品控制权的迹象。</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本集团已向客户转让商品或服务而有权收取对价的权利（且该权利取决于时间流逝之外的其他因素）作为合同资产，合同资 产以预期信用损失为基础计提减值。本集团拥有的、无条件（仅取决于时间流逝）向客户收取对价的权利作为应收款项列示。 本集团已收或应收客户对价而应向客户转让商品或服务的义务作为合同负债。</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同一合同下的合同资产和合同负债以净额列示，净额为借方余额的，根据其流动性在“合同资产”或“其他非流动资产”项 目中列示；净额为贷方余额的，根据其流动性在“合同负债”或“其他非流动负债”项目中列示。</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w:t>
      </w:r>
      <w:r>
        <w:rPr>
          <w:color w:val="000000"/>
          <w:spacing w:val="0"/>
          <w:w w:val="100"/>
          <w:position w:val="0"/>
        </w:rPr>
        <w:t>具体方法</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本集团收入确认的具体方法如下：</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销售商品</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根据合同约定，当商品运送至客户或客户验收该商品时，客户取得商品的控制权，本集团确认收入。</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服务合同</w:t>
      </w:r>
    </w:p>
    <w:p>
      <w:pPr>
        <w:pStyle w:val="Style23"/>
        <w:keepNext w:val="0"/>
        <w:keepLines w:val="0"/>
        <w:widowControl w:val="0"/>
        <w:shd w:val="clear" w:color="auto" w:fill="auto"/>
        <w:bidi w:val="0"/>
        <w:spacing w:before="0" w:after="400" w:line="311" w:lineRule="exact"/>
        <w:ind w:left="0" w:right="0" w:firstLine="0"/>
        <w:jc w:val="both"/>
      </w:pPr>
      <w:r>
        <w:rPr>
          <w:color w:val="000000"/>
          <w:spacing w:val="0"/>
          <w:w w:val="100"/>
          <w:position w:val="0"/>
        </w:rPr>
        <w:t>本集团在提供服务的过程中确认收入。对于合同中包含两项或多项履约义务的，本集团在合同开始日即按照各单项服务的单 独售价的相对比例将交易价格分摊至各项服务。各项服务的单独售价依据本集团单独销售各项服务的价格得出。</w:t>
      </w:r>
    </w:p>
    <w:p>
      <w:pPr>
        <w:pStyle w:val="Style35"/>
        <w:keepNext/>
        <w:keepLines/>
        <w:widowControl w:val="0"/>
        <w:shd w:val="clear" w:color="auto" w:fill="auto"/>
        <w:tabs>
          <w:tab w:pos="473" w:val="left"/>
        </w:tabs>
        <w:bidi w:val="0"/>
        <w:spacing w:before="0" w:after="28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w:t>
      </w:r>
      <w:bookmarkEnd w:id="105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8"/>
      <w:bookmarkEnd w:id="1049"/>
      <w:bookmarkEnd w:id="1051"/>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政府补助在满足政府补助所附条件并能够收到时确认。</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对于货币性资产的政府补助，按照收到或应收的金额计量。对于非货币性资产的政府补助，按照公允价值计量；公允价值不 能够可靠取得的，按照名义金额</w:t>
      </w:r>
      <w:r>
        <w:rPr>
          <w:color w:val="000000"/>
          <w:spacing w:val="0"/>
          <w:w w:val="100"/>
          <w:position w:val="0"/>
          <w:sz w:val="18"/>
          <w:szCs w:val="18"/>
        </w:rPr>
        <w:t>1</w:t>
      </w:r>
      <w:r>
        <w:rPr>
          <w:color w:val="000000"/>
          <w:spacing w:val="0"/>
          <w:w w:val="100"/>
          <w:position w:val="0"/>
        </w:rPr>
        <w:t>元计量。</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与资产相关的政府补助，是指本集团取得的、用于购建或以其他方式形成长期资产的政府补助；除此之外，作为与收益相关 的政府补助。</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与资产相关的政府补助，冲减相关资产的账面价值，或者确认为递延收益在相关资产使用期限内按照合理、系统的方法分期 计入损益。与收益相关的政府补助，用于补偿已发生的相关成本费用或损失的，计入当期损益或冲减相关成本；用于补偿以 后期间的相关成本费用或损失的，则计入递延收益，于相关成本费用或损失确认期间计入当期损益或冲减相关成本。按照名 义金额计量的政府补助，直接计入当期损益。本集团对相同或类似的政府补助业务，采用一致的方法处理。</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与日常活动相关的政府补助，按照经济业务实质，计入其他收益或冲减相关成本费用。与日常活动无关的政府补助，计入营 业外收支。</w:t>
      </w:r>
    </w:p>
    <w:p>
      <w:pPr>
        <w:pStyle w:val="Style23"/>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35"/>
        <w:keepNext/>
        <w:keepLines/>
        <w:widowControl w:val="0"/>
        <w:shd w:val="clear" w:color="auto" w:fill="auto"/>
        <w:tabs>
          <w:tab w:pos="473" w:val="left"/>
        </w:tabs>
        <w:bidi w:val="0"/>
        <w:spacing w:before="0" w:after="28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2"/>
      <w:bookmarkEnd w:id="1053"/>
      <w:bookmarkEnd w:id="1055"/>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所得税包括当期所得税和递延所得税。除由于企业合并产生的调整商誉，或与直接计入所有者权益的交易或者事项相关的递 延所得税计入所有者权益外，均作为所得税费用计入当期损益。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Style23"/>
        <w:keepNext w:val="0"/>
        <w:keepLines w:val="0"/>
        <w:widowControl w:val="0"/>
        <w:shd w:val="clear" w:color="auto" w:fill="auto"/>
        <w:tabs>
          <w:tab w:pos="521" w:val="left"/>
        </w:tabs>
        <w:bidi w:val="0"/>
        <w:spacing w:before="0" w:after="0" w:line="312" w:lineRule="exact"/>
        <w:ind w:left="0" w:right="0" w:firstLine="0"/>
        <w:jc w:val="both"/>
      </w:pPr>
      <w:bookmarkStart w:id="1056" w:name="bookmark1056"/>
      <w:r>
        <w:rPr>
          <w:color w:val="000000"/>
          <w:spacing w:val="0"/>
          <w:w w:val="100"/>
          <w:position w:val="0"/>
          <w:sz w:val="18"/>
          <w:szCs w:val="18"/>
        </w:rPr>
        <w:t>（</w:t>
      </w:r>
      <w:bookmarkEnd w:id="1056"/>
      <w:r>
        <w:rPr>
          <w:color w:val="000000"/>
          <w:spacing w:val="0"/>
          <w:w w:val="100"/>
          <w:position w:val="0"/>
          <w:sz w:val="18"/>
          <w:szCs w:val="18"/>
        </w:rPr>
        <w:t>1）</w:t>
        <w:tab/>
      </w:r>
      <w:r>
        <w:rPr>
          <w:color w:val="000000"/>
          <w:spacing w:val="0"/>
          <w:w w:val="100"/>
          <w:position w:val="0"/>
        </w:rPr>
        <w:t>商誉的初始确认，或者具有以下特征的交易中产生的资产或负债的初始确认：该交易不是企业合并，并且交易发生时 既不影响会计利润也不影响应纳税所得额；</w:t>
      </w:r>
    </w:p>
    <w:p>
      <w:pPr>
        <w:pStyle w:val="Style23"/>
        <w:keepNext w:val="0"/>
        <w:keepLines w:val="0"/>
        <w:widowControl w:val="0"/>
        <w:shd w:val="clear" w:color="auto" w:fill="auto"/>
        <w:tabs>
          <w:tab w:pos="530" w:val="left"/>
        </w:tabs>
        <w:bidi w:val="0"/>
        <w:spacing w:before="0" w:after="0" w:line="312" w:lineRule="exact"/>
        <w:ind w:left="0" w:right="0" w:firstLine="0"/>
        <w:jc w:val="both"/>
      </w:pPr>
      <w:bookmarkStart w:id="1057" w:name="bookmark1057"/>
      <w:r>
        <w:rPr>
          <w:color w:val="000000"/>
          <w:spacing w:val="0"/>
          <w:w w:val="100"/>
          <w:position w:val="0"/>
          <w:sz w:val="18"/>
          <w:szCs w:val="18"/>
        </w:rPr>
        <w:t>（</w:t>
      </w:r>
      <w:bookmarkEnd w:id="1057"/>
      <w:r>
        <w:rPr>
          <w:color w:val="000000"/>
          <w:spacing w:val="0"/>
          <w:w w:val="100"/>
          <w:position w:val="0"/>
          <w:sz w:val="18"/>
          <w:szCs w:val="18"/>
        </w:rPr>
        <w:t>2）</w:t>
        <w:tab/>
      </w:r>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对于可抵扣暂时性差异、能够结转以后年度的可抵扣亏损和税款抵减，本集团以很可能取得用来抵扣可抵扣暂时性差异、可 抵扣亏损和税款抵减的未来应纳税所得额为限，确认由此产生的递延所得税资产，除非该可抵扣暂时性差异是在以下交易中 产生的：</w:t>
      </w:r>
    </w:p>
    <w:p>
      <w:pPr>
        <w:pStyle w:val="Style23"/>
        <w:keepNext w:val="0"/>
        <w:keepLines w:val="0"/>
        <w:widowControl w:val="0"/>
        <w:shd w:val="clear" w:color="auto" w:fill="auto"/>
        <w:tabs>
          <w:tab w:pos="445" w:val="left"/>
        </w:tabs>
        <w:bidi w:val="0"/>
        <w:spacing w:before="0" w:after="0" w:line="314" w:lineRule="exact"/>
        <w:ind w:left="0" w:right="0" w:firstLine="0"/>
        <w:jc w:val="both"/>
      </w:pPr>
      <w:bookmarkStart w:id="1058" w:name="bookmark1058"/>
      <w:r>
        <w:rPr>
          <w:color w:val="000000"/>
          <w:spacing w:val="0"/>
          <w:w w:val="100"/>
          <w:position w:val="0"/>
          <w:sz w:val="18"/>
          <w:szCs w:val="18"/>
        </w:rPr>
        <w:t>（</w:t>
      </w:r>
      <w:bookmarkEnd w:id="1058"/>
      <w:r>
        <w:rPr>
          <w:color w:val="000000"/>
          <w:spacing w:val="0"/>
          <w:w w:val="100"/>
          <w:position w:val="0"/>
          <w:sz w:val="18"/>
          <w:szCs w:val="18"/>
        </w:rPr>
        <w:t>1）</w:t>
        <w:tab/>
      </w:r>
      <w:r>
        <w:rPr>
          <w:color w:val="000000"/>
          <w:spacing w:val="0"/>
          <w:w w:val="100"/>
          <w:position w:val="0"/>
        </w:rPr>
        <w:t>该交易不是企业合并，并且交易发生时既不影响会计利润也不影响应纳税所得额；</w:t>
      </w:r>
    </w:p>
    <w:p>
      <w:pPr>
        <w:pStyle w:val="Style23"/>
        <w:keepNext w:val="0"/>
        <w:keepLines w:val="0"/>
        <w:widowControl w:val="0"/>
        <w:shd w:val="clear" w:color="auto" w:fill="auto"/>
        <w:tabs>
          <w:tab w:pos="541" w:val="left"/>
        </w:tabs>
        <w:bidi w:val="0"/>
        <w:spacing w:before="0" w:after="0" w:line="314" w:lineRule="exact"/>
        <w:ind w:left="0" w:right="0" w:firstLine="0"/>
        <w:jc w:val="both"/>
      </w:pPr>
      <w:bookmarkStart w:id="1059" w:name="bookmark1059"/>
      <w:r>
        <w:rPr>
          <w:color w:val="000000"/>
          <w:spacing w:val="0"/>
          <w:w w:val="100"/>
          <w:position w:val="0"/>
          <w:sz w:val="18"/>
          <w:szCs w:val="18"/>
        </w:rPr>
        <w:t>（</w:t>
      </w:r>
      <w:bookmarkEnd w:id="1059"/>
      <w:r>
        <w:rPr>
          <w:color w:val="000000"/>
          <w:spacing w:val="0"/>
          <w:w w:val="100"/>
          <w:position w:val="0"/>
          <w:sz w:val="18"/>
          <w:szCs w:val="18"/>
        </w:rPr>
        <w:t>2）</w:t>
        <w:tab/>
      </w:r>
      <w:r>
        <w:rPr>
          <w:color w:val="000000"/>
          <w:spacing w:val="0"/>
          <w:w w:val="100"/>
          <w:position w:val="0"/>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于资产负债表日，本集团对递延所得税资产和递延所得税负债，按照预期收回该资产或清偿该负债期间的适用税率计量，并 反映资产负债表日预期收回资产或清偿负债方式的所得税影响。</w:t>
      </w:r>
    </w:p>
    <w:p>
      <w:pPr>
        <w:pStyle w:val="Style2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于资产负债表日，本集团对递延所得税资产的账面价值进行复核。如果未来期间很可能无法获得足够的应纳税所得额用以抵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35"/>
        <w:keepNext/>
        <w:keepLines/>
        <w:widowControl w:val="0"/>
        <w:shd w:val="clear" w:color="auto" w:fill="auto"/>
        <w:bidi w:val="0"/>
        <w:spacing w:before="0" w:after="380" w:line="240" w:lineRule="auto"/>
        <w:ind w:left="0" w:right="0" w:firstLine="0"/>
        <w:jc w:val="both"/>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60"/>
      <w:bookmarkEnd w:id="1061"/>
      <w:bookmarkEnd w:id="1062"/>
    </w:p>
    <w:p>
      <w:pPr>
        <w:pStyle w:val="Style41"/>
        <w:keepNext/>
        <w:keepLines/>
        <w:widowControl w:val="0"/>
        <w:shd w:val="clear" w:color="auto" w:fill="auto"/>
        <w:tabs>
          <w:tab w:pos="493" w:val="left"/>
        </w:tabs>
        <w:bidi w:val="0"/>
        <w:spacing w:before="0" w:after="280" w:line="240" w:lineRule="auto"/>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w:t>
        <w:tab/>
        <w:t>租赁的识别</w:t>
      </w:r>
      <w:bookmarkEnd w:id="1063"/>
      <w:bookmarkEnd w:id="1064"/>
      <w:bookmarkEnd w:id="1066"/>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在合同开始日，本集团作为承租人或出租人评估合同中的客户是否有权获得在使用期间内因使用已识别资产所产生的几乎全 部经济利益，并有权在该使用期间主导已识别资产的使用。如果合同中一方让渡了在一定期间内控制一项或多项已识别资产 使用的权利以换取对价，则本集团认定合同为租赁或者包含租赁。</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bookmarkEnd w:id="1067"/>
      <w:bookmarkEnd w:id="1068"/>
      <w:bookmarkEnd w:id="1070"/>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在租赁期开始日，本公司对所有租赁确认使用权资产和租赁负债，简化处理的短期租赁和低价值资产租赁除外。</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使用权资产的会计政策见附注五、</w:t>
      </w:r>
      <w:r>
        <w:rPr>
          <w:color w:val="000000"/>
          <w:spacing w:val="0"/>
          <w:w w:val="100"/>
          <w:position w:val="0"/>
          <w:sz w:val="18"/>
          <w:szCs w:val="18"/>
        </w:rPr>
        <w:t>29</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租赁负债按照租赁期开始日尚未支付的租赁付款额按照租赁内含利率或增量借款利率计算的现值进行初始计量。租赁付款额 包括：固定付款额及实质固定付款额，存在租赁激励的，扣除租赁激励相关金额；取决于指数或比率的可变租赁付款额；购 买选择权的行权价格，前提是承租人合理确定将行使该选择权；行使终止租赁选择权需支付的款项，前提是租赁期反映出承 租人将行使终止租赁选择权；以及根据承租人提供的担保余值预计应支付的款项。后续按照固定的周期性利率计算租赁负债 在租赁期内各期间的利息费用，并计入当期损益。未纳入租赁负债计量的可变租赁付款额在实际发生时计入当期损益。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短期租赁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短期租赁是指在租赁期开始日，租赁期不超过</w:t>
      </w:r>
      <w:r>
        <w:rPr>
          <w:color w:val="000000"/>
          <w:spacing w:val="0"/>
          <w:w w:val="100"/>
          <w:position w:val="0"/>
          <w:sz w:val="18"/>
          <w:szCs w:val="18"/>
        </w:rPr>
        <w:t>12</w:t>
      </w:r>
      <w:r>
        <w:rPr>
          <w:color w:val="000000"/>
          <w:spacing w:val="0"/>
          <w:w w:val="100"/>
          <w:position w:val="0"/>
        </w:rPr>
        <w:t>个月的租赁，包含购买选择权的租赁除外。</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本集团将短期租赁的租赁付款额，在租赁期内各个期间按照直线法的方法计入相关资产成本或当期损益。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对于短期租赁，本集团按照租赁资产的类别将满足短期租赁条件的项目选择采用上述简化处理方法。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低价值资产租赁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低价值资产租赁是指单项租赁资产为全新资产时价值低于</w:t>
      </w:r>
      <w:r>
        <w:rPr>
          <w:color w:val="000000"/>
          <w:spacing w:val="0"/>
          <w:w w:val="100"/>
          <w:position w:val="0"/>
          <w:sz w:val="18"/>
          <w:szCs w:val="18"/>
        </w:rPr>
        <w:t>4</w:t>
      </w:r>
      <w:r>
        <w:rPr>
          <w:color w:val="000000"/>
          <w:spacing w:val="0"/>
          <w:w w:val="100"/>
          <w:position w:val="0"/>
        </w:rPr>
        <w:t>万元的租赁。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本集团将低价值资产租赁的租赁付款额，在租赁期内各个期间按照直线法的方法计入相关资产成本或当期损益。</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对于低价值资产租赁，本集团根据每项租赁的具体情况选择采用上述简化处理方法。</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w:t>
        <w:tab/>
        <w:t>本集团作为出租人</w:t>
      </w:r>
      <w:bookmarkEnd w:id="1071"/>
      <w:bookmarkEnd w:id="1072"/>
      <w:bookmarkEnd w:id="1074"/>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本集团作为出租人时，将实质上转移了与资产所有权有关的全部风险和报酬的租赁确认为融资租赁，除融资租赁之外的其他 租赁确认为经营租赁。</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w:t>
        <w:tab/>
        <w:t>经营租赁的会计处理方法</w:t>
      </w:r>
      <w:bookmarkEnd w:id="1075"/>
      <w:bookmarkEnd w:id="1076"/>
      <w:bookmarkEnd w:id="1078"/>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经营租赁中的租金，本集团在租赁期内各个期间按照直线法确认当期损益。发生的与经营租赁有关的初始直接费用应当资本 化，在租赁期内按照与租金收入确认相同的基础进行分摊，分期计入当期损益。取得的与经营租赁有关的未计入租赁收款额 的可变租赁付款额，在实际发生时计入当期损益。</w:t>
      </w:r>
    </w:p>
    <w:p>
      <w:pPr>
        <w:pStyle w:val="Style41"/>
        <w:keepNext/>
        <w:keepLines/>
        <w:widowControl w:val="0"/>
        <w:numPr>
          <w:ilvl w:val="0"/>
          <w:numId w:val="49"/>
        </w:numPr>
        <w:shd w:val="clear" w:color="auto" w:fill="auto"/>
        <w:bidi w:val="0"/>
        <w:spacing w:before="0" w:after="260" w:line="240" w:lineRule="auto"/>
        <w:ind w:left="0" w:right="0" w:firstLine="0"/>
        <w:jc w:val="both"/>
      </w:pPr>
      <w:bookmarkStart w:id="1079" w:name="bookmark1079"/>
      <w:bookmarkStart w:id="1080" w:name="bookmark1080"/>
      <w:bookmarkStart w:id="1081" w:name="bookmark1081"/>
      <w:bookmarkStart w:id="1082" w:name="bookmark1082"/>
      <w:bookmarkEnd w:id="1081"/>
      <w:r>
        <w:rPr>
          <w:color w:val="000000"/>
          <w:spacing w:val="0"/>
          <w:w w:val="100"/>
          <w:position w:val="0"/>
        </w:rPr>
        <w:t>融资租赁的会计处理方法</w:t>
      </w:r>
      <w:bookmarkEnd w:id="1079"/>
      <w:bookmarkEnd w:id="1080"/>
      <w:bookmarkEnd w:id="1082"/>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融资租赁中，在租赁期开始日本集团按租赁投资净额作为应收融资租赁款的入账价值，租赁投资净额为未担保余值和租赁期 开始日尚未收到的租赁收款额按照租赁内含利率折现的现值之和。本集团作为出租人按照固定的周期性利率计算并确认租赁 期内各个期间的利息收入。本集团作为出租人取得的未纳入租赁投资净额计量的可变租赁付款额在实际发生时计入当期损 益。</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应收融资租赁款的终止确认和减值按照《企业会计准则第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 资产转移》的规定进行会计处理。</w:t>
      </w:r>
    </w:p>
    <w:p>
      <w:pPr>
        <w:pStyle w:val="Style35"/>
        <w:keepNext/>
        <w:keepLines/>
        <w:widowControl w:val="0"/>
        <w:shd w:val="clear" w:color="auto" w:fill="auto"/>
        <w:tabs>
          <w:tab w:pos="458" w:val="left"/>
        </w:tabs>
        <w:bidi w:val="0"/>
        <w:spacing w:before="0" w:after="26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83"/>
      <w:bookmarkEnd w:id="1084"/>
      <w:bookmarkEnd w:id="1086"/>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本集团根据历史经验和其它因素，包括对未来事项的合理预期，对所采用的重要会计估计和关键假设进行持续的评价。很可 能导致下一会计年度资产和负债的账面价值出现重大调整风险的重要会计估计和关键假设列示如下： 金融资产的分类</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导致在存续期内的时间分布或者金额发生变动；利息是否仅包括货币时间价值、信用风险、其他基本借贷风险以及与成本和 利润的对价。例如，提前偿付的金额是否仅反映了尚未支付的本金及以未偿付本金为基础的利息，以及因提前终止合同而支 付的合理补偿。</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存货跌价准备</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变的期间影响存货的账面价值及存货跌价准备的计提或转回。</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折旧和摊销</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本集团对固定资产和无形资产在考虑其残值后，在使用寿命内按直线法计提折旧和摊销。本集团定期复核使用寿命，以决定 将计入每个报告期的折旧和摊销费用数额。使用寿命是本集团根据对同类资产的以往经验并结合预期的技术更新而确定的。 如果以前的估计发生重大变化，则会在未来期间对折旧和摊销费用进行调整。</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递延所得税资产</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大量的判断来估计未来应纳税利润发生的时间和金额，结合纳税筹划策略，以决定应确认的递延所得税资产的金额。</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本集团在正常的经营活动中，有部分交易其最终的税务处理和计算存在一定的不确定性。部分项目是否能够在税前列支需要 税收主管机关的审批。如果这些税务事项的最终认定结果同最初估计的金额存在差异，则该差异将对其最终认定期间的当期 所得税和递延所得税产生影响。</w:t>
      </w:r>
    </w:p>
    <w:p>
      <w:pPr>
        <w:pStyle w:val="Style35"/>
        <w:keepNext/>
        <w:keepLines/>
        <w:widowControl w:val="0"/>
        <w:shd w:val="clear" w:color="auto" w:fill="auto"/>
        <w:tabs>
          <w:tab w:pos="458" w:val="left"/>
        </w:tabs>
        <w:bidi w:val="0"/>
        <w:spacing w:before="0" w:after="38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7"/>
      <w:bookmarkEnd w:id="1088"/>
      <w:bookmarkEnd w:id="1090"/>
    </w:p>
    <w:p>
      <w:pPr>
        <w:pStyle w:val="Style41"/>
        <w:keepNext/>
        <w:keepLines/>
        <w:widowControl w:val="0"/>
        <w:numPr>
          <w:ilvl w:val="0"/>
          <w:numId w:val="51"/>
        </w:numPr>
        <w:shd w:val="clear" w:color="auto" w:fill="auto"/>
        <w:bidi w:val="0"/>
        <w:spacing w:before="0" w:after="260" w:line="240" w:lineRule="auto"/>
        <w:ind w:left="0" w:right="0" w:firstLine="0"/>
        <w:jc w:val="both"/>
      </w:pPr>
      <w:bookmarkStart w:id="1091" w:name="bookmark1091"/>
      <w:bookmarkStart w:id="1092" w:name="bookmark1092"/>
      <w:bookmarkStart w:id="1093" w:name="bookmark1093"/>
      <w:bookmarkStart w:id="1094" w:name="bookmark1094"/>
      <w:bookmarkEnd w:id="1093"/>
      <w:r>
        <w:rPr>
          <w:color w:val="000000"/>
          <w:spacing w:val="0"/>
          <w:w w:val="100"/>
          <w:position w:val="0"/>
        </w:rPr>
        <w:t>重要会计政策变更</w:t>
      </w:r>
      <w:bookmarkEnd w:id="1091"/>
      <w:bookmarkEnd w:id="1092"/>
      <w:bookmarkEnd w:id="1094"/>
    </w:p>
    <w:p>
      <w:pPr>
        <w:pStyle w:val="Style23"/>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2146"/>
        <w:gridCol w:w="423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3202"/>
        <w:gridCol w:w="2146"/>
        <w:gridCol w:w="4238"/>
      </w:tblGrid>
      <w:tr>
        <w:trPr>
          <w:trHeight w:val="19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 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租赁（修订））》（以下简 称“新租赁准则”），本公司自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日起执行该准则，对会计政策相 关内容进行了调整。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本次变更经公司第三届 董事会第三十二次会议 决议通过。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对于首次执行日前已存在的合同，本公司在首次执 行日选择不重新评估其是否为租赁或者包含租赁。 对首次执行日之后签订或变更的合同，本公司按照 新租赁准则中租赁的定义评估合同是否为租赁或者 包含租赁。新租赁准则中租赁的定义并未对本公司 满足租赁定义的合同的范围产生重大影响。</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重要会计政策变更</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新租赁准则要求承租人对所有租赁确认使用权资产和租赁负债，简化处理的短期租赁和低价值资产租赁除外，并分别确认折 旧和利息费用。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新租赁准则允许承租人选择下列方法之一对租赁进行衔接会计处理：</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23"/>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•根据首次执行本准则的累积影响数，调整首次执行本准则当年年初留存收益及财务报表其他相关项目金额，不调整可比期 间信息。</w:t>
      </w:r>
    </w:p>
    <w:p>
      <w:pPr>
        <w:pStyle w:val="Style26"/>
        <w:keepNext w:val="0"/>
        <w:keepLines w:val="0"/>
        <w:widowControl w:val="0"/>
        <w:shd w:val="clear" w:color="auto" w:fill="auto"/>
        <w:bidi w:val="0"/>
        <w:spacing w:before="0" w:after="240" w:line="240" w:lineRule="auto"/>
        <w:ind w:left="0" w:right="0" w:firstLine="0"/>
        <w:jc w:val="left"/>
        <w:rPr>
          <w:sz w:val="20"/>
          <w:szCs w:val="20"/>
        </w:rPr>
      </w:pPr>
      <w:r>
        <w:rPr>
          <w:b/>
          <w:bCs/>
          <w:color w:val="000000"/>
          <w:spacing w:val="0"/>
          <w:w w:val="100"/>
          <w:position w:val="0"/>
          <w:sz w:val="20"/>
          <w:szCs w:val="20"/>
        </w:rPr>
        <w:t>本公司执行新租赁准则对</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日合并资产负债表项目的影响如下：</w:t>
      </w:r>
    </w:p>
    <w:tbl>
      <w:tblPr>
        <w:tblOverlap w:val="never"/>
        <w:jc w:val="center"/>
        <w:tblLayout w:type="fixed"/>
      </w:tblPr>
      <w:tblGrid>
        <w:gridCol w:w="4344"/>
        <w:gridCol w:w="1109"/>
        <w:gridCol w:w="1834"/>
        <w:gridCol w:w="2074"/>
      </w:tblGrid>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tabs>
                <w:tab w:pos="2664" w:val="left"/>
              </w:tabs>
              <w:bidi w:val="0"/>
              <w:spacing w:before="0" w:after="100" w:line="240" w:lineRule="auto"/>
              <w:ind w:left="0" w:right="0" w:firstLine="0"/>
              <w:jc w:val="left"/>
            </w:pPr>
            <w:r>
              <w:rPr>
                <w:b/>
                <w:bCs/>
                <w:color w:val="000000"/>
                <w:spacing w:val="0"/>
                <w:w w:val="100"/>
                <w:position w:val="0"/>
              </w:rPr>
              <w:t>项目</w:t>
              <w:tab/>
              <w:t>调整前账面金额</w:t>
            </w:r>
          </w:p>
          <w:p>
            <w:pPr>
              <w:pStyle w:val="Style26"/>
              <w:keepNext w:val="0"/>
              <w:keepLines w:val="0"/>
              <w:widowControl w:val="0"/>
              <w:shd w:val="clear" w:color="auto" w:fill="auto"/>
              <w:bidi w:val="0"/>
              <w:spacing w:before="0" w:after="0" w:line="240" w:lineRule="auto"/>
              <w:ind w:left="2380" w:right="0" w:firstLine="0"/>
              <w:jc w:val="left"/>
            </w:pPr>
            <w:r>
              <w:rPr>
                <w:b/>
                <w:bCs/>
                <w:color w:val="000000"/>
                <w:spacing w:val="0"/>
                <w:w w:val="100"/>
                <w:position w:val="0"/>
              </w:rPr>
              <w:t>（2020年 12 月 31 日）</w:t>
            </w:r>
          </w:p>
        </w:tc>
        <w:tc>
          <w:tcPr>
            <w:tcBorders>
              <w:top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重分类</w:t>
            </w:r>
          </w:p>
        </w:tc>
        <w:tc>
          <w:tcPr>
            <w:tcBorders>
              <w:top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620"/>
              <w:jc w:val="left"/>
            </w:pPr>
            <w:r>
              <w:rPr>
                <w:b/>
                <w:bCs/>
                <w:color w:val="000000"/>
                <w:spacing w:val="0"/>
                <w:w w:val="100"/>
                <w:position w:val="0"/>
              </w:rPr>
              <w:t>重新计量</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240" w:firstLine="0"/>
              <w:jc w:val="right"/>
            </w:pPr>
            <w:r>
              <w:rPr>
                <w:b/>
                <w:bCs/>
                <w:color w:val="000000"/>
                <w:spacing w:val="0"/>
                <w:w w:val="100"/>
                <w:position w:val="0"/>
              </w:rPr>
              <w:t>调整后账面金额 （2021年1月1日）</w:t>
            </w:r>
          </w:p>
        </w:tc>
      </w:tr>
      <w:tr>
        <w:trPr>
          <w:trHeight w:val="350" w:hRule="exact"/>
        </w:trPr>
        <w:tc>
          <w:tcPr>
            <w:gridSpan w:val="4"/>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tabs>
                <w:tab w:pos="3768" w:val="left"/>
              </w:tabs>
              <w:bidi w:val="0"/>
              <w:spacing w:before="0" w:after="0" w:line="240" w:lineRule="auto"/>
              <w:ind w:left="0" w:right="0" w:firstLine="0"/>
              <w:jc w:val="left"/>
            </w:pPr>
            <w:r>
              <w:rPr>
                <w:color w:val="000000"/>
                <w:spacing w:val="0"/>
                <w:w w:val="100"/>
                <w:position w:val="0"/>
              </w:rPr>
              <w:t>使用权资产</w:t>
              <w:tab/>
              <w:t>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2, 268, </w:t>
            </w:r>
            <w:r>
              <w:rPr>
                <w:color w:val="000000"/>
                <w:spacing w:val="0"/>
                <w:w w:val="100"/>
                <w:position w:val="0"/>
                <w:sz w:val="18"/>
                <w:szCs w:val="18"/>
              </w:rPr>
              <w:t xml:space="preserve">899. </w:t>
            </w:r>
            <w:r>
              <w:rPr>
                <w:color w:val="000000"/>
                <w:spacing w:val="0"/>
                <w:w w:val="100"/>
                <w:position w:val="0"/>
                <w:sz w:val="18"/>
                <w:szCs w:val="18"/>
              </w:rPr>
              <w:t>87</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2,268,899.87</w:t>
            </w:r>
          </w:p>
        </w:tc>
      </w:tr>
      <w:tr>
        <w:trPr>
          <w:trHeight w:val="350" w:hRule="exact"/>
        </w:trPr>
        <w:tc>
          <w:tcPr>
            <w:gridSpan w:val="4"/>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2,080, </w:t>
            </w:r>
            <w:r>
              <w:rPr>
                <w:color w:val="000000"/>
                <w:spacing w:val="0"/>
                <w:w w:val="100"/>
                <w:position w:val="0"/>
                <w:sz w:val="18"/>
                <w:szCs w:val="18"/>
              </w:rPr>
              <w:t xml:space="preserve">468. </w:t>
            </w:r>
            <w:r>
              <w:rPr>
                <w:color w:val="000000"/>
                <w:spacing w:val="0"/>
                <w:w w:val="100"/>
                <w:position w:val="0"/>
                <w:sz w:val="18"/>
                <w:szCs w:val="18"/>
              </w:rPr>
              <w:t>92</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2,080,468.92</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188, </w:t>
            </w:r>
            <w:r>
              <w:rPr>
                <w:color w:val="000000"/>
                <w:spacing w:val="0"/>
                <w:w w:val="100"/>
                <w:position w:val="0"/>
                <w:sz w:val="18"/>
                <w:szCs w:val="18"/>
              </w:rPr>
              <w:t xml:space="preserve">430. </w:t>
            </w:r>
            <w:r>
              <w:rPr>
                <w:color w:val="000000"/>
                <w:spacing w:val="0"/>
                <w:w w:val="100"/>
                <w:position w:val="0"/>
                <w:sz w:val="18"/>
                <w:szCs w:val="18"/>
              </w:rPr>
              <w:t>95</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188, </w:t>
            </w:r>
            <w:r>
              <w:rPr>
                <w:color w:val="000000"/>
                <w:spacing w:val="0"/>
                <w:w w:val="100"/>
                <w:position w:val="0"/>
                <w:sz w:val="18"/>
                <w:szCs w:val="18"/>
              </w:rPr>
              <w:t xml:space="preserve">430. </w:t>
            </w:r>
            <w:r>
              <w:rPr>
                <w:color w:val="000000"/>
                <w:spacing w:val="0"/>
                <w:w w:val="100"/>
                <w:position w:val="0"/>
                <w:sz w:val="18"/>
                <w:szCs w:val="18"/>
              </w:rPr>
              <w:t>95</w:t>
            </w:r>
          </w:p>
        </w:tc>
      </w:tr>
      <w:tr>
        <w:trPr>
          <w:trHeight w:val="643" w:hRule="exact"/>
        </w:trPr>
        <w:tc>
          <w:tcPr>
            <w:gridSpan w:val="4"/>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日使用权资产的账面价值构成如下：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2021.01.01</w:t>
            </w:r>
          </w:p>
        </w:tc>
      </w:tr>
      <w:tr>
        <w:trPr>
          <w:trHeight w:val="350" w:hRule="exact"/>
        </w:trPr>
        <w:tc>
          <w:tcPr>
            <w:gridSpan w:val="4"/>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对于首次执行日前的经营租赁确认的使用权资产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2,268,899.87</w:t>
            </w:r>
          </w:p>
        </w:tc>
      </w:tr>
      <w:tr>
        <w:trPr>
          <w:trHeight w:val="350" w:hRule="exact"/>
        </w:trPr>
        <w:tc>
          <w:tcPr>
            <w:gridSpan w:val="4"/>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原租赁准则下确认的融资租入资产</w:t>
            </w: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2,268,899.87</w:t>
            </w:r>
          </w:p>
        </w:tc>
      </w:tr>
    </w:tbl>
    <w:p>
      <w:pPr>
        <w:widowControl w:val="0"/>
        <w:spacing w:after="619" w:line="1" w:lineRule="exact"/>
      </w:pPr>
    </w:p>
    <w:p>
      <w:pPr>
        <w:pStyle w:val="Style41"/>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95"/>
      <w:bookmarkEnd w:id="1096"/>
      <w:bookmarkEnd w:id="1098"/>
    </w:p>
    <w:p>
      <w:pPr>
        <w:pStyle w:val="Style3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979"/>
        <w:gridCol w:w="2419"/>
        <w:gridCol w:w="989"/>
        <w:gridCol w:w="219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开始适用 的时点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根据财政部发布的《企业会计准则第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号一固定 资产》“企业应当根据固定资产的性质和使用情 况合理确定固定资产的使用寿命和预计净残值” 的规定，为更加公允、真实地反映公司的资产状 况和经营成果，使固定资产折旧年限与实际使用 寿命更加接近、计提折旧期间更加合理，公司对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 开第三届董事会第三十二次 会议及第三届监事会第二十 五次会议，审议通过了《关 于会计估计变更的议案》，独 立董事发表了同意的意见。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会计政策、会计估计变 更何差错更正》的相关规 定，本次变更采用未来适 用法，无需对已披露的财 务报告进行追溯调整，因</w:t>
            </w:r>
          </w:p>
        </w:tc>
      </w:tr>
    </w:tbl>
    <w:p>
      <w:pPr>
        <w:widowControl w:val="0"/>
        <w:spacing w:line="1" w:lineRule="exact"/>
      </w:pPr>
      <w:r>
        <w:br w:type="page"/>
      </w:r>
    </w:p>
    <w:tbl>
      <w:tblPr>
        <w:tblOverlap w:val="never"/>
        <w:jc w:val="center"/>
        <w:tblLayout w:type="fixed"/>
      </w:tblPr>
      <w:tblGrid>
        <w:gridCol w:w="3979"/>
        <w:gridCol w:w="2419"/>
        <w:gridCol w:w="989"/>
        <w:gridCol w:w="2198"/>
      </w:tblGrid>
      <w:tr>
        <w:trPr>
          <w:trHeight w:val="6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固定资产进行梳理后拟自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 房屋建筑物的折旧年限由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此不会对公司已披露的 财务报表产生影响。</w:t>
            </w:r>
          </w:p>
        </w:tc>
      </w:tr>
    </w:tbl>
    <w:p>
      <w:pPr>
        <w:widowControl w:val="0"/>
        <w:spacing w:after="339" w:line="1" w:lineRule="exact"/>
      </w:pPr>
    </w:p>
    <w:p>
      <w:pPr>
        <w:pStyle w:val="Style41"/>
        <w:keepNext/>
        <w:keepLines/>
        <w:widowControl w:val="0"/>
        <w:shd w:val="clear" w:color="auto" w:fill="auto"/>
        <w:tabs>
          <w:tab w:pos="493" w:val="left"/>
        </w:tabs>
        <w:bidi w:val="0"/>
        <w:spacing w:before="0" w:after="34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shd w:val="clear" w:color="auto" w:fill="FFFFFF"/>
        </w:rPr>
        <w:t>（</w:t>
      </w:r>
      <w:bookmarkEnd w:id="1101"/>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99"/>
      <w:bookmarkEnd w:id="1100"/>
      <w:bookmarkEnd w:id="1102"/>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是否需要调整年初资产负债表科目</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82,900,839.71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82,900,839.71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178,245,931.50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87,144,787.42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87,144,787.42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2,233,170.37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2,233,170.37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1,956,642.52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1,956,642.52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46,812,828.40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46,812,828.40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23,191,780.58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23,191,780.58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434,346,914.10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434,346,914.10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9,873,096.10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9,873,096.10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9,796,697.08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9,796,697.08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352,552.45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352,552.45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3,805,556.69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3,805,556.69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1,140,910.00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1,140,910.00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322,708,272.41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324,977,172.28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757,055,186.51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759,324,086.38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55,247,402.22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55,247,402.22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6,343,496.90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6,343,496.90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2,306,742.47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2,306,742.47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1,577,225.51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1,577,225.51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2,522,371.93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2,080,468.92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79,412,112.88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81,492,581.80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2,080,468.92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5,631,757.16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5,631,757.16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188,430.95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188,430.95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12,657,492.40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12,845,923.35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188,430.95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92,069,605.28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94,338,505.15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252,450,683.00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252,450,683.00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171,787,273.73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171,787,273.73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42,909,543.74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42,909,543.74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199,927,401.93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199,927,401.93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666,671,271.63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666,671,271.63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-1,685,690.40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-1,685,690.40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664,985,581.23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664,985,581.23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757,055,186.51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759,324,086.38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2,268,899.87</w:t>
            </w:r>
          </w:p>
        </w:tc>
      </w:tr>
    </w:tbl>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调整情况说明</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作为承租人，本公司按照新租赁准则的规定，对于首次执行日新租赁准则与现行租赁准则的差异追溯调整入</w:t>
      </w:r>
      <w:r>
        <w:rPr>
          <w:color w:val="000000"/>
          <w:spacing w:val="0"/>
          <w:w w:val="100"/>
          <w:position w:val="0"/>
          <w:sz w:val="18"/>
          <w:szCs w:val="18"/>
        </w:rPr>
        <w:t>2021</w:t>
      </w:r>
      <w:r>
        <w:rPr>
          <w:color w:val="000000"/>
          <w:spacing w:val="0"/>
          <w:w w:val="100"/>
          <w:position w:val="0"/>
        </w:rPr>
        <w:t>年年初留存 收益。同时，本公司未对比较财务报表数据进行调整。</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•对于首次执行日之前的融资租赁，本公司按照融资租入资产和应付融资租赁款的原账面价值，分别计量使用权资产和租赁 负债；</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•对于首次执行日之前的经营租赁，本公司根据剩余租赁付款额按首次执行日的增量借款利率折现的现值计量租赁负债，并 对于所有租赁按照与租赁负债相等的金额，并根据预付租金进行必要调整计量使用权资产。</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•在首次执行日，本公司按照附注五、</w:t>
      </w:r>
      <w:r>
        <w:rPr>
          <w:color w:val="000000"/>
          <w:spacing w:val="0"/>
          <w:w w:val="100"/>
          <w:position w:val="0"/>
          <w:sz w:val="18"/>
          <w:szCs w:val="18"/>
        </w:rPr>
        <w:t>31</w:t>
      </w:r>
      <w:r>
        <w:rPr>
          <w:color w:val="000000"/>
          <w:spacing w:val="0"/>
          <w:w w:val="100"/>
          <w:position w:val="0"/>
        </w:rPr>
        <w:t>对使用权资产进行减值测试并进行相应的会计处理。</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本公司对首次执行日之前租赁资产属于低价值资产的经营租赁或将于</w:t>
      </w:r>
      <w:r>
        <w:rPr>
          <w:color w:val="000000"/>
          <w:spacing w:val="0"/>
          <w:w w:val="100"/>
          <w:position w:val="0"/>
          <w:sz w:val="18"/>
          <w:szCs w:val="18"/>
        </w:rPr>
        <w:t>12</w:t>
      </w:r>
      <w:r>
        <w:rPr>
          <w:color w:val="000000"/>
          <w:spacing w:val="0"/>
          <w:w w:val="100"/>
          <w:position w:val="0"/>
        </w:rPr>
        <w:t>个月内完成的经营租赁，采用简化处理，未确认使用 权资产和租赁负债。</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本公司对于首次执行日之前的经营租赁，采用了下列简化处理：</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•计量租赁负债时，具有相似特征的租赁采用同一折现率，所采用的增量借款利率的加权平均值为</w:t>
      </w:r>
      <w:r>
        <w:rPr>
          <w:color w:val="000000"/>
          <w:spacing w:val="0"/>
          <w:w w:val="100"/>
          <w:position w:val="0"/>
          <w:sz w:val="18"/>
          <w:szCs w:val="18"/>
        </w:rPr>
        <w:t>3.85%；</w:t>
      </w:r>
      <w:r>
        <w:rPr>
          <w:color w:val="000000"/>
          <w:spacing w:val="0"/>
          <w:w w:val="100"/>
          <w:position w:val="0"/>
        </w:rPr>
        <w:t>使用权资产的计量</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不包含初始直接费用；</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•存在续租选择权或终止租赁选择权的，本公司根据首次执行日前选择权的实际行使及其他最新情况确定租赁期；</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•作为使用权资产减值测试的替代，本公司评估包含租赁的合同在首次执行日前是否为亏损合同，并根据首次执行日前计入 资产负债表的亏损准备金额调整使用权资产；</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•首次执行日前的租赁变更，本公司根据租赁变更的最终安排进行会计处理。</w:t>
      </w:r>
    </w:p>
    <w:p>
      <w:pPr>
        <w:pStyle w:val="Style23"/>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根据新租赁准则，本公司无需对其作为出租人的租赁按照衔接规定进行调整，但需自首次执行新租赁准则之日按照新租赁准 则进行会计处理。</w:t>
      </w:r>
    </w:p>
    <w:p>
      <w:pPr>
        <w:pStyle w:val="Style23"/>
        <w:keepNext w:val="0"/>
        <w:keepLines w:val="0"/>
        <w:widowControl w:val="0"/>
        <w:shd w:val="clear" w:color="auto" w:fill="auto"/>
        <w:bidi w:val="0"/>
        <w:spacing w:before="0" w:after="160" w:line="314" w:lineRule="exact"/>
        <w:ind w:left="0" w:right="0" w:firstLine="0"/>
        <w:jc w:val="both"/>
      </w:pPr>
      <w:r>
        <w:rPr>
          <w:color w:val="000000"/>
          <w:spacing w:val="0"/>
          <w:w w:val="100"/>
          <w:position w:val="0"/>
        </w:rPr>
        <w:t>母公司资产负债表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82,881,348.72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82,881,348.72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67,603,269.33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67,603,269.33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2,233,170.37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2,233,170.37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19,790,342.52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19,790,342.52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46,812,828.40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46,812,828.40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23,061,187.70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23,061,187.70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432,489,012.14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432,489,012.14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9,864,122.30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9,864,122.30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2,268,899.87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9,796,697.08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9,796,697.08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352,552.45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3,805,556.69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3,805,556.69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1,140,910.00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1,140,910.00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324,699,298.61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326,968,198.48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757,188,310.75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759,457,210.62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52,486,624.90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52,486,624.90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6,343,496.90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6,343,496.90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1,767,012.58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1,767,012.58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1,570,672.47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1,570,672.47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2,522,371.93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2,080,468.92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76,105,052.63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78,185,521.55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2,080,468.92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5,631,757.16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5,631,757.16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188,430.95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188,430.95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12,657,492.40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12,845,923.35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188,430.95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88,762,545.03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91,031,444.90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252,450,683.00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252,450,683.00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171,787,273.73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171,787,273.73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42,909,543.74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42,909,543.74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201,681,896.02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201,681,896.02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668,425,765.72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668,425,765.72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757,188,310.75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759,457,210.62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2,268,899.87</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numPr>
          <w:ilvl w:val="0"/>
          <w:numId w:val="53"/>
        </w:numPr>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bookmarkEnd w:id="110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3"/>
      <w:bookmarkEnd w:id="1104"/>
      <w:bookmarkEnd w:id="110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7"/>
      <w:bookmarkEnd w:id="1108"/>
      <w:bookmarkEnd w:id="110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六</w:t>
      </w:r>
      <w:bookmarkEnd w:id="1112"/>
      <w:r>
        <w:rPr>
          <w:color w:val="000000"/>
          <w:spacing w:val="0"/>
          <w:w w:val="100"/>
          <w:position w:val="0"/>
        </w:rPr>
        <w:t>、税项</w:t>
      </w:r>
      <w:bookmarkEnd w:id="1110"/>
      <w:bookmarkEnd w:id="1111"/>
      <w:bookmarkEnd w:id="1113"/>
    </w:p>
    <w:p>
      <w:pPr>
        <w:pStyle w:val="Style35"/>
        <w:keepNext/>
        <w:keepLines/>
        <w:widowControl w:val="0"/>
        <w:shd w:val="clear" w:color="auto" w:fill="auto"/>
        <w:bidi w:val="0"/>
        <w:spacing w:before="0" w:after="32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color w:val="000000"/>
          <w:spacing w:val="0"/>
          <w:w w:val="100"/>
          <w:position w:val="0"/>
        </w:rPr>
        <w:t>、主要税种及税率</w:t>
      </w:r>
      <w:bookmarkEnd w:id="1114"/>
      <w:bookmarkEnd w:id="1115"/>
      <w:bookmarkEnd w:id="11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贵安新区贵金科技有限公司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color w:val="000000"/>
          <w:spacing w:val="0"/>
          <w:w w:val="100"/>
          <w:position w:val="0"/>
        </w:rPr>
        <w:t>、税收优惠</w:t>
      </w:r>
      <w:bookmarkEnd w:id="1118"/>
      <w:bookmarkEnd w:id="1119"/>
      <w:bookmarkEnd w:id="1121"/>
    </w:p>
    <w:p>
      <w:pPr>
        <w:pStyle w:val="Style23"/>
        <w:keepNext w:val="0"/>
        <w:keepLines w:val="0"/>
        <w:widowControl w:val="0"/>
        <w:numPr>
          <w:ilvl w:val="0"/>
          <w:numId w:val="55"/>
        </w:numPr>
        <w:shd w:val="clear" w:color="auto" w:fill="auto"/>
        <w:bidi w:val="0"/>
        <w:spacing w:before="0" w:after="80" w:line="240" w:lineRule="auto"/>
        <w:ind w:left="0" w:right="0" w:firstLine="0"/>
        <w:jc w:val="left"/>
      </w:pPr>
      <w:bookmarkStart w:id="1122" w:name="bookmark1122"/>
      <w:bookmarkEnd w:id="1122"/>
      <w:r>
        <w:rPr>
          <w:color w:val="000000"/>
          <w:spacing w:val="0"/>
          <w:w w:val="100"/>
          <w:position w:val="0"/>
        </w:rPr>
        <w:t>增值税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根据国发</w:t>
      </w:r>
      <w:r>
        <w:rPr>
          <w:color w:val="000000"/>
          <w:spacing w:val="0"/>
          <w:w w:val="100"/>
          <w:position w:val="0"/>
          <w:sz w:val="18"/>
          <w:szCs w:val="18"/>
        </w:rPr>
        <w:t>[2011]4</w:t>
      </w:r>
      <w:r>
        <w:rPr>
          <w:color w:val="000000"/>
          <w:spacing w:val="0"/>
          <w:w w:val="100"/>
          <w:position w:val="0"/>
        </w:rPr>
        <w:t>号《国务院关于印发进一步鼓励软件产业和集成电路产业发展若干政策的通知》、财税</w:t>
      </w:r>
      <w:r>
        <w:rPr>
          <w:color w:val="000000"/>
          <w:spacing w:val="0"/>
          <w:w w:val="100"/>
          <w:position w:val="0"/>
          <w:sz w:val="18"/>
          <w:szCs w:val="18"/>
        </w:rPr>
        <w:t>[2011]10 0</w:t>
      </w:r>
      <w:r>
        <w:rPr>
          <w:color w:val="000000"/>
          <w:spacing w:val="0"/>
          <w:w w:val="100"/>
          <w:position w:val="0"/>
        </w:rPr>
        <w:t xml:space="preserve">号《关于 </w:t>
      </w:r>
      <w:r>
        <w:rPr>
          <w:color w:val="000000"/>
          <w:spacing w:val="0"/>
          <w:w w:val="100"/>
          <w:position w:val="0"/>
        </w:rPr>
        <w:t>软件产品增值税政策的通知》，本公司销售自行开发生产的软件产品，按适用税率征收增值税后，对实际税负超过</w:t>
      </w:r>
      <w:r>
        <w:rPr>
          <w:color w:val="000000"/>
          <w:spacing w:val="0"/>
          <w:w w:val="100"/>
          <w:position w:val="0"/>
          <w:sz w:val="18"/>
          <w:szCs w:val="18"/>
        </w:rPr>
        <w:t>3%</w:t>
      </w:r>
      <w:r>
        <w:rPr>
          <w:color w:val="000000"/>
          <w:spacing w:val="0"/>
          <w:w w:val="100"/>
          <w:position w:val="0"/>
        </w:rPr>
        <w:t>的部分 实行即征即退政策。</w:t>
      </w:r>
    </w:p>
    <w:p>
      <w:pPr>
        <w:pStyle w:val="Style23"/>
        <w:keepNext w:val="0"/>
        <w:keepLines w:val="0"/>
        <w:widowControl w:val="0"/>
        <w:shd w:val="clear" w:color="auto" w:fill="auto"/>
        <w:bidi w:val="0"/>
        <w:spacing w:before="0" w:after="0" w:line="310" w:lineRule="exact"/>
        <w:ind w:left="0" w:right="0" w:firstLine="0"/>
        <w:jc w:val="both"/>
      </w:pPr>
      <w:bookmarkStart w:id="1123" w:name="bookmark1123"/>
      <w:r>
        <w:rPr>
          <w:color w:val="000000"/>
          <w:spacing w:val="0"/>
          <w:w w:val="100"/>
          <w:position w:val="0"/>
          <w:sz w:val="18"/>
          <w:szCs w:val="18"/>
        </w:rPr>
        <w:t>（</w:t>
      </w:r>
      <w:bookmarkEnd w:id="1123"/>
      <w:r>
        <w:rPr>
          <w:color w:val="000000"/>
          <w:spacing w:val="0"/>
          <w:w w:val="100"/>
          <w:position w:val="0"/>
          <w:sz w:val="18"/>
          <w:szCs w:val="18"/>
        </w:rPr>
        <w:t>2）</w:t>
      </w:r>
      <w:r>
        <w:rPr>
          <w:color w:val="000000"/>
          <w:spacing w:val="0"/>
          <w:w w:val="100"/>
          <w:position w:val="0"/>
        </w:rPr>
        <w:t>所得税</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月通过高新技术企业复审，根据《中华人民共和国企业所得税法》第二十八条规定，“国家需要重点扶持 的高新技术企业，减按</w:t>
      </w:r>
      <w:r>
        <w:rPr>
          <w:color w:val="000000"/>
          <w:spacing w:val="0"/>
          <w:w w:val="100"/>
          <w:position w:val="0"/>
          <w:sz w:val="18"/>
          <w:szCs w:val="18"/>
        </w:rPr>
        <w:t>15%</w:t>
      </w:r>
      <w:r>
        <w:rPr>
          <w:color w:val="000000"/>
          <w:spacing w:val="0"/>
          <w:w w:val="100"/>
          <w:position w:val="0"/>
        </w:rPr>
        <w:t>的税率征收企业所得税”，本公司自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日开始连续三年享受国家关于高新技术企业的相关 优惠政策，按</w:t>
      </w:r>
      <w:r>
        <w:rPr>
          <w:color w:val="000000"/>
          <w:spacing w:val="0"/>
          <w:w w:val="100"/>
          <w:position w:val="0"/>
          <w:sz w:val="18"/>
          <w:szCs w:val="18"/>
        </w:rPr>
        <w:t>15%</w:t>
      </w:r>
      <w:r>
        <w:rPr>
          <w:color w:val="000000"/>
          <w:spacing w:val="0"/>
          <w:w w:val="100"/>
          <w:position w:val="0"/>
        </w:rPr>
        <w:t>的税率征收企业所得税。</w:t>
      </w:r>
    </w:p>
    <w:p>
      <w:pPr>
        <w:pStyle w:val="Style23"/>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公司报告期内软件增值税退税</w:t>
      </w:r>
      <w:r>
        <w:rPr>
          <w:color w:val="000000"/>
          <w:spacing w:val="0"/>
          <w:w w:val="100"/>
          <w:position w:val="0"/>
          <w:sz w:val="18"/>
          <w:szCs w:val="18"/>
        </w:rPr>
        <w:t xml:space="preserve">652. </w:t>
      </w:r>
      <w:r>
        <w:rPr>
          <w:color w:val="000000"/>
          <w:spacing w:val="0"/>
          <w:w w:val="100"/>
          <w:position w:val="0"/>
          <w:sz w:val="18"/>
          <w:szCs w:val="18"/>
        </w:rPr>
        <w:t>90</w:t>
      </w:r>
      <w:r>
        <w:rPr>
          <w:color w:val="000000"/>
          <w:spacing w:val="0"/>
          <w:w w:val="100"/>
          <w:position w:val="0"/>
        </w:rPr>
        <w:t>万元，计入其他收益。</w:t>
      </w:r>
    </w:p>
    <w:p>
      <w:pPr>
        <w:pStyle w:val="Style35"/>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color w:val="000000"/>
          <w:spacing w:val="0"/>
          <w:w w:val="100"/>
          <w:position w:val="0"/>
        </w:rPr>
        <w:t>、其他</w:t>
      </w:r>
      <w:bookmarkEnd w:id="1124"/>
      <w:bookmarkEnd w:id="1125"/>
      <w:bookmarkEnd w:id="1127"/>
    </w:p>
    <w:p>
      <w:pPr>
        <w:pStyle w:val="Style2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rPr>
        <w:t>七</w:t>
      </w:r>
      <w:bookmarkEnd w:id="1130"/>
      <w:r>
        <w:rPr>
          <w:color w:val="000000"/>
          <w:spacing w:val="0"/>
          <w:w w:val="100"/>
          <w:position w:val="0"/>
        </w:rPr>
        <w:t>、合并财务报表项目注释</w:t>
      </w:r>
      <w:bookmarkEnd w:id="1128"/>
      <w:bookmarkEnd w:id="1129"/>
      <w:bookmarkEnd w:id="1131"/>
    </w:p>
    <w:p>
      <w:pPr>
        <w:pStyle w:val="Style35"/>
        <w:keepNext/>
        <w:keepLines/>
        <w:widowControl w:val="0"/>
        <w:shd w:val="clear" w:color="auto" w:fill="auto"/>
        <w:bidi w:val="0"/>
        <w:spacing w:before="0" w:after="38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color w:val="000000"/>
          <w:spacing w:val="0"/>
          <w:w w:val="100"/>
          <w:position w:val="0"/>
        </w:rPr>
        <w:t>、货币资金</w:t>
      </w:r>
      <w:bookmarkEnd w:id="1132"/>
      <w:bookmarkEnd w:id="1133"/>
      <w:bookmarkEnd w:id="1135"/>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128,778.18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102,914.27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48,727,358.79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81,886,924.32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1,216,817.12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911,001.12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50,072,954.09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82,900,839.71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1,216,817.12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911,001.12</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日止，其他货币资金</w:t>
      </w:r>
      <w:r>
        <w:rPr>
          <w:color w:val="000000"/>
          <w:spacing w:val="0"/>
          <w:w w:val="100"/>
          <w:position w:val="0"/>
          <w:sz w:val="18"/>
          <w:szCs w:val="18"/>
        </w:rPr>
        <w:t>1,216,817.12</w:t>
      </w:r>
      <w:r>
        <w:rPr>
          <w:color w:val="000000"/>
          <w:spacing w:val="0"/>
          <w:w w:val="100"/>
          <w:position w:val="0"/>
        </w:rPr>
        <w:t>元为受限的保证金，已从现金流量表的现金及现金等价物中扣除。</w:t>
      </w:r>
    </w:p>
    <w:p>
      <w:pPr>
        <w:pStyle w:val="Style35"/>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、交易性金融资产</w:t>
      </w:r>
      <w:bookmarkEnd w:id="1136"/>
      <w:bookmarkEnd w:id="1137"/>
      <w:bookmarkEnd w:id="113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178,245,931.50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、衍生金融资产</w:t>
      </w:r>
      <w:bookmarkEnd w:id="1140"/>
      <w:bookmarkEnd w:id="1141"/>
      <w:bookmarkEnd w:id="114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color w:val="000000"/>
          <w:spacing w:val="0"/>
          <w:w w:val="100"/>
          <w:position w:val="0"/>
        </w:rPr>
        <w:t>、应收票据</w:t>
      </w:r>
      <w:bookmarkEnd w:id="1144"/>
      <w:bookmarkEnd w:id="1145"/>
      <w:bookmarkEnd w:id="1147"/>
    </w:p>
    <w:p>
      <w:pPr>
        <w:pStyle w:val="Style4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48"/>
      <w:bookmarkEnd w:id="1149"/>
      <w:bookmarkEnd w:id="115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8,976,457.33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8,976,457.33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11,860,933.60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2"/>
      <w:bookmarkEnd w:id="1153"/>
      <w:bookmarkEnd w:id="115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numPr>
          <w:ilvl w:val="0"/>
          <w:numId w:val="57"/>
        </w:numPr>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期末公司已质押的应收票据</w:t>
      </w:r>
      <w:bookmarkEnd w:id="1156"/>
      <w:bookmarkEnd w:id="1157"/>
      <w:bookmarkEnd w:id="115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1"/>
        <w:keepNext/>
        <w:keepLines/>
        <w:widowControl w:val="0"/>
        <w:numPr>
          <w:ilvl w:val="0"/>
          <w:numId w:val="57"/>
        </w:numPr>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期末公司已背书或贴现且在资产负债表日尚未到期的应收票据</w:t>
      </w:r>
      <w:bookmarkEnd w:id="1160"/>
      <w:bookmarkEnd w:id="1161"/>
      <w:bookmarkEnd w:id="116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1,951,360.28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1,951,360.28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370,600.00</w:t>
            </w:r>
          </w:p>
        </w:tc>
      </w:tr>
    </w:tbl>
    <w:p>
      <w:pPr>
        <w:widowControl w:val="0"/>
        <w:spacing w:after="319" w:line="1" w:lineRule="exact"/>
      </w:pPr>
    </w:p>
    <w:p>
      <w:pPr>
        <w:pStyle w:val="Style41"/>
        <w:keepNext/>
        <w:keepLines/>
        <w:widowControl w:val="0"/>
        <w:numPr>
          <w:ilvl w:val="0"/>
          <w:numId w:val="57"/>
        </w:numPr>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期末公司因出票人未履约而将其转应收账款的票据</w:t>
      </w:r>
      <w:bookmarkEnd w:id="1164"/>
      <w:bookmarkEnd w:id="1165"/>
      <w:bookmarkEnd w:id="116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3"/>
        <w:keepNext w:val="0"/>
        <w:keepLines w:val="0"/>
        <w:widowControl w:val="0"/>
        <w:numPr>
          <w:ilvl w:val="0"/>
          <w:numId w:val="59"/>
        </w:numPr>
        <w:shd w:val="clear" w:color="auto" w:fill="auto"/>
        <w:tabs>
          <w:tab w:pos="445" w:val="left"/>
        </w:tabs>
        <w:bidi w:val="0"/>
        <w:spacing w:before="0" w:after="0" w:line="312" w:lineRule="exact"/>
        <w:ind w:left="0" w:right="0" w:firstLine="0"/>
        <w:jc w:val="both"/>
      </w:pPr>
      <w:bookmarkStart w:id="1168" w:name="bookmark1168"/>
      <w:bookmarkEnd w:id="1168"/>
      <w:r>
        <w:rPr>
          <w:color w:val="000000"/>
          <w:spacing w:val="0"/>
          <w:w w:val="100"/>
          <w:position w:val="0"/>
        </w:rPr>
        <w:t>期末无已质押的应收票据。</w:t>
      </w:r>
    </w:p>
    <w:p>
      <w:pPr>
        <w:pStyle w:val="Style23"/>
        <w:keepNext w:val="0"/>
        <w:keepLines w:val="0"/>
        <w:widowControl w:val="0"/>
        <w:numPr>
          <w:ilvl w:val="0"/>
          <w:numId w:val="59"/>
        </w:numPr>
        <w:shd w:val="clear" w:color="auto" w:fill="auto"/>
        <w:tabs>
          <w:tab w:pos="541" w:val="left"/>
        </w:tabs>
        <w:bidi w:val="0"/>
        <w:spacing w:before="0" w:after="0" w:line="312" w:lineRule="exact"/>
        <w:ind w:left="0" w:right="0" w:firstLine="0"/>
        <w:jc w:val="both"/>
      </w:pPr>
      <w:bookmarkStart w:id="1169" w:name="bookmark1169"/>
      <w:bookmarkEnd w:id="1169"/>
      <w:r>
        <w:rPr>
          <w:color w:val="000000"/>
          <w:spacing w:val="0"/>
          <w:w w:val="100"/>
          <w:position w:val="0"/>
        </w:rPr>
        <w:t>期末已背书但尚未到期的信用等级高的银行承兑汇票金额为</w:t>
      </w:r>
      <w:r>
        <w:rPr>
          <w:color w:val="000000"/>
          <w:spacing w:val="0"/>
          <w:w w:val="100"/>
          <w:position w:val="0"/>
          <w:sz w:val="18"/>
          <w:szCs w:val="18"/>
        </w:rPr>
        <w:t>1,951,360.28</w:t>
      </w:r>
      <w:r>
        <w:rPr>
          <w:color w:val="000000"/>
          <w:spacing w:val="0"/>
          <w:w w:val="100"/>
          <w:position w:val="0"/>
        </w:rPr>
        <w:t>元，已终止确认；期末已背书但尚未到期的 信用等级低的银行承兑汇票为</w:t>
      </w:r>
      <w:r>
        <w:rPr>
          <w:color w:val="000000"/>
          <w:spacing w:val="0"/>
          <w:w w:val="100"/>
          <w:position w:val="0"/>
          <w:sz w:val="18"/>
          <w:szCs w:val="18"/>
        </w:rPr>
        <w:t xml:space="preserve">370, </w:t>
      </w:r>
      <w:r>
        <w:rPr>
          <w:color w:val="000000"/>
          <w:spacing w:val="0"/>
          <w:w w:val="100"/>
          <w:position w:val="0"/>
          <w:sz w:val="18"/>
          <w:szCs w:val="18"/>
        </w:rPr>
        <w:t xml:space="preserve">600. </w:t>
      </w:r>
      <w:r>
        <w:rPr>
          <w:color w:val="000000"/>
          <w:spacing w:val="0"/>
          <w:w w:val="100"/>
          <w:position w:val="0"/>
          <w:sz w:val="18"/>
          <w:szCs w:val="18"/>
        </w:rPr>
        <w:t>00</w:t>
      </w:r>
      <w:r>
        <w:rPr>
          <w:color w:val="000000"/>
          <w:spacing w:val="0"/>
          <w:w w:val="100"/>
          <w:position w:val="0"/>
        </w:rPr>
        <w:t>元，未终止确认。</w:t>
      </w:r>
    </w:p>
    <w:p>
      <w:pPr>
        <w:pStyle w:val="Style23"/>
        <w:keepNext w:val="0"/>
        <w:keepLines w:val="0"/>
        <w:widowControl w:val="0"/>
        <w:numPr>
          <w:ilvl w:val="0"/>
          <w:numId w:val="59"/>
        </w:numPr>
        <w:shd w:val="clear" w:color="auto" w:fill="auto"/>
        <w:tabs>
          <w:tab w:pos="445" w:val="left"/>
        </w:tabs>
        <w:bidi w:val="0"/>
        <w:spacing w:before="0" w:after="380" w:line="312" w:lineRule="exact"/>
        <w:ind w:left="0" w:right="0" w:firstLine="0"/>
        <w:jc w:val="both"/>
      </w:pPr>
      <w:bookmarkStart w:id="1170" w:name="bookmark1170"/>
      <w:bookmarkEnd w:id="1170"/>
      <w:r>
        <w:rPr>
          <w:color w:val="000000"/>
          <w:spacing w:val="0"/>
          <w:w w:val="100"/>
          <w:position w:val="0"/>
        </w:rPr>
        <w:t>期末无因出票人未履约而将其转为应收账款的票据。</w:t>
      </w:r>
    </w:p>
    <w:p>
      <w:pPr>
        <w:pStyle w:val="Style41"/>
        <w:keepNext/>
        <w:keepLines/>
        <w:widowControl w:val="0"/>
        <w:numPr>
          <w:ilvl w:val="0"/>
          <w:numId w:val="57"/>
        </w:numPr>
        <w:shd w:val="clear" w:color="auto" w:fill="auto"/>
        <w:bidi w:val="0"/>
        <w:spacing w:before="0" w:after="380" w:line="240" w:lineRule="auto"/>
        <w:ind w:left="0" w:right="0" w:firstLine="0"/>
        <w:jc w:val="both"/>
      </w:pPr>
      <w:bookmarkStart w:id="1171" w:name="bookmark1171"/>
      <w:bookmarkStart w:id="1172" w:name="bookmark1172"/>
      <w:bookmarkStart w:id="1173" w:name="bookmark1173"/>
      <w:bookmarkStart w:id="1174" w:name="bookmark1174"/>
      <w:bookmarkEnd w:id="1173"/>
      <w:r>
        <w:rPr>
          <w:color w:val="000000"/>
          <w:spacing w:val="0"/>
          <w:w w:val="100"/>
          <w:position w:val="0"/>
        </w:rPr>
        <w:t>本期实际核销的应收票据情况</w:t>
      </w:r>
      <w:bookmarkEnd w:id="1171"/>
      <w:bookmarkEnd w:id="1172"/>
      <w:bookmarkEnd w:id="1174"/>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26"/>
              <w:keepNext w:val="0"/>
              <w:keepLines w:val="0"/>
              <w:widowControl w:val="0"/>
              <w:shd w:val="clear" w:color="auto" w:fill="auto"/>
              <w:tabs>
                <w:tab w:pos="1402" w:val="left"/>
                <w:tab w:pos="316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26"/>
              <w:keepNext w:val="0"/>
              <w:keepLines w:val="0"/>
              <w:widowControl w:val="0"/>
              <w:shd w:val="clear" w:color="auto" w:fill="auto"/>
              <w:tabs>
                <w:tab w:pos="1760" w:val="left"/>
                <w:tab w:pos="3622" w:val="left"/>
              </w:tabs>
              <w:bidi w:val="0"/>
              <w:spacing w:before="0" w:after="0" w:line="240" w:lineRule="auto"/>
              <w:ind w:left="0" w:right="0" w:firstLine="440"/>
              <w:jc w:val="left"/>
            </w:pPr>
            <w:r>
              <w:rPr>
                <w:color w:val="000000"/>
                <w:spacing w:val="0"/>
                <w:w w:val="100"/>
                <w:position w:val="0"/>
              </w:rPr>
              <w:t>核销原因</w:t>
              <w:tab/>
              <w:t>履行的核销程序</w:t>
              <w:tab/>
              <w:t>_</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5"/>
        <w:keepNext/>
        <w:keepLines/>
        <w:widowControl w:val="0"/>
        <w:shd w:val="clear" w:color="auto" w:fill="auto"/>
        <w:bidi w:val="0"/>
        <w:spacing w:before="0" w:after="38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5</w:t>
      </w:r>
      <w:bookmarkEnd w:id="1177"/>
      <w:r>
        <w:rPr>
          <w:color w:val="000000"/>
          <w:spacing w:val="0"/>
          <w:w w:val="100"/>
          <w:position w:val="0"/>
        </w:rPr>
        <w:t>、应收账款</w:t>
      </w:r>
      <w:bookmarkEnd w:id="1175"/>
      <w:bookmarkEnd w:id="1176"/>
      <w:bookmarkEnd w:id="1178"/>
    </w:p>
    <w:p>
      <w:pPr>
        <w:pStyle w:val="Style41"/>
        <w:keepNext/>
        <w:keepLines/>
        <w:widowControl w:val="0"/>
        <w:numPr>
          <w:ilvl w:val="0"/>
          <w:numId w:val="61"/>
        </w:numPr>
        <w:shd w:val="clear" w:color="auto" w:fill="auto"/>
        <w:bidi w:val="0"/>
        <w:spacing w:before="0" w:after="380" w:line="240" w:lineRule="auto"/>
        <w:ind w:left="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应收账款分类披露</w:t>
      </w:r>
      <w:bookmarkEnd w:id="1179"/>
      <w:bookmarkEnd w:id="1180"/>
      <w:bookmarkEnd w:id="1182"/>
    </w:p>
    <w:p>
      <w:pPr>
        <w:pStyle w:val="Style23"/>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22,545,</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19,541,5</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76,000, </w:t>
            </w:r>
            <w:r>
              <w:rPr>
                <w:rFonts w:ascii="Times New Roman" w:eastAsia="Times New Roman" w:hAnsi="Times New Roman" w:cs="Times New Roman"/>
                <w:color w:val="000000"/>
                <w:spacing w:val="0"/>
                <w:w w:val="100"/>
                <w:position w:val="0"/>
                <w:sz w:val="18"/>
                <w:szCs w:val="18"/>
              </w:rPr>
              <w:t>618.81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77,680,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67,603,2</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87.94</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65,870, </w:t>
            </w:r>
            <w:r>
              <w:rPr>
                <w:rFonts w:ascii="Times New Roman" w:eastAsia="Times New Roman" w:hAnsi="Times New Roman" w:cs="Times New Roman"/>
                <w:color w:val="000000"/>
                <w:spacing w:val="0"/>
                <w:w w:val="100"/>
                <w:position w:val="0"/>
                <w:sz w:val="18"/>
                <w:szCs w:val="18"/>
              </w:rPr>
              <w:t>100.41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64,890,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54,812,3</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09.11</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12.06</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12,790,9</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60.22</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76,000, 618.81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100,22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6,257.2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13,081,</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87,144,7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按组合计提坏账准备：应收货款</w:t>
      </w:r>
    </w:p>
    <w:p>
      <w:pPr>
        <w:widowControl w:val="0"/>
        <w:spacing w:after="13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59,153,064.08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877,713.34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4,077,472.47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638,441.66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2,707,996.31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1,001,959.08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37.00%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1,846,516.12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1,037,558.01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56.19%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4,647,355.94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3,233,637.59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69.58%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1,443,878.06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1,216,872.89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84.28%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73,876,282.98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8,006,182.57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按组合计提坏账准备：应收质保金</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未逾期质保金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10,130,518.40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10,130,518.40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61,379,111.01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5,986,494.13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4,850,189.21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11,791,007.03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2,856,674.07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5,707,786.28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3,226,546.68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84,006,801.38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339" w:line="1" w:lineRule="exact"/>
      </w:pPr>
    </w:p>
    <w:p>
      <w:pPr>
        <w:pStyle w:val="Style41"/>
        <w:keepNext/>
        <w:keepLines/>
        <w:widowControl w:val="0"/>
        <w:numPr>
          <w:ilvl w:val="0"/>
          <w:numId w:val="61"/>
        </w:numPr>
        <w:shd w:val="clear" w:color="auto" w:fill="auto"/>
        <w:bidi w:val="0"/>
        <w:spacing w:before="0" w:after="40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本期计提、收回或转回的坏账准备情况</w:t>
      </w:r>
      <w:bookmarkEnd w:id="1183"/>
      <w:bookmarkEnd w:id="1184"/>
      <w:bookmarkEnd w:id="118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13,081,469.86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-1,967,252.48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-3,003,778.81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8,006,182.57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13,081,469.86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-1,967,252.48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-3,003,778.81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8,006,182.57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7"/>
      <w:bookmarkEnd w:id="1188"/>
      <w:bookmarkEnd w:id="119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91"/>
      <w:bookmarkEnd w:id="1192"/>
      <w:bookmarkEnd w:id="119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5,729,317.00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81,405.16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4,943,661.57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81,608.35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4,425,817.09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62,265.99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3,834,975.74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53,876.74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3,723,800.00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111,384.06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22,657,571.40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95"/>
      <w:bookmarkEnd w:id="1196"/>
      <w:bookmarkEnd w:id="1198"/>
    </w:p>
    <w:p>
      <w:pPr>
        <w:pStyle w:val="Style41"/>
        <w:keepNext/>
        <w:keepLines/>
        <w:widowControl w:val="0"/>
        <w:shd w:val="clear" w:color="auto" w:fill="auto"/>
        <w:tabs>
          <w:tab w:pos="493" w:val="left"/>
        </w:tabs>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99"/>
      <w:bookmarkEnd w:id="1200"/>
      <w:bookmarkEnd w:id="120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6</w:t>
      </w:r>
      <w:bookmarkEnd w:id="1205"/>
      <w:r>
        <w:rPr>
          <w:color w:val="000000"/>
          <w:spacing w:val="0"/>
          <w:w w:val="100"/>
          <w:position w:val="0"/>
        </w:rPr>
        <w:t>、应收款项融资</w:t>
      </w:r>
      <w:bookmarkEnd w:id="1203"/>
      <w:bookmarkEnd w:id="1204"/>
      <w:bookmarkEnd w:id="120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7</w:t>
      </w:r>
      <w:bookmarkEnd w:id="1209"/>
      <w:r>
        <w:rPr>
          <w:color w:val="000000"/>
          <w:spacing w:val="0"/>
          <w:w w:val="100"/>
          <w:position w:val="0"/>
        </w:rPr>
        <w:t>、预付款项</w:t>
      </w:r>
      <w:bookmarkEnd w:id="1207"/>
      <w:bookmarkEnd w:id="1208"/>
      <w:bookmarkEnd w:id="1210"/>
    </w:p>
    <w:p>
      <w:pPr>
        <w:pStyle w:val="Style41"/>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1"/>
      <w:bookmarkEnd w:id="1212"/>
      <w:bookmarkEnd w:id="12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5,358,845.50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1,899,914.81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99,129.56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234,126.00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234,126.00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5,691,102.93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2,233,170.37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22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5"/>
      <w:bookmarkEnd w:id="1216"/>
      <w:bookmarkEnd w:id="1218"/>
    </w:p>
    <w:p>
      <w:pPr>
        <w:pStyle w:val="Style23"/>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本期按预付对象归集的期末余额前五名预付款项汇总金额</w:t>
      </w:r>
      <w:r>
        <w:rPr>
          <w:color w:val="000000"/>
          <w:spacing w:val="0"/>
          <w:w w:val="100"/>
          <w:position w:val="0"/>
          <w:sz w:val="18"/>
          <w:szCs w:val="18"/>
        </w:rPr>
        <w:t xml:space="preserve">4, 769, </w:t>
      </w:r>
      <w:r>
        <w:rPr>
          <w:color w:val="000000"/>
          <w:spacing w:val="0"/>
          <w:w w:val="100"/>
          <w:position w:val="0"/>
          <w:sz w:val="18"/>
          <w:szCs w:val="18"/>
        </w:rPr>
        <w:t xml:space="preserve">644. </w:t>
      </w:r>
      <w:r>
        <w:rPr>
          <w:color w:val="000000"/>
          <w:spacing w:val="0"/>
          <w:w w:val="100"/>
          <w:position w:val="0"/>
          <w:sz w:val="18"/>
          <w:szCs w:val="18"/>
        </w:rPr>
        <w:t>27</w:t>
      </w:r>
      <w:r>
        <w:rPr>
          <w:color w:val="000000"/>
          <w:spacing w:val="0"/>
          <w:w w:val="100"/>
          <w:position w:val="0"/>
        </w:rPr>
        <w:t>元，占预付款项期末余额合计数的比例</w:t>
      </w:r>
      <w:r>
        <w:rPr>
          <w:color w:val="000000"/>
          <w:spacing w:val="0"/>
          <w:w w:val="100"/>
          <w:position w:val="0"/>
          <w:sz w:val="18"/>
          <w:szCs w:val="18"/>
        </w:rPr>
        <w:t xml:space="preserve">83. </w:t>
      </w:r>
      <w:r>
        <w:rPr>
          <w:color w:val="000000"/>
          <w:spacing w:val="0"/>
          <w:w w:val="100"/>
          <w:position w:val="0"/>
          <w:sz w:val="18"/>
          <w:szCs w:val="18"/>
        </w:rPr>
        <w:t>81%</w:t>
      </w:r>
      <w:r>
        <w:rPr>
          <w:color w:val="000000"/>
          <w:spacing w:val="0"/>
          <w:w w:val="100"/>
          <w:position w:val="0"/>
        </w:rPr>
        <w:t>。 其他说明：</w:t>
      </w:r>
    </w:p>
    <w:p>
      <w:pPr>
        <w:pStyle w:val="Style35"/>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8</w:t>
      </w:r>
      <w:bookmarkEnd w:id="1221"/>
      <w:r>
        <w:rPr>
          <w:color w:val="000000"/>
          <w:spacing w:val="0"/>
          <w:w w:val="100"/>
          <w:position w:val="0"/>
        </w:rPr>
        <w:t>、其他应收款</w:t>
      </w:r>
      <w:bookmarkEnd w:id="1219"/>
      <w:bookmarkEnd w:id="1220"/>
      <w:bookmarkEnd w:id="122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1,905,639.88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1,956,642.52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1,905,639.88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1,956,642.52</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3"/>
      <w:bookmarkEnd w:id="1224"/>
      <w:bookmarkEnd w:id="1226"/>
    </w:p>
    <w:p>
      <w:pPr>
        <w:pStyle w:val="Style57"/>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color w:val="000000"/>
          <w:spacing w:val="0"/>
          <w:w w:val="100"/>
          <w:position w:val="0"/>
        </w:rPr>
        <w:t>）应收利息分类</w:t>
      </w:r>
      <w:bookmarkEnd w:id="1227"/>
      <w:bookmarkEnd w:id="1228"/>
      <w:bookmarkEnd w:id="1230"/>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7"/>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color w:val="000000"/>
          <w:spacing w:val="0"/>
          <w:w w:val="100"/>
          <w:position w:val="0"/>
        </w:rPr>
        <w:t>）重要逾期利息</w:t>
      </w:r>
      <w:bookmarkEnd w:id="1231"/>
      <w:bookmarkEnd w:id="1232"/>
      <w:bookmarkEnd w:id="1234"/>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color w:val="000000"/>
          <w:spacing w:val="0"/>
          <w:w w:val="100"/>
          <w:position w:val="0"/>
        </w:rPr>
        <w:t>）坏账准备计提情况</w:t>
      </w:r>
      <w:bookmarkEnd w:id="1235"/>
      <w:bookmarkEnd w:id="1236"/>
      <w:bookmarkEnd w:id="123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39"/>
      <w:bookmarkEnd w:id="1240"/>
      <w:bookmarkEnd w:id="1242"/>
    </w:p>
    <w:p>
      <w:pPr>
        <w:pStyle w:val="Style57"/>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color w:val="000000"/>
          <w:spacing w:val="0"/>
          <w:w w:val="100"/>
          <w:position w:val="0"/>
        </w:rPr>
        <w:t>）应收股利分类</w:t>
      </w:r>
      <w:bookmarkEnd w:id="1243"/>
      <w:bookmarkEnd w:id="1244"/>
      <w:bookmarkEnd w:id="1246"/>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47"/>
      <w:bookmarkEnd w:id="1248"/>
      <w:bookmarkEnd w:id="1250"/>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color w:val="000000"/>
          <w:spacing w:val="0"/>
          <w:w w:val="100"/>
          <w:position w:val="0"/>
        </w:rPr>
        <w:t>）坏账准备计提情况</w:t>
      </w:r>
      <w:bookmarkEnd w:id="1251"/>
      <w:bookmarkEnd w:id="1252"/>
      <w:bookmarkEnd w:id="1254"/>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55"/>
      <w:bookmarkEnd w:id="1256"/>
      <w:bookmarkEnd w:id="1258"/>
    </w:p>
    <w:p>
      <w:pPr>
        <w:pStyle w:val="Style57"/>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color w:val="000000"/>
          <w:spacing w:val="0"/>
          <w:w w:val="100"/>
          <w:position w:val="0"/>
        </w:rPr>
        <w:t>）其他应收款按款项性质分类情况</w:t>
      </w:r>
      <w:bookmarkEnd w:id="1259"/>
      <w:bookmarkEnd w:id="1260"/>
      <w:bookmarkEnd w:id="126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1,640,520.55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1,714,598.74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255,221.19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1,915,639.88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1,969,819.93</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color w:val="000000"/>
          <w:spacing w:val="0"/>
          <w:w w:val="100"/>
          <w:position w:val="0"/>
        </w:rPr>
        <w:t>）坏账准备计提情况</w:t>
      </w:r>
      <w:bookmarkEnd w:id="1263"/>
      <w:bookmarkEnd w:id="1264"/>
      <w:bookmarkEnd w:id="1266"/>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13,177.41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-3,177.41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1,017,601.64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157,694.02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723,769.72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425,899.26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297,870.46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1,915,639.88</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color w:val="000000"/>
          <w:spacing w:val="0"/>
          <w:w w:val="100"/>
          <w:position w:val="0"/>
        </w:rPr>
        <w:t>）本期计提、收回或转回的坏账准备情况</w:t>
      </w:r>
      <w:bookmarkEnd w:id="1267"/>
      <w:bookmarkEnd w:id="1268"/>
      <w:bookmarkEnd w:id="127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员工备用金及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13,177.41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color w:val="000000"/>
          <w:spacing w:val="0"/>
          <w:w w:val="100"/>
          <w:position w:val="0"/>
        </w:rPr>
        <w:t>）本期实际核销的其他应收款情况</w:t>
      </w:r>
      <w:bookmarkEnd w:id="1271"/>
      <w:bookmarkEnd w:id="1272"/>
      <w:bookmarkEnd w:id="1274"/>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3"/>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6"/>
              <w:keepNext w:val="0"/>
              <w:keepLines w:val="0"/>
              <w:widowControl w:val="0"/>
              <w:shd w:val="clear" w:color="auto" w:fill="auto"/>
              <w:bidi w:val="0"/>
              <w:spacing w:before="0" w:after="380" w:line="240" w:lineRule="auto"/>
              <w:ind w:left="0" w:right="0" w:firstLine="0"/>
              <w:jc w:val="left"/>
              <w:rPr>
                <w:sz w:val="20"/>
                <w:szCs w:val="20"/>
              </w:rPr>
            </w:pPr>
            <w:bookmarkStart w:id="1275" w:name="bookmark127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75"/>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454,829.60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 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353,950.26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211,323.92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1,200,103.78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6</w:t>
      </w:r>
      <w:bookmarkEnd w:id="1278"/>
      <w:r>
        <w:rPr>
          <w:color w:val="000000"/>
          <w:spacing w:val="0"/>
          <w:w w:val="100"/>
          <w:position w:val="0"/>
        </w:rPr>
        <w:t>）涉及政府补助的应收款项</w:t>
      </w:r>
      <w:bookmarkEnd w:id="1276"/>
      <w:bookmarkEnd w:id="1277"/>
      <w:bookmarkEnd w:id="127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39" w:line="1" w:lineRule="exact"/>
      </w:pPr>
    </w:p>
    <w:p>
      <w:pPr>
        <w:pStyle w:val="Style57"/>
        <w:keepNext/>
        <w:keepLines/>
        <w:widowControl w:val="0"/>
        <w:shd w:val="clear" w:color="auto" w:fill="auto"/>
        <w:tabs>
          <w:tab w:pos="387" w:val="left"/>
        </w:tabs>
        <w:bidi w:val="0"/>
        <w:spacing w:before="0" w:after="34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7</w:t>
      </w:r>
      <w:bookmarkEnd w:id="1282"/>
      <w:r>
        <w:rPr>
          <w:color w:val="000000"/>
          <w:spacing w:val="0"/>
          <w:w w:val="100"/>
          <w:position w:val="0"/>
        </w:rPr>
        <w:t>）</w:t>
        <w:tab/>
        <w:t>因金融资产转移而终止确认的其他应收款</w:t>
      </w:r>
      <w:bookmarkEnd w:id="1280"/>
      <w:bookmarkEnd w:id="1281"/>
      <w:bookmarkEnd w:id="1283"/>
    </w:p>
    <w:p>
      <w:pPr>
        <w:pStyle w:val="Style57"/>
        <w:keepNext/>
        <w:keepLines/>
        <w:widowControl w:val="0"/>
        <w:shd w:val="clear" w:color="auto" w:fill="auto"/>
        <w:tabs>
          <w:tab w:pos="392" w:val="left"/>
        </w:tabs>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8</w:t>
      </w:r>
      <w:bookmarkEnd w:id="1286"/>
      <w:r>
        <w:rPr>
          <w:color w:val="000000"/>
          <w:spacing w:val="0"/>
          <w:w w:val="100"/>
          <w:position w:val="0"/>
        </w:rPr>
        <w:t>）</w:t>
        <w:tab/>
        <w:t>转移其他应收款且继续涉入形成的资产、负债金额</w:t>
      </w:r>
      <w:bookmarkEnd w:id="1284"/>
      <w:bookmarkEnd w:id="1285"/>
      <w:bookmarkEnd w:id="128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9</w:t>
      </w:r>
      <w:bookmarkEnd w:id="1290"/>
      <w:r>
        <w:rPr>
          <w:color w:val="000000"/>
          <w:spacing w:val="0"/>
          <w:w w:val="100"/>
          <w:position w:val="0"/>
        </w:rPr>
        <w:t>、存货</w:t>
      </w:r>
      <w:bookmarkEnd w:id="1288"/>
      <w:bookmarkEnd w:id="1289"/>
      <w:bookmarkEnd w:id="129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2"/>
      <w:bookmarkEnd w:id="1293"/>
      <w:bookmarkEnd w:id="1295"/>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或合同履约成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或合同履约成</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30,024,576.06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1,112,215.24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28,912,360.82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17,303,810.63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1,285,484.58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16,018,326.05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1,923,696.42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1,923,696.42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1,159,370.97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1,159,370.97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24,356,462.14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129,690.68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24,226,771.46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16,481,517.57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16,351,826.89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5,173,073.56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5,173,073.56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9,772,442.08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9,772,442.08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1,345,588.28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1,345,588.28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3,510,862.41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3,510,862.41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62,823,396.46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1,241,905.92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61,581,490.54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48,228,003.66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1,415,175.26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46,812,828.40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96"/>
      <w:bookmarkEnd w:id="1297"/>
      <w:bookmarkEnd w:id="12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1,285,484.58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1,112,215.24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129,690.68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129,690.68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1,415,175.26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1,241,905.92</w:t>
            </w:r>
          </w:p>
        </w:tc>
      </w:tr>
    </w:tbl>
    <w:p>
      <w:pPr>
        <w:widowControl w:val="0"/>
        <w:spacing w:after="359" w:line="1" w:lineRule="exact"/>
      </w:pPr>
    </w:p>
    <w:p>
      <w:pPr>
        <w:widowControl w:val="0"/>
        <w:spacing w:line="1" w:lineRule="exact"/>
      </w:pPr>
    </w:p>
    <w:tbl>
      <w:tblPr>
        <w:tblOverlap w:val="never"/>
        <w:jc w:val="center"/>
        <w:tblLayout w:type="fixed"/>
      </w:tblPr>
      <w:tblGrid>
        <w:gridCol w:w="2256"/>
        <w:gridCol w:w="4930"/>
        <w:gridCol w:w="2395"/>
      </w:tblGrid>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确定可变现净值/剩余对价与将要发生的成本的具体依据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本期转回或转销 存货跌价准备的原因</w:t>
            </w:r>
          </w:p>
        </w:tc>
      </w:tr>
      <w:tr>
        <w:trPr>
          <w:trHeight w:val="8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预计售价减去至完工时预计将要发生的成本、预计的销售费用 以及相关税费后的金额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用于生产</w:t>
            </w:r>
          </w:p>
        </w:tc>
      </w:tr>
      <w:tr>
        <w:trPr>
          <w:trHeight w:val="50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预计售价减去预计的销售费用以及相关税费后的金额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00"/>
      <w:bookmarkEnd w:id="1301"/>
      <w:bookmarkEnd w:id="1303"/>
    </w:p>
    <w:p>
      <w:pPr>
        <w:pStyle w:val="Style41"/>
        <w:keepNext/>
        <w:keepLines/>
        <w:widowControl w:val="0"/>
        <w:shd w:val="clear" w:color="auto" w:fill="auto"/>
        <w:tabs>
          <w:tab w:pos="493" w:val="left"/>
        </w:tabs>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04"/>
      <w:bookmarkEnd w:id="1305"/>
      <w:bookmarkEnd w:id="1307"/>
    </w:p>
    <w:p>
      <w:pPr>
        <w:pStyle w:val="Style35"/>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08"/>
      <w:bookmarkEnd w:id="1309"/>
      <w:bookmarkEnd w:id="131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r>
        <w:br w:type="page"/>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12"/>
      <w:bookmarkEnd w:id="1313"/>
      <w:bookmarkEnd w:id="131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16"/>
      <w:bookmarkEnd w:id="1317"/>
      <w:bookmarkEnd w:id="131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0"/>
      <w:bookmarkEnd w:id="1321"/>
      <w:bookmarkEnd w:id="132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25,854,392.11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23,061,187.70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724,855.79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130,592.88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26,579,247.90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23,191,780.58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24"/>
      <w:bookmarkEnd w:id="1325"/>
      <w:bookmarkEnd w:id="1327"/>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5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28"/>
      <w:bookmarkEnd w:id="1329"/>
      <w:bookmarkEnd w:id="1331"/>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累计公允</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32"/>
      <w:bookmarkEnd w:id="1333"/>
      <w:bookmarkEnd w:id="1335"/>
    </w:p>
    <w:p>
      <w:pPr>
        <w:pStyle w:val="Style41"/>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36"/>
      <w:bookmarkEnd w:id="1337"/>
      <w:bookmarkEnd w:id="133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1474"/>
        <w:gridCol w:w="1320"/>
        <w:gridCol w:w="1392"/>
        <w:gridCol w:w="1051"/>
        <w:gridCol w:w="989"/>
        <w:gridCol w:w="970"/>
        <w:gridCol w:w="117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20,045,296.90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3,455,892.03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16,589,404.87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20,045,296.90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3,455,892.03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16,589,404.87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452,113.22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452,113.22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3,003,778.81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3,003,778.81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3,455,892.03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3,455,892.03</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40"/>
      <w:bookmarkEnd w:id="1341"/>
      <w:bookmarkEnd w:id="1343"/>
    </w:p>
    <w:p>
      <w:pPr>
        <w:pStyle w:val="Style41"/>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44"/>
      <w:bookmarkEnd w:id="1345"/>
      <w:bookmarkEnd w:id="134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48"/>
      <w:bookmarkEnd w:id="1349"/>
      <w:bookmarkEnd w:id="1351"/>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pStyle w:val="Style23"/>
        <w:keepNext w:val="0"/>
        <w:keepLines w:val="0"/>
        <w:widowControl w:val="0"/>
        <w:pBdr>
          <w:top w:val="single" w:sz="0" w:space="1" w:color="D3D3D3"/>
          <w:left w:val="single" w:sz="0" w:space="0" w:color="D3D3D3"/>
          <w:bottom w:val="single" w:sz="0" w:space="7" w:color="D3D3D3"/>
          <w:right w:val="single" w:sz="0" w:space="0" w:color="D3D3D3"/>
        </w:pBdr>
        <w:shd w:val="clear" w:color="auto" w:fill="D3D3D3"/>
        <w:bidi w:val="0"/>
        <w:spacing w:before="0" w:after="61" w:line="240" w:lineRule="auto"/>
        <w:ind w:left="0" w:right="0" w:firstLine="0"/>
        <w:jc w:val="left"/>
      </w:pPr>
      <w:r>
        <w:rPr>
          <w:color w:val="000000"/>
          <w:spacing w:val="0"/>
          <w:w w:val="100"/>
          <w:position w:val="0"/>
        </w:rPr>
        <w:t>二、联营企业</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1</w:t>
      </w:r>
      <w:bookmarkEnd w:id="1354"/>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52"/>
      <w:bookmarkEnd w:id="1353"/>
      <w:bookmarkEnd w:id="13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123"/>
        <w:gridCol w:w="1368"/>
        <w:gridCol w:w="1368"/>
        <w:gridCol w:w="1363"/>
        <w:gridCol w:w="1368"/>
        <w:gridCol w:w="1368"/>
        <w:gridCol w:w="1296"/>
      </w:tblGrid>
      <w:tr>
        <w:trPr>
          <w:trHeight w:val="1632" w:hRule="exact"/>
        </w:trPr>
        <w:tc>
          <w:tcPr>
            <w:tcBorders>
              <w:top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指定为以公允</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其他综合收益</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转入留存收益</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56"/>
      <w:bookmarkEnd w:id="1357"/>
      <w:bookmarkEnd w:id="135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60"/>
      <w:bookmarkEnd w:id="1361"/>
      <w:bookmarkEnd w:id="1363"/>
    </w:p>
    <w:p>
      <w:pPr>
        <w:pStyle w:val="Style41"/>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64"/>
      <w:bookmarkEnd w:id="1365"/>
      <w:bookmarkEnd w:id="136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68"/>
      <w:bookmarkEnd w:id="1369"/>
      <w:bookmarkEnd w:id="137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72"/>
      <w:bookmarkEnd w:id="1373"/>
      <w:bookmarkEnd w:id="137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76"/>
      <w:bookmarkEnd w:id="1377"/>
      <w:bookmarkEnd w:id="1379"/>
    </w:p>
    <w:p>
      <w:pPr>
        <w:pStyle w:val="Style23"/>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329,710,423.65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9,873,096.10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329,710,423.65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9,873,096.10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0"/>
      <w:bookmarkEnd w:id="1381"/>
      <w:bookmarkEnd w:id="1383"/>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10,927,042.34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7,589,356.47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4,883,943.27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6,451,808.46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29,852,150.54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324,235,441.01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692,417.10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267,704.54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325,195,562.65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692,417.10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267,704.54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960,121.64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324,235,441.01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324,235,441.01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467,094.02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655,098.00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578,680.62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1,700,872.64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467,094.02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655,098.00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578,680.62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1,700,872.64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335,162,483.35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7,814,679.55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4,228,845.27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6,140,832.38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353,346,840.55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4,277,851.24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6,124,246.65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3,712,224.74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5,864,731.81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19,979,054.44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4,161,211.66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646,115.08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291,128.21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174,942.16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5,273,397.11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4,161,211.66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646,115.08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291,128.21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174,942.16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5,273,397.11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443,739.31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622,343.10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549,952.24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1,616,034.65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443,739.31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622,343.10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549,952.24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1,616,034.65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8,439,062.90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6,326,622.42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3,381,009.85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5,489,721.73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23,636,416.90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326,723,420.45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1,488,057.13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847,835.42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651,110.65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329,710,423.65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6,649,191.10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1,465,109.82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1,171,718.53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587,076.65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9,873,096.10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84"/>
      <w:bookmarkEnd w:id="1385"/>
      <w:bookmarkEnd w:id="1387"/>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88"/>
      <w:bookmarkEnd w:id="1389"/>
      <w:bookmarkEnd w:id="139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92"/>
      <w:bookmarkEnd w:id="1393"/>
      <w:bookmarkEnd w:id="139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汇金科技大厦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320,372,050.91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房产证办理中</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96"/>
      <w:bookmarkEnd w:id="1397"/>
      <w:bookmarkEnd w:id="1399"/>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00"/>
      <w:bookmarkEnd w:id="1401"/>
      <w:bookmarkEnd w:id="140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04"/>
      <w:bookmarkEnd w:id="1405"/>
      <w:bookmarkEnd w:id="14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创新科技海岸 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汇金科技大厦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9,832,898.39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297,739,460.09</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08"/>
      <w:bookmarkEnd w:id="1409"/>
      <w:bookmarkEnd w:id="141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4"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工程</w:t>
            </w:r>
          </w:p>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累计</w:t>
            </w:r>
          </w:p>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投入</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利息</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r>
      <w:tr>
        <w:trPr>
          <w:trHeight w:val="984"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减少</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占预</w:t>
            </w:r>
          </w:p>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算比</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化金</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化率</w:t>
            </w: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9,460.</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26,495</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,980.9</w:t>
            </w:r>
          </w:p>
          <w:p>
            <w:pPr>
              <w:pStyle w:val="Style26"/>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324,23</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5,441.</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w:t>
            </w:r>
          </w:p>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9,460.</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26,495</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,980.9</w:t>
            </w:r>
          </w:p>
          <w:p>
            <w:pPr>
              <w:pStyle w:val="Style26"/>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324,23</w:t>
            </w:r>
          </w:p>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5,441.</w:t>
            </w:r>
          </w:p>
          <w:p>
            <w:pPr>
              <w:pStyle w:val="Style2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213,83</w:t>
            </w:r>
          </w:p>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12"/>
      <w:bookmarkEnd w:id="1413"/>
      <w:bookmarkEnd w:id="141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numPr>
          <w:ilvl w:val="0"/>
          <w:numId w:val="59"/>
        </w:numPr>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工程物资</w:t>
      </w:r>
      <w:bookmarkEnd w:id="1416"/>
      <w:bookmarkEnd w:id="1417"/>
      <w:bookmarkEnd w:id="141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20"/>
      <w:bookmarkEnd w:id="1421"/>
      <w:bookmarkEnd w:id="1423"/>
    </w:p>
    <w:p>
      <w:pPr>
        <w:pStyle w:val="Style41"/>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采用成本计量模式的生产性生物资产</w:t>
      </w:r>
      <w:bookmarkEnd w:id="1424"/>
      <w:bookmarkEnd w:id="1425"/>
      <w:bookmarkEnd w:id="142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采用公允价值计量模式的生产性生物资产</w:t>
      </w:r>
      <w:bookmarkEnd w:id="1428"/>
      <w:bookmarkEnd w:id="1429"/>
      <w:bookmarkEnd w:id="143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32"/>
      <w:bookmarkEnd w:id="1433"/>
      <w:bookmarkEnd w:id="143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36"/>
      <w:bookmarkEnd w:id="1437"/>
      <w:bookmarkEnd w:id="1439"/>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5,876,169.72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5,876,169.72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5,876,169.72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5,876,169.72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1,766,890.35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1,766,890.35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)合同到期或变更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1,766,890.35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1,766,890.35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6,378,179.24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6,378,179.24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3,646,979.23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3,646,979.23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3,646,979.23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3,646,979.23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1,701,001.73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1,701,001.73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）合同到期或变更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1,701,001.73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1,701,001.73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1,945,977.50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1,945,977.50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4,432,201.74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4,432,201.74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40"/>
      <w:bookmarkEnd w:id="1441"/>
      <w:bookmarkEnd w:id="1443"/>
    </w:p>
    <w:p>
      <w:pPr>
        <w:pStyle w:val="Style41"/>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44"/>
      <w:bookmarkEnd w:id="1445"/>
      <w:bookmarkEnd w:id="144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软件使用权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10,228,141.60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4,577,426.47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14,805,568.07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9,247,156.68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735,398.22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9,982,554.90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735,398.22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735,398.22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）补缴地价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9,247,156.68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9,247,156.68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19,475,298.28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5,312,824.69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24,788,122.97</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1,362,317.59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3,646,553.40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5,008,870.99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294,724.22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686,826.83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981,551.05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294,724.22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686,826.83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981,551.05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1,657,041.81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4,333,380.23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5,990,422.04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17,818,256.47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979,444.46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18,797,700.93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8,865,824.01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930,873.07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9,796,697.08</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1"/>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48"/>
      <w:bookmarkEnd w:id="1449"/>
      <w:bookmarkEnd w:id="145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24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52"/>
      <w:bookmarkEnd w:id="1453"/>
      <w:bookmarkEnd w:id="1455"/>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56"/>
      <w:bookmarkEnd w:id="1457"/>
      <w:bookmarkEnd w:id="1458"/>
    </w:p>
    <w:p>
      <w:pPr>
        <w:pStyle w:val="Style41"/>
        <w:keepNext/>
        <w:keepLines/>
        <w:widowControl w:val="0"/>
        <w:shd w:val="clear" w:color="auto" w:fill="auto"/>
        <w:bidi w:val="0"/>
        <w:spacing w:before="0" w:after="380" w:line="240" w:lineRule="auto"/>
        <w:ind w:left="0" w:right="0" w:firstLine="0"/>
        <w:jc w:val="both"/>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59"/>
      <w:bookmarkEnd w:id="1460"/>
      <w:bookmarkEnd w:id="1462"/>
    </w:p>
    <w:p>
      <w:pPr>
        <w:pStyle w:val="Style23"/>
        <w:keepNext w:val="0"/>
        <w:keepLines w:val="0"/>
        <w:widowControl w:val="0"/>
        <w:shd w:val="clear" w:color="auto" w:fill="auto"/>
        <w:bidi w:val="0"/>
        <w:spacing w:before="0" w:after="80" w:line="240" w:lineRule="auto"/>
        <w:ind w:left="0" w:right="0" w:firstLine="0"/>
        <w:jc w:val="right"/>
      </w:pPr>
      <w:bookmarkStart w:id="1463" w:name="bookmark1463"/>
      <w:r>
        <w:rPr>
          <w:color w:val="000000"/>
          <w:spacing w:val="0"/>
          <w:w w:val="100"/>
          <w:position w:val="0"/>
        </w:rPr>
        <w:t>单</w:t>
      </w:r>
      <w:bookmarkEnd w:id="1463"/>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被投资单位名</w:t>
            </w:r>
          </w:p>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称或形成商誉</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64"/>
      <w:bookmarkEnd w:id="1465"/>
      <w:bookmarkEnd w:id="146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被投资单位名</w:t>
            </w:r>
          </w:p>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称或形成商誉</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2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68"/>
      <w:bookmarkEnd w:id="1469"/>
      <w:bookmarkEnd w:id="147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352,552.45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178,771.77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173,780.68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352,552.45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178,771.77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173,780.68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72"/>
      <w:bookmarkEnd w:id="1473"/>
      <w:bookmarkEnd w:id="1475"/>
    </w:p>
    <w:p>
      <w:pPr>
        <w:pStyle w:val="Style41"/>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76"/>
      <w:bookmarkEnd w:id="1477"/>
      <w:bookmarkEnd w:id="14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9,258,088.49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1,388,713.28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11,506,043.72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1,725,906.56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8,249,491.10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1,237,423.67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7,402,749.45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1,110,412.42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1,048,326.83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6,875,488.69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1,031,323.30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24,964,260.66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3,744,639.11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25,370,377.92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3,805,556.69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80"/>
      <w:bookmarkEnd w:id="1481"/>
      <w:bookmarkEnd w:id="14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交易性金融工具估值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183,698.64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36,889.73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183,698.64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27,554.80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245,931.50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36,889.73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84"/>
      <w:bookmarkEnd w:id="1485"/>
      <w:bookmarkEnd w:id="14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3,744,639.11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3,805,556.69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36,889.73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88"/>
      <w:bookmarkEnd w:id="1489"/>
      <w:bookmarkEnd w:id="149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3,455,892.03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3,003,778.81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954,150.39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952,754.48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4,410,042.42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3,956,533.29</w:t>
            </w:r>
          </w:p>
        </w:tc>
      </w:tr>
    </w:tbl>
    <w:p>
      <w:pPr>
        <w:pStyle w:val="Style41"/>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92"/>
      <w:bookmarkEnd w:id="1493"/>
      <w:bookmarkEnd w:id="149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892,276.59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892,276.59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954,150.39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952,754.48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由于子公司贵安新区贵金科技有限公司未来能否获得足够的应纳税所得额具有不确定性，因此未确认与其可抵扣暂时性差异 和可抵扣亏损相关的递延所得税资产。</w:t>
      </w:r>
    </w:p>
    <w:p>
      <w:pPr>
        <w:pStyle w:val="Style35"/>
        <w:keepNext/>
        <w:keepLines/>
        <w:widowControl w:val="0"/>
        <w:shd w:val="clear" w:color="auto" w:fill="auto"/>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96"/>
      <w:bookmarkEnd w:id="1497"/>
      <w:bookmarkEnd w:id="149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07"/>
        <w:gridCol w:w="1378"/>
        <w:gridCol w:w="1094"/>
        <w:gridCol w:w="1262"/>
        <w:gridCol w:w="1378"/>
        <w:gridCol w:w="1171"/>
        <w:gridCol w:w="119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335,360.00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335,360.00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1,140,910.00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335,360.00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335,360.00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1,140,910.00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00"/>
      <w:bookmarkEnd w:id="1501"/>
      <w:bookmarkEnd w:id="1503"/>
    </w:p>
    <w:p>
      <w:pPr>
        <w:pStyle w:val="Style41"/>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4"/>
      <w:bookmarkEnd w:id="1505"/>
      <w:bookmarkEnd w:id="150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1"/>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08"/>
      <w:bookmarkEnd w:id="1509"/>
      <w:bookmarkEnd w:id="151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12"/>
      <w:bookmarkEnd w:id="1513"/>
      <w:bookmarkEnd w:id="151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16"/>
      <w:bookmarkEnd w:id="1517"/>
      <w:bookmarkEnd w:id="151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20"/>
      <w:bookmarkEnd w:id="1521"/>
      <w:bookmarkEnd w:id="152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24"/>
      <w:bookmarkEnd w:id="1525"/>
      <w:bookmarkEnd w:id="1527"/>
    </w:p>
    <w:p>
      <w:pPr>
        <w:pStyle w:val="Style41"/>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8"/>
      <w:bookmarkEnd w:id="1529"/>
      <w:bookmarkEnd w:id="153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16,113,393.82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17,126,921.41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1,651,405.21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2,882,227.97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33,008,208.53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27,261,745.79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1,399,038.99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7,976,507.05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52,172,046.55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55,247,402.22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32"/>
      <w:bookmarkEnd w:id="1533"/>
      <w:bookmarkEnd w:id="153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2,760,777.32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2,760,777.32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36"/>
      <w:bookmarkEnd w:id="1537"/>
      <w:bookmarkEnd w:id="1539"/>
    </w:p>
    <w:p>
      <w:pPr>
        <w:pStyle w:val="Style41"/>
        <w:keepNext/>
        <w:keepLines/>
        <w:widowControl w:val="0"/>
        <w:shd w:val="clear" w:color="auto" w:fill="auto"/>
        <w:bidi w:val="0"/>
        <w:spacing w:before="0" w:after="380" w:line="240" w:lineRule="auto"/>
        <w:ind w:left="0" w:right="0" w:firstLine="0"/>
        <w:jc w:val="both"/>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40"/>
      <w:bookmarkEnd w:id="1541"/>
      <w:bookmarkEnd w:id="154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44"/>
      <w:bookmarkEnd w:id="1545"/>
      <w:bookmarkEnd w:id="154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48"/>
      <w:bookmarkEnd w:id="1549"/>
      <w:bookmarkEnd w:id="155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2,542,282.64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6,343,496.90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2,542,282.64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6,343,496.90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52"/>
      <w:bookmarkEnd w:id="1553"/>
      <w:bookmarkEnd w:id="1555"/>
    </w:p>
    <w:p>
      <w:pPr>
        <w:pStyle w:val="Style41"/>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56"/>
      <w:bookmarkEnd w:id="1557"/>
      <w:bookmarkEnd w:id="15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48,275,651.56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51,657,869.49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9,288,470.24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1,847,619.30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1,847,619.30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50,123,270.86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53,505,488.79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9,288,470.24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0"/>
      <w:bookmarkEnd w:id="1561"/>
      <w:bookmarkEnd w:id="15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12,589,264.71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45,147,235.31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48,734,729.71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9,001,770.31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345,090.03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346,786.93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12,076.60</w:t>
            </w:r>
          </w:p>
        </w:tc>
      </w:tr>
    </w:tbl>
    <w:p>
      <w:pPr>
        <w:sectPr>
          <w:footnotePr>
            <w:pos w:val="pageBottom"/>
            <w:numFmt w:val="upperRoman"/>
            <w:numStart w:val="1"/>
            <w:numRestart w:val="continuous"/>
            <w15:footnoteColumns w:val="1"/>
          </w:footnotePr>
          <w:pgSz w:w="11900" w:h="16840"/>
          <w:pgMar w:top="1370" w:right="1071" w:bottom="1444" w:left="1056"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933,328.98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933,328.98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863,213.94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863,213.94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616,348.90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616,348.90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1,233,648.34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1,026,674.97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274,623.33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12,670,688.17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48,275,651.56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51,657,869.49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9,288,470.24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64"/>
      <w:bookmarkEnd w:id="1565"/>
      <w:bookmarkEnd w:id="15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1,796,569.32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1,796,569.32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1,847,619.30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1,847,619.30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68"/>
      <w:bookmarkEnd w:id="1569"/>
      <w:bookmarkEnd w:id="157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539,358.94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539,729.89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1,170,880.66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300,688.44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317,138.19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90,330.41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132,131.90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52,481.90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38,713.03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56,627.96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25,808.69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37,751.97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1,044,899.51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2,306,742.47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72"/>
      <w:bookmarkEnd w:id="1573"/>
      <w:bookmarkEnd w:id="157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623,867.72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1,577,225.51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623,867.72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1,577,225.51</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76"/>
      <w:bookmarkEnd w:id="1577"/>
      <w:bookmarkEnd w:id="15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80"/>
      <w:bookmarkEnd w:id="1581"/>
      <w:bookmarkEnd w:id="158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after="360" w:line="240" w:lineRule="auto"/>
        <w:ind w:left="0" w:right="0" w:firstLine="0"/>
        <w:jc w:val="both"/>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84"/>
      <w:bookmarkEnd w:id="1585"/>
      <w:bookmarkEnd w:id="1587"/>
    </w:p>
    <w:p>
      <w:pPr>
        <w:pStyle w:val="Style57"/>
        <w:keepNext/>
        <w:keepLines/>
        <w:widowControl w:val="0"/>
        <w:shd w:val="clear" w:color="auto" w:fill="auto"/>
        <w:bidi w:val="0"/>
        <w:spacing w:before="0" w:after="36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bookmarkEnd w:id="1590"/>
      <w:r>
        <w:rPr>
          <w:color w:val="000000"/>
          <w:spacing w:val="0"/>
          <w:w w:val="100"/>
          <w:position w:val="0"/>
        </w:rPr>
        <w:t>）按款项性质列示其他应付款</w:t>
      </w:r>
      <w:bookmarkEnd w:id="1588"/>
      <w:bookmarkEnd w:id="1589"/>
      <w:bookmarkEnd w:id="159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保证金及员工垫付款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620,815.52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1,163,359.70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623,867.72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1,577,225.51</w:t>
            </w:r>
          </w:p>
        </w:tc>
      </w:tr>
    </w:tbl>
    <w:p>
      <w:pPr>
        <w:widowControl w:val="0"/>
        <w:spacing w:after="359" w:line="1" w:lineRule="exact"/>
      </w:pPr>
    </w:p>
    <w:p>
      <w:pPr>
        <w:pStyle w:val="Style57"/>
        <w:keepNext/>
        <w:keepLines/>
        <w:widowControl w:val="0"/>
        <w:shd w:val="clear" w:color="auto" w:fill="auto"/>
        <w:bidi w:val="0"/>
        <w:spacing w:before="0" w:after="36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bookmarkEnd w:id="159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92"/>
      <w:bookmarkEnd w:id="1593"/>
      <w:bookmarkEnd w:id="159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sectPr>
          <w:footnotePr>
            <w:pos w:val="pageBottom"/>
            <w:numFmt w:val="upperRoman"/>
            <w:numStart w:val="1"/>
            <w:numRestart w:val="continuous"/>
            <w15:footnoteColumns w:val="1"/>
          </w:footnotePr>
          <w:pgSz w:w="11900" w:h="16840"/>
          <w:pgMar w:top="1441" w:right="1109" w:bottom="2243" w:left="1104" w:header="0" w:footer="3" w:gutter="0"/>
          <w:cols w:space="720"/>
          <w:noEndnote/>
          <w:rtlGutter w:val="0"/>
          <w:docGrid w:linePitch="360"/>
        </w:sectPr>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96"/>
      <w:bookmarkEnd w:id="1597"/>
      <w:bookmarkEnd w:id="1599"/>
    </w:p>
    <w:p>
      <w:pPr>
        <w:widowControl w:val="0"/>
        <w:spacing w:after="239"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00"/>
      <w:bookmarkEnd w:id="1601"/>
      <w:bookmarkEnd w:id="160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441,903.01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2,668,000.27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2,080,468.92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2,668,000.27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2,522,371.93</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04"/>
      <w:bookmarkEnd w:id="1605"/>
      <w:bookmarkEnd w:id="1607"/>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330,496.74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824,654.60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未终止确认的票据背书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701,096.74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824,654.60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08"/>
      <w:bookmarkEnd w:id="1609"/>
      <w:bookmarkEnd w:id="1611"/>
    </w:p>
    <w:p>
      <w:pPr>
        <w:pStyle w:val="Style41"/>
        <w:keepNext/>
        <w:keepLines/>
        <w:widowControl w:val="0"/>
        <w:shd w:val="clear" w:color="auto" w:fill="auto"/>
        <w:bidi w:val="0"/>
        <w:spacing w:before="0" w:after="38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12"/>
      <w:bookmarkEnd w:id="1613"/>
      <w:bookmarkEnd w:id="161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5,631,757.16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5,631,757.16</w:t>
            </w:r>
          </w:p>
        </w:tc>
      </w:tr>
    </w:tbl>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长期借款分类的说明：</w:t>
      </w:r>
    </w:p>
    <w:p>
      <w:pPr>
        <w:pStyle w:val="Style2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本公司向交通银行股份有限公司珠海分行申请固定资产贷款，总额度</w:t>
      </w:r>
      <w:r>
        <w:rPr>
          <w:color w:val="000000"/>
          <w:spacing w:val="0"/>
          <w:w w:val="100"/>
          <w:position w:val="0"/>
          <w:sz w:val="18"/>
          <w:szCs w:val="18"/>
        </w:rPr>
        <w:t>22, 000</w:t>
      </w:r>
      <w:r>
        <w:rPr>
          <w:color w:val="000000"/>
          <w:spacing w:val="0"/>
          <w:w w:val="100"/>
          <w:position w:val="0"/>
        </w:rPr>
        <w:t>万元，该贷款仅限用于科技创新海岸厂房建设， 贷款期限自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并以位于广东省珠海市科技创新海岸北围鼎兴路北、兴中路西侧的土地及地上建 </w:t>
      </w:r>
      <w:r>
        <w:rPr>
          <w:color w:val="000000"/>
          <w:spacing w:val="0"/>
          <w:w w:val="100"/>
          <w:position w:val="0"/>
        </w:rPr>
        <w:t>筑物做为抵押。</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日止，公司借款本金为</w:t>
      </w:r>
      <w:r>
        <w:rPr>
          <w:color w:val="000000"/>
          <w:spacing w:val="0"/>
          <w:w w:val="100"/>
          <w:position w:val="0"/>
          <w:sz w:val="18"/>
          <w:szCs w:val="18"/>
        </w:rPr>
        <w:t>6,065,157.16</w:t>
      </w:r>
      <w:r>
        <w:rPr>
          <w:color w:val="000000"/>
          <w:spacing w:val="0"/>
          <w:w w:val="100"/>
          <w:position w:val="0"/>
        </w:rPr>
        <w:t>元，按与交通银行借款合同约定，该项借款每</w:t>
      </w:r>
      <w:r>
        <w:rPr>
          <w:color w:val="000000"/>
          <w:spacing w:val="0"/>
          <w:w w:val="100"/>
          <w:position w:val="0"/>
          <w:sz w:val="18"/>
          <w:szCs w:val="18"/>
        </w:rPr>
        <w:t>6</w:t>
      </w:r>
      <w:r>
        <w:rPr>
          <w:color w:val="000000"/>
          <w:spacing w:val="0"/>
          <w:w w:val="100"/>
          <w:position w:val="0"/>
        </w:rPr>
        <w:t>个月偿还 部分本金，其中一年内到期的借款本金</w:t>
      </w:r>
      <w:r>
        <w:rPr>
          <w:color w:val="000000"/>
          <w:spacing w:val="0"/>
          <w:w w:val="100"/>
          <w:position w:val="0"/>
          <w:sz w:val="18"/>
          <w:szCs w:val="18"/>
        </w:rPr>
        <w:t xml:space="preserve">433,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元。至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日该借款已提前归还。</w:t>
      </w:r>
    </w:p>
    <w:p>
      <w:pPr>
        <w:pStyle w:val="Style2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其他说明，包括利率区间：</w:t>
      </w:r>
    </w:p>
    <w:p>
      <w:pPr>
        <w:pStyle w:val="Style35"/>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16"/>
      <w:bookmarkEnd w:id="1617"/>
      <w:bookmarkEnd w:id="1619"/>
    </w:p>
    <w:p>
      <w:pPr>
        <w:pStyle w:val="Style41"/>
        <w:keepNext/>
        <w:keepLines/>
        <w:widowControl w:val="0"/>
        <w:shd w:val="clear" w:color="auto" w:fill="auto"/>
        <w:bidi w:val="0"/>
        <w:spacing w:before="0" w:after="260" w:line="240" w:lineRule="auto"/>
        <w:ind w:left="0" w:right="0" w:firstLine="0"/>
        <w:jc w:val="both"/>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20"/>
      <w:bookmarkEnd w:id="1621"/>
      <w:bookmarkEnd w:id="1623"/>
    </w:p>
    <w:p>
      <w:pPr>
        <w:pStyle w:val="Style23"/>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24"/>
      <w:bookmarkEnd w:id="1625"/>
      <w:bookmarkEnd w:id="1627"/>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28"/>
      <w:bookmarkEnd w:id="1629"/>
      <w:bookmarkEnd w:id="1631"/>
    </w:p>
    <w:p>
      <w:pPr>
        <w:pStyle w:val="Style41"/>
        <w:keepNext/>
        <w:keepLines/>
        <w:widowControl w:val="0"/>
        <w:shd w:val="clear" w:color="auto" w:fill="auto"/>
        <w:tabs>
          <w:tab w:pos="493" w:val="left"/>
        </w:tabs>
        <w:bidi w:val="0"/>
        <w:spacing w:before="0" w:after="40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32"/>
      <w:bookmarkEnd w:id="1633"/>
      <w:bookmarkEnd w:id="163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发行在外</w:t>
            </w:r>
          </w:p>
          <w:p>
            <w:pPr>
              <w:pStyle w:val="Style2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的金融工</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36"/>
      <w:bookmarkEnd w:id="1637"/>
      <w:bookmarkEnd w:id="163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4,141,462.84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2,308,523.80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减：未确认的融资费用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39,623.93</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4,021,289.95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2,268,899.87</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2,668,000.27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2,080,468.92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1,353,289.68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188,430.95</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（1）</w:t>
      </w:r>
      <w:r>
        <w:rPr>
          <w:color w:val="000000"/>
          <w:spacing w:val="0"/>
          <w:w w:val="100"/>
          <w:position w:val="0"/>
        </w:rPr>
        <w:t>本期确认租赁负债融资费用</w:t>
      </w:r>
      <w:r>
        <w:rPr>
          <w:color w:val="000000"/>
          <w:spacing w:val="0"/>
          <w:w w:val="100"/>
          <w:position w:val="0"/>
          <w:sz w:val="18"/>
          <w:szCs w:val="18"/>
        </w:rPr>
        <w:t>130,585.76</w:t>
      </w:r>
      <w:r>
        <w:rPr>
          <w:color w:val="000000"/>
          <w:spacing w:val="0"/>
          <w:w w:val="100"/>
          <w:position w:val="0"/>
        </w:rPr>
        <w:t>元，计入到财务费用-利息支出中。</w:t>
      </w:r>
    </w:p>
    <w:p>
      <w:pPr>
        <w:pStyle w:val="Style35"/>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40"/>
      <w:bookmarkEnd w:id="1641"/>
      <w:bookmarkEnd w:id="1643"/>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4"/>
      <w:bookmarkEnd w:id="1645"/>
      <w:bookmarkEnd w:id="1647"/>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48"/>
      <w:bookmarkEnd w:id="1649"/>
      <w:bookmarkEnd w:id="1651"/>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w:t>
      </w:r>
      <w:bookmarkEnd w:id="1654"/>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52"/>
      <w:bookmarkEnd w:id="1653"/>
      <w:bookmarkEnd w:id="1655"/>
    </w:p>
    <w:p>
      <w:pPr>
        <w:pStyle w:val="Style41"/>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56"/>
      <w:bookmarkEnd w:id="1657"/>
      <w:bookmarkEnd w:id="1659"/>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60"/>
      <w:bookmarkEnd w:id="1661"/>
      <w:bookmarkEnd w:id="1663"/>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64"/>
      <w:bookmarkEnd w:id="1665"/>
      <w:bookmarkEnd w:id="166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7,402,749.45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7,402,749.45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6,988,845.51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其他说明，包括重要预计负债的相关重要假设、估计说明：</w:t>
      </w:r>
    </w:p>
    <w:p>
      <w:pPr>
        <w:pStyle w:val="Style2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本公司产品质量保证金主要针对银行自助设备现金管理系统、银行印章管理系统等产品进行计提，按预计故障率对销售产品 数量进行估算，主要包括维修该类产品所需的差旅费、材料费等。</w:t>
      </w:r>
    </w:p>
    <w:p>
      <w:pPr>
        <w:pStyle w:val="Style35"/>
        <w:keepNext/>
        <w:keepLines/>
        <w:widowControl w:val="0"/>
        <w:shd w:val="clear" w:color="auto" w:fill="auto"/>
        <w:bidi w:val="0"/>
        <w:spacing w:before="0" w:after="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68"/>
      <w:bookmarkEnd w:id="1669"/>
      <w:bookmarkEnd w:id="1671"/>
    </w:p>
    <w:p>
      <w:pPr>
        <w:widowControl w:val="0"/>
        <w:spacing w:line="1" w:lineRule="exact"/>
      </w:pPr>
      <w:r>
        <mc:AlternateContent>
          <mc:Choice Requires="wps">
            <w:drawing>
              <wp:anchor distT="337820" distB="652780" distL="0" distR="18415" simplePos="0" relativeHeight="125829390" behindDoc="0" locked="0" layoutInCell="1" allowOverlap="1">
                <wp:simplePos x="0" y="0"/>
                <wp:positionH relativeFrom="page">
                  <wp:posOffset>707390</wp:posOffset>
                </wp:positionH>
                <wp:positionV relativeFrom="paragraph">
                  <wp:posOffset>337820</wp:posOffset>
                </wp:positionV>
                <wp:extent cx="6123305" cy="740410"/>
                <wp:wrapTopAndBottom/>
                <wp:docPr id="15" name="Shape 15"/>
                <a:graphic xmlns:a="http://schemas.openxmlformats.org/drawingml/2006/main">
                  <a:graphicData uri="http://schemas.microsoft.com/office/word/2010/wordprocessingShape">
                    <wps:wsp>
                      <wps:cNvSpPr txBox="1"/>
                      <wps:spPr>
                        <a:xfrm>
                          <a:ext cx="6123305" cy="740410"/>
                        </a:xfrm>
                        <a:prstGeom prst="rect"/>
                        <a:noFill/>
                      </wps:spPr>
                      <wps:txbx>
                        <w:txbxContent>
                          <w:tbl>
                            <w:tblPr>
                              <w:tblOverlap w:val="never"/>
                              <w:jc w:val="left"/>
                              <w:tblLayout w:type="fixed"/>
                            </w:tblPr>
                            <w:tblGrid>
                              <w:gridCol w:w="1603"/>
                              <w:gridCol w:w="1598"/>
                              <w:gridCol w:w="1589"/>
                              <w:gridCol w:w="1594"/>
                              <w:gridCol w:w="1598"/>
                              <w:gridCol w:w="1661"/>
                            </w:tblGrid>
                            <w:tr>
                              <w:trPr>
                                <w:tblHeade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5.700000000000003pt;margin-top:26.600000000000001pt;width:482.15000000000003pt;height:58.300000000000004pt;z-index:-125829363;mso-wrap-distance-left:0;mso-wrap-distance-top:26.600000000000001pt;mso-wrap-distance-right:1.45pt;mso-wrap-distance-bottom:51.399999999999999pt;mso-position-horizontal-relative:page" filled="f" stroked="f">
                <v:textbox inset="0,0,0,0">
                  <w:txbxContent>
                    <w:tbl>
                      <w:tblPr>
                        <w:tblOverlap w:val="never"/>
                        <w:jc w:val="left"/>
                        <w:tblLayout w:type="fixed"/>
                      </w:tblPr>
                      <w:tblGrid>
                        <w:gridCol w:w="1603"/>
                        <w:gridCol w:w="1598"/>
                        <w:gridCol w:w="1589"/>
                        <w:gridCol w:w="1594"/>
                        <w:gridCol w:w="1598"/>
                        <w:gridCol w:w="1661"/>
                      </w:tblGrid>
                      <w:tr>
                        <w:trPr>
                          <w:tblHeade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6367780</wp:posOffset>
                </wp:positionH>
                <wp:positionV relativeFrom="paragraph">
                  <wp:posOffset>139700</wp:posOffset>
                </wp:positionV>
                <wp:extent cx="481330" cy="143510"/>
                <wp:wrapNone/>
                <wp:docPr id="17" name="Shape 17"/>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lIns="0" tIns="0" rIns="0" bIns="0">
                        <a:noAutoFit/>
                      </wps:bodyPr>
                    </wps:wsp>
                  </a:graphicData>
                </a:graphic>
              </wp:anchor>
            </w:drawing>
          </mc:Choice>
          <mc:Fallback>
            <w:pict>
              <v:shape id="_x0000_s1043" type="#_x0000_t202" style="position:absolute;margin-left:501.40000000000003pt;margin-top:11.pt;width:37.899999999999999pt;height:11.300000000000001pt;z-index:25165772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2871470</wp:posOffset>
                </wp:positionH>
                <wp:positionV relativeFrom="paragraph">
                  <wp:posOffset>1130300</wp:posOffset>
                </wp:positionV>
                <wp:extent cx="3840480" cy="149225"/>
                <wp:wrapNone/>
                <wp:docPr id="19" name="Shape 19"/>
                <a:graphic xmlns:a="http://schemas.openxmlformats.org/drawingml/2006/main">
                  <a:graphicData uri="http://schemas.microsoft.com/office/word/2010/wordprocessingShape">
                    <wps:wsp>
                      <wps:cNvSpPr txBox="1"/>
                      <wps:spPr>
                        <a:xfrm>
                          <a:ext cx="3840480" cy="149225"/>
                        </a:xfrm>
                        <a:prstGeom prst="rect"/>
                        <a:noFill/>
                      </wps:spPr>
                      <wps:txbx>
                        <w:txbxContent>
                          <w:p>
                            <w:pPr>
                              <w:pStyle w:val="Style31"/>
                              <w:keepNext w:val="0"/>
                              <w:keepLines w:val="0"/>
                              <w:widowControl w:val="0"/>
                              <w:pBdr>
                                <w:top w:val="single" w:sz="0" w:space="6" w:color="D3D3D3"/>
                                <w:left w:val="single" w:sz="0" w:space="7" w:color="D3D3D3"/>
                                <w:bottom w:val="single" w:sz="0" w:space="0" w:color="D3D3D3"/>
                                <w:right w:val="single" w:sz="0" w:space="7" w:color="D3D3D3"/>
                              </w:pBdr>
                              <w:shd w:val="clear" w:color="auto" w:fill="D3D3D3"/>
                              <w:tabs>
                                <w:tab w:pos="5285" w:val="left"/>
                              </w:tabs>
                              <w:bidi w:val="0"/>
                              <w:spacing w:before="0" w:after="0" w:line="240" w:lineRule="auto"/>
                              <w:ind w:left="0" w:right="0" w:firstLine="0"/>
                              <w:jc w:val="left"/>
                            </w:pPr>
                            <w:r>
                              <w:rPr>
                                <w:color w:val="000000"/>
                                <w:spacing w:val="0"/>
                                <w:w w:val="100"/>
                                <w:position w:val="0"/>
                              </w:rPr>
                              <w:t>本期计入本期计入本期冲减</w:t>
                              <w:tab/>
                              <w:t>与资产相</w:t>
                            </w:r>
                          </w:p>
                        </w:txbxContent>
                      </wps:txbx>
                      <wps:bodyPr lIns="0" tIns="0" rIns="0" bIns="0">
                        <a:noAutoFit/>
                      </wps:bodyPr>
                    </wps:wsp>
                  </a:graphicData>
                </a:graphic>
              </wp:anchor>
            </w:drawing>
          </mc:Choice>
          <mc:Fallback>
            <w:pict>
              <v:shape id="_x0000_s1045" type="#_x0000_t202" style="position:absolute;margin-left:226.09999999999999pt;margin-top:89.pt;width:302.40000000000003pt;height:11.75pt;z-index:251657731;mso-wrap-distance-left:0;mso-wrap-distance-right:0;mso-position-horizontal-relative:page" filled="f" stroked="f">
                <v:textbox inset="0,0,0,0">
                  <w:txbxContent>
                    <w:p>
                      <w:pPr>
                        <w:pStyle w:val="Style31"/>
                        <w:keepNext w:val="0"/>
                        <w:keepLines w:val="0"/>
                        <w:widowControl w:val="0"/>
                        <w:pBdr>
                          <w:top w:val="single" w:sz="0" w:space="6" w:color="D3D3D3"/>
                          <w:left w:val="single" w:sz="0" w:space="7" w:color="D3D3D3"/>
                          <w:bottom w:val="single" w:sz="0" w:space="0" w:color="D3D3D3"/>
                          <w:right w:val="single" w:sz="0" w:space="7" w:color="D3D3D3"/>
                        </w:pBdr>
                        <w:shd w:val="clear" w:color="auto" w:fill="D3D3D3"/>
                        <w:tabs>
                          <w:tab w:pos="5285" w:val="left"/>
                        </w:tabs>
                        <w:bidi w:val="0"/>
                        <w:spacing w:before="0" w:after="0" w:line="240" w:lineRule="auto"/>
                        <w:ind w:left="0" w:right="0" w:firstLine="0"/>
                        <w:jc w:val="left"/>
                      </w:pPr>
                      <w:r>
                        <w:rPr>
                          <w:color w:val="000000"/>
                          <w:spacing w:val="0"/>
                          <w:w w:val="100"/>
                          <w:position w:val="0"/>
                        </w:rPr>
                        <w:t>本期计入本期计入本期冲减</w:t>
                        <w:tab/>
                        <w:t>与资产相</w:t>
                      </w:r>
                    </w:p>
                  </w:txbxContent>
                </v:textbox>
                <w10:wrap anchorx="page"/>
              </v:shape>
            </w:pict>
          </mc:Fallback>
        </mc:AlternateContent>
      </w:r>
      <w:r>
        <mc:AlternateContent>
          <mc:Choice Requires="wps">
            <w:drawing>
              <wp:anchor distT="1069340" distB="0" distL="0" distR="0" simplePos="0" relativeHeight="125829392" behindDoc="0" locked="0" layoutInCell="1" allowOverlap="1">
                <wp:simplePos x="0" y="0"/>
                <wp:positionH relativeFrom="page">
                  <wp:posOffset>707390</wp:posOffset>
                </wp:positionH>
                <wp:positionV relativeFrom="paragraph">
                  <wp:posOffset>1069340</wp:posOffset>
                </wp:positionV>
                <wp:extent cx="6087110" cy="661670"/>
                <wp:wrapTopAndBottom/>
                <wp:docPr id="21" name="Shape 21"/>
                <a:graphic xmlns:a="http://schemas.openxmlformats.org/drawingml/2006/main">
                  <a:graphicData uri="http://schemas.microsoft.com/office/word/2010/wordprocessingShape">
                    <wps:wsp>
                      <wps:cNvSpPr txBox="1"/>
                      <wps:spPr>
                        <a:xfrm>
                          <a:ext cx="6087110" cy="661670"/>
                        </a:xfrm>
                        <a:prstGeom prst="rect"/>
                        <a:noFill/>
                      </wps:spPr>
                      <wps:txbx>
                        <w:txbxContent>
                          <w:tbl>
                            <w:tblPr>
                              <w:tblOverlap w:val="never"/>
                              <w:jc w:val="left"/>
                              <w:tblLayout w:type="fixed"/>
                            </w:tblPr>
                            <w:tblGrid>
                              <w:gridCol w:w="1022"/>
                              <w:gridCol w:w="1248"/>
                              <w:gridCol w:w="1008"/>
                              <w:gridCol w:w="1013"/>
                              <w:gridCol w:w="1008"/>
                              <w:gridCol w:w="1008"/>
                              <w:gridCol w:w="1013"/>
                              <w:gridCol w:w="1248"/>
                              <w:gridCol w:w="1018"/>
                            </w:tblGrid>
                            <w:tr>
                              <w:trPr>
                                <w:tblHeade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成本费用</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5.700000000000003pt;margin-top:84.200000000000003pt;width:479.30000000000001pt;height:52.100000000000001pt;z-index:-125829361;mso-wrap-distance-left:0;mso-wrap-distance-top:84.200000000000003pt;mso-wrap-distance-right:0;mso-position-horizontal-relative:page" filled="f" stroked="f">
                <v:textbox inset="0,0,0,0">
                  <w:txbxContent>
                    <w:tbl>
                      <w:tblPr>
                        <w:tblOverlap w:val="never"/>
                        <w:jc w:val="left"/>
                        <w:tblLayout w:type="fixed"/>
                      </w:tblPr>
                      <w:tblGrid>
                        <w:gridCol w:w="1022"/>
                        <w:gridCol w:w="1248"/>
                        <w:gridCol w:w="1008"/>
                        <w:gridCol w:w="1013"/>
                        <w:gridCol w:w="1008"/>
                        <w:gridCol w:w="1008"/>
                        <w:gridCol w:w="1013"/>
                        <w:gridCol w:w="1248"/>
                        <w:gridCol w:w="1018"/>
                      </w:tblGrid>
                      <w:tr>
                        <w:trPr>
                          <w:tblHeade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成本费用</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line="1" w:lineRule="exact"/>
                      </w:pPr>
                    </w:p>
                  </w:txbxContent>
                </v:textbox>
                <w10:wrap type="topAndBottom" anchorx="page"/>
              </v:shape>
            </w:pict>
          </mc:Fallback>
        </mc:AlternateConten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72"/>
      <w:bookmarkEnd w:id="1673"/>
      <w:bookmarkEnd w:id="1675"/>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76"/>
      <w:bookmarkEnd w:id="1677"/>
      <w:bookmarkEnd w:id="1678"/>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42"/>
        <w:gridCol w:w="1363"/>
        <w:gridCol w:w="1022"/>
        <w:gridCol w:w="811"/>
        <w:gridCol w:w="1421"/>
        <w:gridCol w:w="1066"/>
        <w:gridCol w:w="1382"/>
        <w:gridCol w:w="147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252,450,683.00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75,735,204.00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75,657,292.00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328,107,975.00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3"/>
        <w:keepNext w:val="0"/>
        <w:keepLines w:val="0"/>
        <w:widowControl w:val="0"/>
        <w:shd w:val="clear" w:color="auto" w:fill="auto"/>
        <w:tabs>
          <w:tab w:pos="445" w:val="left"/>
        </w:tabs>
        <w:bidi w:val="0"/>
        <w:spacing w:before="0" w:after="100" w:line="240" w:lineRule="auto"/>
        <w:ind w:left="0" w:right="0" w:firstLine="0"/>
        <w:jc w:val="left"/>
      </w:pPr>
      <w:bookmarkStart w:id="1679" w:name="bookmark1679"/>
      <w:r>
        <w:rPr>
          <w:color w:val="000000"/>
          <w:spacing w:val="0"/>
          <w:w w:val="100"/>
          <w:position w:val="0"/>
          <w:sz w:val="18"/>
          <w:szCs w:val="18"/>
        </w:rPr>
        <w:t>（</w:t>
      </w:r>
      <w:bookmarkEnd w:id="1679"/>
      <w:r>
        <w:rPr>
          <w:color w:val="000000"/>
          <w:spacing w:val="0"/>
          <w:w w:val="100"/>
          <w:position w:val="0"/>
          <w:sz w:val="18"/>
          <w:szCs w:val="18"/>
        </w:rPr>
        <w:t>1）</w:t>
        <w:tab/>
      </w:r>
      <w:r>
        <w:rPr>
          <w:color w:val="000000"/>
          <w:spacing w:val="0"/>
          <w:w w:val="100"/>
          <w:position w:val="0"/>
        </w:rPr>
        <w:t>本期增加为资本公积转增股本</w:t>
      </w:r>
      <w:r>
        <w:rPr>
          <w:color w:val="000000"/>
          <w:spacing w:val="0"/>
          <w:w w:val="100"/>
          <w:position w:val="0"/>
          <w:sz w:val="18"/>
          <w:szCs w:val="18"/>
        </w:rPr>
        <w:t>75,735,204</w:t>
      </w:r>
      <w:r>
        <w:rPr>
          <w:color w:val="000000"/>
          <w:spacing w:val="0"/>
          <w:w w:val="100"/>
          <w:position w:val="0"/>
        </w:rPr>
        <w:t>股。</w:t>
      </w:r>
    </w:p>
    <w:p>
      <w:pPr>
        <w:pStyle w:val="Style23"/>
        <w:keepNext w:val="0"/>
        <w:keepLines w:val="0"/>
        <w:widowControl w:val="0"/>
        <w:shd w:val="clear" w:color="auto" w:fill="auto"/>
        <w:tabs>
          <w:tab w:pos="445" w:val="left"/>
        </w:tabs>
        <w:bidi w:val="0"/>
        <w:spacing w:before="0" w:after="240" w:line="240" w:lineRule="auto"/>
        <w:ind w:left="0" w:right="0" w:firstLine="0"/>
        <w:jc w:val="left"/>
      </w:pPr>
      <w:bookmarkStart w:id="1680" w:name="bookmark1680"/>
      <w:r>
        <w:rPr>
          <w:color w:val="000000"/>
          <w:spacing w:val="0"/>
          <w:w w:val="100"/>
          <w:position w:val="0"/>
          <w:sz w:val="18"/>
          <w:szCs w:val="18"/>
        </w:rPr>
        <w:t>（</w:t>
      </w:r>
      <w:bookmarkEnd w:id="1680"/>
      <w:r>
        <w:rPr>
          <w:color w:val="000000"/>
          <w:spacing w:val="0"/>
          <w:w w:val="100"/>
          <w:position w:val="0"/>
          <w:sz w:val="18"/>
          <w:szCs w:val="18"/>
        </w:rPr>
        <w:t>2）</w:t>
        <w:tab/>
      </w:r>
      <w:r>
        <w:rPr>
          <w:color w:val="000000"/>
          <w:spacing w:val="0"/>
          <w:w w:val="100"/>
          <w:position w:val="0"/>
        </w:rPr>
        <w:t>本期减少为回购限制性股票</w:t>
      </w:r>
      <w:r>
        <w:rPr>
          <w:color w:val="000000"/>
          <w:spacing w:val="0"/>
          <w:w w:val="100"/>
          <w:position w:val="0"/>
          <w:sz w:val="18"/>
          <w:szCs w:val="18"/>
        </w:rPr>
        <w:t>77,912</w:t>
      </w:r>
      <w:r>
        <w:rPr>
          <w:color w:val="000000"/>
          <w:spacing w:val="0"/>
          <w:w w:val="100"/>
          <w:position w:val="0"/>
        </w:rPr>
        <w:t>股</w:t>
      </w:r>
    </w:p>
    <w:p>
      <w:pPr>
        <w:pStyle w:val="Style35"/>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81"/>
      <w:bookmarkEnd w:id="1682"/>
      <w:bookmarkEnd w:id="1684"/>
    </w:p>
    <w:p>
      <w:pPr>
        <w:pStyle w:val="Style41"/>
        <w:keepNext/>
        <w:keepLines/>
        <w:widowControl w:val="0"/>
        <w:shd w:val="clear" w:color="auto" w:fill="auto"/>
        <w:tabs>
          <w:tab w:pos="493" w:val="left"/>
        </w:tabs>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85"/>
      <w:bookmarkEnd w:id="1686"/>
      <w:bookmarkEnd w:id="1688"/>
    </w:p>
    <w:p>
      <w:pPr>
        <w:pStyle w:val="Style41"/>
        <w:keepNext/>
        <w:keepLines/>
        <w:widowControl w:val="0"/>
        <w:shd w:val="clear" w:color="auto" w:fill="auto"/>
        <w:tabs>
          <w:tab w:pos="493"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89"/>
      <w:bookmarkEnd w:id="1690"/>
      <w:bookmarkEnd w:id="169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发行在外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的金融工</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3"/>
      <w:bookmarkEnd w:id="1694"/>
      <w:bookmarkEnd w:id="16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170,016,062.53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76,060,918.17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93,955,144.36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1,771,211.20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1,771,211.20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171,787,273.73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76,060,918.17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95,726,355.56</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本年资本公积减少原因：</w:t>
      </w:r>
    </w:p>
    <w:p>
      <w:pPr>
        <w:pStyle w:val="Style23"/>
        <w:keepNext w:val="0"/>
        <w:keepLines w:val="0"/>
        <w:widowControl w:val="0"/>
        <w:shd w:val="clear" w:color="auto" w:fill="auto"/>
        <w:tabs>
          <w:tab w:pos="445" w:val="left"/>
        </w:tabs>
        <w:bidi w:val="0"/>
        <w:spacing w:before="0" w:after="80" w:line="240" w:lineRule="auto"/>
        <w:ind w:left="0" w:right="0" w:firstLine="0"/>
        <w:jc w:val="left"/>
      </w:pPr>
      <w:bookmarkStart w:id="1697" w:name="bookmark1697"/>
      <w:r>
        <w:rPr>
          <w:color w:val="000000"/>
          <w:spacing w:val="0"/>
          <w:w w:val="100"/>
          <w:position w:val="0"/>
          <w:sz w:val="18"/>
          <w:szCs w:val="18"/>
        </w:rPr>
        <w:t>（</w:t>
      </w:r>
      <w:bookmarkEnd w:id="1697"/>
      <w:r>
        <w:rPr>
          <w:color w:val="000000"/>
          <w:spacing w:val="0"/>
          <w:w w:val="100"/>
          <w:position w:val="0"/>
          <w:sz w:val="18"/>
          <w:szCs w:val="18"/>
        </w:rPr>
        <w:t>1）</w:t>
        <w:tab/>
      </w:r>
      <w:r>
        <w:rPr>
          <w:color w:val="000000"/>
          <w:spacing w:val="0"/>
          <w:w w:val="100"/>
          <w:position w:val="0"/>
        </w:rPr>
        <w:t>回购限制性股票</w:t>
      </w:r>
      <w:r>
        <w:rPr>
          <w:color w:val="000000"/>
          <w:spacing w:val="0"/>
          <w:w w:val="100"/>
          <w:position w:val="0"/>
          <w:sz w:val="18"/>
          <w:szCs w:val="18"/>
        </w:rPr>
        <w:t>77,912</w:t>
      </w:r>
      <w:r>
        <w:rPr>
          <w:color w:val="000000"/>
          <w:spacing w:val="0"/>
          <w:w w:val="100"/>
          <w:position w:val="0"/>
        </w:rPr>
        <w:t>.股，冲减资本公积</w:t>
      </w:r>
      <w:r>
        <w:rPr>
          <w:color w:val="000000"/>
          <w:spacing w:val="0"/>
          <w:w w:val="100"/>
          <w:position w:val="0"/>
          <w:sz w:val="18"/>
          <w:szCs w:val="18"/>
        </w:rPr>
        <w:t>325,714.17</w:t>
      </w:r>
      <w:r>
        <w:rPr>
          <w:color w:val="000000"/>
          <w:spacing w:val="0"/>
          <w:w w:val="100"/>
          <w:position w:val="0"/>
        </w:rPr>
        <w:t>元;</w:t>
      </w:r>
    </w:p>
    <w:p>
      <w:pPr>
        <w:pStyle w:val="Style23"/>
        <w:keepNext w:val="0"/>
        <w:keepLines w:val="0"/>
        <w:widowControl w:val="0"/>
        <w:shd w:val="clear" w:color="auto" w:fill="auto"/>
        <w:tabs>
          <w:tab w:pos="445" w:val="left"/>
        </w:tabs>
        <w:bidi w:val="0"/>
        <w:spacing w:before="0" w:after="380" w:line="240" w:lineRule="auto"/>
        <w:ind w:left="0" w:right="0" w:firstLine="0"/>
        <w:jc w:val="left"/>
      </w:pPr>
      <w:bookmarkStart w:id="1698" w:name="bookmark1698"/>
      <w:r>
        <w:rPr>
          <w:color w:val="000000"/>
          <w:spacing w:val="0"/>
          <w:w w:val="100"/>
          <w:position w:val="0"/>
          <w:sz w:val="18"/>
          <w:szCs w:val="18"/>
        </w:rPr>
        <w:t>（</w:t>
      </w:r>
      <w:bookmarkEnd w:id="1698"/>
      <w:r>
        <w:rPr>
          <w:color w:val="000000"/>
          <w:spacing w:val="0"/>
          <w:w w:val="100"/>
          <w:position w:val="0"/>
          <w:sz w:val="18"/>
          <w:szCs w:val="18"/>
        </w:rPr>
        <w:t>2）</w:t>
        <w:tab/>
      </w:r>
      <w:r>
        <w:rPr>
          <w:color w:val="000000"/>
          <w:spacing w:val="0"/>
          <w:w w:val="100"/>
          <w:position w:val="0"/>
        </w:rPr>
        <w:t>公积金转增股本</w:t>
      </w:r>
      <w:r>
        <w:rPr>
          <w:color w:val="000000"/>
          <w:spacing w:val="0"/>
          <w:w w:val="100"/>
          <w:position w:val="0"/>
          <w:sz w:val="18"/>
          <w:szCs w:val="18"/>
        </w:rPr>
        <w:t>75,735,204.0</w:t>
      </w:r>
      <w:r>
        <w:rPr>
          <w:color w:val="000000"/>
          <w:spacing w:val="0"/>
          <w:w w:val="100"/>
          <w:position w:val="0"/>
          <w:sz w:val="18"/>
          <w:szCs w:val="18"/>
        </w:rPr>
        <w:t>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99"/>
      <w:bookmarkEnd w:id="1700"/>
      <w:bookmarkEnd w:id="1702"/>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403,630.77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库存股系本公司实施限制性股票激励计划产生，本年减少系因条件未成就而回购限售股所致。</w:t>
      </w:r>
    </w:p>
    <w:p>
      <w:pPr>
        <w:pStyle w:val="Style35"/>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03"/>
      <w:bookmarkEnd w:id="1704"/>
      <w:bookmarkEnd w:id="17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得税前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属于少</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6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bottom w:val="single" w:sz="4"/>
            </w:tcBorders>
            <w:shd w:val="clear" w:color="auto" w:fill="D3D3D3"/>
            <w:vAlign w:val="top"/>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合收益当</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期转入损</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他综合 收益当 期转入 留存收 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07"/>
      <w:bookmarkEnd w:id="1708"/>
      <w:bookmarkEnd w:id="1710"/>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11"/>
      <w:bookmarkEnd w:id="1712"/>
      <w:bookmarkEnd w:id="17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42,909,543.74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1,278,136.30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44,187,680.04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42,909,543.74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1,278,136.30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44,187,680.04</w:t>
            </w:r>
          </w:p>
        </w:tc>
      </w:tr>
    </w:tbl>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盈余公积说明，包括本期增减变动情况、变动原因说明：</w:t>
      </w:r>
    </w:p>
    <w:p>
      <w:pPr>
        <w:pStyle w:val="Style23"/>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根据《公司法》、公司章程的规定，本公司按净利润的</w:t>
      </w:r>
      <w:r>
        <w:rPr>
          <w:color w:val="000000"/>
          <w:spacing w:val="0"/>
          <w:w w:val="100"/>
          <w:position w:val="0"/>
          <w:sz w:val="18"/>
          <w:szCs w:val="18"/>
        </w:rPr>
        <w:t>10%</w:t>
      </w:r>
      <w:r>
        <w:rPr>
          <w:color w:val="000000"/>
          <w:spacing w:val="0"/>
          <w:w w:val="100"/>
          <w:position w:val="0"/>
        </w:rPr>
        <w:t>提取法定盈余公积。法定盈余公积累计额达到本公司注册资本</w:t>
      </w:r>
      <w:r>
        <w:rPr>
          <w:color w:val="000000"/>
          <w:spacing w:val="0"/>
          <w:w w:val="100"/>
          <w:position w:val="0"/>
          <w:sz w:val="18"/>
          <w:szCs w:val="18"/>
        </w:rPr>
        <w:t xml:space="preserve">50% </w:t>
      </w:r>
      <w:r>
        <w:rPr>
          <w:color w:val="000000"/>
          <w:spacing w:val="0"/>
          <w:w w:val="100"/>
          <w:position w:val="0"/>
        </w:rPr>
        <w:t>以上的，不再提取。</w:t>
      </w:r>
    </w:p>
    <w:p>
      <w:pPr>
        <w:pStyle w:val="Style35"/>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15"/>
      <w:bookmarkEnd w:id="1716"/>
      <w:bookmarkEnd w:id="1718"/>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199,927,401.93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204,672,798.06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199,927,401.93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204,672,798.06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14,183,070.66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17,285,190.02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1,278,136.30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1,731,638.31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20,191,260.00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20,298,947.84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192,641,076.29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199,927,401.93</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20" w:line="240" w:lineRule="auto"/>
        <w:ind w:left="0" w:right="0" w:firstLine="0"/>
        <w:jc w:val="left"/>
      </w:pPr>
      <w:bookmarkStart w:id="1719" w:name="bookmark1719"/>
      <w:r>
        <w:rPr>
          <w:rFonts w:ascii="Times New Roman" w:eastAsia="Times New Roman" w:hAnsi="Times New Roman" w:cs="Times New Roman"/>
          <w:color w:val="000000"/>
          <w:spacing w:val="0"/>
          <w:w w:val="100"/>
          <w:position w:val="0"/>
          <w:sz w:val="18"/>
          <w:szCs w:val="18"/>
        </w:rPr>
        <w:t>1</w:t>
      </w:r>
      <w:bookmarkEnd w:id="17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720" w:name="bookmark1720"/>
      <w:r>
        <w:rPr>
          <w:rFonts w:ascii="Times New Roman" w:eastAsia="Times New Roman" w:hAnsi="Times New Roman" w:cs="Times New Roman"/>
          <w:color w:val="000000"/>
          <w:spacing w:val="0"/>
          <w:w w:val="100"/>
          <w:position w:val="0"/>
          <w:sz w:val="18"/>
          <w:szCs w:val="18"/>
        </w:rPr>
        <w:t>2</w:t>
      </w:r>
      <w:bookmarkEnd w:id="17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721" w:name="bookmark1721"/>
      <w:r>
        <w:rPr>
          <w:rFonts w:ascii="Times New Roman" w:eastAsia="Times New Roman" w:hAnsi="Times New Roman" w:cs="Times New Roman"/>
          <w:color w:val="000000"/>
          <w:spacing w:val="0"/>
          <w:w w:val="100"/>
          <w:position w:val="0"/>
          <w:sz w:val="18"/>
          <w:szCs w:val="18"/>
        </w:rPr>
        <w:t>3</w:t>
      </w:r>
      <w:bookmarkEnd w:id="17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722" w:name="bookmark1722"/>
      <w:r>
        <w:rPr>
          <w:rFonts w:ascii="Times New Roman" w:eastAsia="Times New Roman" w:hAnsi="Times New Roman" w:cs="Times New Roman"/>
          <w:color w:val="000000"/>
          <w:spacing w:val="0"/>
          <w:w w:val="100"/>
          <w:position w:val="0"/>
          <w:sz w:val="18"/>
          <w:szCs w:val="18"/>
        </w:rPr>
        <w:t>4</w:t>
      </w:r>
      <w:bookmarkEnd w:id="17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3"/>
        <w:keepNext w:val="0"/>
        <w:keepLines w:val="0"/>
        <w:widowControl w:val="0"/>
        <w:shd w:val="clear" w:color="auto" w:fill="auto"/>
        <w:tabs>
          <w:tab w:pos="349" w:val="left"/>
        </w:tabs>
        <w:bidi w:val="0"/>
        <w:spacing w:before="0" w:after="120" w:line="240" w:lineRule="auto"/>
        <w:ind w:left="0" w:right="0" w:firstLine="0"/>
        <w:jc w:val="left"/>
      </w:pPr>
      <w:bookmarkStart w:id="1723" w:name="bookmark1723"/>
      <w:r>
        <w:rPr>
          <w:rFonts w:ascii="Times New Roman" w:eastAsia="Times New Roman" w:hAnsi="Times New Roman" w:cs="Times New Roman"/>
          <w:color w:val="000000"/>
          <w:spacing w:val="0"/>
          <w:w w:val="100"/>
          <w:position w:val="0"/>
          <w:sz w:val="18"/>
          <w:szCs w:val="18"/>
        </w:rPr>
        <w:t>5</w:t>
      </w:r>
      <w:bookmarkEnd w:id="17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35"/>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6</w:t>
      </w:r>
      <w:bookmarkEnd w:id="172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24"/>
      <w:bookmarkEnd w:id="1725"/>
      <w:bookmarkEnd w:id="17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166,846,236.57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84,942,757.91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203,445,856.08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110,257,130.11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384,972.75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286,704.20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84,985,305.26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203,926,202.98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110,543,834.31</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根据合同约定，当商品运送至客户或客户验收该商品时，客户取得商品的控制权，本集团确认收入。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服务合同</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本集团在提供服务的过程中确认收入。对于合同中包含两项或多项履约义务的，本集团在合同开始日即按照各单项服务的单 独售价的相对比例将交易价格分摊至各项服务。各项服务的单独售价依据本集团单独销售各项服务的价格得出。</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6</w:t>
      </w:r>
      <w:bookmarkEnd w:id="173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28"/>
      <w:bookmarkEnd w:id="1729"/>
      <w:bookmarkEnd w:id="173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560,985.64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716,948.68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240,422.40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307,263.73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1,528,409.77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42,609.90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140,392.82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160,281.62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204,842.49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2,640,743.89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1,496,645.62</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各项税金及附加的计缴标准详见附注六、税项。</w:t>
      </w:r>
    </w:p>
    <w:p>
      <w:pPr>
        <w:pStyle w:val="Style35"/>
        <w:keepNext/>
        <w:keepLines/>
        <w:widowControl w:val="0"/>
        <w:shd w:val="clear" w:color="auto" w:fill="auto"/>
        <w:bidi w:val="0"/>
        <w:spacing w:before="0" w:after="40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6</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32"/>
      <w:bookmarkEnd w:id="1733"/>
      <w:bookmarkEnd w:id="173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19,246,296.03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21,082,402.10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1,181,493.02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705,897.64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1,907,282.90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912,337.22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8,534,575.63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17,251,743.54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5,374,567.61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5,808,738.06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790,186.44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1,066,457.20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2,366,587.35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468,988.29</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57,884.90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1,816,817.11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266,051.27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39,474,113.50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49,379,432.43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6</w:t>
      </w:r>
      <w:bookmarkEnd w:id="173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36"/>
      <w:bookmarkEnd w:id="1737"/>
      <w:bookmarkEnd w:id="173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7,965,586.86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8,861,526.54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5,299,747.92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1,356,778.24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1,629,374.40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3,437,044.83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2,448,247.20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1,011,816.70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180,829.15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1,103,602.02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1,413,320.63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1,592,443.10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2,373,072.51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643,602.78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-147,817.78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112,661.10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385,333.23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20,332,491.75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19,402,728.20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6</w:t>
      </w:r>
      <w:bookmarkEnd w:id="174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40"/>
      <w:bookmarkEnd w:id="1741"/>
      <w:bookmarkEnd w:id="174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16,931,396.81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16,361,541.99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694,984.06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1,379,226.36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583,132.65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787,454.59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581,571.70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1,143,555.08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1,752,388.69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1,075,332.10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453,611.77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2,106,465.72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检测认证费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579,823.22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775,695.84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712,606.07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2,317,510.15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22,289,514.97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25,946,781.83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4"/>
      <w:bookmarkEnd w:id="1745"/>
      <w:bookmarkEnd w:id="174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232,621.92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111,795.72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102,036.16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111,795.72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-496,698.07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-400,766.51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47,434.73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68,426.63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-318,677.58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-330,178.07</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48"/>
      <w:bookmarkEnd w:id="1749"/>
      <w:bookmarkEnd w:id="1751"/>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9,600,043.86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17,535,820.01</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扣缴税款手续费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59,445.27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293,712.97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52"/>
      <w:bookmarkEnd w:id="1753"/>
      <w:bookmarkEnd w:id="1755"/>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5,271,854.55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5,271,854.55</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56"/>
      <w:bookmarkEnd w:id="1757"/>
      <w:bookmarkEnd w:id="175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7</w:t>
      </w:r>
      <w:bookmarkEnd w:id="176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0"/>
      <w:bookmarkEnd w:id="1761"/>
      <w:bookmarkEnd w:id="176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245,931.50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245,931.50</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64"/>
      <w:bookmarkEnd w:id="1765"/>
      <w:bookmarkEnd w:id="1767"/>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11,822.59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1,967,252.48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1,033,095.73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1,518,316.67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1,044,918.32</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68"/>
      <w:bookmarkEnd w:id="1769"/>
      <w:bookmarkEnd w:id="1771"/>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-3,311,465.24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-3,311,465.24</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72"/>
      <w:bookmarkEnd w:id="1773"/>
      <w:bookmarkEnd w:id="1775"/>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76"/>
      <w:bookmarkEnd w:id="1777"/>
      <w:bookmarkEnd w:id="1779"/>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3"/>
        <w:keepNext w:val="0"/>
        <w:keepLines w:val="0"/>
        <w:widowControl w:val="0"/>
        <w:shd w:val="clear" w:color="auto" w:fill="auto"/>
        <w:bidi w:val="0"/>
        <w:spacing w:before="0" w:after="2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0"/>
      <w:bookmarkEnd w:id="1781"/>
      <w:bookmarkEnd w:id="178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30,622.91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103,872.12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30,622.91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3,441.92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34,064.83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254,429.03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34,064.83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4"/>
      <w:bookmarkEnd w:id="1785"/>
      <w:bookmarkEnd w:id="1787"/>
    </w:p>
    <w:p>
      <w:pPr>
        <w:pStyle w:val="Style41"/>
        <w:keepNext/>
        <w:keepLines/>
        <w:widowControl w:val="0"/>
        <w:shd w:val="clear" w:color="auto" w:fill="auto"/>
        <w:bidi w:val="0"/>
        <w:spacing w:before="0" w:after="380" w:line="240" w:lineRule="auto"/>
        <w:ind w:left="0" w:right="0" w:firstLine="0"/>
        <w:jc w:val="both"/>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88"/>
      <w:bookmarkEnd w:id="1789"/>
      <w:bookmarkEnd w:id="1790"/>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-442,456.03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1,358,850.37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-300,768.83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-390,873.38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1,058,081.54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91"/>
      <w:bookmarkEnd w:id="1792"/>
      <w:bookmarkEnd w:id="179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13,505,602.68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2,025,840.39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-442,456.03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972,873.69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113,573.52</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-3,015,275.54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-390,873.38</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7</w:t>
      </w:r>
      <w:bookmarkEnd w:id="179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94"/>
      <w:bookmarkEnd w:id="1795"/>
      <w:bookmarkEnd w:id="1797"/>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98"/>
      <w:bookmarkEnd w:id="1799"/>
      <w:bookmarkEnd w:id="1801"/>
    </w:p>
    <w:p>
      <w:pPr>
        <w:pStyle w:val="Style41"/>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02"/>
      <w:bookmarkEnd w:id="1803"/>
      <w:bookmarkEnd w:id="1804"/>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496,698.07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400,766.51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5,633,320.00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687,628.78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467,670.73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786,083.46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4,089,446.99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7,507,798.75</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05"/>
      <w:bookmarkEnd w:id="1806"/>
      <w:bookmarkEnd w:id="1807"/>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36,937,042.78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43,339,619.73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305,816.00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265,333.12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90,098.18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37,323,291.75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43,845,051.03</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08"/>
      <w:bookmarkEnd w:id="1809"/>
      <w:bookmarkEnd w:id="1811"/>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1"/>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12"/>
      <w:bookmarkEnd w:id="1813"/>
      <w:bookmarkEnd w:id="1815"/>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16"/>
      <w:bookmarkEnd w:id="1817"/>
      <w:bookmarkEnd w:id="1819"/>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20"/>
      <w:bookmarkEnd w:id="1821"/>
      <w:bookmarkEnd w:id="1823"/>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4,185,686.12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回购注销股权激励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398,831.53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9,921,520.64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4,584,517.65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9,921,520.64</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7</w:t>
      </w:r>
      <w:bookmarkEnd w:id="182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24"/>
      <w:bookmarkEnd w:id="1825"/>
      <w:bookmarkEnd w:id="1827"/>
    </w:p>
    <w:p>
      <w:pPr>
        <w:pStyle w:val="Style41"/>
        <w:keepNext/>
        <w:keepLines/>
        <w:widowControl w:val="0"/>
        <w:shd w:val="clear" w:color="auto" w:fill="auto"/>
        <w:bidi w:val="0"/>
        <w:spacing w:before="0" w:after="380" w:line="240" w:lineRule="auto"/>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28"/>
      <w:bookmarkEnd w:id="1829"/>
      <w:bookmarkEnd w:id="1830"/>
    </w:p>
    <w:p>
      <w:pPr>
        <w:pStyle w:val="Style2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13,896,476.06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17,255,220.20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-1,518,316.67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2,266,546.92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5,273,397.11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2,027,483.55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3,646,979.23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981,551.05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840,183.82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178,771.77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355,415.55</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固定资产报废损失（收益以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30,379.70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103,872.12</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-245,931.50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-5,271,854.55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-337,658.56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36,889.73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-14,595,392.80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-5,296,959.33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-9,513,762.02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26,804,263.01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-15,031,667.38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10,767,427.18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-308,196.63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-413,150.90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-21,311,512.61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48,893,909.05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48,856,136.97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81,989,838.59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81,989,838.59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119,509,503.52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-33,133,701.62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-37,519,664.93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31"/>
      <w:bookmarkEnd w:id="1832"/>
      <w:bookmarkEnd w:id="183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numPr>
          <w:ilvl w:val="0"/>
          <w:numId w:val="65"/>
        </w:numPr>
        <w:shd w:val="clear" w:color="auto" w:fill="auto"/>
        <w:bidi w:val="0"/>
        <w:spacing w:before="0" w:after="400" w:line="240" w:lineRule="auto"/>
        <w:ind w:left="0" w:right="0" w:firstLine="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本期收到的处置子公司的现金净额</w:t>
      </w:r>
      <w:bookmarkEnd w:id="1834"/>
      <w:bookmarkEnd w:id="1835"/>
      <w:bookmarkEnd w:id="1837"/>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numPr>
          <w:ilvl w:val="0"/>
          <w:numId w:val="65"/>
        </w:numPr>
        <w:shd w:val="clear" w:color="auto" w:fill="auto"/>
        <w:bidi w:val="0"/>
        <w:spacing w:before="0" w:after="40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现金和现金等价物的构成</w:t>
      </w:r>
      <w:bookmarkEnd w:id="1838"/>
      <w:bookmarkEnd w:id="1839"/>
      <w:bookmarkEnd w:id="1841"/>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48,856,136.97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81,989,838.59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128,778.18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102,914.27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48,727,358.79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81,886,924.32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48,856,136.97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81,989,838.59</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本公司本年用销售商品收到的银行承兑汇票背书转让支付货款的金额为：</w:t>
      </w:r>
      <w:r>
        <w:rPr>
          <w:color w:val="000000"/>
          <w:spacing w:val="0"/>
          <w:w w:val="100"/>
          <w:position w:val="0"/>
          <w:sz w:val="18"/>
          <w:szCs w:val="18"/>
        </w:rPr>
        <w:t xml:space="preserve">6, 808, </w:t>
      </w:r>
      <w:r>
        <w:rPr>
          <w:color w:val="000000"/>
          <w:spacing w:val="0"/>
          <w:w w:val="100"/>
          <w:position w:val="0"/>
          <w:sz w:val="18"/>
          <w:szCs w:val="18"/>
        </w:rPr>
        <w:t xml:space="preserve">828. </w:t>
      </w:r>
      <w:r>
        <w:rPr>
          <w:color w:val="000000"/>
          <w:spacing w:val="0"/>
          <w:w w:val="100"/>
          <w:position w:val="0"/>
          <w:sz w:val="18"/>
          <w:szCs w:val="18"/>
        </w:rPr>
        <w:t>05</w:t>
      </w:r>
      <w:r>
        <w:rPr>
          <w:color w:val="000000"/>
          <w:spacing w:val="0"/>
          <w:w w:val="100"/>
          <w:position w:val="0"/>
        </w:rPr>
        <w:t>元。</w:t>
      </w:r>
    </w:p>
    <w:p>
      <w:pPr>
        <w:pStyle w:val="Style35"/>
        <w:keepNext/>
        <w:keepLines/>
        <w:widowControl w:val="0"/>
        <w:shd w:val="clear" w:color="auto" w:fill="auto"/>
        <w:tabs>
          <w:tab w:pos="483" w:val="left"/>
        </w:tabs>
        <w:bidi w:val="0"/>
        <w:spacing w:before="0" w:after="40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8</w:t>
      </w:r>
      <w:bookmarkEnd w:id="184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42"/>
      <w:bookmarkEnd w:id="1843"/>
      <w:bookmarkEnd w:id="1845"/>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说明对上年期末余额进行调整的“其他”项目名称及调整金额等事项：</w:t>
      </w:r>
    </w:p>
    <w:p>
      <w:pPr>
        <w:pStyle w:val="Style35"/>
        <w:keepNext/>
        <w:keepLines/>
        <w:widowControl w:val="0"/>
        <w:shd w:val="clear" w:color="auto" w:fill="auto"/>
        <w:tabs>
          <w:tab w:pos="483" w:val="left"/>
        </w:tabs>
        <w:bidi w:val="0"/>
        <w:spacing w:before="0" w:after="40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8</w:t>
      </w:r>
      <w:bookmarkEnd w:id="184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46"/>
      <w:bookmarkEnd w:id="1847"/>
      <w:bookmarkEnd w:id="184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1,216,817.12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保函及汇票保证金</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1,216,817.12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日止，其他货币资金</w:t>
      </w:r>
      <w:r>
        <w:rPr>
          <w:color w:val="000000"/>
          <w:spacing w:val="0"/>
          <w:w w:val="100"/>
          <w:position w:val="0"/>
          <w:sz w:val="18"/>
          <w:szCs w:val="18"/>
        </w:rPr>
        <w:t>1,216,817.12</w:t>
      </w:r>
      <w:r>
        <w:rPr>
          <w:color w:val="000000"/>
          <w:spacing w:val="0"/>
          <w:w w:val="100"/>
          <w:position w:val="0"/>
        </w:rPr>
        <w:t>元为受限的保函及汇票保证金。</w:t>
      </w:r>
      <w:r>
        <w:br w:type="page"/>
      </w:r>
    </w:p>
    <w:p>
      <w:pPr>
        <w:pStyle w:val="Style35"/>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8</w:t>
      </w:r>
      <w:bookmarkEnd w:id="185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50"/>
      <w:bookmarkEnd w:id="1851"/>
      <w:bookmarkEnd w:id="1853"/>
    </w:p>
    <w:p>
      <w:pPr>
        <w:pStyle w:val="Style41"/>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54"/>
      <w:bookmarkEnd w:id="1855"/>
      <w:bookmarkEnd w:id="185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326" w:lineRule="exact"/>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57"/>
      <w:bookmarkEnd w:id="1858"/>
      <w:bookmarkEnd w:id="1859"/>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483" w:val="left"/>
        </w:tabs>
        <w:bidi w:val="0"/>
        <w:spacing w:before="0" w:after="380" w:line="326" w:lineRule="exact"/>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8</w:t>
      </w:r>
      <w:bookmarkEnd w:id="186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60"/>
      <w:bookmarkEnd w:id="1861"/>
      <w:bookmarkEnd w:id="1863"/>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83" w:val="left"/>
        </w:tabs>
        <w:bidi w:val="0"/>
        <w:spacing w:before="0" w:after="280" w:line="326" w:lineRule="exact"/>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64"/>
      <w:bookmarkEnd w:id="1865"/>
      <w:bookmarkEnd w:id="1867"/>
    </w:p>
    <w:p>
      <w:pPr>
        <w:pStyle w:val="Style41"/>
        <w:keepNext/>
        <w:keepLines/>
        <w:widowControl w:val="0"/>
        <w:shd w:val="clear" w:color="auto" w:fill="auto"/>
        <w:bidi w:val="0"/>
        <w:spacing w:before="0" w:after="380" w:line="326" w:lineRule="exact"/>
        <w:ind w:left="0" w:right="0" w:firstLine="0"/>
        <w:jc w:val="left"/>
      </w:pPr>
      <w:bookmarkStart w:id="1868" w:name="bookmark1868"/>
      <w:bookmarkStart w:id="1869" w:name="bookmark1869"/>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68"/>
      <w:bookmarkEnd w:id="1869"/>
      <w:bookmarkEnd w:id="187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19"/>
        <w:gridCol w:w="1579"/>
        <w:gridCol w:w="1661"/>
        <w:gridCol w:w="212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6,529,043.86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6,529,043.86</w:t>
            </w:r>
          </w:p>
        </w:tc>
      </w:tr>
    </w:tbl>
    <w:p>
      <w:pPr>
        <w:widowControl w:val="0"/>
        <w:spacing w:line="1" w:lineRule="exact"/>
      </w:pPr>
      <w:r>
        <w:br w:type="page"/>
      </w:r>
    </w:p>
    <w:tbl>
      <w:tblPr>
        <w:tblOverlap w:val="never"/>
        <w:jc w:val="center"/>
        <w:tblLayout w:type="fixed"/>
      </w:tblPr>
      <w:tblGrid>
        <w:gridCol w:w="4219"/>
        <w:gridCol w:w="1579"/>
        <w:gridCol w:w="1661"/>
        <w:gridCol w:w="2126"/>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应对疫情助力企业平稳增长奖励资金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珠海市促进新一代信息技术产业发展用途专项资金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珠海市专利促进专项资金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珠海市两化融合发展奖补项目资金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71"/>
      <w:bookmarkEnd w:id="1872"/>
      <w:bookmarkEnd w:id="1873"/>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74"/>
      <w:bookmarkEnd w:id="1875"/>
      <w:bookmarkEnd w:id="1876"/>
    </w:p>
    <w:p>
      <w:pPr>
        <w:pStyle w:val="Style29"/>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八</w:t>
      </w:r>
      <w:bookmarkEnd w:id="1879"/>
      <w:r>
        <w:rPr>
          <w:color w:val="000000"/>
          <w:spacing w:val="0"/>
          <w:w w:val="100"/>
          <w:position w:val="0"/>
        </w:rPr>
        <w:t>、合并范围的变更</w:t>
      </w:r>
      <w:bookmarkEnd w:id="1877"/>
      <w:bookmarkEnd w:id="1878"/>
      <w:bookmarkEnd w:id="1880"/>
    </w:p>
    <w:p>
      <w:pPr>
        <w:pStyle w:val="Style35"/>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1</w:t>
      </w:r>
      <w:bookmarkEnd w:id="1883"/>
      <w:r>
        <w:rPr>
          <w:color w:val="000000"/>
          <w:spacing w:val="0"/>
          <w:w w:val="100"/>
          <w:position w:val="0"/>
        </w:rPr>
        <w:t>、非同一控制下企业合并</w:t>
      </w:r>
      <w:bookmarkEnd w:id="1881"/>
      <w:bookmarkEnd w:id="1882"/>
      <w:bookmarkEnd w:id="1884"/>
    </w:p>
    <w:p>
      <w:pPr>
        <w:pStyle w:val="Style41"/>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85"/>
      <w:bookmarkEnd w:id="1886"/>
      <w:bookmarkEnd w:id="188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88"/>
      <w:bookmarkEnd w:id="1889"/>
      <w:bookmarkEnd w:id="189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14"/>
        <w:gridCol w:w="4891"/>
      </w:tblGrid>
      <w:tr>
        <w:trPr>
          <w:trHeight w:val="322"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67"/>
        </w:numPr>
        <w:shd w:val="clear" w:color="auto" w:fill="auto"/>
        <w:bidi w:val="0"/>
        <w:spacing w:before="0" w:after="38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被购买方于购买日可辨认资产、负债</w:t>
      </w:r>
      <w:bookmarkEnd w:id="1891"/>
      <w:bookmarkEnd w:id="1892"/>
      <w:bookmarkEnd w:id="18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67"/>
        </w:numPr>
        <w:shd w:val="clear" w:color="auto" w:fill="auto"/>
        <w:bidi w:val="0"/>
        <w:spacing w:before="0" w:after="380" w:line="240" w:lineRule="auto"/>
        <w:ind w:left="0" w:right="0" w:firstLine="0"/>
        <w:jc w:val="left"/>
      </w:pPr>
      <w:bookmarkStart w:id="1895" w:name="bookmark1895"/>
      <w:bookmarkStart w:id="1896" w:name="bookmark1896"/>
      <w:bookmarkStart w:id="1897" w:name="bookmark1897"/>
      <w:bookmarkStart w:id="1898" w:name="bookmark1898"/>
      <w:bookmarkEnd w:id="1897"/>
      <w:r>
        <w:rPr>
          <w:color w:val="000000"/>
          <w:spacing w:val="0"/>
          <w:w w:val="100"/>
          <w:position w:val="0"/>
        </w:rPr>
        <w:t>购买日之前持有的股权按照公允价值重新计量产生的利得或损失</w:t>
      </w:r>
      <w:bookmarkEnd w:id="1895"/>
      <w:bookmarkEnd w:id="1896"/>
      <w:bookmarkEnd w:id="189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41"/>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99"/>
      <w:bookmarkEnd w:id="1900"/>
      <w:bookmarkEnd w:id="1902"/>
    </w:p>
    <w:p>
      <w:pPr>
        <w:pStyle w:val="Style41"/>
        <w:keepNext/>
        <w:keepLines/>
        <w:widowControl w:val="0"/>
        <w:shd w:val="clear" w:color="auto" w:fill="auto"/>
        <w:tabs>
          <w:tab w:pos="493" w:val="left"/>
        </w:tabs>
        <w:bidi w:val="0"/>
        <w:spacing w:before="0" w:after="38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03"/>
      <w:bookmarkEnd w:id="1904"/>
      <w:bookmarkEnd w:id="1906"/>
    </w:p>
    <w:p>
      <w:pPr>
        <w:pStyle w:val="Style35"/>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2</w:t>
      </w:r>
      <w:bookmarkEnd w:id="1909"/>
      <w:r>
        <w:rPr>
          <w:color w:val="000000"/>
          <w:spacing w:val="0"/>
          <w:w w:val="100"/>
          <w:position w:val="0"/>
        </w:rPr>
        <w:t>、同一控制下企业合并</w:t>
      </w:r>
      <w:bookmarkEnd w:id="1907"/>
      <w:bookmarkEnd w:id="1908"/>
      <w:bookmarkEnd w:id="1910"/>
    </w:p>
    <w:p>
      <w:pPr>
        <w:pStyle w:val="Style41"/>
        <w:keepNext/>
        <w:keepLines/>
        <w:widowControl w:val="0"/>
        <w:shd w:val="clear" w:color="auto" w:fill="auto"/>
        <w:bidi w:val="0"/>
        <w:spacing w:before="0" w:after="38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11"/>
      <w:bookmarkEnd w:id="1912"/>
      <w:bookmarkEnd w:id="191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构成同一</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控制下企</w:t>
            </w:r>
          </w:p>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业合并的</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并方的净</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比较期间</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被合并方</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14"/>
      <w:bookmarkEnd w:id="1915"/>
      <w:bookmarkEnd w:id="191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17"/>
      <w:bookmarkEnd w:id="1918"/>
      <w:bookmarkEnd w:id="1920"/>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color w:val="000000"/>
          <w:spacing w:val="0"/>
          <w:w w:val="100"/>
          <w:position w:val="0"/>
        </w:rPr>
        <w:t>、</w:t>
        <w:tab/>
        <w:t>反向购买</w:t>
      </w:r>
      <w:bookmarkEnd w:id="1921"/>
      <w:bookmarkEnd w:id="1922"/>
      <w:bookmarkEnd w:id="1924"/>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4</w:t>
      </w:r>
      <w:bookmarkEnd w:id="1927"/>
      <w:r>
        <w:rPr>
          <w:color w:val="000000"/>
          <w:spacing w:val="0"/>
          <w:w w:val="100"/>
          <w:position w:val="0"/>
        </w:rPr>
        <w:t>、</w:t>
        <w:tab/>
        <w:t>处置子公司</w:t>
      </w:r>
      <w:bookmarkEnd w:id="1925"/>
      <w:bookmarkEnd w:id="1926"/>
      <w:bookmarkEnd w:id="1928"/>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5</w:t>
      </w:r>
      <w:bookmarkEnd w:id="1931"/>
      <w:r>
        <w:rPr>
          <w:color w:val="000000"/>
          <w:spacing w:val="0"/>
          <w:w w:val="100"/>
          <w:position w:val="0"/>
        </w:rPr>
        <w:t>、</w:t>
        <w:tab/>
        <w:t>其他原因的合并范围变动</w:t>
      </w:r>
      <w:bookmarkEnd w:id="1929"/>
      <w:bookmarkEnd w:id="1930"/>
      <w:bookmarkEnd w:id="1932"/>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6</w:t>
      </w:r>
      <w:bookmarkEnd w:id="1935"/>
      <w:r>
        <w:rPr>
          <w:color w:val="000000"/>
          <w:spacing w:val="0"/>
          <w:w w:val="100"/>
          <w:position w:val="0"/>
        </w:rPr>
        <w:t>、</w:t>
        <w:tab/>
        <w:t>其他</w:t>
      </w:r>
      <w:bookmarkEnd w:id="1933"/>
      <w:bookmarkEnd w:id="1934"/>
      <w:bookmarkEnd w:id="1936"/>
    </w:p>
    <w:p>
      <w:pPr>
        <w:pStyle w:val="Style29"/>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九</w:t>
      </w:r>
      <w:bookmarkEnd w:id="1939"/>
      <w:r>
        <w:rPr>
          <w:color w:val="000000"/>
          <w:spacing w:val="0"/>
          <w:w w:val="100"/>
          <w:position w:val="0"/>
        </w:rPr>
        <w:t>、在其他主体中的权益</w:t>
      </w:r>
      <w:bookmarkEnd w:id="1937"/>
      <w:bookmarkEnd w:id="1938"/>
      <w:bookmarkEnd w:id="1940"/>
    </w:p>
    <w:p>
      <w:pPr>
        <w:pStyle w:val="Style35"/>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bookmarkEnd w:id="1943"/>
      <w:r>
        <w:rPr>
          <w:color w:val="000000"/>
          <w:spacing w:val="0"/>
          <w:w w:val="100"/>
          <w:position w:val="0"/>
        </w:rPr>
        <w:t>、在子公司中的权益</w:t>
      </w:r>
      <w:bookmarkEnd w:id="1941"/>
      <w:bookmarkEnd w:id="1942"/>
      <w:bookmarkEnd w:id="1944"/>
    </w:p>
    <w:p>
      <w:pPr>
        <w:pStyle w:val="Style41"/>
        <w:keepNext/>
        <w:keepLines/>
        <w:widowControl w:val="0"/>
        <w:shd w:val="clear" w:color="auto" w:fill="auto"/>
        <w:bidi w:val="0"/>
        <w:spacing w:before="0" w:after="380" w:line="240" w:lineRule="auto"/>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45"/>
      <w:bookmarkEnd w:id="1946"/>
      <w:bookmarkEnd w:id="194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贵安新区贵金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智能科技产品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的研发与销售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br w:type="page"/>
      </w: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48"/>
      <w:bookmarkEnd w:id="1949"/>
      <w:bookmarkEnd w:id="19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贵安新区贵金科技有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-286,594.60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-1,972,285.00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51"/>
      <w:bookmarkEnd w:id="1952"/>
      <w:bookmarkEnd w:id="195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资产</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负债</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流动</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资产</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负债</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r>
      <w:tr>
        <w:trPr>
          <w:trHeight w:val="91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贵安</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新区</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w:t>
            </w:r>
          </w:p>
        </w:tc>
      </w:tr>
      <w:tr>
        <w:trPr>
          <w:trHeight w:val="1061"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959.21</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,623.6</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,582.8</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,654.2</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经营活动</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贵安新区</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贵金科技</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-584,886.9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-584,886.9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499,468.22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-61,162.89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-61,162.89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-17,512.16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55"/>
      <w:bookmarkEnd w:id="1956"/>
      <w:bookmarkEnd w:id="1958"/>
    </w:p>
    <w:p>
      <w:pPr>
        <w:pStyle w:val="Style41"/>
        <w:keepNext/>
        <w:keepLines/>
        <w:widowControl w:val="0"/>
        <w:shd w:val="clear" w:color="auto" w:fill="auto"/>
        <w:tabs>
          <w:tab w:pos="493" w:val="left"/>
        </w:tabs>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59"/>
      <w:bookmarkEnd w:id="1960"/>
      <w:bookmarkEnd w:id="1962"/>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、在子公司的所有者权益份额发生变化且仍控制子公司的交易</w:t>
      </w:r>
      <w:bookmarkEnd w:id="1963"/>
      <w:bookmarkEnd w:id="1964"/>
      <w:bookmarkEnd w:id="1966"/>
    </w:p>
    <w:p>
      <w:pPr>
        <w:pStyle w:val="Style41"/>
        <w:keepNext/>
        <w:keepLines/>
        <w:widowControl w:val="0"/>
        <w:shd w:val="clear" w:color="auto" w:fill="auto"/>
        <w:tabs>
          <w:tab w:pos="493" w:val="left"/>
        </w:tabs>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67"/>
      <w:bookmarkEnd w:id="1968"/>
      <w:bookmarkEnd w:id="1970"/>
    </w:p>
    <w:p>
      <w:pPr>
        <w:pStyle w:val="Style41"/>
        <w:keepNext/>
        <w:keepLines/>
        <w:widowControl w:val="0"/>
        <w:shd w:val="clear" w:color="auto" w:fill="auto"/>
        <w:tabs>
          <w:tab w:pos="493" w:val="left"/>
        </w:tabs>
        <w:bidi w:val="0"/>
        <w:spacing w:before="0" w:after="36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71"/>
      <w:bookmarkEnd w:id="1972"/>
      <w:bookmarkEnd w:id="197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、在合营安排或联营企业中的权益</w:t>
      </w:r>
      <w:bookmarkEnd w:id="1975"/>
      <w:bookmarkEnd w:id="1976"/>
      <w:bookmarkEnd w:id="1978"/>
    </w:p>
    <w:p>
      <w:pPr>
        <w:pStyle w:val="Style41"/>
        <w:keepNext/>
        <w:keepLines/>
        <w:widowControl w:val="0"/>
        <w:shd w:val="clear" w:color="auto" w:fill="auto"/>
        <w:bidi w:val="0"/>
        <w:spacing w:before="0" w:after="360" w:line="240" w:lineRule="auto"/>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79"/>
      <w:bookmarkEnd w:id="1980"/>
      <w:bookmarkEnd w:id="198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after="36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82"/>
      <w:bookmarkEnd w:id="1983"/>
      <w:bookmarkEnd w:id="1984"/>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85"/>
      <w:bookmarkEnd w:id="1986"/>
      <w:bookmarkEnd w:id="19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89"/>
      <w:bookmarkEnd w:id="1990"/>
      <w:bookmarkEnd w:id="1992"/>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93"/>
      <w:bookmarkEnd w:id="1994"/>
      <w:bookmarkEnd w:id="1996"/>
    </w:p>
    <w:p>
      <w:pPr>
        <w:pStyle w:val="Style41"/>
        <w:keepNext/>
        <w:keepLines/>
        <w:widowControl w:val="0"/>
        <w:shd w:val="clear" w:color="auto" w:fill="auto"/>
        <w:tabs>
          <w:tab w:pos="493" w:val="left"/>
        </w:tabs>
        <w:bidi w:val="0"/>
        <w:spacing w:before="0" w:after="38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97"/>
      <w:bookmarkEnd w:id="1998"/>
      <w:bookmarkEnd w:id="2000"/>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本期未确认的损失（或本期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line="1" w:lineRule="exact"/>
      </w:pPr>
    </w:p>
    <w:tbl>
      <w:tblPr>
        <w:tblOverlap w:val="never"/>
        <w:jc w:val="center"/>
        <w:tblLayout w:type="fixed"/>
      </w:tblPr>
      <w:tblGrid>
        <w:gridCol w:w="2400"/>
        <w:gridCol w:w="2390"/>
        <w:gridCol w:w="2390"/>
        <w:gridCol w:w="24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分享的净利润）</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both"/>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01"/>
      <w:bookmarkEnd w:id="2002"/>
      <w:bookmarkEnd w:id="2004"/>
    </w:p>
    <w:p>
      <w:pPr>
        <w:pStyle w:val="Style41"/>
        <w:keepNext/>
        <w:keepLines/>
        <w:widowControl w:val="0"/>
        <w:shd w:val="clear" w:color="auto" w:fill="auto"/>
        <w:tabs>
          <w:tab w:pos="493" w:val="left"/>
        </w:tabs>
        <w:bidi w:val="0"/>
        <w:spacing w:before="0" w:after="380" w:line="240" w:lineRule="auto"/>
        <w:ind w:left="0" w:right="0" w:firstLine="0"/>
        <w:jc w:val="both"/>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05"/>
      <w:bookmarkEnd w:id="2006"/>
      <w:bookmarkEnd w:id="2008"/>
    </w:p>
    <w:p>
      <w:pPr>
        <w:pStyle w:val="Style35"/>
        <w:keepNext/>
        <w:keepLines/>
        <w:widowControl w:val="0"/>
        <w:shd w:val="clear" w:color="auto" w:fill="auto"/>
        <w:bidi w:val="0"/>
        <w:spacing w:before="0" w:after="380" w:line="240" w:lineRule="auto"/>
        <w:ind w:left="0" w:right="0" w:firstLine="0"/>
        <w:jc w:val="both"/>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4</w:t>
      </w:r>
      <w:bookmarkEnd w:id="2011"/>
      <w:r>
        <w:rPr>
          <w:color w:val="000000"/>
          <w:spacing w:val="0"/>
          <w:w w:val="100"/>
          <w:position w:val="0"/>
        </w:rPr>
        <w:t>、重要的共同经营</w:t>
      </w:r>
      <w:bookmarkEnd w:id="2009"/>
      <w:bookmarkEnd w:id="2010"/>
      <w:bookmarkEnd w:id="2012"/>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在共同经营中的持股比例或享有的份额不同于表决权比例的说明：</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共同经营为单独主体的，分类为共同经营的依据：</w:t>
      </w:r>
    </w:p>
    <w:p>
      <w:pPr>
        <w:pStyle w:val="Style2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both"/>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w:t>
        <w:tab/>
        <w:t>在未纳入合并财务报表范围的结构化主体中的权益</w:t>
      </w:r>
      <w:bookmarkEnd w:id="2013"/>
      <w:bookmarkEnd w:id="2014"/>
      <w:bookmarkEnd w:id="2016"/>
    </w:p>
    <w:p>
      <w:pPr>
        <w:pStyle w:val="Style2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未纳入合并财务报表范围的结构化主体的相关说明：</w:t>
      </w:r>
    </w:p>
    <w:p>
      <w:pPr>
        <w:pStyle w:val="Style35"/>
        <w:keepNext/>
        <w:keepLines/>
        <w:widowControl w:val="0"/>
        <w:shd w:val="clear" w:color="auto" w:fill="auto"/>
        <w:tabs>
          <w:tab w:pos="378" w:val="left"/>
        </w:tabs>
        <w:bidi w:val="0"/>
        <w:spacing w:before="0" w:after="380" w:line="240" w:lineRule="auto"/>
        <w:ind w:left="0" w:right="0" w:firstLine="0"/>
        <w:jc w:val="both"/>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6</w:t>
      </w:r>
      <w:bookmarkEnd w:id="2019"/>
      <w:r>
        <w:rPr>
          <w:color w:val="000000"/>
          <w:spacing w:val="0"/>
          <w:w w:val="100"/>
          <w:position w:val="0"/>
        </w:rPr>
        <w:t>、</w:t>
        <w:tab/>
        <w:t>其他</w:t>
      </w:r>
      <w:bookmarkEnd w:id="2017"/>
      <w:bookmarkEnd w:id="2018"/>
      <w:bookmarkEnd w:id="2020"/>
    </w:p>
    <w:p>
      <w:pPr>
        <w:pStyle w:val="Style29"/>
        <w:keepNext/>
        <w:keepLines/>
        <w:widowControl w:val="0"/>
        <w:shd w:val="clear" w:color="auto" w:fill="auto"/>
        <w:bidi w:val="0"/>
        <w:spacing w:before="0" w:after="260" w:line="240" w:lineRule="auto"/>
        <w:ind w:left="0" w:right="0" w:firstLine="0"/>
        <w:jc w:val="both"/>
      </w:pPr>
      <w:bookmarkStart w:id="2021" w:name="bookmark2021"/>
      <w:bookmarkStart w:id="2022" w:name="bookmark2022"/>
      <w:bookmarkStart w:id="2023" w:name="bookmark2023"/>
      <w:r>
        <w:rPr>
          <w:color w:val="000000"/>
          <w:spacing w:val="0"/>
          <w:w w:val="100"/>
          <w:position w:val="0"/>
        </w:rPr>
        <w:t>十、与金融工具相关的风险</w:t>
      </w:r>
      <w:bookmarkEnd w:id="2021"/>
      <w:bookmarkEnd w:id="2022"/>
      <w:bookmarkEnd w:id="2023"/>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本集团的主要金融工具包括货币资金、应收票据、应收账款、其他应收款、交易性金融资产、应付账款、其他应付款。各项 金融工具的详细情况已于相关附注内披露。与这些金融工具有关的风险，以及本集团为降低这些风险所采取的风险管理政策 如下所述。本集团管理层对这些风险敞口进行管理和监控以确保将上述风险控制在限定的范围之内。</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风险管理目标和政策</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团经营活动的改变。本集团的内部审计部门也定期或随机检查内部控制系统的执行是否符合风险管理政策。</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本集团的金融工具导致的主要风险是信用风险、流动性风险、市场风险（包括汇率风险、利率风险和商品价格风险）。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董事会负责规划并建立本集团的风险管理架构，制定本集团的风险管理政策和相关指引并监督风险管理措施的执行情况。本 集团已制定风险管理政策以识别和分析本集团所面临的风险，这些风险管理政策对特定风险进行了明确规定，涵盖了市场风 险、信用风险和流动性风险管理等诸多方面。本集团定期评估市场环境及本集团经营活动的变化以决定是否对风险管理政策 及系统进行更新。本集团的风险管理由风险管理委员会按照董事会批准的政策开展。风险管理委员会通过与本集团其他业务 部门的紧密合作来识别、评价和规避相关风险。本集团内部审计部门就风险管理控制及程序进行定期的审核，并将审核结果 上报本集团的审计委员会。</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本集团通过适当的多样化投资及业务组合来分散金融工具风险，并通过制定相应的风险管理政策减少集中于单一行业、特定 地区或特定交易对手的风险。</w:t>
      </w:r>
    </w:p>
    <w:p>
      <w:pPr>
        <w:pStyle w:val="Style23"/>
        <w:keepNext w:val="0"/>
        <w:keepLines w:val="0"/>
        <w:widowControl w:val="0"/>
        <w:shd w:val="clear" w:color="auto" w:fill="auto"/>
        <w:bidi w:val="0"/>
        <w:spacing w:before="0" w:after="0" w:line="311" w:lineRule="exact"/>
        <w:ind w:left="0" w:right="0" w:firstLine="0"/>
        <w:jc w:val="both"/>
      </w:pPr>
      <w:bookmarkStart w:id="2024" w:name="bookmark2024"/>
      <w:r>
        <w:rPr>
          <w:color w:val="000000"/>
          <w:spacing w:val="0"/>
          <w:w w:val="100"/>
          <w:position w:val="0"/>
          <w:sz w:val="18"/>
          <w:szCs w:val="18"/>
        </w:rPr>
        <w:t>（</w:t>
      </w:r>
      <w:bookmarkEnd w:id="2024"/>
      <w:r>
        <w:rPr>
          <w:color w:val="000000"/>
          <w:spacing w:val="0"/>
          <w:w w:val="100"/>
          <w:position w:val="0"/>
          <w:sz w:val="18"/>
          <w:szCs w:val="18"/>
        </w:rPr>
        <w:t>1）</w:t>
      </w:r>
      <w:r>
        <w:rPr>
          <w:color w:val="000000"/>
          <w:spacing w:val="0"/>
          <w:w w:val="100"/>
          <w:position w:val="0"/>
        </w:rPr>
        <w:t>信用风险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信用风险，是指交易对手未能履行合同义务而导致本集团产生财务损失的风险。</w:t>
      </w:r>
    </w:p>
    <w:p>
      <w:pPr>
        <w:pStyle w:val="Style2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本集团对信用风险按组合分类进行管理。信用风险主要产生于银行存款、应收票据、应收账款、其他应收款。</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本集团银行存款主要存放于国有银行和其它大中型上市银行，本集团预期银行存款不存在重大的信用风险。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对于应收票据、应收账款、其他应收款，本集团设定相关政策以控制信用风险敞口。本集团基于对客户的财务状况、信用记 录及其他因素诸如目前市场状况等评估客户的信用资质并设置相应信用期。本集团会定期对客户信用记录进行监控，对于信 用记录不良的客户，本集团会采用书面催款、缩短信用期或取消信用期等方式，以确保本集团的整体信用风险在可控的范围 内。</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本集团应收账款的债务人为分布于不同行业和地区的客户。本集团持续对应收账款的财务状况实施信用评估，并在适当时购 买信用担保保险。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本集团所承受的最大信用风险敞口为资产负债表中每项金融资产的账面金额。本集团没有提供任何其他可能令本集团承受信 用风险的担保。</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本集团应收账款中，前五大客户的应收账款占本集团应收账款总额的</w:t>
      </w:r>
      <w:r>
        <w:rPr>
          <w:color w:val="000000"/>
          <w:spacing w:val="0"/>
          <w:w w:val="100"/>
          <w:position w:val="0"/>
          <w:sz w:val="18"/>
          <w:szCs w:val="18"/>
        </w:rPr>
        <w:t>26.97%（2020</w:t>
      </w:r>
      <w:r>
        <w:rPr>
          <w:color w:val="000000"/>
          <w:spacing w:val="0"/>
          <w:w w:val="100"/>
          <w:position w:val="0"/>
        </w:rPr>
        <w:t>年：</w:t>
      </w:r>
      <w:r>
        <w:rPr>
          <w:color w:val="000000"/>
          <w:spacing w:val="0"/>
          <w:w w:val="100"/>
          <w:position w:val="0"/>
          <w:sz w:val="18"/>
          <w:szCs w:val="18"/>
        </w:rPr>
        <w:t>45.81%）；</w:t>
      </w:r>
      <w:r>
        <w:rPr>
          <w:color w:val="000000"/>
          <w:spacing w:val="0"/>
          <w:w w:val="100"/>
          <w:position w:val="0"/>
        </w:rPr>
        <w:t>本集团其他应收款中，欠 款金额前五大公司的其他应收款占本集团其他应收款总额的</w:t>
      </w:r>
      <w:r>
        <w:rPr>
          <w:color w:val="000000"/>
          <w:spacing w:val="0"/>
          <w:w w:val="100"/>
          <w:position w:val="0"/>
          <w:sz w:val="18"/>
          <w:szCs w:val="18"/>
        </w:rPr>
        <w:t xml:space="preserve">62. </w:t>
      </w:r>
      <w:r>
        <w:rPr>
          <w:color w:val="000000"/>
          <w:spacing w:val="0"/>
          <w:w w:val="100"/>
          <w:position w:val="0"/>
          <w:sz w:val="18"/>
          <w:szCs w:val="18"/>
        </w:rPr>
        <w:t>65%（2020</w:t>
      </w:r>
      <w:r>
        <w:rPr>
          <w:color w:val="000000"/>
          <w:spacing w:val="0"/>
          <w:w w:val="100"/>
          <w:position w:val="0"/>
        </w:rPr>
        <w:t>年：</w:t>
      </w:r>
      <w:r>
        <w:rPr>
          <w:color w:val="000000"/>
          <w:spacing w:val="0"/>
          <w:w w:val="100"/>
          <w:position w:val="0"/>
          <w:sz w:val="18"/>
          <w:szCs w:val="18"/>
        </w:rPr>
        <w:t>62.58%）</w:t>
      </w:r>
      <w:r>
        <w:rPr>
          <w:color w:val="000000"/>
          <w:spacing w:val="0"/>
          <w:w w:val="100"/>
          <w:position w:val="0"/>
        </w:rPr>
        <w:t>。</w:t>
      </w:r>
    </w:p>
    <w:p>
      <w:pPr>
        <w:pStyle w:val="Style23"/>
        <w:keepNext w:val="0"/>
        <w:keepLines w:val="0"/>
        <w:widowControl w:val="0"/>
        <w:shd w:val="clear" w:color="auto" w:fill="auto"/>
        <w:tabs>
          <w:tab w:pos="445" w:val="left"/>
        </w:tabs>
        <w:bidi w:val="0"/>
        <w:spacing w:before="0" w:after="0" w:line="311" w:lineRule="exact"/>
        <w:ind w:left="0" w:right="0" w:firstLine="0"/>
        <w:jc w:val="both"/>
      </w:pPr>
      <w:bookmarkStart w:id="2025" w:name="bookmark2025"/>
      <w:r>
        <w:rPr>
          <w:color w:val="000000"/>
          <w:spacing w:val="0"/>
          <w:w w:val="100"/>
          <w:position w:val="0"/>
          <w:sz w:val="18"/>
          <w:szCs w:val="18"/>
        </w:rPr>
        <w:t>（</w:t>
      </w:r>
      <w:bookmarkEnd w:id="2025"/>
      <w:r>
        <w:rPr>
          <w:color w:val="000000"/>
          <w:spacing w:val="0"/>
          <w:w w:val="100"/>
          <w:position w:val="0"/>
          <w:sz w:val="18"/>
          <w:szCs w:val="18"/>
        </w:rPr>
        <w:t>2）</w:t>
        <w:tab/>
      </w:r>
      <w:r>
        <w:rPr>
          <w:color w:val="000000"/>
          <w:spacing w:val="0"/>
          <w:w w:val="100"/>
          <w:position w:val="0"/>
        </w:rPr>
        <w:t>流动性风险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流动性风险，是指本集团在履行以交付现金或其他金融资产结算的义务时遇到资金短缺的风险。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管理流动风险时，本集团保持管理层认为充分的现金及现金等价物并对其进行监控，以满足本集团经营需要，并降低现金流 量波动的影响。</w:t>
      </w:r>
    </w:p>
    <w:p>
      <w:pPr>
        <w:pStyle w:val="Style23"/>
        <w:keepNext w:val="0"/>
        <w:keepLines w:val="0"/>
        <w:widowControl w:val="0"/>
        <w:shd w:val="clear" w:color="auto" w:fill="auto"/>
        <w:tabs>
          <w:tab w:pos="445" w:val="left"/>
        </w:tabs>
        <w:bidi w:val="0"/>
        <w:spacing w:before="0" w:after="0" w:line="311" w:lineRule="exact"/>
        <w:ind w:left="0" w:right="0" w:firstLine="0"/>
        <w:jc w:val="both"/>
      </w:pPr>
      <w:bookmarkStart w:id="2026" w:name="bookmark2026"/>
      <w:r>
        <w:rPr>
          <w:color w:val="000000"/>
          <w:spacing w:val="0"/>
          <w:w w:val="100"/>
          <w:position w:val="0"/>
          <w:sz w:val="18"/>
          <w:szCs w:val="18"/>
        </w:rPr>
        <w:t>（</w:t>
      </w:r>
      <w:bookmarkEnd w:id="2026"/>
      <w:r>
        <w:rPr>
          <w:color w:val="000000"/>
          <w:spacing w:val="0"/>
          <w:w w:val="100"/>
          <w:position w:val="0"/>
          <w:sz w:val="18"/>
          <w:szCs w:val="18"/>
        </w:rPr>
        <w:t>3）</w:t>
        <w:tab/>
      </w:r>
      <w:r>
        <w:rPr>
          <w:color w:val="000000"/>
          <w:spacing w:val="0"/>
          <w:w w:val="100"/>
          <w:position w:val="0"/>
        </w:rPr>
        <w:t>市场风险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本集团的利率风险主要产生于长期银行借款。本集团密切关注利率变动对本集团利率风险的影响。本集团目前并未采取利率 对冲政策。但管理层负责监控利率风险，并将于需要时考虑对冲重大利率风险。</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汇率风险</w:t>
      </w:r>
    </w:p>
    <w:p>
      <w:pPr>
        <w:pStyle w:val="Style2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本集团的主要经营位于中国境内，主要业务以人民币结算，基本无汇率风险。</w:t>
      </w:r>
    </w:p>
    <w:p>
      <w:pPr>
        <w:pStyle w:val="Style29"/>
        <w:keepNext/>
        <w:keepLines/>
        <w:widowControl w:val="0"/>
        <w:shd w:val="clear" w:color="auto" w:fill="auto"/>
        <w:bidi w:val="0"/>
        <w:spacing w:before="0" w:after="360" w:line="240" w:lineRule="auto"/>
        <w:ind w:left="0" w:right="0" w:firstLine="0"/>
        <w:jc w:val="both"/>
      </w:pPr>
      <w:bookmarkStart w:id="2027" w:name="bookmark2027"/>
      <w:bookmarkStart w:id="2028" w:name="bookmark2028"/>
      <w:bookmarkStart w:id="2029" w:name="bookmark2029"/>
      <w:r>
        <w:rPr>
          <w:color w:val="000000"/>
          <w:spacing w:val="0"/>
          <w:w w:val="100"/>
          <w:position w:val="0"/>
        </w:rPr>
        <w:t>十一、公允价值的披露</w:t>
      </w:r>
      <w:bookmarkEnd w:id="2027"/>
      <w:bookmarkEnd w:id="2028"/>
      <w:bookmarkEnd w:id="2029"/>
    </w:p>
    <w:p>
      <w:pPr>
        <w:pStyle w:val="Style35"/>
        <w:keepNext/>
        <w:keepLines/>
        <w:widowControl w:val="0"/>
        <w:shd w:val="clear" w:color="auto" w:fill="auto"/>
        <w:bidi w:val="0"/>
        <w:spacing w:before="0" w:line="240" w:lineRule="auto"/>
        <w:ind w:left="0" w:right="0" w:firstLine="0"/>
        <w:jc w:val="both"/>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30"/>
      <w:bookmarkEnd w:id="2031"/>
      <w:bookmarkEnd w:id="20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120,183,698.64</w:t>
            </w:r>
          </w:p>
        </w:tc>
      </w:tr>
    </w:tbl>
    <w:p>
      <w:pPr>
        <w:widowControl w:val="0"/>
        <w:spacing w:line="1" w:lineRule="exact"/>
      </w:pPr>
    </w:p>
    <w:tbl>
      <w:tblPr>
        <w:tblOverlap w:val="never"/>
        <w:jc w:val="center"/>
        <w:tblLayout w:type="fixed"/>
      </w:tblPr>
      <w:tblGrid>
        <w:gridCol w:w="2002"/>
        <w:gridCol w:w="1838"/>
        <w:gridCol w:w="1910"/>
        <w:gridCol w:w="1915"/>
        <w:gridCol w:w="1925"/>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bookmarkEnd w:id="2035"/>
      <w:r>
        <w:rPr>
          <w:color w:val="000000"/>
          <w:spacing w:val="0"/>
          <w:w w:val="100"/>
          <w:position w:val="0"/>
        </w:rPr>
        <w:t>、</w:t>
        <w:tab/>
        <w:t>持续和非持续第一层次公允价值计量项目市价的确定依据</w:t>
      </w:r>
      <w:bookmarkEnd w:id="2033"/>
      <w:bookmarkEnd w:id="2034"/>
      <w:bookmarkEnd w:id="2036"/>
    </w:p>
    <w:p>
      <w:pPr>
        <w:pStyle w:val="Style35"/>
        <w:keepNext/>
        <w:keepLines/>
        <w:widowControl w:val="0"/>
        <w:shd w:val="clear" w:color="auto" w:fill="auto"/>
        <w:tabs>
          <w:tab w:pos="378" w:val="left"/>
        </w:tabs>
        <w:bidi w:val="0"/>
        <w:spacing w:before="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3</w:t>
      </w:r>
      <w:bookmarkEnd w:id="2039"/>
      <w:r>
        <w:rPr>
          <w:color w:val="000000"/>
          <w:spacing w:val="0"/>
          <w:w w:val="100"/>
          <w:position w:val="0"/>
        </w:rPr>
        <w:t>、</w:t>
        <w:tab/>
        <w:t>持续和非持续第二层次公允价值计量项目，采用的估值技术和重要参数的定性及定量信息</w:t>
      </w:r>
      <w:bookmarkEnd w:id="2037"/>
      <w:bookmarkEnd w:id="2038"/>
      <w:bookmarkEnd w:id="2040"/>
    </w:p>
    <w:p>
      <w:pPr>
        <w:pStyle w:val="Style35"/>
        <w:keepNext/>
        <w:keepLines/>
        <w:widowControl w:val="0"/>
        <w:shd w:val="clear" w:color="auto" w:fill="auto"/>
        <w:tabs>
          <w:tab w:pos="378" w:val="left"/>
        </w:tabs>
        <w:bidi w:val="0"/>
        <w:spacing w:before="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4</w:t>
      </w:r>
      <w:bookmarkEnd w:id="2043"/>
      <w:r>
        <w:rPr>
          <w:color w:val="000000"/>
          <w:spacing w:val="0"/>
          <w:w w:val="100"/>
          <w:position w:val="0"/>
        </w:rPr>
        <w:t>、</w:t>
        <w:tab/>
        <w:t>持续和非持续第三层次公允价值计量项目，采用的估值技术和重要参数的定性及定量信息</w:t>
      </w:r>
      <w:bookmarkEnd w:id="2041"/>
      <w:bookmarkEnd w:id="2042"/>
      <w:bookmarkEnd w:id="2044"/>
    </w:p>
    <w:p>
      <w:pPr>
        <w:pStyle w:val="Style35"/>
        <w:keepNext/>
        <w:keepLines/>
        <w:widowControl w:val="0"/>
        <w:shd w:val="clear" w:color="auto" w:fill="auto"/>
        <w:tabs>
          <w:tab w:pos="378" w:val="left"/>
        </w:tabs>
        <w:bidi w:val="0"/>
        <w:spacing w:before="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5</w:t>
      </w:r>
      <w:bookmarkEnd w:id="2047"/>
      <w:r>
        <w:rPr>
          <w:color w:val="000000"/>
          <w:spacing w:val="0"/>
          <w:w w:val="100"/>
          <w:position w:val="0"/>
        </w:rPr>
        <w:t>、</w:t>
        <w:tab/>
        <w:t>持续的第三层次公允价值计量项目，期初与期末账面价值间的调节信息及不可观察参数敏感性分析</w:t>
      </w:r>
      <w:bookmarkEnd w:id="2045"/>
      <w:bookmarkEnd w:id="2046"/>
      <w:bookmarkEnd w:id="2048"/>
    </w:p>
    <w:p>
      <w:pPr>
        <w:pStyle w:val="Style35"/>
        <w:keepNext/>
        <w:keepLines/>
        <w:widowControl w:val="0"/>
        <w:shd w:val="clear" w:color="auto" w:fill="auto"/>
        <w:tabs>
          <w:tab w:pos="378"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6</w:t>
      </w:r>
      <w:bookmarkEnd w:id="2051"/>
      <w:r>
        <w:rPr>
          <w:color w:val="000000"/>
          <w:spacing w:val="0"/>
          <w:w w:val="100"/>
          <w:position w:val="0"/>
        </w:rPr>
        <w:t>、</w:t>
        <w:tab/>
        <w:t>持续的公允价值计量项目，本期内发生各层级之间转换的，转换的原因及确定转换时点的政策</w:t>
      </w:r>
      <w:bookmarkEnd w:id="2049"/>
      <w:bookmarkEnd w:id="2050"/>
      <w:bookmarkEnd w:id="2052"/>
    </w:p>
    <w:p>
      <w:pPr>
        <w:pStyle w:val="Style35"/>
        <w:keepNext/>
        <w:keepLines/>
        <w:widowControl w:val="0"/>
        <w:shd w:val="clear" w:color="auto" w:fill="auto"/>
        <w:tabs>
          <w:tab w:pos="378" w:val="left"/>
        </w:tabs>
        <w:bidi w:val="0"/>
        <w:spacing w:before="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7</w:t>
      </w:r>
      <w:bookmarkEnd w:id="2055"/>
      <w:r>
        <w:rPr>
          <w:color w:val="000000"/>
          <w:spacing w:val="0"/>
          <w:w w:val="100"/>
          <w:position w:val="0"/>
        </w:rPr>
        <w:t>、</w:t>
        <w:tab/>
        <w:t>本期内发生的估值技术变更及变更原因</w:t>
      </w:r>
      <w:bookmarkEnd w:id="2053"/>
      <w:bookmarkEnd w:id="2054"/>
      <w:bookmarkEnd w:id="2056"/>
    </w:p>
    <w:p>
      <w:pPr>
        <w:pStyle w:val="Style35"/>
        <w:keepNext/>
        <w:keepLines/>
        <w:widowControl w:val="0"/>
        <w:shd w:val="clear" w:color="auto" w:fill="auto"/>
        <w:tabs>
          <w:tab w:pos="378"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8</w:t>
      </w:r>
      <w:bookmarkEnd w:id="2059"/>
      <w:r>
        <w:rPr>
          <w:color w:val="000000"/>
          <w:spacing w:val="0"/>
          <w:w w:val="100"/>
          <w:position w:val="0"/>
        </w:rPr>
        <w:t>、</w:t>
        <w:tab/>
        <w:t>不以公允价值计量的金融资产和金融负债的公允价值情况</w:t>
      </w:r>
      <w:bookmarkEnd w:id="2057"/>
      <w:bookmarkEnd w:id="2058"/>
      <w:bookmarkEnd w:id="2060"/>
    </w:p>
    <w:p>
      <w:pPr>
        <w:pStyle w:val="Style35"/>
        <w:keepNext/>
        <w:keepLines/>
        <w:widowControl w:val="0"/>
        <w:shd w:val="clear" w:color="auto" w:fill="auto"/>
        <w:tabs>
          <w:tab w:pos="378"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9</w:t>
      </w:r>
      <w:bookmarkEnd w:id="2063"/>
      <w:r>
        <w:rPr>
          <w:color w:val="000000"/>
          <w:spacing w:val="0"/>
          <w:w w:val="100"/>
          <w:position w:val="0"/>
        </w:rPr>
        <w:t>、</w:t>
        <w:tab/>
        <w:t>其他</w:t>
      </w:r>
      <w:bookmarkEnd w:id="2061"/>
      <w:bookmarkEnd w:id="2062"/>
      <w:bookmarkEnd w:id="2064"/>
    </w:p>
    <w:p>
      <w:pPr>
        <w:pStyle w:val="Style29"/>
        <w:keepNext/>
        <w:keepLines/>
        <w:widowControl w:val="0"/>
        <w:shd w:val="clear" w:color="auto" w:fill="auto"/>
        <w:bidi w:val="0"/>
        <w:spacing w:before="0" w:after="360" w:line="240" w:lineRule="auto"/>
        <w:ind w:left="0" w:right="0" w:firstLine="0"/>
        <w:jc w:val="left"/>
      </w:pPr>
      <w:bookmarkStart w:id="2065" w:name="bookmark2065"/>
      <w:bookmarkStart w:id="2066" w:name="bookmark2066"/>
      <w:bookmarkStart w:id="2067" w:name="bookmark2067"/>
      <w:r>
        <w:rPr>
          <w:color w:val="000000"/>
          <w:spacing w:val="0"/>
          <w:w w:val="100"/>
          <w:position w:val="0"/>
        </w:rPr>
        <w:t>十二、关联方及关联交易</w:t>
      </w:r>
      <w:bookmarkEnd w:id="2065"/>
      <w:bookmarkEnd w:id="2066"/>
      <w:bookmarkEnd w:id="2067"/>
    </w:p>
    <w:p>
      <w:pPr>
        <w:pStyle w:val="Style35"/>
        <w:keepNext/>
        <w:keepLines/>
        <w:widowControl w:val="0"/>
        <w:shd w:val="clear" w:color="auto" w:fill="auto"/>
        <w:bidi w:val="0"/>
        <w:spacing w:before="0" w:line="240" w:lineRule="auto"/>
        <w:ind w:left="0" w:right="0" w:firstLine="0"/>
        <w:jc w:val="left"/>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68"/>
      <w:bookmarkEnd w:id="2069"/>
      <w:bookmarkEnd w:id="2070"/>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本公司无母公司，陈喆女士为本公司的实际控制人。</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本企业最终控制方是陈喆女士。</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5"/>
        <w:keepNext/>
        <w:keepLines/>
        <w:widowControl w:val="0"/>
        <w:shd w:val="clear" w:color="auto" w:fill="auto"/>
        <w:tabs>
          <w:tab w:pos="378" w:val="left"/>
        </w:tabs>
        <w:bidi w:val="0"/>
        <w:spacing w:before="0" w:after="40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bookmarkEnd w:id="2073"/>
      <w:r>
        <w:rPr>
          <w:color w:val="000000"/>
          <w:spacing w:val="0"/>
          <w:w w:val="100"/>
          <w:position w:val="0"/>
        </w:rPr>
        <w:t>、</w:t>
        <w:tab/>
        <w:t>本企业的子公司情况</w:t>
      </w:r>
      <w:bookmarkEnd w:id="2071"/>
      <w:bookmarkEnd w:id="2072"/>
      <w:bookmarkEnd w:id="2074"/>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5"/>
        <w:keepNext/>
        <w:keepLines/>
        <w:widowControl w:val="0"/>
        <w:shd w:val="clear" w:color="auto" w:fill="auto"/>
        <w:tabs>
          <w:tab w:pos="378" w:val="left"/>
        </w:tabs>
        <w:bidi w:val="0"/>
        <w:spacing w:before="0" w:after="40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本企业合营和联营企业情况</w:t>
      </w:r>
      <w:bookmarkEnd w:id="2075"/>
      <w:bookmarkEnd w:id="2076"/>
      <w:bookmarkEnd w:id="207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本集团无合营企业和联营企业。</w:t>
      </w:r>
      <w:r>
        <w:br w:type="page"/>
      </w:r>
    </w:p>
    <w:p>
      <w:pPr>
        <w:pStyle w:val="Style35"/>
        <w:keepNext/>
        <w:keepLines/>
        <w:widowControl w:val="0"/>
        <w:shd w:val="clear" w:color="auto" w:fill="auto"/>
        <w:bidi w:val="0"/>
        <w:spacing w:before="0" w:after="32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、其他关联方情况</w:t>
      </w:r>
      <w:bookmarkEnd w:id="2079"/>
      <w:bookmarkEnd w:id="2080"/>
      <w:bookmarkEnd w:id="208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珠海瑞信投资管理有限公司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高伟斌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牛俊伟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田联房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于风政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杨大贺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杨贤帮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孙玉玲</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5</w:t>
      </w:r>
      <w:bookmarkEnd w:id="2085"/>
      <w:r>
        <w:rPr>
          <w:color w:val="000000"/>
          <w:spacing w:val="0"/>
          <w:w w:val="100"/>
          <w:position w:val="0"/>
        </w:rPr>
        <w:t>、关联交易情况</w:t>
      </w:r>
      <w:bookmarkEnd w:id="2083"/>
      <w:bookmarkEnd w:id="2084"/>
      <w:bookmarkEnd w:id="2086"/>
    </w:p>
    <w:p>
      <w:pPr>
        <w:pStyle w:val="Style41"/>
        <w:keepNext/>
        <w:keepLines/>
        <w:widowControl w:val="0"/>
        <w:shd w:val="clear" w:color="auto" w:fill="auto"/>
        <w:bidi w:val="0"/>
        <w:spacing w:before="0" w:after="380" w:line="240" w:lineRule="auto"/>
        <w:ind w:left="0" w:right="0" w:firstLine="0"/>
        <w:jc w:val="left"/>
      </w:pPr>
      <w:bookmarkStart w:id="2087" w:name="bookmark2087"/>
      <w:bookmarkStart w:id="2088" w:name="bookmark2088"/>
      <w:bookmarkStart w:id="2089" w:name="bookmark2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87"/>
      <w:bookmarkEnd w:id="2088"/>
      <w:bookmarkEnd w:id="208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after="380" w:line="240" w:lineRule="auto"/>
        <w:ind w:left="0" w:right="0" w:firstLine="0"/>
        <w:jc w:val="left"/>
      </w:pPr>
      <w:bookmarkStart w:id="2090" w:name="bookmark2090"/>
      <w:bookmarkStart w:id="2091" w:name="bookmark2091"/>
      <w:bookmarkStart w:id="2092" w:name="bookmark20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90"/>
      <w:bookmarkEnd w:id="2091"/>
      <w:bookmarkEnd w:id="209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93"/>
      <w:bookmarkEnd w:id="2094"/>
      <w:bookmarkEnd w:id="2096"/>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97"/>
      <w:bookmarkEnd w:id="2098"/>
      <w:bookmarkEnd w:id="210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担保是否已经履行完 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01"/>
      <w:bookmarkEnd w:id="2102"/>
      <w:bookmarkEnd w:id="2104"/>
    </w:p>
    <w:p>
      <w:pPr>
        <w:widowControl w:val="0"/>
        <w:jc w:val="center"/>
        <w:rPr>
          <w:sz w:val="2"/>
          <w:szCs w:val="2"/>
        </w:rPr>
      </w:pPr>
      <w:r>
        <w:drawing>
          <wp:inline>
            <wp:extent cx="6126480" cy="95694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pic:blipFill>
                  <pic:spPr>
                    <a:xfrm>
                      <a:ext cx="6126480" cy="956945"/>
                    </a:xfrm>
                    <a:prstGeom prst="rect"/>
                  </pic:spPr>
                </pic:pic>
              </a:graphicData>
            </a:graphic>
          </wp:inline>
        </w:drawing>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05"/>
      <w:bookmarkEnd w:id="2106"/>
      <w:bookmarkEnd w:id="2108"/>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41"/>
        <w:keepNext/>
        <w:keepLines/>
        <w:widowControl w:val="0"/>
        <w:shd w:val="clear" w:color="auto" w:fill="auto"/>
        <w:bidi w:val="0"/>
        <w:spacing w:before="0" w:after="40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09"/>
      <w:bookmarkEnd w:id="2110"/>
      <w:bookmarkEnd w:id="2112"/>
    </w:p>
    <w:p>
      <w:pPr>
        <w:pStyle w:val="Style23"/>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5,511,700.00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13"/>
      <w:bookmarkEnd w:id="2114"/>
      <w:bookmarkEnd w:id="2116"/>
    </w:p>
    <w:p>
      <w:pPr>
        <w:pStyle w:val="Style35"/>
        <w:keepNext/>
        <w:keepLines/>
        <w:widowControl w:val="0"/>
        <w:shd w:val="clear" w:color="auto" w:fill="auto"/>
        <w:bidi w:val="0"/>
        <w:spacing w:before="0" w:after="40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6</w:t>
      </w:r>
      <w:bookmarkEnd w:id="2119"/>
      <w:r>
        <w:rPr>
          <w:color w:val="000000"/>
          <w:spacing w:val="0"/>
          <w:w w:val="100"/>
          <w:position w:val="0"/>
        </w:rPr>
        <w:t>、关联方应收应付款项</w:t>
      </w:r>
      <w:bookmarkEnd w:id="2117"/>
      <w:bookmarkEnd w:id="2118"/>
      <w:bookmarkEnd w:id="2120"/>
    </w:p>
    <w:p>
      <w:pPr>
        <w:pStyle w:val="Style41"/>
        <w:keepNext/>
        <w:keepLines/>
        <w:widowControl w:val="0"/>
        <w:shd w:val="clear" w:color="auto" w:fill="auto"/>
        <w:bidi w:val="0"/>
        <w:spacing w:before="0" w:after="400" w:line="240" w:lineRule="auto"/>
        <w:ind w:left="0" w:right="0" w:firstLine="0"/>
        <w:jc w:val="left"/>
      </w:pPr>
      <w:bookmarkStart w:id="2121" w:name="bookmark2121"/>
      <w:bookmarkStart w:id="2122" w:name="bookmark2122"/>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21"/>
      <w:bookmarkEnd w:id="2122"/>
      <w:bookmarkEnd w:id="2123"/>
    </w:p>
    <w:p>
      <w:pPr>
        <w:pStyle w:val="Style23"/>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41"/>
        <w:keepNext/>
        <w:keepLines/>
        <w:widowControl w:val="0"/>
        <w:shd w:val="clear" w:color="auto" w:fill="auto"/>
        <w:bidi w:val="0"/>
        <w:spacing w:before="0" w:after="400" w:line="240" w:lineRule="auto"/>
        <w:ind w:left="0" w:right="0" w:firstLine="0"/>
        <w:jc w:val="left"/>
      </w:pPr>
      <w:bookmarkStart w:id="2124" w:name="bookmark2124"/>
      <w:bookmarkStart w:id="2125" w:name="bookmark2125"/>
      <w:bookmarkStart w:id="2126" w:name="bookmark2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4"/>
      <w:bookmarkEnd w:id="2125"/>
      <w:bookmarkEnd w:id="2126"/>
    </w:p>
    <w:p>
      <w:pPr>
        <w:pStyle w:val="Style23"/>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5"/>
        <w:keepNext/>
        <w:keepLines/>
        <w:widowControl w:val="0"/>
        <w:shd w:val="clear" w:color="auto" w:fill="auto"/>
        <w:tabs>
          <w:tab w:pos="373" w:val="left"/>
        </w:tabs>
        <w:bidi w:val="0"/>
        <w:spacing w:before="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7</w:t>
      </w:r>
      <w:bookmarkEnd w:id="2129"/>
      <w:r>
        <w:rPr>
          <w:color w:val="000000"/>
          <w:spacing w:val="0"/>
          <w:w w:val="100"/>
          <w:position w:val="0"/>
        </w:rPr>
        <w:t>、</w:t>
        <w:tab/>
        <w:t>关联方承诺</w:t>
      </w:r>
      <w:bookmarkEnd w:id="2127"/>
      <w:bookmarkEnd w:id="2128"/>
      <w:bookmarkEnd w:id="2130"/>
    </w:p>
    <w:p>
      <w:pPr>
        <w:pStyle w:val="Style35"/>
        <w:keepNext/>
        <w:keepLines/>
        <w:widowControl w:val="0"/>
        <w:shd w:val="clear" w:color="auto" w:fill="auto"/>
        <w:tabs>
          <w:tab w:pos="378" w:val="left"/>
        </w:tabs>
        <w:bidi w:val="0"/>
        <w:spacing w:before="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8</w:t>
      </w:r>
      <w:bookmarkEnd w:id="2133"/>
      <w:r>
        <w:rPr>
          <w:color w:val="000000"/>
          <w:spacing w:val="0"/>
          <w:w w:val="100"/>
          <w:position w:val="0"/>
        </w:rPr>
        <w:t>、</w:t>
        <w:tab/>
        <w:t>其他</w:t>
      </w:r>
      <w:bookmarkEnd w:id="2131"/>
      <w:bookmarkEnd w:id="2132"/>
      <w:bookmarkEnd w:id="2134"/>
    </w:p>
    <w:p>
      <w:pPr>
        <w:pStyle w:val="Style29"/>
        <w:keepNext/>
        <w:keepLines/>
        <w:widowControl w:val="0"/>
        <w:shd w:val="clear" w:color="auto" w:fill="auto"/>
        <w:bidi w:val="0"/>
        <w:spacing w:before="0" w:after="400" w:line="240" w:lineRule="auto"/>
        <w:ind w:left="0" w:right="0" w:firstLine="0"/>
        <w:jc w:val="left"/>
      </w:pPr>
      <w:bookmarkStart w:id="2135" w:name="bookmark2135"/>
      <w:bookmarkStart w:id="2136" w:name="bookmark2136"/>
      <w:bookmarkStart w:id="2137" w:name="bookmark2137"/>
      <w:r>
        <w:rPr>
          <w:color w:val="000000"/>
          <w:spacing w:val="0"/>
          <w:w w:val="100"/>
          <w:position w:val="0"/>
        </w:rPr>
        <w:t>十三、股份支付</w:t>
      </w:r>
      <w:bookmarkEnd w:id="2135"/>
      <w:bookmarkEnd w:id="2136"/>
      <w:bookmarkEnd w:id="2137"/>
    </w:p>
    <w:p>
      <w:pPr>
        <w:pStyle w:val="Style35"/>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38"/>
      <w:bookmarkEnd w:id="2139"/>
      <w:bookmarkEnd w:id="2140"/>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77,912.00</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）首次授予股权激励 </w:t>
      </w: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日第二届董事会第^一次会议决议和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 的《珠海汇金科技股份有限公司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年限制性股票激励计划（草案）》及其摘要，及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日第二届董事会第十四 次会议决议通过的《关于向激励对象首次授予限制性股票的议案》，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年度由</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名限制性股票激励对象行权，实际行权 数量为</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24.45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本次授予的限制性股票限售期为自相应授予限制性股票授予登记日起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个月。激励对象获授的限制性股票在解除限售前不</w:t>
        <w:br w:type="page"/>
      </w:r>
      <w:r>
        <w:rPr>
          <w:color w:val="000000"/>
          <w:spacing w:val="0"/>
          <w:w w:val="100"/>
          <w:position w:val="0"/>
        </w:rPr>
        <w:t>得转让、用于担保或偿还债务。限售期满后，公司为满足解除限售条件的激励对象办理解除限售事宜，未满足解除限售条件 的激励对象持有的限制性股票由公司按本计划的原则回购注销。</w:t>
      </w:r>
    </w:p>
    <w:p>
      <w:pPr>
        <w:pStyle w:val="Style23"/>
        <w:keepNext w:val="0"/>
        <w:keepLines w:val="0"/>
        <w:widowControl w:val="0"/>
        <w:shd w:val="clear" w:color="auto" w:fill="auto"/>
        <w:bidi w:val="0"/>
        <w:spacing w:before="0" w:after="80" w:line="317" w:lineRule="exact"/>
        <w:ind w:left="0" w:right="0" w:firstLine="0"/>
        <w:jc w:val="both"/>
      </w:pPr>
      <w:r>
        <w:rPr>
          <w:color w:val="000000"/>
          <w:spacing w:val="0"/>
          <w:w w:val="100"/>
          <w:position w:val="0"/>
        </w:rPr>
        <w:t>本次首次授予部分解除限售年度为</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年三个会计年度，分年度对公司营业收入增长率进行考核，首次授予部分各年</w:t>
      </w:r>
    </w:p>
    <w:tbl>
      <w:tblPr>
        <w:tblOverlap w:val="never"/>
        <w:jc w:val="center"/>
        <w:tblLayout w:type="fixed"/>
      </w:tblPr>
      <w:tblGrid>
        <w:gridCol w:w="2606"/>
        <w:gridCol w:w="6610"/>
      </w:tblGrid>
      <w:tr>
        <w:trPr>
          <w:trHeight w:val="312"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度的业绩考核目标如下：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解除限售安排</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以</w:t>
            </w:r>
            <w:r>
              <w:rPr>
                <w:color w:val="000000"/>
                <w:spacing w:val="0"/>
                <w:w w:val="100"/>
                <w:position w:val="0"/>
                <w:sz w:val="18"/>
                <w:szCs w:val="18"/>
              </w:rPr>
              <w:t>2016</w:t>
            </w:r>
            <w:r>
              <w:rPr>
                <w:color w:val="000000"/>
                <w:spacing w:val="0"/>
                <w:w w:val="100"/>
                <w:position w:val="0"/>
                <w:sz w:val="17"/>
                <w:szCs w:val="17"/>
              </w:rPr>
              <w:t>年营业收入为基数，</w:t>
            </w:r>
            <w:r>
              <w:rPr>
                <w:color w:val="000000"/>
                <w:spacing w:val="0"/>
                <w:w w:val="100"/>
                <w:position w:val="0"/>
                <w:sz w:val="18"/>
                <w:szCs w:val="18"/>
              </w:rPr>
              <w:t>2017</w:t>
            </w:r>
            <w:r>
              <w:rPr>
                <w:color w:val="000000"/>
                <w:spacing w:val="0"/>
                <w:w w:val="100"/>
                <w:position w:val="0"/>
                <w:sz w:val="17"/>
                <w:szCs w:val="17"/>
              </w:rPr>
              <w:t>年营业收入增长率不低于</w:t>
            </w:r>
            <w:r>
              <w:rPr>
                <w:color w:val="000000"/>
                <w:spacing w:val="0"/>
                <w:w w:val="100"/>
                <w:position w:val="0"/>
                <w:sz w:val="18"/>
                <w:szCs w:val="18"/>
              </w:rPr>
              <w:t>10%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以</w:t>
            </w:r>
            <w:r>
              <w:rPr>
                <w:color w:val="000000"/>
                <w:spacing w:val="0"/>
                <w:w w:val="100"/>
                <w:position w:val="0"/>
                <w:sz w:val="18"/>
                <w:szCs w:val="18"/>
              </w:rPr>
              <w:t>2016</w:t>
            </w:r>
            <w:r>
              <w:rPr>
                <w:color w:val="000000"/>
                <w:spacing w:val="0"/>
                <w:w w:val="100"/>
                <w:position w:val="0"/>
                <w:sz w:val="17"/>
                <w:szCs w:val="17"/>
              </w:rPr>
              <w:t>年营业收入为基数，</w:t>
            </w:r>
            <w:r>
              <w:rPr>
                <w:color w:val="000000"/>
                <w:spacing w:val="0"/>
                <w:w w:val="100"/>
                <w:position w:val="0"/>
                <w:sz w:val="18"/>
                <w:szCs w:val="18"/>
              </w:rPr>
              <w:t>2018</w:t>
            </w:r>
            <w:r>
              <w:rPr>
                <w:color w:val="000000"/>
                <w:spacing w:val="0"/>
                <w:w w:val="100"/>
                <w:position w:val="0"/>
                <w:sz w:val="17"/>
                <w:szCs w:val="17"/>
              </w:rPr>
              <w:t>年营业收入增长率不低于</w:t>
            </w:r>
            <w:r>
              <w:rPr>
                <w:color w:val="000000"/>
                <w:spacing w:val="0"/>
                <w:w w:val="100"/>
                <w:position w:val="0"/>
                <w:sz w:val="18"/>
                <w:szCs w:val="18"/>
              </w:rPr>
              <w:t>20%</w:t>
            </w:r>
          </w:p>
        </w:tc>
      </w:tr>
      <w:tr>
        <w:trPr>
          <w:trHeight w:val="36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以</w:t>
            </w:r>
            <w:r>
              <w:rPr>
                <w:color w:val="000000"/>
                <w:spacing w:val="0"/>
                <w:w w:val="100"/>
                <w:position w:val="0"/>
                <w:sz w:val="18"/>
                <w:szCs w:val="18"/>
              </w:rPr>
              <w:t>2016</w:t>
            </w:r>
            <w:r>
              <w:rPr>
                <w:color w:val="000000"/>
                <w:spacing w:val="0"/>
                <w:w w:val="100"/>
                <w:position w:val="0"/>
                <w:sz w:val="17"/>
                <w:szCs w:val="17"/>
              </w:rPr>
              <w:t>年营业收入为基数，</w:t>
            </w:r>
            <w:r>
              <w:rPr>
                <w:color w:val="000000"/>
                <w:spacing w:val="0"/>
                <w:w w:val="100"/>
                <w:position w:val="0"/>
                <w:sz w:val="18"/>
                <w:szCs w:val="18"/>
              </w:rPr>
              <w:t>2019</w:t>
            </w:r>
            <w:r>
              <w:rPr>
                <w:color w:val="000000"/>
                <w:spacing w:val="0"/>
                <w:w w:val="100"/>
                <w:position w:val="0"/>
                <w:sz w:val="17"/>
                <w:szCs w:val="17"/>
              </w:rPr>
              <w:t>年营业收入增长率不低于</w:t>
            </w:r>
            <w:r>
              <w:rPr>
                <w:color w:val="000000"/>
                <w:spacing w:val="0"/>
                <w:w w:val="100"/>
                <w:position w:val="0"/>
                <w:sz w:val="18"/>
                <w:szCs w:val="18"/>
              </w:rPr>
              <w:t>30%</w:t>
            </w:r>
          </w:p>
        </w:tc>
      </w:tr>
    </w:tbl>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本次限制性股票的解除限售期及各期解除限售时间安排如下:</w:t>
      </w:r>
    </w:p>
    <w:p>
      <w:pPr>
        <w:widowControl w:val="0"/>
        <w:spacing w:after="79" w:line="1" w:lineRule="exact"/>
      </w:pPr>
    </w:p>
    <w:p>
      <w:pPr>
        <w:widowControl w:val="0"/>
        <w:spacing w:line="1" w:lineRule="exact"/>
      </w:pPr>
    </w:p>
    <w:tbl>
      <w:tblPr>
        <w:tblOverlap w:val="never"/>
        <w:jc w:val="center"/>
        <w:tblLayout w:type="fixed"/>
      </w:tblPr>
      <w:tblGrid>
        <w:gridCol w:w="1930"/>
        <w:gridCol w:w="5851"/>
        <w:gridCol w:w="1373"/>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解除限售安排</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解除限售比例</w:t>
            </w:r>
          </w:p>
        </w:tc>
      </w:tr>
      <w:tr>
        <w:trPr>
          <w:trHeight w:val="65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240" w:right="0" w:firstLine="0"/>
              <w:jc w:val="both"/>
            </w:pPr>
            <w:r>
              <w:rPr>
                <w:color w:val="000000"/>
                <w:spacing w:val="0"/>
                <w:w w:val="100"/>
                <w:position w:val="0"/>
              </w:rPr>
              <w:t>自相应授予登记日起</w:t>
            </w:r>
            <w:r>
              <w:rPr>
                <w:color w:val="000000"/>
                <w:spacing w:val="0"/>
                <w:w w:val="100"/>
                <w:position w:val="0"/>
                <w:sz w:val="18"/>
                <w:szCs w:val="18"/>
              </w:rPr>
              <w:t>12</w:t>
            </w:r>
            <w:r>
              <w:rPr>
                <w:color w:val="000000"/>
                <w:spacing w:val="0"/>
                <w:w w:val="100"/>
                <w:position w:val="0"/>
              </w:rPr>
              <w:t>个月后的首个交易日起至限制性股票授予登记 日起</w:t>
            </w:r>
            <w:r>
              <w:rPr>
                <w:color w:val="000000"/>
                <w:spacing w:val="0"/>
                <w:w w:val="100"/>
                <w:position w:val="0"/>
                <w:sz w:val="18"/>
                <w:szCs w:val="18"/>
              </w:rPr>
              <w:t>24</w:t>
            </w:r>
            <w:r>
              <w:rPr>
                <w:color w:val="000000"/>
                <w:spacing w:val="0"/>
                <w:w w:val="100"/>
                <w:position w:val="0"/>
              </w:rPr>
              <w:t>个月内的最后一个交易日当日止</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w:t>
            </w:r>
          </w:p>
        </w:tc>
      </w:tr>
      <w:tr>
        <w:trPr>
          <w:trHeight w:val="653"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240" w:right="0" w:firstLine="0"/>
              <w:jc w:val="both"/>
            </w:pPr>
            <w:r>
              <w:rPr>
                <w:color w:val="000000"/>
                <w:spacing w:val="0"/>
                <w:w w:val="100"/>
                <w:position w:val="0"/>
              </w:rPr>
              <w:t>自相应授予登记日起</w:t>
            </w:r>
            <w:r>
              <w:rPr>
                <w:color w:val="000000"/>
                <w:spacing w:val="0"/>
                <w:w w:val="100"/>
                <w:position w:val="0"/>
                <w:sz w:val="18"/>
                <w:szCs w:val="18"/>
              </w:rPr>
              <w:t>24</w:t>
            </w:r>
            <w:r>
              <w:rPr>
                <w:color w:val="000000"/>
                <w:spacing w:val="0"/>
                <w:w w:val="100"/>
                <w:position w:val="0"/>
              </w:rPr>
              <w:t>个月后的首个交易日起至限制性股票授予登记 日起</w:t>
            </w:r>
            <w:r>
              <w:rPr>
                <w:color w:val="000000"/>
                <w:spacing w:val="0"/>
                <w:w w:val="100"/>
                <w:position w:val="0"/>
                <w:sz w:val="18"/>
                <w:szCs w:val="18"/>
              </w:rPr>
              <w:t>36</w:t>
            </w:r>
            <w:r>
              <w:rPr>
                <w:color w:val="000000"/>
                <w:spacing w:val="0"/>
                <w:w w:val="100"/>
                <w:position w:val="0"/>
              </w:rPr>
              <w:t>个月内的最后一个交易日当日止</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w:t>
            </w:r>
          </w:p>
        </w:tc>
      </w:tr>
      <w:tr>
        <w:trPr>
          <w:trHeight w:val="667"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240" w:right="0" w:firstLine="0"/>
              <w:jc w:val="both"/>
            </w:pPr>
            <w:r>
              <w:rPr>
                <w:color w:val="000000"/>
                <w:spacing w:val="0"/>
                <w:w w:val="100"/>
                <w:position w:val="0"/>
              </w:rPr>
              <w:t>自相应授予登记日起</w:t>
            </w:r>
            <w:r>
              <w:rPr>
                <w:color w:val="000000"/>
                <w:spacing w:val="0"/>
                <w:w w:val="100"/>
                <w:position w:val="0"/>
                <w:sz w:val="18"/>
                <w:szCs w:val="18"/>
              </w:rPr>
              <w:t>36</w:t>
            </w:r>
            <w:r>
              <w:rPr>
                <w:color w:val="000000"/>
                <w:spacing w:val="0"/>
                <w:w w:val="100"/>
                <w:position w:val="0"/>
              </w:rPr>
              <w:t>个月后的首个交易日起至限制性股票授予登记 日起</w:t>
            </w:r>
            <w:r>
              <w:rPr>
                <w:color w:val="000000"/>
                <w:spacing w:val="0"/>
                <w:w w:val="100"/>
                <w:position w:val="0"/>
                <w:sz w:val="18"/>
                <w:szCs w:val="18"/>
              </w:rPr>
              <w:t>48</w:t>
            </w:r>
            <w:r>
              <w:rPr>
                <w:color w:val="000000"/>
                <w:spacing w:val="0"/>
                <w:w w:val="100"/>
                <w:position w:val="0"/>
              </w:rPr>
              <w:t>个月内的最后一个交易日当日止</w:t>
            </w:r>
          </w:p>
        </w:tc>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w:t>
            </w:r>
          </w:p>
        </w:tc>
      </w:tr>
    </w:tbl>
    <w:p>
      <w:pPr>
        <w:pStyle w:val="Style31"/>
        <w:keepNext w:val="0"/>
        <w:keepLines w:val="0"/>
        <w:widowControl w:val="0"/>
        <w:shd w:val="clear" w:color="auto" w:fill="auto"/>
        <w:bidi w:val="0"/>
        <w:spacing w:before="0" w:after="0" w:line="240" w:lineRule="auto"/>
        <w:ind w:left="4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）预留部分股权激励</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日第二届董事会第二十一次会议决议，公司于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日向激励对象授予预留部分限制性股票，</w:t>
      </w:r>
    </w:p>
    <w:tbl>
      <w:tblPr>
        <w:tblOverlap w:val="never"/>
        <w:jc w:val="center"/>
        <w:tblLayout w:type="fixed"/>
      </w:tblPr>
      <w:tblGrid>
        <w:gridCol w:w="3202"/>
        <w:gridCol w:w="2794"/>
        <w:gridCol w:w="3715"/>
      </w:tblGrid>
      <w:tr>
        <w:trPr>
          <w:trHeight w:val="984" w:hRule="exact"/>
        </w:trPr>
        <w:tc>
          <w:tcPr>
            <w:gridSpan w:val="3"/>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名限制性股票激励对象行权，实际行权数量为</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21.18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本次预留部分解除限售年度为</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年三个会计年度，分年度对公司营业收入增长率进行考核，各年度的业绩考核目标 如下：</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解除限售安排</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业绩考核目标</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预留部分第一个解除限售期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以</w:t>
            </w:r>
            <w:r>
              <w:rPr>
                <w:color w:val="000000"/>
                <w:spacing w:val="0"/>
                <w:w w:val="100"/>
                <w:position w:val="0"/>
                <w:sz w:val="20"/>
                <w:szCs w:val="20"/>
              </w:rPr>
              <w:t>2016</w:t>
            </w:r>
            <w:r>
              <w:rPr>
                <w:color w:val="000000"/>
                <w:spacing w:val="0"/>
                <w:w w:val="100"/>
                <w:position w:val="0"/>
                <w:sz w:val="20"/>
                <w:szCs w:val="20"/>
              </w:rPr>
              <w:t>年营业收入为基数,</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年营业收入增长率不低于</w:t>
            </w:r>
            <w:r>
              <w:rPr>
                <w:color w:val="000000"/>
                <w:spacing w:val="0"/>
                <w:w w:val="100"/>
                <w:position w:val="0"/>
                <w:sz w:val="20"/>
                <w:szCs w:val="20"/>
              </w:rPr>
              <w:t>20%</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预留部分第二个解除限售期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以</w:t>
            </w:r>
            <w:r>
              <w:rPr>
                <w:color w:val="000000"/>
                <w:spacing w:val="0"/>
                <w:w w:val="100"/>
                <w:position w:val="0"/>
                <w:sz w:val="20"/>
                <w:szCs w:val="20"/>
              </w:rPr>
              <w:t>2016</w:t>
            </w:r>
            <w:r>
              <w:rPr>
                <w:color w:val="000000"/>
                <w:spacing w:val="0"/>
                <w:w w:val="100"/>
                <w:position w:val="0"/>
                <w:sz w:val="20"/>
                <w:szCs w:val="20"/>
              </w:rPr>
              <w:t>年营业收入为基数,</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年营业收入增长率不低于</w:t>
            </w:r>
            <w:r>
              <w:rPr>
                <w:color w:val="000000"/>
                <w:spacing w:val="0"/>
                <w:w w:val="100"/>
                <w:position w:val="0"/>
                <w:sz w:val="20"/>
                <w:szCs w:val="20"/>
              </w:rPr>
              <w:t>30%</w:t>
            </w:r>
          </w:p>
        </w:tc>
      </w:tr>
      <w:tr>
        <w:trPr>
          <w:trHeight w:val="36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预留部分第三个解除限售期</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以</w:t>
            </w:r>
            <w:r>
              <w:rPr>
                <w:color w:val="000000"/>
                <w:spacing w:val="0"/>
                <w:w w:val="100"/>
                <w:position w:val="0"/>
                <w:sz w:val="20"/>
                <w:szCs w:val="20"/>
              </w:rPr>
              <w:t>2016</w:t>
            </w:r>
            <w:r>
              <w:rPr>
                <w:color w:val="000000"/>
                <w:spacing w:val="0"/>
                <w:w w:val="100"/>
                <w:position w:val="0"/>
                <w:sz w:val="20"/>
                <w:szCs w:val="20"/>
              </w:rPr>
              <w:t>年营业收入为基数,</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年营业收入增长率不低于</w:t>
            </w:r>
            <w:r>
              <w:rPr>
                <w:color w:val="000000"/>
                <w:spacing w:val="0"/>
                <w:w w:val="100"/>
                <w:position w:val="0"/>
                <w:sz w:val="20"/>
                <w:szCs w:val="20"/>
              </w:rPr>
              <w:t>40%</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本次限制性股票的解除限售期及各期解除限售时间安排如下:</w:t>
      </w:r>
    </w:p>
    <w:tbl>
      <w:tblPr>
        <w:tblOverlap w:val="never"/>
        <w:jc w:val="center"/>
        <w:tblLayout w:type="fixed"/>
      </w:tblPr>
      <w:tblGrid>
        <w:gridCol w:w="2438"/>
        <w:gridCol w:w="5242"/>
        <w:gridCol w:w="1474"/>
      </w:tblGrid>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解除限售安排</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解除限售比例</w:t>
            </w:r>
          </w:p>
        </w:tc>
      </w:tr>
      <w:tr>
        <w:trPr>
          <w:trHeight w:val="667" w:hRule="exact"/>
        </w:trPr>
        <w:tc>
          <w:tcPr>
            <w:tcBorders>
              <w:top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预留部分第一个解除限售期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200" w:right="0" w:firstLine="0"/>
              <w:jc w:val="left"/>
            </w:pPr>
            <w:r>
              <w:rPr>
                <w:color w:val="000000"/>
                <w:spacing w:val="0"/>
                <w:w w:val="100"/>
                <w:position w:val="0"/>
              </w:rPr>
              <w:t>自预留授予登记日起</w:t>
            </w:r>
            <w:r>
              <w:rPr>
                <w:color w:val="000000"/>
                <w:spacing w:val="0"/>
                <w:w w:val="100"/>
                <w:position w:val="0"/>
                <w:sz w:val="18"/>
                <w:szCs w:val="18"/>
              </w:rPr>
              <w:t>12</w:t>
            </w:r>
            <w:r>
              <w:rPr>
                <w:color w:val="000000"/>
                <w:spacing w:val="0"/>
                <w:w w:val="100"/>
                <w:position w:val="0"/>
              </w:rPr>
              <w:t>个月后的首个交易日起至限制性股票授 予登记日起</w:t>
            </w:r>
            <w:r>
              <w:rPr>
                <w:color w:val="000000"/>
                <w:spacing w:val="0"/>
                <w:w w:val="100"/>
                <w:position w:val="0"/>
                <w:sz w:val="18"/>
                <w:szCs w:val="18"/>
              </w:rPr>
              <w:t>24</w:t>
            </w:r>
            <w:r>
              <w:rPr>
                <w:color w:val="000000"/>
                <w:spacing w:val="0"/>
                <w:w w:val="100"/>
                <w:position w:val="0"/>
              </w:rPr>
              <w:t>个月内的最后一个交易日当日止</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w:t>
            </w:r>
          </w:p>
        </w:tc>
      </w:tr>
      <w:tr>
        <w:trPr>
          <w:trHeight w:val="66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预留部分第二个解除限售期</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200" w:right="0" w:firstLine="0"/>
              <w:jc w:val="left"/>
            </w:pPr>
            <w:r>
              <w:rPr>
                <w:color w:val="000000"/>
                <w:spacing w:val="0"/>
                <w:w w:val="100"/>
                <w:position w:val="0"/>
              </w:rPr>
              <w:t>自预留授予登记日起</w:t>
            </w:r>
            <w:r>
              <w:rPr>
                <w:color w:val="000000"/>
                <w:spacing w:val="0"/>
                <w:w w:val="100"/>
                <w:position w:val="0"/>
                <w:sz w:val="18"/>
                <w:szCs w:val="18"/>
              </w:rPr>
              <w:t>24</w:t>
            </w:r>
            <w:r>
              <w:rPr>
                <w:color w:val="000000"/>
                <w:spacing w:val="0"/>
                <w:w w:val="100"/>
                <w:position w:val="0"/>
              </w:rPr>
              <w:t>个月后的首个交易日起至限制性股票授 予登记日起</w:t>
            </w:r>
            <w:r>
              <w:rPr>
                <w:color w:val="000000"/>
                <w:spacing w:val="0"/>
                <w:w w:val="100"/>
                <w:position w:val="0"/>
                <w:sz w:val="18"/>
                <w:szCs w:val="18"/>
              </w:rPr>
              <w:t>36</w:t>
            </w:r>
            <w:r>
              <w:rPr>
                <w:color w:val="000000"/>
                <w:spacing w:val="0"/>
                <w:w w:val="100"/>
                <w:position w:val="0"/>
              </w:rPr>
              <w:t>个月内的最后一个交易日当日止</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w:t>
            </w:r>
          </w:p>
        </w:tc>
      </w:tr>
      <w:tr>
        <w:trPr>
          <w:trHeight w:val="677"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预留部分第三个解除限售期</w:t>
            </w:r>
          </w:p>
        </w:tc>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200" w:right="0" w:firstLine="0"/>
              <w:jc w:val="left"/>
            </w:pPr>
            <w:r>
              <w:rPr>
                <w:color w:val="000000"/>
                <w:spacing w:val="0"/>
                <w:w w:val="100"/>
                <w:position w:val="0"/>
              </w:rPr>
              <w:t>自预留授予登记日起</w:t>
            </w:r>
            <w:r>
              <w:rPr>
                <w:color w:val="000000"/>
                <w:spacing w:val="0"/>
                <w:w w:val="100"/>
                <w:position w:val="0"/>
                <w:sz w:val="18"/>
                <w:szCs w:val="18"/>
              </w:rPr>
              <w:t>36</w:t>
            </w:r>
            <w:r>
              <w:rPr>
                <w:color w:val="000000"/>
                <w:spacing w:val="0"/>
                <w:w w:val="100"/>
                <w:position w:val="0"/>
              </w:rPr>
              <w:t>个月后的首个交易日起至限制性股票授 予登记日起</w:t>
            </w:r>
            <w:r>
              <w:rPr>
                <w:color w:val="000000"/>
                <w:spacing w:val="0"/>
                <w:w w:val="100"/>
                <w:position w:val="0"/>
                <w:sz w:val="18"/>
                <w:szCs w:val="18"/>
              </w:rPr>
              <w:t>48</w:t>
            </w:r>
            <w:r>
              <w:rPr>
                <w:color w:val="000000"/>
                <w:spacing w:val="0"/>
                <w:w w:val="100"/>
                <w:position w:val="0"/>
              </w:rPr>
              <w:t>个月内的最后一个交易日当日止</w:t>
            </w:r>
          </w:p>
        </w:tc>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w:t>
            </w:r>
          </w:p>
        </w:tc>
      </w:tr>
    </w:tbl>
    <w:p>
      <w:pPr>
        <w:pStyle w:val="Style23"/>
        <w:keepNext w:val="0"/>
        <w:keepLines w:val="0"/>
        <w:widowControl w:val="0"/>
        <w:shd w:val="clear" w:color="auto" w:fill="auto"/>
        <w:tabs>
          <w:tab w:pos="481" w:val="left"/>
        </w:tabs>
        <w:bidi w:val="0"/>
        <w:spacing w:before="0" w:after="0" w:line="313" w:lineRule="exact"/>
        <w:ind w:left="0" w:right="0" w:firstLine="0"/>
        <w:jc w:val="both"/>
      </w:pPr>
      <w:bookmarkStart w:id="2141" w:name="bookmark2141"/>
      <w:r>
        <w:rPr>
          <w:color w:val="000000"/>
          <w:spacing w:val="0"/>
          <w:w w:val="100"/>
          <w:position w:val="0"/>
        </w:rPr>
        <w:t>（</w:t>
      </w:r>
      <w:bookmarkEnd w:id="21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日，公司以截至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8,516</w:t>
      </w:r>
      <w:r>
        <w:rPr>
          <w:color w:val="000000"/>
          <w:spacing w:val="0"/>
          <w:w w:val="100"/>
          <w:position w:val="0"/>
        </w:rPr>
        <w:t>万股为基数向全体股东以资本公积每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股本，分配方案公布后至实施前，公司总股本由于股权激励行权发生变动，按照“现金分红总额、送红股总额、转增股本总 额固定不变”的原则，在权益分派实施公告中披露按公司最新总股本计算的分配比例。因此公司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年年度资本公积转增 方案调整为：以公司现有总股本</w:t>
      </w:r>
      <w:r>
        <w:rPr>
          <w:rFonts w:ascii="Times New Roman" w:eastAsia="Times New Roman" w:hAnsi="Times New Roman" w:cs="Times New Roman"/>
          <w:color w:val="000000"/>
          <w:spacing w:val="0"/>
          <w:w w:val="100"/>
          <w:position w:val="0"/>
          <w:sz w:val="18"/>
          <w:szCs w:val="18"/>
        </w:rPr>
        <w:t>85,350,000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9.977738</w:t>
      </w:r>
      <w:r>
        <w:rPr>
          <w:color w:val="000000"/>
          <w:spacing w:val="0"/>
          <w:w w:val="100"/>
          <w:position w:val="0"/>
        </w:rPr>
        <w:t>股，相应的公司年末 发行在外的股份期权行权价格应调整为</w:t>
      </w:r>
      <w:r>
        <w:rPr>
          <w:rFonts w:ascii="Times New Roman" w:eastAsia="Times New Roman" w:hAnsi="Times New Roman" w:cs="Times New Roman"/>
          <w:color w:val="000000"/>
          <w:spacing w:val="0"/>
          <w:w w:val="100"/>
          <w:position w:val="0"/>
          <w:sz w:val="18"/>
          <w:szCs w:val="18"/>
        </w:rPr>
        <w:t>12.0588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10.4220</w:t>
      </w:r>
      <w:r>
        <w:rPr>
          <w:color w:val="000000"/>
          <w:spacing w:val="0"/>
          <w:w w:val="100"/>
          <w:position w:val="0"/>
        </w:rPr>
        <w:t>元。</w:t>
      </w:r>
    </w:p>
    <w:p>
      <w:pPr>
        <w:pStyle w:val="Style23"/>
        <w:keepNext w:val="0"/>
        <w:keepLines w:val="0"/>
        <w:widowControl w:val="0"/>
        <w:shd w:val="clear" w:color="auto" w:fill="auto"/>
        <w:tabs>
          <w:tab w:pos="486" w:val="left"/>
        </w:tabs>
        <w:bidi w:val="0"/>
        <w:spacing w:before="0" w:after="80" w:line="312" w:lineRule="exact"/>
        <w:ind w:left="0" w:right="0" w:firstLine="0"/>
        <w:jc w:val="both"/>
      </w:pPr>
      <w:bookmarkStart w:id="2142" w:name="bookmark2142"/>
      <w:r>
        <w:rPr>
          <w:color w:val="000000"/>
          <w:spacing w:val="0"/>
          <w:w w:val="100"/>
          <w:position w:val="0"/>
        </w:rPr>
        <w:t>（</w:t>
      </w:r>
      <w:bookmarkEnd w:id="21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日公司实施完毕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年年度权益分派方案，以总股本</w:t>
      </w:r>
      <w:r>
        <w:rPr>
          <w:rFonts w:ascii="Times New Roman" w:eastAsia="Times New Roman" w:hAnsi="Times New Roman" w:cs="Times New Roman"/>
          <w:color w:val="000000"/>
          <w:spacing w:val="0"/>
          <w:w w:val="100"/>
          <w:position w:val="0"/>
          <w:sz w:val="18"/>
          <w:szCs w:val="18"/>
        </w:rPr>
        <w:t>170,115,232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元人民币现金（含税），以资本公积金向全体股东每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股，相应的公司年末发行在外的股份期权行权价格应调整为 </w:t>
      </w:r>
      <w:r>
        <w:rPr>
          <w:rFonts w:ascii="Times New Roman" w:eastAsia="Times New Roman" w:hAnsi="Times New Roman" w:cs="Times New Roman"/>
          <w:color w:val="000000"/>
          <w:spacing w:val="0"/>
          <w:w w:val="100"/>
          <w:position w:val="0"/>
          <w:sz w:val="18"/>
          <w:szCs w:val="18"/>
        </w:rPr>
        <w:t xml:space="preserve">7.9059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6.8147 </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firstLine="0"/>
        <w:jc w:val="both"/>
      </w:pPr>
      <w:bookmarkStart w:id="2143" w:name="bookmark2143"/>
      <w:r>
        <w:rPr>
          <w:color w:val="000000"/>
          <w:spacing w:val="0"/>
          <w:w w:val="100"/>
          <w:position w:val="0"/>
        </w:rPr>
        <w:t>（</w:t>
      </w:r>
      <w:bookmarkEnd w:id="214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日公司实施完毕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年年度权益分派方案，以总股本</w:t>
      </w:r>
      <w:r>
        <w:rPr>
          <w:rFonts w:ascii="Times New Roman" w:eastAsia="Times New Roman" w:hAnsi="Times New Roman" w:cs="Times New Roman"/>
          <w:color w:val="000000"/>
          <w:spacing w:val="0"/>
          <w:w w:val="100"/>
          <w:position w:val="0"/>
          <w:sz w:val="18"/>
          <w:szCs w:val="18"/>
        </w:rPr>
        <w:t>253,736,848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现金股利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元人民币（含税），不送红股，不进行资本公积金转增股本，相应的公司年末发行在外的股份期权行权价格应 调整为</w:t>
      </w:r>
      <w:r>
        <w:rPr>
          <w:rFonts w:ascii="Times New Roman" w:eastAsia="Times New Roman" w:hAnsi="Times New Roman" w:cs="Times New Roman"/>
          <w:color w:val="000000"/>
          <w:spacing w:val="0"/>
          <w:w w:val="100"/>
          <w:position w:val="0"/>
          <w:sz w:val="18"/>
          <w:szCs w:val="18"/>
        </w:rPr>
        <w:t>7.8259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6.7347</w:t>
      </w:r>
      <w:r>
        <w:rPr>
          <w:color w:val="000000"/>
          <w:spacing w:val="0"/>
          <w:w w:val="100"/>
          <w:position w:val="0"/>
        </w:rPr>
        <w:t>元。</w:t>
      </w:r>
    </w:p>
    <w:p>
      <w:pPr>
        <w:pStyle w:val="Style23"/>
        <w:keepNext w:val="0"/>
        <w:keepLines w:val="0"/>
        <w:widowControl w:val="0"/>
        <w:shd w:val="clear" w:color="auto" w:fill="auto"/>
        <w:tabs>
          <w:tab w:pos="541" w:val="left"/>
        </w:tabs>
        <w:bidi w:val="0"/>
        <w:spacing w:before="0" w:after="0" w:line="312" w:lineRule="exact"/>
        <w:ind w:left="0" w:right="0" w:firstLine="0"/>
        <w:jc w:val="both"/>
      </w:pPr>
      <w:bookmarkStart w:id="2144" w:name="bookmark2144"/>
      <w:r>
        <w:rPr>
          <w:color w:val="000000"/>
          <w:spacing w:val="0"/>
          <w:w w:val="100"/>
          <w:position w:val="0"/>
        </w:rPr>
        <w:t>（</w:t>
      </w:r>
      <w:bookmarkEnd w:id="214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日公司实施完毕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年年度权益分派方案，以总股本</w:t>
      </w:r>
      <w:r>
        <w:rPr>
          <w:rFonts w:ascii="Times New Roman" w:eastAsia="Times New Roman" w:hAnsi="Times New Roman" w:cs="Times New Roman"/>
          <w:color w:val="000000"/>
          <w:spacing w:val="0"/>
          <w:w w:val="100"/>
          <w:position w:val="0"/>
          <w:sz w:val="18"/>
          <w:szCs w:val="18"/>
        </w:rPr>
        <w:t>252,450,683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 xml:space="preserve">0.80 </w:t>
      </w:r>
      <w:r>
        <w:rPr>
          <w:color w:val="000000"/>
          <w:spacing w:val="0"/>
          <w:w w:val="100"/>
          <w:position w:val="0"/>
        </w:rPr>
        <w:t>元人民币现金（含税），以资本公积金向全体股东每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股，相应的公司年末发行在外的股份期权行权价格应调整 </w:t>
      </w:r>
      <w:r>
        <w:rPr>
          <w:rFonts w:ascii="Times New Roman" w:eastAsia="Times New Roman" w:hAnsi="Times New Roman" w:cs="Times New Roman"/>
          <w:color w:val="000000"/>
          <w:spacing w:val="0"/>
          <w:w w:val="100"/>
          <w:position w:val="0"/>
          <w:sz w:val="18"/>
          <w:szCs w:val="18"/>
        </w:rPr>
        <w:t xml:space="preserve">5.1190 </w:t>
      </w:r>
      <w:r>
        <w:rPr>
          <w:color w:val="000000"/>
          <w:spacing w:val="0"/>
          <w:w w:val="100"/>
          <w:position w:val="0"/>
        </w:rPr>
        <w:t>元。</w:t>
      </w:r>
    </w:p>
    <w:p>
      <w:pPr>
        <w:pStyle w:val="Style23"/>
        <w:keepNext w:val="0"/>
        <w:keepLines w:val="0"/>
        <w:widowControl w:val="0"/>
        <w:shd w:val="clear" w:color="auto" w:fill="auto"/>
        <w:tabs>
          <w:tab w:pos="541" w:val="left"/>
        </w:tabs>
        <w:bidi w:val="0"/>
        <w:spacing w:before="0" w:after="380" w:line="317" w:lineRule="exact"/>
        <w:ind w:left="0" w:right="0" w:firstLine="0"/>
        <w:jc w:val="both"/>
      </w:pPr>
      <w:bookmarkStart w:id="2145" w:name="bookmark2145"/>
      <w:r>
        <w:rPr>
          <w:color w:val="000000"/>
          <w:spacing w:val="0"/>
          <w:w w:val="100"/>
          <w:position w:val="0"/>
        </w:rPr>
        <w:t>（</w:t>
      </w:r>
      <w:bookmarkEnd w:id="214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由于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年公司业绩均未达到考核目标，首次授予的限制性股票已全部失效，至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年末已全部回购； 预留授予的限制性股票至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年末已全部回购。</w:t>
      </w:r>
    </w:p>
    <w:p>
      <w:pPr>
        <w:pStyle w:val="Style35"/>
        <w:keepNext/>
        <w:keepLines/>
        <w:widowControl w:val="0"/>
        <w:shd w:val="clear" w:color="auto" w:fill="auto"/>
        <w:bidi w:val="0"/>
        <w:spacing w:before="0" w:after="260" w:line="240" w:lineRule="auto"/>
        <w:ind w:left="0" w:right="0" w:firstLine="0"/>
        <w:jc w:val="both"/>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46"/>
      <w:bookmarkEnd w:id="2147"/>
      <w:bookmarkEnd w:id="2148"/>
    </w:p>
    <w:p>
      <w:pPr>
        <w:pStyle w:val="Style23"/>
        <w:keepNext w:val="0"/>
        <w:keepLines w:val="0"/>
        <w:widowControl w:val="0"/>
        <w:shd w:val="clear" w:color="auto" w:fill="auto"/>
        <w:bidi w:val="0"/>
        <w:spacing w:before="0" w:after="16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按各解锁期的业绩条件估计确定</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1,771,211.20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3</w:t>
      </w:r>
      <w:bookmarkEnd w:id="2151"/>
      <w:r>
        <w:rPr>
          <w:color w:val="000000"/>
          <w:spacing w:val="0"/>
          <w:w w:val="100"/>
          <w:position w:val="0"/>
        </w:rPr>
        <w:t>、</w:t>
        <w:tab/>
        <w:t>以现金结算的股份支付情况</w:t>
      </w:r>
      <w:bookmarkEnd w:id="2149"/>
      <w:bookmarkEnd w:id="2150"/>
      <w:bookmarkEnd w:id="215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4</w:t>
      </w:r>
      <w:bookmarkEnd w:id="2155"/>
      <w:r>
        <w:rPr>
          <w:color w:val="000000"/>
          <w:spacing w:val="0"/>
          <w:w w:val="100"/>
          <w:position w:val="0"/>
        </w:rPr>
        <w:t>、</w:t>
        <w:tab/>
        <w:t>股份支付的修改、终止情况</w:t>
      </w:r>
      <w:bookmarkEnd w:id="2153"/>
      <w:bookmarkEnd w:id="2154"/>
      <w:bookmarkEnd w:id="215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5</w:t>
      </w:r>
      <w:bookmarkEnd w:id="2159"/>
      <w:r>
        <w:rPr>
          <w:color w:val="000000"/>
          <w:spacing w:val="0"/>
          <w:w w:val="100"/>
          <w:position w:val="0"/>
        </w:rPr>
        <w:t>、</w:t>
        <w:tab/>
        <w:t>其他</w:t>
      </w:r>
      <w:bookmarkEnd w:id="2157"/>
      <w:bookmarkEnd w:id="2158"/>
      <w:bookmarkEnd w:id="2160"/>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161" w:name="bookmark2161"/>
      <w:bookmarkStart w:id="2162" w:name="bookmark2162"/>
      <w:bookmarkStart w:id="2163" w:name="bookmark2163"/>
      <w:r>
        <w:rPr>
          <w:color w:val="000000"/>
          <w:spacing w:val="0"/>
          <w:w w:val="100"/>
          <w:position w:val="0"/>
        </w:rPr>
        <w:t>十四、承诺及或有事项</w:t>
      </w:r>
      <w:bookmarkEnd w:id="2161"/>
      <w:bookmarkEnd w:id="2162"/>
      <w:bookmarkEnd w:id="2163"/>
    </w:p>
    <w:p>
      <w:pPr>
        <w:pStyle w:val="Style35"/>
        <w:keepNext/>
        <w:keepLines/>
        <w:widowControl w:val="0"/>
        <w:shd w:val="clear" w:color="auto" w:fill="auto"/>
        <w:bidi w:val="0"/>
        <w:spacing w:before="0" w:after="380" w:line="240" w:lineRule="auto"/>
        <w:ind w:left="0" w:right="0" w:firstLine="0"/>
        <w:jc w:val="left"/>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64"/>
      <w:bookmarkEnd w:id="2165"/>
      <w:bookmarkEnd w:id="2166"/>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日止，本集团不存在应披露的重大承诺事项。</w:t>
      </w:r>
    </w:p>
    <w:p>
      <w:pPr>
        <w:pStyle w:val="Style35"/>
        <w:keepNext/>
        <w:keepLines/>
        <w:widowControl w:val="0"/>
        <w:shd w:val="clear" w:color="auto" w:fill="auto"/>
        <w:tabs>
          <w:tab w:pos="378" w:val="left"/>
        </w:tabs>
        <w:bidi w:val="0"/>
        <w:spacing w:before="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bookmarkEnd w:id="2169"/>
      <w:r>
        <w:rPr>
          <w:color w:val="000000"/>
          <w:spacing w:val="0"/>
          <w:w w:val="100"/>
          <w:position w:val="0"/>
        </w:rPr>
        <w:t>、</w:t>
        <w:tab/>
        <w:t>或有事项</w:t>
      </w:r>
      <w:bookmarkEnd w:id="2167"/>
      <w:bookmarkEnd w:id="2168"/>
      <w:bookmarkEnd w:id="2170"/>
    </w:p>
    <w:p>
      <w:pPr>
        <w:pStyle w:val="Style41"/>
        <w:keepNext/>
        <w:keepLines/>
        <w:widowControl w:val="0"/>
        <w:shd w:val="clear" w:color="auto" w:fill="auto"/>
        <w:tabs>
          <w:tab w:pos="493" w:val="left"/>
        </w:tabs>
        <w:bidi w:val="0"/>
        <w:spacing w:before="0" w:after="36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71"/>
      <w:bookmarkEnd w:id="2172"/>
      <w:bookmarkEnd w:id="217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日止，本集团不存在应披露的重大未决诉讼、对外担保等或有事项。</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75"/>
      <w:bookmarkEnd w:id="2176"/>
      <w:bookmarkEnd w:id="217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tabs>
          <w:tab w:pos="378" w:val="left"/>
        </w:tabs>
        <w:bidi w:val="0"/>
        <w:spacing w:before="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3</w:t>
      </w:r>
      <w:bookmarkEnd w:id="2181"/>
      <w:r>
        <w:rPr>
          <w:color w:val="000000"/>
          <w:spacing w:val="0"/>
          <w:w w:val="100"/>
          <w:position w:val="0"/>
        </w:rPr>
        <w:t>、</w:t>
        <w:tab/>
        <w:t>其他</w:t>
      </w:r>
      <w:bookmarkEnd w:id="2179"/>
      <w:bookmarkEnd w:id="2180"/>
      <w:bookmarkEnd w:id="2182"/>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r>
        <w:rPr>
          <w:color w:val="000000"/>
          <w:spacing w:val="0"/>
          <w:w w:val="100"/>
          <w:position w:val="0"/>
        </w:rPr>
        <w:t>十五、资产负债表日后事项</w:t>
      </w:r>
      <w:bookmarkEnd w:id="2183"/>
      <w:bookmarkEnd w:id="2184"/>
      <w:bookmarkEnd w:id="2185"/>
    </w:p>
    <w:p>
      <w:pPr>
        <w:pStyle w:val="Style35"/>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86"/>
      <w:bookmarkEnd w:id="2187"/>
      <w:bookmarkEnd w:id="218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89"/>
      <w:bookmarkEnd w:id="2190"/>
      <w:bookmarkEnd w:id="219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21,327,018.38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w:t>
        <w:tab/>
        <w:t>销售退回</w:t>
      </w:r>
      <w:bookmarkEnd w:id="2192"/>
      <w:bookmarkEnd w:id="2193"/>
      <w:bookmarkEnd w:id="2195"/>
    </w:p>
    <w:p>
      <w:pPr>
        <w:pStyle w:val="Style35"/>
        <w:keepNext/>
        <w:keepLines/>
        <w:widowControl w:val="0"/>
        <w:shd w:val="clear" w:color="auto" w:fill="auto"/>
        <w:tabs>
          <w:tab w:pos="378" w:val="left"/>
        </w:tabs>
        <w:bidi w:val="0"/>
        <w:spacing w:before="0" w:after="260" w:line="240" w:lineRule="auto"/>
        <w:ind w:left="0" w:right="0" w:firstLine="0"/>
        <w:jc w:val="both"/>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4</w:t>
      </w:r>
      <w:bookmarkEnd w:id="2198"/>
      <w:r>
        <w:rPr>
          <w:color w:val="000000"/>
          <w:spacing w:val="0"/>
          <w:w w:val="100"/>
          <w:position w:val="0"/>
        </w:rPr>
        <w:t>、</w:t>
        <w:tab/>
        <w:t>其他资产负债表日后事项说明</w:t>
      </w:r>
      <w:bookmarkEnd w:id="2196"/>
      <w:bookmarkEnd w:id="2197"/>
      <w:bookmarkEnd w:id="2199"/>
    </w:p>
    <w:p>
      <w:pPr>
        <w:pStyle w:val="Style23"/>
        <w:keepNext w:val="0"/>
        <w:keepLines w:val="0"/>
        <w:widowControl w:val="0"/>
        <w:shd w:val="clear" w:color="auto" w:fill="auto"/>
        <w:tabs>
          <w:tab w:pos="334" w:val="left"/>
        </w:tabs>
        <w:bidi w:val="0"/>
        <w:spacing w:before="0" w:after="0" w:line="319" w:lineRule="exact"/>
        <w:ind w:left="0" w:right="0" w:firstLine="0"/>
        <w:jc w:val="both"/>
      </w:pPr>
      <w:bookmarkStart w:id="2200" w:name="bookmark2200"/>
      <w:r>
        <w:rPr>
          <w:color w:val="000000"/>
          <w:spacing w:val="0"/>
          <w:w w:val="100"/>
          <w:position w:val="0"/>
          <w:sz w:val="18"/>
          <w:szCs w:val="18"/>
        </w:rPr>
        <w:t>1</w:t>
      </w:r>
      <w:bookmarkEnd w:id="2200"/>
      <w:r>
        <w:rPr>
          <w:color w:val="000000"/>
          <w:spacing w:val="0"/>
          <w:w w:val="100"/>
          <w:position w:val="0"/>
        </w:rPr>
        <w:t>、</w:t>
        <w:tab/>
        <w:t>资产负债表日后增发股份情况</w:t>
      </w:r>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公司拟向特定对象发行不超过</w:t>
      </w:r>
      <w:r>
        <w:rPr>
          <w:color w:val="000000"/>
          <w:spacing w:val="0"/>
          <w:w w:val="100"/>
          <w:position w:val="0"/>
          <w:sz w:val="18"/>
          <w:szCs w:val="18"/>
        </w:rPr>
        <w:t>98, 432, 392</w:t>
      </w:r>
      <w:r>
        <w:rPr>
          <w:color w:val="000000"/>
          <w:spacing w:val="0"/>
          <w:w w:val="100"/>
          <w:position w:val="0"/>
        </w:rPr>
        <w:t>股，募集资金不超过</w:t>
      </w:r>
      <w:r>
        <w:rPr>
          <w:color w:val="000000"/>
          <w:spacing w:val="0"/>
          <w:w w:val="100"/>
          <w:position w:val="0"/>
          <w:sz w:val="18"/>
          <w:szCs w:val="18"/>
        </w:rPr>
        <w:t xml:space="preserve">29,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万元，发行预案已经公司</w:t>
      </w:r>
      <w:r>
        <w:rPr>
          <w:color w:val="000000"/>
          <w:spacing w:val="0"/>
          <w:w w:val="100"/>
          <w:position w:val="0"/>
          <w:sz w:val="18"/>
          <w:szCs w:val="18"/>
        </w:rPr>
        <w:t>2022</w:t>
      </w:r>
      <w:r>
        <w:rPr>
          <w:color w:val="000000"/>
          <w:spacing w:val="0"/>
          <w:w w:val="100"/>
          <w:position w:val="0"/>
        </w:rPr>
        <w:t>年第一次临时股东大 会审议通过，尚需深圳证券交易所审核通过并经中国证监会作出同意注册发行决定后方可实施。</w:t>
      </w:r>
    </w:p>
    <w:p>
      <w:pPr>
        <w:pStyle w:val="Style23"/>
        <w:keepNext w:val="0"/>
        <w:keepLines w:val="0"/>
        <w:widowControl w:val="0"/>
        <w:shd w:val="clear" w:color="auto" w:fill="auto"/>
        <w:tabs>
          <w:tab w:pos="344" w:val="left"/>
        </w:tabs>
        <w:bidi w:val="0"/>
        <w:spacing w:before="0" w:after="0" w:line="319" w:lineRule="exact"/>
        <w:ind w:left="0" w:right="0" w:firstLine="0"/>
        <w:jc w:val="both"/>
      </w:pPr>
      <w:bookmarkStart w:id="2201" w:name="bookmark2201"/>
      <w:r>
        <w:rPr>
          <w:color w:val="000000"/>
          <w:spacing w:val="0"/>
          <w:w w:val="100"/>
          <w:position w:val="0"/>
          <w:sz w:val="18"/>
          <w:szCs w:val="18"/>
        </w:rPr>
        <w:t>2</w:t>
      </w:r>
      <w:bookmarkEnd w:id="2201"/>
      <w:r>
        <w:rPr>
          <w:color w:val="000000"/>
          <w:spacing w:val="0"/>
          <w:w w:val="100"/>
          <w:position w:val="0"/>
        </w:rPr>
        <w:t>、</w:t>
        <w:tab/>
        <w:t>资产负债表日后利润分配情况</w:t>
      </w:r>
    </w:p>
    <w:p>
      <w:pPr>
        <w:pStyle w:val="Style23"/>
        <w:keepNext w:val="0"/>
        <w:keepLines w:val="0"/>
        <w:widowControl w:val="0"/>
        <w:shd w:val="clear" w:color="auto" w:fill="auto"/>
        <w:bidi w:val="0"/>
        <w:spacing w:before="0" w:after="360" w:line="319"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日，本公司第四届董事会召开第十一次会议，批准</w:t>
      </w:r>
      <w:r>
        <w:rPr>
          <w:color w:val="000000"/>
          <w:spacing w:val="0"/>
          <w:w w:val="100"/>
          <w:position w:val="0"/>
          <w:sz w:val="18"/>
          <w:szCs w:val="18"/>
        </w:rPr>
        <w:t>2021</w:t>
      </w:r>
      <w:r>
        <w:rPr>
          <w:color w:val="000000"/>
          <w:spacing w:val="0"/>
          <w:w w:val="100"/>
          <w:position w:val="0"/>
        </w:rPr>
        <w:t>年度利润分配预案，以截止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 本</w:t>
      </w:r>
      <w:r>
        <w:rPr>
          <w:color w:val="000000"/>
          <w:spacing w:val="0"/>
          <w:w w:val="100"/>
          <w:position w:val="0"/>
          <w:sz w:val="18"/>
          <w:szCs w:val="18"/>
        </w:rPr>
        <w:t>328, 107,975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0.65</w:t>
      </w:r>
      <w:r>
        <w:rPr>
          <w:color w:val="000000"/>
          <w:spacing w:val="0"/>
          <w:w w:val="100"/>
          <w:position w:val="0"/>
        </w:rPr>
        <w:t>元人民币（含税）。该项决议尚需提交股东大会批准。</w:t>
      </w:r>
    </w:p>
    <w:p>
      <w:pPr>
        <w:pStyle w:val="Style29"/>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r>
        <w:rPr>
          <w:color w:val="000000"/>
          <w:spacing w:val="0"/>
          <w:w w:val="100"/>
          <w:position w:val="0"/>
        </w:rPr>
        <w:t>十六、其他重要事项</w:t>
      </w:r>
      <w:bookmarkEnd w:id="2202"/>
      <w:bookmarkEnd w:id="2203"/>
      <w:bookmarkEnd w:id="2204"/>
    </w:p>
    <w:p>
      <w:pPr>
        <w:pStyle w:val="Style35"/>
        <w:keepNext/>
        <w:keepLines/>
        <w:widowControl w:val="0"/>
        <w:shd w:val="clear" w:color="auto" w:fill="auto"/>
        <w:bidi w:val="0"/>
        <w:spacing w:before="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05"/>
      <w:bookmarkEnd w:id="2206"/>
      <w:bookmarkEnd w:id="2207"/>
    </w:p>
    <w:p>
      <w:pPr>
        <w:pStyle w:val="Style41"/>
        <w:keepNext/>
        <w:keepLines/>
        <w:widowControl w:val="0"/>
        <w:shd w:val="clear" w:color="auto" w:fill="auto"/>
        <w:bidi w:val="0"/>
        <w:spacing w:before="0" w:after="360" w:line="240" w:lineRule="auto"/>
        <w:ind w:left="0" w:right="0" w:firstLine="0"/>
        <w:jc w:val="left"/>
      </w:pPr>
      <w:bookmarkStart w:id="2208" w:name="bookmark2208"/>
      <w:bookmarkStart w:id="2209" w:name="bookmark2209"/>
      <w:bookmarkStart w:id="2210" w:name="bookmark2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08"/>
      <w:bookmarkEnd w:id="2209"/>
      <w:bookmarkEnd w:id="2210"/>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11"/>
      <w:bookmarkEnd w:id="2212"/>
      <w:bookmarkEnd w:id="2213"/>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2</w:t>
      </w:r>
      <w:bookmarkEnd w:id="2216"/>
      <w:r>
        <w:rPr>
          <w:color w:val="000000"/>
          <w:spacing w:val="0"/>
          <w:w w:val="100"/>
          <w:position w:val="0"/>
        </w:rPr>
        <w:t>、</w:t>
        <w:tab/>
        <w:t>债务重组</w:t>
      </w:r>
      <w:bookmarkEnd w:id="2214"/>
      <w:bookmarkEnd w:id="2215"/>
      <w:bookmarkEnd w:id="2217"/>
    </w:p>
    <w:p>
      <w:pPr>
        <w:pStyle w:val="Style35"/>
        <w:keepNext/>
        <w:keepLines/>
        <w:widowControl w:val="0"/>
        <w:shd w:val="clear" w:color="auto" w:fill="auto"/>
        <w:tabs>
          <w:tab w:pos="378" w:val="left"/>
        </w:tabs>
        <w:bidi w:val="0"/>
        <w:spacing w:before="0" w:line="240" w:lineRule="auto"/>
        <w:ind w:left="0" w:right="0" w:firstLine="0"/>
        <w:jc w:val="both"/>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w:t>
        <w:tab/>
        <w:t>资产置换</w:t>
      </w:r>
      <w:bookmarkEnd w:id="2218"/>
      <w:bookmarkEnd w:id="2219"/>
      <w:bookmarkEnd w:id="2221"/>
    </w:p>
    <w:p>
      <w:pPr>
        <w:pStyle w:val="Style41"/>
        <w:keepNext/>
        <w:keepLines/>
        <w:widowControl w:val="0"/>
        <w:shd w:val="clear" w:color="auto" w:fill="auto"/>
        <w:tabs>
          <w:tab w:pos="493" w:val="left"/>
        </w:tabs>
        <w:bidi w:val="0"/>
        <w:spacing w:before="0" w:after="360" w:line="240" w:lineRule="auto"/>
        <w:ind w:left="0" w:right="0" w:firstLine="0"/>
        <w:jc w:val="both"/>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22"/>
      <w:bookmarkEnd w:id="2223"/>
      <w:bookmarkEnd w:id="2225"/>
    </w:p>
    <w:p>
      <w:pPr>
        <w:pStyle w:val="Style41"/>
        <w:keepNext/>
        <w:keepLines/>
        <w:widowControl w:val="0"/>
        <w:shd w:val="clear" w:color="auto" w:fill="auto"/>
        <w:tabs>
          <w:tab w:pos="493" w:val="left"/>
        </w:tabs>
        <w:bidi w:val="0"/>
        <w:spacing w:before="0" w:after="360" w:line="240" w:lineRule="auto"/>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26"/>
      <w:bookmarkEnd w:id="2227"/>
      <w:bookmarkEnd w:id="2229"/>
    </w:p>
    <w:p>
      <w:pPr>
        <w:pStyle w:val="Style35"/>
        <w:keepNext/>
        <w:keepLines/>
        <w:widowControl w:val="0"/>
        <w:shd w:val="clear" w:color="auto" w:fill="auto"/>
        <w:tabs>
          <w:tab w:pos="378" w:val="left"/>
        </w:tabs>
        <w:bidi w:val="0"/>
        <w:spacing w:before="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4</w:t>
      </w:r>
      <w:bookmarkEnd w:id="2232"/>
      <w:r>
        <w:rPr>
          <w:color w:val="000000"/>
          <w:spacing w:val="0"/>
          <w:w w:val="100"/>
          <w:position w:val="0"/>
        </w:rPr>
        <w:t>、</w:t>
        <w:tab/>
        <w:t>年金计划</w:t>
      </w:r>
      <w:bookmarkEnd w:id="2230"/>
      <w:bookmarkEnd w:id="2231"/>
      <w:bookmarkEnd w:id="2233"/>
    </w:p>
    <w:p>
      <w:pPr>
        <w:pStyle w:val="Style35"/>
        <w:keepNext/>
        <w:keepLines/>
        <w:widowControl w:val="0"/>
        <w:shd w:val="clear" w:color="auto" w:fill="auto"/>
        <w:tabs>
          <w:tab w:pos="378" w:val="left"/>
        </w:tabs>
        <w:bidi w:val="0"/>
        <w:spacing w:before="0" w:line="240" w:lineRule="auto"/>
        <w:ind w:left="0" w:right="0" w:firstLine="0"/>
        <w:jc w:val="both"/>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5</w:t>
      </w:r>
      <w:bookmarkEnd w:id="2236"/>
      <w:r>
        <w:rPr>
          <w:color w:val="000000"/>
          <w:spacing w:val="0"/>
          <w:w w:val="100"/>
          <w:position w:val="0"/>
        </w:rPr>
        <w:t>、</w:t>
        <w:tab/>
        <w:t>终止经营</w:t>
      </w:r>
      <w:bookmarkEnd w:id="2234"/>
      <w:bookmarkEnd w:id="2235"/>
      <w:bookmarkEnd w:id="2237"/>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所有者的终止</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6</w:t>
      </w:r>
      <w:bookmarkEnd w:id="2240"/>
      <w:r>
        <w:rPr>
          <w:color w:val="000000"/>
          <w:spacing w:val="0"/>
          <w:w w:val="100"/>
          <w:position w:val="0"/>
        </w:rPr>
        <w:t>、分部信息</w:t>
      </w:r>
      <w:bookmarkEnd w:id="2238"/>
      <w:bookmarkEnd w:id="2239"/>
      <w:bookmarkEnd w:id="2241"/>
    </w:p>
    <w:p>
      <w:pPr>
        <w:pStyle w:val="Style41"/>
        <w:keepNext/>
        <w:keepLines/>
        <w:widowControl w:val="0"/>
        <w:shd w:val="clear" w:color="auto" w:fill="auto"/>
        <w:tabs>
          <w:tab w:pos="493" w:val="left"/>
        </w:tabs>
        <w:bidi w:val="0"/>
        <w:spacing w:before="0" w:after="36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42"/>
      <w:bookmarkEnd w:id="2243"/>
      <w:bookmarkEnd w:id="2245"/>
    </w:p>
    <w:p>
      <w:pPr>
        <w:pStyle w:val="Style41"/>
        <w:keepNext/>
        <w:keepLines/>
        <w:widowControl w:val="0"/>
        <w:shd w:val="clear" w:color="auto" w:fill="auto"/>
        <w:tabs>
          <w:tab w:pos="493" w:val="left"/>
        </w:tabs>
        <w:bidi w:val="0"/>
        <w:spacing w:before="0" w:after="36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w:t>
      </w:r>
      <w:bookmarkEnd w:id="224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46"/>
      <w:bookmarkEnd w:id="2247"/>
      <w:bookmarkEnd w:id="2249"/>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keepLines/>
        <w:widowControl w:val="0"/>
        <w:shd w:val="clear" w:color="auto" w:fill="auto"/>
        <w:tabs>
          <w:tab w:pos="493" w:val="left"/>
        </w:tabs>
        <w:bidi w:val="0"/>
        <w:spacing w:before="0" w:after="360" w:line="240" w:lineRule="auto"/>
        <w:ind w:left="0" w:right="0" w:firstLine="0"/>
        <w:jc w:val="both"/>
      </w:pPr>
      <w:bookmarkStart w:id="2250" w:name="bookmark2250"/>
      <w:bookmarkStart w:id="2251" w:name="bookmark2251"/>
      <w:bookmarkStart w:id="2252" w:name="bookmark2252"/>
      <w:bookmarkStart w:id="2253" w:name="bookmark2253"/>
      <w:r>
        <w:rPr>
          <w:color w:val="000000"/>
          <w:spacing w:val="0"/>
          <w:w w:val="100"/>
          <w:position w:val="0"/>
        </w:rPr>
        <w:t>（</w:t>
      </w:r>
      <w:bookmarkEnd w:id="225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50"/>
      <w:bookmarkEnd w:id="2251"/>
      <w:bookmarkEnd w:id="2253"/>
    </w:p>
    <w:p>
      <w:pPr>
        <w:pStyle w:val="Style41"/>
        <w:keepNext/>
        <w:keepLines/>
        <w:widowControl w:val="0"/>
        <w:shd w:val="clear" w:color="auto" w:fill="auto"/>
        <w:tabs>
          <w:tab w:pos="493" w:val="left"/>
        </w:tabs>
        <w:bidi w:val="0"/>
        <w:spacing w:before="0" w:after="360" w:line="240" w:lineRule="auto"/>
        <w:ind w:left="0" w:right="0" w:firstLine="0"/>
        <w:jc w:val="both"/>
      </w:pPr>
      <w:bookmarkStart w:id="2254" w:name="bookmark2254"/>
      <w:bookmarkStart w:id="2255" w:name="bookmark2255"/>
      <w:bookmarkStart w:id="2256" w:name="bookmark2256"/>
      <w:bookmarkStart w:id="2257" w:name="bookmark2257"/>
      <w:r>
        <w:rPr>
          <w:color w:val="000000"/>
          <w:spacing w:val="0"/>
          <w:w w:val="100"/>
          <w:position w:val="0"/>
        </w:rPr>
        <w:t>（</w:t>
      </w:r>
      <w:bookmarkEnd w:id="225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54"/>
      <w:bookmarkEnd w:id="2255"/>
      <w:bookmarkEnd w:id="2257"/>
    </w:p>
    <w:p>
      <w:pPr>
        <w:pStyle w:val="Style35"/>
        <w:keepNext/>
        <w:keepLines/>
        <w:widowControl w:val="0"/>
        <w:shd w:val="clear" w:color="auto" w:fill="auto"/>
        <w:tabs>
          <w:tab w:pos="373" w:val="left"/>
        </w:tabs>
        <w:bidi w:val="0"/>
        <w:spacing w:before="0" w:line="240" w:lineRule="auto"/>
        <w:ind w:left="0" w:right="0" w:firstLine="0"/>
        <w:jc w:val="both"/>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7</w:t>
      </w:r>
      <w:bookmarkEnd w:id="2260"/>
      <w:r>
        <w:rPr>
          <w:color w:val="000000"/>
          <w:spacing w:val="0"/>
          <w:w w:val="100"/>
          <w:position w:val="0"/>
        </w:rPr>
        <w:t>、</w:t>
        <w:tab/>
        <w:t>其他对投资者决策有影响的重要交易和事项</w:t>
      </w:r>
      <w:bookmarkEnd w:id="2258"/>
      <w:bookmarkEnd w:id="2259"/>
      <w:bookmarkEnd w:id="2261"/>
    </w:p>
    <w:p>
      <w:pPr>
        <w:pStyle w:val="Style35"/>
        <w:keepNext/>
        <w:keepLines/>
        <w:widowControl w:val="0"/>
        <w:shd w:val="clear" w:color="auto" w:fill="auto"/>
        <w:tabs>
          <w:tab w:pos="378" w:val="left"/>
        </w:tabs>
        <w:bidi w:val="0"/>
        <w:spacing w:before="0" w:line="240" w:lineRule="auto"/>
        <w:ind w:left="0" w:right="0" w:firstLine="0"/>
        <w:jc w:val="both"/>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8</w:t>
      </w:r>
      <w:bookmarkEnd w:id="2264"/>
      <w:r>
        <w:rPr>
          <w:color w:val="000000"/>
          <w:spacing w:val="0"/>
          <w:w w:val="100"/>
          <w:position w:val="0"/>
        </w:rPr>
        <w:t>、</w:t>
        <w:tab/>
        <w:t>其他</w:t>
      </w:r>
      <w:bookmarkEnd w:id="2262"/>
      <w:bookmarkEnd w:id="2263"/>
      <w:bookmarkEnd w:id="2265"/>
    </w:p>
    <w:p>
      <w:pPr>
        <w:pStyle w:val="Style29"/>
        <w:keepNext/>
        <w:keepLines/>
        <w:widowControl w:val="0"/>
        <w:shd w:val="clear" w:color="auto" w:fill="auto"/>
        <w:bidi w:val="0"/>
        <w:spacing w:before="0" w:after="360" w:line="240" w:lineRule="auto"/>
        <w:ind w:left="0" w:right="0" w:firstLine="0"/>
        <w:jc w:val="both"/>
      </w:pPr>
      <w:bookmarkStart w:id="2266" w:name="bookmark2266"/>
      <w:bookmarkStart w:id="2267" w:name="bookmark2267"/>
      <w:bookmarkStart w:id="2268" w:name="bookmark2268"/>
      <w:r>
        <w:rPr>
          <w:color w:val="000000"/>
          <w:spacing w:val="0"/>
          <w:w w:val="100"/>
          <w:position w:val="0"/>
        </w:rPr>
        <w:t>十七、母公司财务报表主要项目注释</w:t>
      </w:r>
      <w:bookmarkEnd w:id="2266"/>
      <w:bookmarkEnd w:id="2267"/>
      <w:bookmarkEnd w:id="2268"/>
    </w:p>
    <w:p>
      <w:pPr>
        <w:pStyle w:val="Style35"/>
        <w:keepNext/>
        <w:keepLines/>
        <w:widowControl w:val="0"/>
        <w:shd w:val="clear" w:color="auto" w:fill="auto"/>
        <w:bidi w:val="0"/>
        <w:spacing w:before="0" w:line="240" w:lineRule="auto"/>
        <w:ind w:left="0" w:right="0" w:firstLine="0"/>
        <w:jc w:val="both"/>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69"/>
      <w:bookmarkEnd w:id="2270"/>
      <w:bookmarkEnd w:id="2271"/>
    </w:p>
    <w:p>
      <w:pPr>
        <w:pStyle w:val="Style41"/>
        <w:keepNext/>
        <w:keepLines/>
        <w:widowControl w:val="0"/>
        <w:shd w:val="clear" w:color="auto" w:fill="auto"/>
        <w:bidi w:val="0"/>
        <w:spacing w:before="0" w:after="360" w:line="240" w:lineRule="auto"/>
        <w:ind w:left="0" w:right="0" w:firstLine="0"/>
        <w:jc w:val="both"/>
      </w:pPr>
      <w:bookmarkStart w:id="2272" w:name="bookmark2272"/>
      <w:bookmarkStart w:id="2273" w:name="bookmark2273"/>
      <w:bookmarkStart w:id="2274" w:name="bookmark2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72"/>
      <w:bookmarkEnd w:id="2273"/>
      <w:bookmarkEnd w:id="2274"/>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76,000, </w:t>
            </w:r>
            <w:r>
              <w:rPr>
                <w:rFonts w:ascii="Times New Roman" w:eastAsia="Times New Roman" w:hAnsi="Times New Roman" w:cs="Times New Roman"/>
                <w:color w:val="000000"/>
                <w:spacing w:val="0"/>
                <w:w w:val="100"/>
                <w:position w:val="0"/>
                <w:sz w:val="18"/>
                <w:szCs w:val="18"/>
              </w:rPr>
              <w:t>618.81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77,680,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67,603,2</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87.94</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65,870, </w:t>
            </w:r>
            <w:r>
              <w:rPr>
                <w:rFonts w:ascii="Times New Roman" w:eastAsia="Times New Roman" w:hAnsi="Times New Roman" w:cs="Times New Roman"/>
                <w:color w:val="000000"/>
                <w:spacing w:val="0"/>
                <w:w w:val="100"/>
                <w:position w:val="0"/>
                <w:sz w:val="18"/>
                <w:szCs w:val="18"/>
              </w:rPr>
              <w:t>100.41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64,890,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54,812,3</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09.11</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12.06</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12,790,9</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60.22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76,000, 618.81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77,680,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10,077,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67,603,2</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69.33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按组合计提坏账准备：应收货款</w:t>
      </w:r>
    </w:p>
    <w:p>
      <w:pPr>
        <w:widowControl w:val="0"/>
        <w:spacing w:after="139" w:line="1" w:lineRule="exact"/>
      </w:pP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59,153,064.08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877,713.34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4,077,472.47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638,441.66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2,707,996.31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1,001,959.08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1,846,516.12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1,037,558.01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56.19%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4,647,355.94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3,233,637.59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69.58%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1,443,878.06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1,216,872.89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84.28%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73,876,282.98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8,006,182.57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按组合计提坏账准备：应收质保金</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10,130,518.40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10,130,518.40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61,379,111.01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5,986,494.13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4,850,189.21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11,791,007.03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2,856,674.07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5,707,786.28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3,226,546.68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84,006,801.38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2275" w:name="bookmark2275"/>
      <w:bookmarkStart w:id="2276" w:name="bookmark2276"/>
      <w:bookmarkStart w:id="2277" w:name="bookmark22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75"/>
      <w:bookmarkEnd w:id="2276"/>
      <w:bookmarkEnd w:id="227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10,077,691.05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-1,967,252.48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8,006,182.57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10,077,691.05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-1,967,252.48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8,006,182.57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78"/>
      <w:bookmarkEnd w:id="2279"/>
      <w:bookmarkEnd w:id="2281"/>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104,256.00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82"/>
      <w:bookmarkEnd w:id="2283"/>
      <w:bookmarkEnd w:id="2285"/>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5,729,317.00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81,405.16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4,943,661.57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81,608.35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4,425,817.09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62,265.99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3,834,975.74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53,876.74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3,723,800.00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111,384.06</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22,657,571.40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2286" w:name="bookmark2286"/>
      <w:bookmarkStart w:id="2287" w:name="bookmark2287"/>
      <w:bookmarkStart w:id="2288" w:name="bookmark2288"/>
      <w:bookmarkStart w:id="2289" w:name="bookmark2289"/>
      <w:r>
        <w:rPr>
          <w:color w:val="000000"/>
          <w:spacing w:val="0"/>
          <w:w w:val="100"/>
          <w:position w:val="0"/>
        </w:rPr>
        <w:t>（</w:t>
      </w:r>
      <w:bookmarkEnd w:id="228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86"/>
      <w:bookmarkEnd w:id="2287"/>
      <w:bookmarkEnd w:id="2289"/>
    </w:p>
    <w:p>
      <w:pPr>
        <w:pStyle w:val="Style41"/>
        <w:keepNext/>
        <w:keepLines/>
        <w:widowControl w:val="0"/>
        <w:shd w:val="clear" w:color="auto" w:fill="auto"/>
        <w:tabs>
          <w:tab w:pos="493" w:val="left"/>
        </w:tabs>
        <w:bidi w:val="0"/>
        <w:spacing w:before="0" w:after="380" w:line="240" w:lineRule="auto"/>
        <w:ind w:left="0" w:right="0" w:firstLine="0"/>
        <w:jc w:val="left"/>
      </w:pPr>
      <w:bookmarkStart w:id="2290" w:name="bookmark2290"/>
      <w:bookmarkStart w:id="2291" w:name="bookmark2291"/>
      <w:bookmarkStart w:id="2292" w:name="bookmark2292"/>
      <w:bookmarkStart w:id="2293" w:name="bookmark2293"/>
      <w:r>
        <w:rPr>
          <w:color w:val="000000"/>
          <w:spacing w:val="0"/>
          <w:w w:val="100"/>
          <w:position w:val="0"/>
        </w:rPr>
        <w:t>（</w:t>
      </w:r>
      <w:bookmarkEnd w:id="229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90"/>
      <w:bookmarkEnd w:id="2291"/>
      <w:bookmarkEnd w:id="2293"/>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94"/>
      <w:bookmarkEnd w:id="2295"/>
      <w:bookmarkEnd w:id="2296"/>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19,745,839.88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19,790,342.52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19,745,839.88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19,790,342.52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2297" w:name="bookmark2297"/>
      <w:bookmarkStart w:id="2298" w:name="bookmark2298"/>
      <w:bookmarkStart w:id="2299" w:name="bookmark2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97"/>
      <w:bookmarkEnd w:id="2298"/>
      <w:bookmarkEnd w:id="2299"/>
    </w:p>
    <w:p>
      <w:pPr>
        <w:pStyle w:val="Style57"/>
        <w:keepNext/>
        <w:keepLines/>
        <w:widowControl w:val="0"/>
        <w:shd w:val="clear" w:color="auto" w:fill="auto"/>
        <w:bidi w:val="0"/>
        <w:spacing w:before="0" w:line="240" w:lineRule="auto"/>
        <w:ind w:left="0" w:right="0" w:firstLine="0"/>
        <w:jc w:val="both"/>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1</w:t>
      </w:r>
      <w:bookmarkEnd w:id="2302"/>
      <w:r>
        <w:rPr>
          <w:color w:val="000000"/>
          <w:spacing w:val="0"/>
          <w:w w:val="100"/>
          <w:position w:val="0"/>
        </w:rPr>
        <w:t>）应收利息分类</w:t>
      </w:r>
      <w:bookmarkEnd w:id="2300"/>
      <w:bookmarkEnd w:id="2301"/>
      <w:bookmarkEnd w:id="2303"/>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57"/>
        <w:keepNext/>
        <w:keepLines/>
        <w:widowControl w:val="0"/>
        <w:shd w:val="clear" w:color="auto" w:fill="auto"/>
        <w:bidi w:val="0"/>
        <w:spacing w:before="0" w:after="32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2</w:t>
      </w:r>
      <w:bookmarkEnd w:id="2306"/>
      <w:r>
        <w:rPr>
          <w:color w:val="000000"/>
          <w:spacing w:val="0"/>
          <w:w w:val="100"/>
          <w:position w:val="0"/>
        </w:rPr>
        <w:t>）重要逾期利息</w:t>
      </w:r>
      <w:bookmarkEnd w:id="2304"/>
      <w:bookmarkEnd w:id="2305"/>
      <w:bookmarkEnd w:id="2307"/>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7"/>
        <w:keepNext/>
        <w:keepLines/>
        <w:widowControl w:val="0"/>
        <w:shd w:val="clear" w:color="auto" w:fill="auto"/>
        <w:bidi w:val="0"/>
        <w:spacing w:before="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3</w:t>
      </w:r>
      <w:bookmarkEnd w:id="2310"/>
      <w:r>
        <w:rPr>
          <w:color w:val="000000"/>
          <w:spacing w:val="0"/>
          <w:w w:val="100"/>
          <w:position w:val="0"/>
        </w:rPr>
        <w:t>）坏账准备计提情况</w:t>
      </w:r>
      <w:bookmarkEnd w:id="2308"/>
      <w:bookmarkEnd w:id="2309"/>
      <w:bookmarkEnd w:id="231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380" w:line="240" w:lineRule="auto"/>
        <w:ind w:left="0" w:right="0" w:firstLine="0"/>
        <w:jc w:val="left"/>
      </w:pPr>
      <w:bookmarkStart w:id="2312" w:name="bookmark2312"/>
      <w:bookmarkStart w:id="2313" w:name="bookmark2313"/>
      <w:bookmarkStart w:id="2314" w:name="bookmark2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12"/>
      <w:bookmarkEnd w:id="2313"/>
      <w:bookmarkEnd w:id="2314"/>
    </w:p>
    <w:p>
      <w:pPr>
        <w:pStyle w:val="Style57"/>
        <w:keepNext/>
        <w:keepLines/>
        <w:widowControl w:val="0"/>
        <w:shd w:val="clear" w:color="auto" w:fill="auto"/>
        <w:bidi w:val="0"/>
        <w:spacing w:before="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1</w:t>
      </w:r>
      <w:bookmarkEnd w:id="2317"/>
      <w:r>
        <w:rPr>
          <w:color w:val="000000"/>
          <w:spacing w:val="0"/>
          <w:w w:val="100"/>
          <w:position w:val="0"/>
        </w:rPr>
        <w:t>）应收股利分类</w:t>
      </w:r>
      <w:bookmarkEnd w:id="2315"/>
      <w:bookmarkEnd w:id="2316"/>
      <w:bookmarkEnd w:id="2318"/>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2</w:t>
      </w:r>
      <w:bookmarkEnd w:id="232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19"/>
      <w:bookmarkEnd w:id="2320"/>
      <w:bookmarkEnd w:id="2322"/>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3</w:t>
      </w:r>
      <w:bookmarkEnd w:id="2325"/>
      <w:r>
        <w:rPr>
          <w:color w:val="000000"/>
          <w:spacing w:val="0"/>
          <w:w w:val="100"/>
          <w:position w:val="0"/>
        </w:rPr>
        <w:t>）坏账准备计提情况</w:t>
      </w:r>
      <w:bookmarkEnd w:id="2323"/>
      <w:bookmarkEnd w:id="2324"/>
      <w:bookmarkEnd w:id="2326"/>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after="380" w:line="240" w:lineRule="auto"/>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7"/>
      <w:bookmarkEnd w:id="2328"/>
      <w:bookmarkEnd w:id="2330"/>
    </w:p>
    <w:p>
      <w:pPr>
        <w:pStyle w:val="Style57"/>
        <w:keepNext/>
        <w:keepLines/>
        <w:widowControl w:val="0"/>
        <w:shd w:val="clear" w:color="auto" w:fill="auto"/>
        <w:bidi w:val="0"/>
        <w:spacing w:before="0" w:line="240" w:lineRule="auto"/>
        <w:ind w:left="0" w:right="0" w:firstLine="0"/>
        <w:jc w:val="left"/>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31"/>
      <w:bookmarkEnd w:id="2332"/>
      <w:bookmarkEnd w:id="2333"/>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17,834,700.00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1,639,520.55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1,713,598.74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255,221.19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19,755,839.88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19,803,519.93</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34"/>
      <w:bookmarkEnd w:id="2335"/>
      <w:bookmarkEnd w:id="2336"/>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13,177.41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-3,177.41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1,024,101.64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921,274.50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1,092,694.02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16,717,769.72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16,419,899.26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297,870.46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19,755,839.88</w:t>
            </w:r>
          </w:p>
        </w:tc>
      </w:tr>
    </w:tbl>
    <w:p>
      <w:pPr>
        <w:spacing w:lineRule="exact" w:line="1"/>
        <w:rPr>
          <w:sz w:val="2"/>
          <w:szCs w:val="2"/>
        </w:rPr>
      </w:pPr>
      <w:r>
        <w:br w:type="page"/>
      </w:r>
    </w:p>
    <w:p>
      <w:pPr>
        <w:pStyle w:val="Style57"/>
        <w:keepNext/>
        <w:keepLines/>
        <w:widowControl w:val="0"/>
        <w:shd w:val="clear" w:color="auto" w:fill="auto"/>
        <w:bidi w:val="0"/>
        <w:spacing w:before="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3</w:t>
      </w:r>
      <w:bookmarkEnd w:id="2339"/>
      <w:r>
        <w:rPr>
          <w:color w:val="000000"/>
          <w:spacing w:val="0"/>
          <w:w w:val="100"/>
          <w:position w:val="0"/>
        </w:rPr>
        <w:t>）本期计提、收回或转回的坏账准备情况</w:t>
      </w:r>
      <w:bookmarkEnd w:id="2337"/>
      <w:bookmarkEnd w:id="2338"/>
      <w:bookmarkEnd w:id="234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员工备用金及代 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13,177.41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7"/>
        <w:keepNext/>
        <w:keepLines/>
        <w:widowControl w:val="0"/>
        <w:shd w:val="clear" w:color="auto" w:fill="auto"/>
        <w:bidi w:val="0"/>
        <w:spacing w:before="0" w:line="240" w:lineRule="auto"/>
        <w:ind w:left="0" w:right="0" w:firstLine="0"/>
        <w:jc w:val="left"/>
      </w:pPr>
      <w:bookmarkStart w:id="2341" w:name="bookmark2341"/>
      <w:bookmarkStart w:id="2342" w:name="bookmark2342"/>
      <w:bookmarkStart w:id="2343" w:name="bookmark2343"/>
      <w:bookmarkStart w:id="2344" w:name="bookmark2344"/>
      <w:r>
        <w:rPr>
          <w:rFonts w:ascii="Times New Roman" w:eastAsia="Times New Roman" w:hAnsi="Times New Roman" w:cs="Times New Roman"/>
          <w:color w:val="000000"/>
          <w:spacing w:val="0"/>
          <w:w w:val="100"/>
          <w:position w:val="0"/>
        </w:rPr>
        <w:t>4</w:t>
      </w:r>
      <w:bookmarkEnd w:id="2343"/>
      <w:r>
        <w:rPr>
          <w:color w:val="000000"/>
          <w:spacing w:val="0"/>
          <w:w w:val="100"/>
          <w:position w:val="0"/>
        </w:rPr>
        <w:t>）本期实际核销的其他应收款情况</w:t>
      </w:r>
      <w:bookmarkEnd w:id="2341"/>
      <w:bookmarkEnd w:id="2342"/>
      <w:bookmarkEnd w:id="23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84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26"/>
              <w:keepNext w:val="0"/>
              <w:keepLines w:val="0"/>
              <w:widowControl w:val="0"/>
              <w:shd w:val="clear" w:color="auto" w:fill="auto"/>
              <w:tabs>
                <w:tab w:pos="1814" w:val="left"/>
                <w:tab w:pos="3638"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款项是否由关联</w:t>
            </w:r>
          </w:p>
          <w:p>
            <w:pPr>
              <w:pStyle w:val="Style26"/>
              <w:keepNext w:val="0"/>
              <w:keepLines w:val="0"/>
              <w:widowControl w:val="0"/>
              <w:shd w:val="clear" w:color="auto" w:fill="auto"/>
              <w:tabs>
                <w:tab w:pos="1710" w:val="left"/>
                <w:tab w:pos="3597" w:val="left"/>
              </w:tabs>
              <w:bidi w:val="0"/>
              <w:spacing w:before="0" w:after="0" w:line="240" w:lineRule="auto"/>
              <w:ind w:left="0" w:right="0" w:firstLine="400"/>
              <w:jc w:val="left"/>
            </w:pPr>
            <w:r>
              <w:rPr>
                <w:color w:val="000000"/>
                <w:spacing w:val="0"/>
                <w:w w:val="100"/>
                <w:position w:val="0"/>
              </w:rPr>
              <w:t>核销原因</w:t>
              <w:tab/>
              <w:t>履行的核销程序</w:t>
              <w:tab/>
              <w:t>_</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3600" w:right="0" w:firstLine="0"/>
              <w:jc w:val="left"/>
            </w:pPr>
            <w:r>
              <w:rPr>
                <w:color w:val="000000"/>
                <w:spacing w:val="0"/>
                <w:w w:val="100"/>
                <w:position w:val="0"/>
              </w:rPr>
              <w:t>交易产生</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7"/>
        <w:keepNext/>
        <w:keepLines/>
        <w:widowControl w:val="0"/>
        <w:shd w:val="clear" w:color="auto" w:fill="auto"/>
        <w:bidi w:val="0"/>
        <w:spacing w:before="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5</w:t>
      </w:r>
      <w:bookmarkEnd w:id="2347"/>
      <w:r>
        <w:rPr>
          <w:color w:val="000000"/>
          <w:spacing w:val="0"/>
          <w:w w:val="100"/>
          <w:position w:val="0"/>
        </w:rPr>
        <w:t>）按欠款方归集的期末余额前五名的其他应收款情况</w:t>
      </w:r>
      <w:bookmarkEnd w:id="2345"/>
      <w:bookmarkEnd w:id="2346"/>
      <w:bookmarkEnd w:id="2348"/>
    </w:p>
    <w:p>
      <w:pPr>
        <w:pStyle w:val="Style2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占其他应收款期</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末余额合计数的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17,841,200.00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454,829.60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 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353,950.26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211,323.92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18,991,303.78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7"/>
        <w:keepNext/>
        <w:keepLines/>
        <w:widowControl w:val="0"/>
        <w:shd w:val="clear" w:color="auto" w:fill="auto"/>
        <w:bidi w:val="0"/>
        <w:spacing w:before="0" w:after="360" w:line="240" w:lineRule="auto"/>
        <w:ind w:left="0" w:right="0" w:firstLine="0"/>
        <w:jc w:val="left"/>
      </w:pPr>
      <w:bookmarkStart w:id="2349" w:name="bookmark2349"/>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6</w:t>
      </w:r>
      <w:bookmarkEnd w:id="2351"/>
      <w:r>
        <w:rPr>
          <w:color w:val="000000"/>
          <w:spacing w:val="0"/>
          <w:w w:val="100"/>
          <w:position w:val="0"/>
        </w:rPr>
        <w:t>）涉及政府补助的应收款项</w:t>
      </w:r>
      <w:bookmarkEnd w:id="2349"/>
      <w:bookmarkEnd w:id="2350"/>
      <w:bookmarkEnd w:id="235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57"/>
        <w:keepNext/>
        <w:keepLines/>
        <w:widowControl w:val="0"/>
        <w:shd w:val="clear" w:color="auto" w:fill="auto"/>
        <w:tabs>
          <w:tab w:pos="387" w:val="left"/>
        </w:tabs>
        <w:bidi w:val="0"/>
        <w:spacing w:before="0" w:after="360" w:line="240" w:lineRule="auto"/>
        <w:ind w:left="0" w:right="0" w:firstLine="0"/>
        <w:jc w:val="left"/>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7</w:t>
      </w:r>
      <w:bookmarkEnd w:id="2355"/>
      <w:r>
        <w:rPr>
          <w:color w:val="000000"/>
          <w:spacing w:val="0"/>
          <w:w w:val="100"/>
          <w:position w:val="0"/>
        </w:rPr>
        <w:t>）</w:t>
        <w:tab/>
        <w:t>因金融资产转移而终止确认的其他应收款</w:t>
      </w:r>
      <w:bookmarkEnd w:id="2353"/>
      <w:bookmarkEnd w:id="2354"/>
      <w:bookmarkEnd w:id="2356"/>
    </w:p>
    <w:p>
      <w:pPr>
        <w:pStyle w:val="Style57"/>
        <w:keepNext/>
        <w:keepLines/>
        <w:widowControl w:val="0"/>
        <w:shd w:val="clear" w:color="auto" w:fill="auto"/>
        <w:tabs>
          <w:tab w:pos="392" w:val="left"/>
        </w:tabs>
        <w:bidi w:val="0"/>
        <w:spacing w:before="0" w:after="360" w:line="240" w:lineRule="auto"/>
        <w:ind w:left="0" w:right="0" w:firstLine="0"/>
        <w:jc w:val="left"/>
      </w:pPr>
      <w:bookmarkStart w:id="2357" w:name="bookmark2357"/>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8</w:t>
      </w:r>
      <w:bookmarkEnd w:id="2359"/>
      <w:r>
        <w:rPr>
          <w:color w:val="000000"/>
          <w:spacing w:val="0"/>
          <w:w w:val="100"/>
          <w:position w:val="0"/>
        </w:rPr>
        <w:t>）</w:t>
        <w:tab/>
        <w:t>转移其他应收款且继续涉入形成的资产、负债金额</w:t>
      </w:r>
      <w:bookmarkEnd w:id="2357"/>
      <w:bookmarkEnd w:id="2358"/>
      <w:bookmarkEnd w:id="2360"/>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3</w:t>
      </w:r>
      <w:bookmarkEnd w:id="2363"/>
      <w:r>
        <w:rPr>
          <w:color w:val="000000"/>
          <w:spacing w:val="0"/>
          <w:w w:val="100"/>
          <w:position w:val="0"/>
        </w:rPr>
        <w:t>、长期股权投资</w:t>
      </w:r>
      <w:bookmarkEnd w:id="2361"/>
      <w:bookmarkEnd w:id="2362"/>
      <w:bookmarkEnd w:id="2364"/>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365" w:name="bookmark2365"/>
      <w:bookmarkStart w:id="2366" w:name="bookmark2366"/>
      <w:bookmarkStart w:id="2367" w:name="bookmark2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5"/>
      <w:bookmarkEnd w:id="2366"/>
      <w:bookmarkEnd w:id="2367"/>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贵安新区贵 金科技有限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368" w:name="bookmark2368"/>
      <w:bookmarkStart w:id="2369" w:name="bookmark2369"/>
      <w:bookmarkStart w:id="2370" w:name="bookmark2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8"/>
      <w:bookmarkEnd w:id="2369"/>
      <w:bookmarkEnd w:id="2370"/>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p>
      <w:pPr>
        <w:pStyle w:val="Style23"/>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6" w:line="240" w:lineRule="auto"/>
        <w:ind w:left="0" w:right="0" w:firstLine="0"/>
        <w:jc w:val="left"/>
      </w:pPr>
      <w:r>
        <w:rPr>
          <w:color w:val="000000"/>
          <w:spacing w:val="0"/>
          <w:w w:val="100"/>
          <w:position w:val="0"/>
        </w:rPr>
        <w:t>二、联营企业</w:t>
      </w:r>
    </w:p>
    <w:p>
      <w:pPr>
        <w:pStyle w:val="Style41"/>
        <w:keepNext/>
        <w:keepLines/>
        <w:widowControl w:val="0"/>
        <w:numPr>
          <w:ilvl w:val="0"/>
          <w:numId w:val="69"/>
        </w:numPr>
        <w:shd w:val="clear" w:color="auto" w:fill="auto"/>
        <w:bidi w:val="0"/>
        <w:spacing w:before="0" w:after="360" w:line="240" w:lineRule="auto"/>
        <w:ind w:left="0" w:right="0" w:firstLine="0"/>
        <w:jc w:val="left"/>
      </w:pPr>
      <w:bookmarkStart w:id="2371" w:name="bookmark2371"/>
      <w:bookmarkStart w:id="2372" w:name="bookmark2372"/>
      <w:bookmarkStart w:id="2373" w:name="bookmark2373"/>
      <w:bookmarkStart w:id="2374" w:name="bookmark2374"/>
      <w:bookmarkEnd w:id="2373"/>
      <w:r>
        <w:rPr>
          <w:color w:val="000000"/>
          <w:spacing w:val="0"/>
          <w:w w:val="100"/>
          <w:position w:val="0"/>
        </w:rPr>
        <w:t>其他说明</w:t>
      </w:r>
      <w:bookmarkEnd w:id="2371"/>
      <w:bookmarkEnd w:id="2372"/>
      <w:bookmarkEnd w:id="2374"/>
    </w:p>
    <w:p>
      <w:pPr>
        <w:pStyle w:val="Style35"/>
        <w:keepNext/>
        <w:keepLines/>
        <w:widowControl w:val="0"/>
        <w:shd w:val="clear" w:color="auto" w:fill="auto"/>
        <w:bidi w:val="0"/>
        <w:spacing w:before="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4</w:t>
      </w:r>
      <w:bookmarkEnd w:id="2377"/>
      <w:r>
        <w:rPr>
          <w:color w:val="000000"/>
          <w:spacing w:val="0"/>
          <w:w w:val="100"/>
          <w:position w:val="0"/>
        </w:rPr>
        <w:t>、营业收入和营业成本</w:t>
      </w:r>
      <w:bookmarkEnd w:id="2375"/>
      <w:bookmarkEnd w:id="2376"/>
      <w:bookmarkEnd w:id="23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166,846,236.57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84,942,757.91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203,445,856.08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110,257,130.11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384,972.75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286,704.20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167,231,209.32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84,985,305.26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203,926,202.98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110,543,834.31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根据合同约定，当商品运送至客户或客户验收该商品时，客户取得商品的控制权，本集团确认收入。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服务合同</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本集团在提供服务的过程中确认收入。对于合同中包含两项或多项履约义务的，本集团在合同开始日即按照各单项服务的单 独售价的相对比例将交易价格分摊至各项服务。各项服务的单独售价依据本集团单独销售各项服务的价格得出。</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5</w:t>
      </w:r>
      <w:bookmarkEnd w:id="2381"/>
      <w:r>
        <w:rPr>
          <w:color w:val="000000"/>
          <w:spacing w:val="0"/>
          <w:w w:val="100"/>
          <w:position w:val="0"/>
        </w:rPr>
        <w:t>、投资收益</w:t>
      </w:r>
      <w:bookmarkEnd w:id="2379"/>
      <w:bookmarkEnd w:id="2380"/>
      <w:bookmarkEnd w:id="238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5,271,854.55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4,560,708.97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5,271,854.55</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6</w:t>
      </w:r>
      <w:bookmarkEnd w:id="2385"/>
      <w:r>
        <w:rPr>
          <w:color w:val="000000"/>
          <w:spacing w:val="0"/>
          <w:w w:val="100"/>
          <w:position w:val="0"/>
        </w:rPr>
        <w:t>、其他</w:t>
      </w:r>
      <w:bookmarkEnd w:id="2383"/>
      <w:bookmarkEnd w:id="2384"/>
      <w:bookmarkEnd w:id="2386"/>
    </w:p>
    <w:p>
      <w:pPr>
        <w:pStyle w:val="Style29"/>
        <w:keepNext/>
        <w:keepLines/>
        <w:widowControl w:val="0"/>
        <w:shd w:val="clear" w:color="auto" w:fill="auto"/>
        <w:bidi w:val="0"/>
        <w:spacing w:before="0" w:line="240" w:lineRule="auto"/>
        <w:ind w:left="0" w:right="0" w:firstLine="0"/>
        <w:jc w:val="left"/>
      </w:pPr>
      <w:bookmarkStart w:id="2387" w:name="bookmark2387"/>
      <w:bookmarkStart w:id="2388" w:name="bookmark2388"/>
      <w:bookmarkStart w:id="2389" w:name="bookmark2389"/>
      <w:r>
        <w:rPr>
          <w:color w:val="000000"/>
          <w:spacing w:val="0"/>
          <w:w w:val="100"/>
          <w:position w:val="0"/>
        </w:rPr>
        <w:t>十八、补充资料</w:t>
      </w:r>
      <w:bookmarkEnd w:id="2387"/>
      <w:bookmarkEnd w:id="2388"/>
      <w:bookmarkEnd w:id="2389"/>
    </w:p>
    <w:p>
      <w:pPr>
        <w:pStyle w:val="Style35"/>
        <w:keepNext/>
        <w:keepLines/>
        <w:widowControl w:val="0"/>
        <w:shd w:val="clear" w:color="auto" w:fill="auto"/>
        <w:bidi w:val="0"/>
        <w:spacing w:before="0" w:after="340" w:line="240" w:lineRule="auto"/>
        <w:ind w:left="0" w:right="0" w:firstLine="0"/>
        <w:jc w:val="left"/>
      </w:pPr>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90"/>
      <w:bookmarkEnd w:id="2391"/>
      <w:bookmarkEnd w:id="2392"/>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842"/>
        <w:gridCol w:w="1680"/>
        <w:gridCol w:w="20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476,125.14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企业所得税返还</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计入当期损益的政府补助（与公司正常经营业务密切相关，符合国家政 策规定、按照一定标准定额或定量持续享受的政府补助除外）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3,130,445.27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4,498,476.11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1,145,094.98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6,961,554.78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35"/>
        <w:keepNext/>
        <w:keepLines/>
        <w:widowControl w:val="0"/>
        <w:shd w:val="clear" w:color="auto" w:fill="auto"/>
        <w:bidi w:val="0"/>
        <w:spacing w:before="0" w:after="280" w:line="240" w:lineRule="auto"/>
        <w:ind w:left="0" w:right="0" w:firstLine="0"/>
        <w:jc w:val="left"/>
      </w:pPr>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93"/>
      <w:bookmarkEnd w:id="2394"/>
      <w:bookmarkEnd w:id="2395"/>
    </w:p>
    <w:tbl>
      <w:tblPr>
        <w:tblOverlap w:val="never"/>
        <w:jc w:val="center"/>
        <w:tblLayout w:type="fixed"/>
      </w:tblPr>
      <w:tblGrid>
        <w:gridCol w:w="3110"/>
        <w:gridCol w:w="2640"/>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279" w:line="1" w:lineRule="exact"/>
      </w:pPr>
    </w:p>
    <w:p>
      <w:pPr>
        <w:pStyle w:val="Style35"/>
        <w:keepNext/>
        <w:keepLines/>
        <w:widowControl w:val="0"/>
        <w:shd w:val="clear" w:color="auto" w:fill="auto"/>
        <w:tabs>
          <w:tab w:pos="378" w:val="left"/>
        </w:tabs>
        <w:bidi w:val="0"/>
        <w:spacing w:before="0" w:after="280" w:line="331" w:lineRule="exact"/>
        <w:ind w:left="0" w:right="0" w:firstLine="0"/>
        <w:jc w:val="left"/>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3</w:t>
      </w:r>
      <w:bookmarkEnd w:id="2398"/>
      <w:r>
        <w:rPr>
          <w:color w:val="000000"/>
          <w:spacing w:val="0"/>
          <w:w w:val="100"/>
          <w:position w:val="0"/>
        </w:rPr>
        <w:t>、</w:t>
        <w:tab/>
        <w:t>境内外会计准则下会计数据差异</w:t>
      </w:r>
      <w:bookmarkEnd w:id="2396"/>
      <w:bookmarkEnd w:id="2397"/>
      <w:bookmarkEnd w:id="2399"/>
    </w:p>
    <w:p>
      <w:pPr>
        <w:pStyle w:val="Style41"/>
        <w:keepNext/>
        <w:keepLines/>
        <w:widowControl w:val="0"/>
        <w:shd w:val="clear" w:color="auto" w:fill="auto"/>
        <w:tabs>
          <w:tab w:pos="493" w:val="left"/>
        </w:tabs>
        <w:bidi w:val="0"/>
        <w:spacing w:before="0" w:after="380" w:line="331" w:lineRule="exact"/>
        <w:ind w:left="0" w:right="0" w:firstLine="0"/>
        <w:jc w:val="left"/>
      </w:pPr>
      <w:bookmarkStart w:id="2400" w:name="bookmark2400"/>
      <w:bookmarkStart w:id="2401" w:name="bookmark2401"/>
      <w:bookmarkStart w:id="2402" w:name="bookmark2402"/>
      <w:bookmarkStart w:id="2403" w:name="bookmark2403"/>
      <w:r>
        <w:rPr>
          <w:color w:val="000000"/>
          <w:spacing w:val="0"/>
          <w:w w:val="100"/>
          <w:position w:val="0"/>
        </w:rPr>
        <w:t>（</w:t>
      </w:r>
      <w:bookmarkEnd w:id="240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00"/>
      <w:bookmarkEnd w:id="2401"/>
      <w:bookmarkEnd w:id="2403"/>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tabs>
          <w:tab w:pos="493" w:val="left"/>
        </w:tabs>
        <w:bidi w:val="0"/>
        <w:spacing w:before="0" w:after="380" w:line="331" w:lineRule="exact"/>
        <w:ind w:left="0" w:right="0" w:firstLine="0"/>
        <w:jc w:val="left"/>
      </w:pPr>
      <w:bookmarkStart w:id="2404" w:name="bookmark2404"/>
      <w:bookmarkStart w:id="2405" w:name="bookmark2405"/>
      <w:bookmarkStart w:id="2406" w:name="bookmark2406"/>
      <w:bookmarkStart w:id="2407" w:name="bookmark2407"/>
      <w:r>
        <w:rPr>
          <w:color w:val="000000"/>
          <w:spacing w:val="0"/>
          <w:w w:val="100"/>
          <w:position w:val="0"/>
        </w:rPr>
        <w:t>（</w:t>
      </w:r>
      <w:bookmarkEnd w:id="240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04"/>
      <w:bookmarkEnd w:id="2405"/>
      <w:bookmarkEnd w:id="2407"/>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41"/>
        <w:keepNext/>
        <w:keepLines/>
        <w:widowControl w:val="0"/>
        <w:shd w:val="clear" w:color="auto" w:fill="auto"/>
        <w:bidi w:val="0"/>
        <w:spacing w:before="0" w:after="280" w:line="331" w:lineRule="exact"/>
        <w:ind w:left="0" w:right="0" w:firstLine="0"/>
        <w:jc w:val="left"/>
      </w:pPr>
      <w:bookmarkStart w:id="2408" w:name="bookmark2408"/>
      <w:bookmarkStart w:id="2409" w:name="bookmark2409"/>
      <w:bookmarkStart w:id="2410" w:name="bookmark2410"/>
      <w:bookmarkStart w:id="2411" w:name="bookmark2411"/>
      <w:r>
        <w:rPr>
          <w:color w:val="000000"/>
          <w:spacing w:val="0"/>
          <w:w w:val="100"/>
          <w:position w:val="0"/>
        </w:rPr>
        <w:t>（</w:t>
      </w:r>
      <w:bookmarkEnd w:id="241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08"/>
      <w:bookmarkEnd w:id="2409"/>
      <w:bookmarkEnd w:id="2411"/>
    </w:p>
    <w:p>
      <w:pPr>
        <w:pStyle w:val="Style35"/>
        <w:keepNext/>
        <w:keepLines/>
        <w:widowControl w:val="0"/>
        <w:shd w:val="clear" w:color="auto" w:fill="auto"/>
        <w:tabs>
          <w:tab w:pos="378" w:val="left"/>
        </w:tabs>
        <w:bidi w:val="0"/>
        <w:spacing w:before="0" w:after="280" w:line="331" w:lineRule="exact"/>
        <w:ind w:left="0" w:right="0" w:firstLine="0"/>
        <w:jc w:val="both"/>
      </w:pPr>
      <w:bookmarkStart w:id="2412" w:name="bookmark2412"/>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4</w:t>
      </w:r>
      <w:bookmarkEnd w:id="2414"/>
      <w:r>
        <w:rPr>
          <w:color w:val="000000"/>
          <w:spacing w:val="0"/>
          <w:w w:val="100"/>
          <w:position w:val="0"/>
        </w:rPr>
        <w:t>、</w:t>
        <w:tab/>
        <w:t>其他</w:t>
      </w:r>
      <w:bookmarkEnd w:id="2412"/>
      <w:bookmarkEnd w:id="2413"/>
      <w:bookmarkEnd w:id="2415"/>
    </w:p>
    <w:sectPr>
      <w:footnotePr>
        <w:pos w:val="pageBottom"/>
        <w:numFmt w:val="upperRoman"/>
        <w:numStart w:val="1"/>
        <w:numRestart w:val="continuous"/>
        <w15:footnoteColumns w:val="1"/>
      </w:footnotePr>
      <w:pgSz w:w="11900" w:h="16840"/>
      <w:pgMar w:top="1189" w:right="1064" w:bottom="1409" w:left="10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6"/>
          <w:szCs w:val="16"/>
          <w:vertAlign w:val="superscript"/>
        </w:rPr>
        <w:footnoteRef/>
      </w:r>
      <w:r>
        <w:rPr>
          <w:color w:val="000000"/>
          <w:spacing w:val="0"/>
          <w:w w:val="100"/>
          <w:position w:val="0"/>
        </w:rPr>
        <w:t>银行自助设备内控管理解决方案升级改造项目和银行现金实物流转内控管理解决方案升级改造项目为原有项目的升级改 造项目，因实施升级改造项目而增加的相关产品的产量无法准确计量，因此无法准确区分原有项目与升级改造项目所产生的 效益；由于电子印章管理系统在银行网点的普及，实体印章管理产品的市场需求不断下降，公司将根据市场需求变化调整银 行印章管理解决方案建设项目部分产能用于公司其他业务的开展，因而公司未对银行印章管理解决方案建设项目的效益进行 测算。</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Body text (4)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8">
    <w:name w:val="Body text (3)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5)_"/>
    <w:basedOn w:val="DefaultParagraphFont"/>
    <w:link w:val="Style1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3">
    <w:name w:val="Body text (6)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Heading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Other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8">
    <w:name w:val="Heading #5_"/>
    <w:basedOn w:val="DefaultParagraphFont"/>
    <w:link w:val="Style57"/>
    <w:rPr>
      <w:rFonts w:ascii="SimSun" w:eastAsia="SimSun" w:hAnsi="SimSun" w:cs="SimSun"/>
      <w:b/>
      <w:bCs/>
      <w:i w:val="0"/>
      <w:iCs w:val="0"/>
      <w:smallCaps w:val="0"/>
      <w:strike w:val="0"/>
      <w:sz w:val="20"/>
      <w:szCs w:val="20"/>
      <w:u w:val="none"/>
      <w:shd w:val="clear" w:color="auto" w:fill="auto"/>
    </w:rPr>
  </w:style>
  <w:style w:type="paragraph" w:customStyle="1" w:styleId="Style2">
    <w:name w:val="Footnote"/>
    <w:basedOn w:val="Normal"/>
    <w:link w:val="CharStyle3"/>
    <w:pPr>
      <w:widowControl w:val="0"/>
      <w:shd w:val="clear" w:color="auto" w:fill="auto"/>
      <w:spacing w:line="235"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Body text (4)"/>
    <w:basedOn w:val="Normal"/>
    <w:link w:val="CharStyle6"/>
    <w:pPr>
      <w:widowControl w:val="0"/>
      <w:shd w:val="clear" w:color="auto" w:fill="auto"/>
      <w:spacing w:after="10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
    <w:name w:val="Body text (3)"/>
    <w:basedOn w:val="Normal"/>
    <w:link w:val="CharStyle8"/>
    <w:pPr>
      <w:widowControl w:val="0"/>
      <w:shd w:val="clear" w:color="auto" w:fill="auto"/>
      <w:spacing w:before="40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5)"/>
    <w:basedOn w:val="Normal"/>
    <w:link w:val="CharStyle11"/>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2">
    <w:name w:val="Body text (6)"/>
    <w:basedOn w:val="Normal"/>
    <w:link w:val="CharStyle13"/>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Heading #1"/>
    <w:basedOn w:val="Normal"/>
    <w:link w:val="CharStyle16"/>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Body text (2)"/>
    <w:basedOn w:val="Normal"/>
    <w:link w:val="CharStyle18"/>
    <w:pPr>
      <w:widowControl w:val="0"/>
      <w:shd w:val="clear" w:color="auto" w:fill="auto"/>
      <w:spacing w:after="10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Table of contents"/>
    <w:basedOn w:val="Normal"/>
    <w:link w:val="CharStyle21"/>
    <w:pPr>
      <w:widowControl w:val="0"/>
      <w:shd w:val="clear" w:color="auto" w:fill="auto"/>
      <w:spacing w:after="400"/>
    </w:pPr>
    <w:rPr>
      <w:rFonts w:ascii="SimSun" w:eastAsia="SimSun" w:hAnsi="SimSun" w:cs="SimSun"/>
      <w:b/>
      <w:bCs/>
      <w:i w:val="0"/>
      <w:iCs w:val="0"/>
      <w:smallCaps w:val="0"/>
      <w:strike w:val="0"/>
      <w:sz w:val="22"/>
      <w:szCs w:val="22"/>
      <w:u w:val="none"/>
      <w:shd w:val="clear" w:color="auto" w:fill="auto"/>
    </w:rPr>
  </w:style>
  <w:style w:type="paragraph" w:styleId="Style23">
    <w:name w:val="Body text"/>
    <w:basedOn w:val="Normal"/>
    <w:link w:val="CharStyle24"/>
    <w:qFormat/>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Other"/>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2"/>
    <w:basedOn w:val="Normal"/>
    <w:link w:val="CharStyle30"/>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Heading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Heading #5"/>
    <w:basedOn w:val="Normal"/>
    <w:link w:val="CharStyle5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Administrator.SG-20210430DSNV</dc:creator>
  <cp:keywords/>
</cp:coreProperties>
</file>