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00" w:line="240" w:lineRule="auto"/>
        <w:ind w:left="0" w:right="0" w:firstLine="0"/>
        <w:jc w:val="center"/>
        <w:rPr>
          <w:sz w:val="84"/>
          <w:szCs w:val="84"/>
        </w:rPr>
      </w:pPr>
      <w:r>
        <w:rPr>
          <w:rFonts w:ascii="Arial" w:eastAsia="Arial" w:hAnsi="Arial" w:cs="Arial"/>
          <w:color w:val="A43338"/>
          <w:spacing w:val="0"/>
          <w:w w:val="100"/>
          <w:position w:val="0"/>
          <w:sz w:val="84"/>
          <w:szCs w:val="84"/>
        </w:rPr>
        <w:t>@£SIS</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珠海汇金科技股份有限公司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b/>
          <w:bCs/>
          <w:color w:val="000000"/>
          <w:spacing w:val="0"/>
          <w:w w:val="100"/>
          <w:position w:val="0"/>
          <w:sz w:val="22"/>
          <w:szCs w:val="22"/>
        </w:rPr>
        <w:t>2021-015</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506" w:right="975" w:bottom="2506" w:left="1104" w:header="0" w:footer="3"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3"/>
        <w:keepNext/>
        <w:keepLines/>
        <w:widowControl w:val="0"/>
        <w:shd w:val="clear" w:color="auto" w:fill="auto"/>
        <w:bidi w:val="0"/>
        <w:spacing w:before="3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after="10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5"/>
        <w:keepNext w:val="0"/>
        <w:keepLines w:val="0"/>
        <w:widowControl w:val="0"/>
        <w:shd w:val="clear" w:color="auto" w:fill="auto"/>
        <w:bidi w:val="0"/>
        <w:spacing w:before="0" w:after="100" w:line="629" w:lineRule="exact"/>
        <w:ind w:left="0" w:right="0"/>
        <w:jc w:val="both"/>
      </w:pPr>
      <w:r>
        <w:rPr>
          <w:color w:val="000000"/>
          <w:spacing w:val="0"/>
          <w:w w:val="100"/>
          <w:position w:val="0"/>
        </w:rPr>
        <w:t>公司负责人陈喆、主管会计工作负责人孙玉玲及会计机构负责人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孙玉玲声明：保证本年度报告中财务报告的真实、准确、完整。</w:t>
      </w:r>
    </w:p>
    <w:p>
      <w:pPr>
        <w:pStyle w:val="Style15"/>
        <w:keepNext w:val="0"/>
        <w:keepLines w:val="0"/>
        <w:widowControl w:val="0"/>
        <w:shd w:val="clear" w:color="auto" w:fill="auto"/>
        <w:bidi w:val="0"/>
        <w:spacing w:before="0" w:after="10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100" w:line="602" w:lineRule="exact"/>
        <w:ind w:left="0" w:right="0"/>
        <w:jc w:val="both"/>
      </w:pPr>
      <w:r>
        <w:rPr>
          <w:color w:val="000000"/>
          <w:spacing w:val="0"/>
          <w:w w:val="100"/>
          <w:position w:val="0"/>
        </w:rPr>
        <w:t>本报告中涉及未来计划或经营规划等前瞻性陈述的，不构成公司对投资者 的实质承诺，投资者及相关人士均应对此保持足够的风险认识，并且应当理解 计划、预测与承诺之间的差异，敬请投资者注意投资风险。</w:t>
      </w:r>
    </w:p>
    <w:p>
      <w:pPr>
        <w:pStyle w:val="Style15"/>
        <w:keepNext w:val="0"/>
        <w:keepLines w:val="0"/>
        <w:widowControl w:val="0"/>
        <w:shd w:val="clear" w:color="auto" w:fill="auto"/>
        <w:bidi w:val="0"/>
        <w:spacing w:before="0" w:after="300"/>
        <w:ind w:left="0" w:right="0"/>
        <w:jc w:val="left"/>
      </w:pPr>
      <w:r>
        <w:rPr>
          <w:color w:val="000000"/>
          <w:spacing w:val="0"/>
          <w:w w:val="100"/>
          <w:position w:val="0"/>
        </w:rPr>
        <w:t>公司提请投资者认真阅读本年度报告全文，并特别注意下列风险因素：</w:t>
      </w:r>
    </w:p>
    <w:p>
      <w:pPr>
        <w:pStyle w:val="Style15"/>
        <w:keepNext w:val="0"/>
        <w:keepLines w:val="0"/>
        <w:widowControl w:val="0"/>
        <w:shd w:val="clear" w:color="auto" w:fill="auto"/>
        <w:bidi w:val="0"/>
        <w:spacing w:before="0" w:after="0" w:line="466" w:lineRule="auto"/>
        <w:ind w:left="0" w:right="0" w:firstLine="0"/>
        <w:jc w:val="left"/>
      </w:pPr>
      <w:bookmarkStart w:id="3" w:name="bookmark3"/>
      <w:r>
        <w:rPr>
          <w:rFonts w:ascii="Times New Roman" w:eastAsia="Times New Roman" w:hAnsi="Times New Roman" w:cs="Times New Roman"/>
          <w:color w:val="000000"/>
          <w:spacing w:val="0"/>
          <w:w w:val="100"/>
          <w:position w:val="0"/>
          <w:sz w:val="28"/>
          <w:szCs w:val="28"/>
        </w:rPr>
        <w:t>1</w:t>
      </w:r>
      <w:bookmarkEnd w:id="3"/>
      <w:r>
        <w:rPr>
          <w:color w:val="000000"/>
          <w:spacing w:val="0"/>
          <w:w w:val="100"/>
          <w:position w:val="0"/>
        </w:rPr>
        <w:t>、产品创新开发风险</w:t>
      </w:r>
    </w:p>
    <w:p>
      <w:pPr>
        <w:pStyle w:val="Style15"/>
        <w:keepNext w:val="0"/>
        <w:keepLines w:val="0"/>
        <w:widowControl w:val="0"/>
        <w:shd w:val="clear" w:color="auto" w:fill="auto"/>
        <w:bidi w:val="0"/>
        <w:spacing w:before="0" w:after="100"/>
        <w:ind w:left="0" w:right="0"/>
        <w:jc w:val="both"/>
      </w:pPr>
      <w:r>
        <w:rPr>
          <w:color w:val="000000"/>
          <w:spacing w:val="0"/>
          <w:w w:val="100"/>
          <w:position w:val="0"/>
        </w:rPr>
        <w:t>伴随着互联网、物联网等技术手段的快速发展，银行等金融机构催生了更 多的信息化升级换代需求。同时，金融领域风险防范意识增强，金融行业监管 力度加大，银行等金融机构需要进一步加强风险防范、提升内部操作风险管理 和信息化的普及。这就需要公司及时将新技术运用于产品开发和升级，推出更 多创新产品来满足客户多样化的需求。此外，金融业内控风险管理整体解决方 案及相关应用产品涉及多学科、多领域的技术应用，客户对产品的具体需求往 往存在一定差异，这在一定程度上增加了新产品开发难度。如果公司不能更好 的把握技术和产品的创新，不能跟随行业的发展保持公司技术和产品的先进性,</w:t>
      </w:r>
    </w:p>
    <w:p>
      <w:pPr>
        <w:pStyle w:val="Style15"/>
        <w:keepNext w:val="0"/>
        <w:keepLines w:val="0"/>
        <w:widowControl w:val="0"/>
        <w:shd w:val="clear" w:color="auto" w:fill="auto"/>
        <w:bidi w:val="0"/>
        <w:spacing w:before="0" w:line="626" w:lineRule="exact"/>
        <w:ind w:left="0" w:right="0" w:firstLine="0"/>
        <w:jc w:val="left"/>
      </w:pPr>
      <w:r>
        <w:rPr>
          <w:color w:val="000000"/>
          <w:spacing w:val="0"/>
          <w:w w:val="100"/>
          <w:position w:val="0"/>
        </w:rPr>
        <w:t>将可能使公司丧失技术优势和市场竞争优势。</w:t>
      </w:r>
    </w:p>
    <w:p>
      <w:pPr>
        <w:pStyle w:val="Style15"/>
        <w:keepNext w:val="0"/>
        <w:keepLines w:val="0"/>
        <w:widowControl w:val="0"/>
        <w:shd w:val="clear" w:color="auto" w:fill="auto"/>
        <w:bidi w:val="0"/>
        <w:spacing w:before="0" w:after="420" w:line="626" w:lineRule="exact"/>
        <w:ind w:left="0" w:right="0"/>
        <w:jc w:val="both"/>
      </w:pPr>
      <w:r>
        <w:rPr>
          <w:color w:val="000000"/>
          <w:spacing w:val="0"/>
          <w:w w:val="100"/>
          <w:position w:val="0"/>
        </w:rPr>
        <w:t>因此，公司将密切关注政策、行业、技术、客户的需求及发展变化趋势， 持续加大在技术和产品创新方面的投入，提升应变能力，努力研发满足市场需 求、客户需求的产品，保证公司的经营效益和可持续发展能力。</w:t>
      </w:r>
    </w:p>
    <w:p>
      <w:pPr>
        <w:pStyle w:val="Style15"/>
        <w:keepNext w:val="0"/>
        <w:keepLines w:val="0"/>
        <w:widowControl w:val="0"/>
        <w:shd w:val="clear" w:color="auto" w:fill="auto"/>
        <w:tabs>
          <w:tab w:pos="1018" w:val="left"/>
        </w:tabs>
        <w:bidi w:val="0"/>
        <w:spacing w:before="0" w:after="0" w:line="468" w:lineRule="auto"/>
        <w:ind w:left="0" w:right="0"/>
        <w:jc w:val="both"/>
      </w:pPr>
      <w:bookmarkStart w:id="4" w:name="bookmark4"/>
      <w:r>
        <w:rPr>
          <w:rFonts w:ascii="Times New Roman" w:eastAsia="Times New Roman" w:hAnsi="Times New Roman" w:cs="Times New Roman"/>
          <w:color w:val="000000"/>
          <w:spacing w:val="0"/>
          <w:w w:val="100"/>
          <w:position w:val="0"/>
          <w:sz w:val="28"/>
          <w:szCs w:val="28"/>
        </w:rPr>
        <w:t>2</w:t>
      </w:r>
      <w:bookmarkEnd w:id="4"/>
      <w:r>
        <w:rPr>
          <w:color w:val="000000"/>
          <w:spacing w:val="0"/>
          <w:w w:val="100"/>
          <w:position w:val="0"/>
        </w:rPr>
        <w:t>、</w:t>
        <w:tab/>
        <w:t>市场开拓风险</w:t>
      </w:r>
    </w:p>
    <w:p>
      <w:pPr>
        <w:pStyle w:val="Style15"/>
        <w:keepNext w:val="0"/>
        <w:keepLines w:val="0"/>
        <w:widowControl w:val="0"/>
        <w:shd w:val="clear" w:color="auto" w:fill="auto"/>
        <w:bidi w:val="0"/>
        <w:spacing w:before="0" w:line="627" w:lineRule="exact"/>
        <w:ind w:left="0" w:right="0"/>
        <w:jc w:val="both"/>
      </w:pPr>
      <w:r>
        <w:rPr>
          <w:color w:val="000000"/>
          <w:spacing w:val="0"/>
          <w:w w:val="100"/>
          <w:position w:val="0"/>
        </w:rPr>
        <w:t>由于公司推出的风险管理整体解决方案及相关应用产品直接关系到银行等 客户的资产安全和系统的稳定性，客户采购时对于新产品的应用推广需要经过 严格的考核：在正式进入采购环节之前，客户会梳理、制定业务流程相关管理 办法，系统的进行员工培训，新产品上线的准备周期较长，各客户在采购管理 体制方面也存在一定差异。因此新产品的推广测试周期和上线准备周期的可预 测性难度较高，市场开拓推广过程较长、产生收益预期不确定性较高。</w:t>
      </w:r>
    </w:p>
    <w:p>
      <w:pPr>
        <w:pStyle w:val="Style15"/>
        <w:keepNext w:val="0"/>
        <w:keepLines w:val="0"/>
        <w:widowControl w:val="0"/>
        <w:shd w:val="clear" w:color="auto" w:fill="auto"/>
        <w:bidi w:val="0"/>
        <w:spacing w:before="0"/>
        <w:ind w:left="0" w:right="0"/>
        <w:jc w:val="both"/>
      </w:pPr>
      <w:r>
        <w:rPr>
          <w:color w:val="000000"/>
          <w:spacing w:val="0"/>
          <w:w w:val="100"/>
          <w:position w:val="0"/>
        </w:rPr>
        <w:t>因此，公司需优化销售策略，积极对外拓展合作渠道。在内部管理上，加 快新产品的开发和推广速度，加强风险管控意识，不断提高综合竞争实力、提 升公司行业领先优势。</w:t>
      </w:r>
    </w:p>
    <w:p>
      <w:pPr>
        <w:pStyle w:val="Style15"/>
        <w:keepNext w:val="0"/>
        <w:keepLines w:val="0"/>
        <w:widowControl w:val="0"/>
        <w:shd w:val="clear" w:color="auto" w:fill="auto"/>
        <w:tabs>
          <w:tab w:pos="1018" w:val="left"/>
        </w:tabs>
        <w:bidi w:val="0"/>
        <w:spacing w:before="0" w:line="626" w:lineRule="exact"/>
        <w:ind w:left="0" w:right="0"/>
        <w:jc w:val="both"/>
      </w:pPr>
      <w:bookmarkStart w:id="5" w:name="bookmark5"/>
      <w:r>
        <w:rPr>
          <w:rFonts w:ascii="Times New Roman" w:eastAsia="Times New Roman" w:hAnsi="Times New Roman" w:cs="Times New Roman"/>
          <w:color w:val="000000"/>
          <w:spacing w:val="0"/>
          <w:w w:val="100"/>
          <w:position w:val="0"/>
          <w:sz w:val="28"/>
          <w:szCs w:val="28"/>
        </w:rPr>
        <w:t>3</w:t>
      </w:r>
      <w:bookmarkEnd w:id="5"/>
      <w:r>
        <w:rPr>
          <w:color w:val="000000"/>
          <w:spacing w:val="0"/>
          <w:w w:val="100"/>
          <w:position w:val="0"/>
        </w:rPr>
        <w:t>、</w:t>
        <w:tab/>
        <w:t>对银行业依赖的风险</w:t>
      </w:r>
    </w:p>
    <w:p>
      <w:pPr>
        <w:pStyle w:val="Style15"/>
        <w:keepNext w:val="0"/>
        <w:keepLines w:val="0"/>
        <w:widowControl w:val="0"/>
        <w:shd w:val="clear" w:color="auto" w:fill="auto"/>
        <w:bidi w:val="0"/>
        <w:spacing w:before="0" w:after="420" w:line="618" w:lineRule="exact"/>
        <w:ind w:left="0" w:right="0"/>
        <w:jc w:val="both"/>
      </w:pPr>
      <w:r>
        <w:rPr>
          <w:color w:val="000000"/>
          <w:spacing w:val="0"/>
          <w:w w:val="100"/>
          <w:position w:val="0"/>
        </w:rPr>
        <w:t>公司主要客户集中在银行业，市场需求受下游银行业变化影响。银行业客 户的稳定和增长对公司经营的稳定性、成长性十分重要。若银行业经营状况不 景气，致使其信息化、集约化建设速度放缓，或银行业客户的投资和采购方式、 风险控制模式、经营情况等发生重大变化，将会对公司的经营状况和业务发展 产生较大影响。</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rPr>
        <w:t>因此，公司将坚持内生增长和外延发展并进，加强对行业政策的分析，做</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rPr>
        <w:t>好公司战略规划，保持并扩大自身优势。</w:t>
      </w:r>
    </w:p>
    <w:p>
      <w:pPr>
        <w:pStyle w:val="Style15"/>
        <w:keepNext w:val="0"/>
        <w:keepLines w:val="0"/>
        <w:widowControl w:val="0"/>
        <w:shd w:val="clear" w:color="auto" w:fill="auto"/>
        <w:tabs>
          <w:tab w:pos="1015" w:val="left"/>
        </w:tabs>
        <w:bidi w:val="0"/>
        <w:spacing w:before="0"/>
        <w:ind w:left="0" w:right="0"/>
        <w:jc w:val="left"/>
      </w:pPr>
      <w:bookmarkStart w:id="6" w:name="bookmark6"/>
      <w:r>
        <w:rPr>
          <w:rFonts w:ascii="Times New Roman" w:eastAsia="Times New Roman" w:hAnsi="Times New Roman" w:cs="Times New Roman"/>
          <w:color w:val="000000"/>
          <w:spacing w:val="0"/>
          <w:w w:val="100"/>
          <w:position w:val="0"/>
          <w:sz w:val="28"/>
          <w:szCs w:val="28"/>
        </w:rPr>
        <w:t>4</w:t>
      </w:r>
      <w:bookmarkEnd w:id="6"/>
      <w:r>
        <w:rPr>
          <w:color w:val="000000"/>
          <w:spacing w:val="0"/>
          <w:w w:val="100"/>
          <w:position w:val="0"/>
        </w:rPr>
        <w:t>、</w:t>
        <w:tab/>
        <w:t>毛利率下降的风险</w:t>
      </w:r>
    </w:p>
    <w:p>
      <w:pPr>
        <w:pStyle w:val="Style15"/>
        <w:keepNext w:val="0"/>
        <w:keepLines w:val="0"/>
        <w:widowControl w:val="0"/>
        <w:shd w:val="clear" w:color="auto" w:fill="auto"/>
        <w:bidi w:val="0"/>
        <w:spacing w:before="0" w:line="621" w:lineRule="exact"/>
        <w:ind w:left="0" w:right="0"/>
        <w:jc w:val="both"/>
      </w:pPr>
      <w:r>
        <w:rPr>
          <w:color w:val="000000"/>
          <w:spacing w:val="0"/>
          <w:w w:val="100"/>
          <w:position w:val="0"/>
        </w:rPr>
        <w:t>金融科技领域正处于快速发展阶段，公司面临国内外竞争压力。如果公司 不能扩大和维持现有的市场份额和影响力，对技术发展、需求变化等方面不能 及时掌控并有效应对，公司将面临竞争地位被削弱的局面，可能因市场竞争加 剧导致毛利率下降。</w:t>
      </w:r>
    </w:p>
    <w:p>
      <w:pPr>
        <w:pStyle w:val="Style15"/>
        <w:keepNext w:val="0"/>
        <w:keepLines w:val="0"/>
        <w:widowControl w:val="0"/>
        <w:shd w:val="clear" w:color="auto" w:fill="auto"/>
        <w:bidi w:val="0"/>
        <w:spacing w:before="0" w:line="638" w:lineRule="exact"/>
        <w:ind w:left="0" w:right="0"/>
        <w:jc w:val="both"/>
      </w:pPr>
      <w:r>
        <w:rPr>
          <w:color w:val="000000"/>
          <w:spacing w:val="0"/>
          <w:w w:val="100"/>
          <w:position w:val="0"/>
        </w:rPr>
        <w:t>因此，公司要时刻关注国内外行业的市场发展动态，加强自主创新实力， 做大做强，保持行业领先优势。</w:t>
      </w:r>
    </w:p>
    <w:p>
      <w:pPr>
        <w:pStyle w:val="Style15"/>
        <w:keepNext w:val="0"/>
        <w:keepLines w:val="0"/>
        <w:widowControl w:val="0"/>
        <w:shd w:val="clear" w:color="auto" w:fill="auto"/>
        <w:tabs>
          <w:tab w:pos="1015" w:val="left"/>
        </w:tabs>
        <w:bidi w:val="0"/>
        <w:spacing w:before="0"/>
        <w:ind w:left="0" w:right="0"/>
        <w:jc w:val="both"/>
      </w:pPr>
      <w:bookmarkStart w:id="7" w:name="bookmark7"/>
      <w:r>
        <w:rPr>
          <w:rFonts w:ascii="Times New Roman" w:eastAsia="Times New Roman" w:hAnsi="Times New Roman" w:cs="Times New Roman"/>
          <w:color w:val="000000"/>
          <w:spacing w:val="0"/>
          <w:w w:val="100"/>
          <w:position w:val="0"/>
          <w:sz w:val="28"/>
          <w:szCs w:val="28"/>
        </w:rPr>
        <w:t>5</w:t>
      </w:r>
      <w:bookmarkEnd w:id="7"/>
      <w:r>
        <w:rPr>
          <w:color w:val="000000"/>
          <w:spacing w:val="0"/>
          <w:w w:val="100"/>
          <w:position w:val="0"/>
        </w:rPr>
        <w:t>、</w:t>
        <w:tab/>
        <w:t>核心技术人才稳定风险</w:t>
      </w:r>
    </w:p>
    <w:p>
      <w:pPr>
        <w:pStyle w:val="Style15"/>
        <w:keepNext w:val="0"/>
        <w:keepLines w:val="0"/>
        <w:widowControl w:val="0"/>
        <w:shd w:val="clear" w:color="auto" w:fill="auto"/>
        <w:bidi w:val="0"/>
        <w:spacing w:before="0" w:line="626" w:lineRule="exact"/>
        <w:ind w:left="0" w:right="0"/>
        <w:jc w:val="both"/>
      </w:pPr>
      <w:r>
        <w:rPr>
          <w:color w:val="000000"/>
          <w:spacing w:val="0"/>
          <w:w w:val="100"/>
          <w:position w:val="0"/>
        </w:rPr>
        <w:t>人才是企业发展的重要资源，公司不断提升研发实力，培养了一批技术水 平高和工作经验丰富的核心技术人才，如果发生技术研发队伍整体或核心技术 泄密现象，将可能会对公司持续发展带来不利影响。</w:t>
      </w:r>
    </w:p>
    <w:p>
      <w:pPr>
        <w:pStyle w:val="Style15"/>
        <w:keepNext w:val="0"/>
        <w:keepLines w:val="0"/>
        <w:widowControl w:val="0"/>
        <w:shd w:val="clear" w:color="auto" w:fill="auto"/>
        <w:bidi w:val="0"/>
        <w:spacing w:before="0" w:line="631" w:lineRule="exact"/>
        <w:ind w:left="0" w:right="0"/>
        <w:jc w:val="both"/>
      </w:pPr>
      <w:r>
        <w:rPr>
          <w:color w:val="000000"/>
          <w:spacing w:val="0"/>
          <w:w w:val="100"/>
          <w:position w:val="0"/>
        </w:rPr>
        <w:t>因此，公司始终注重人才引进和培养，不断完善人才管理体系建设，建立 了吸引人才、保留人才和激励员工的薪酬管理体系，提升核心技术团队的稳定 性。</w:t>
      </w:r>
    </w:p>
    <w:p>
      <w:pPr>
        <w:pStyle w:val="Style15"/>
        <w:keepNext w:val="0"/>
        <w:keepLines w:val="0"/>
        <w:widowControl w:val="0"/>
        <w:shd w:val="clear" w:color="auto" w:fill="auto"/>
        <w:tabs>
          <w:tab w:pos="1015" w:val="left"/>
        </w:tabs>
        <w:bidi w:val="0"/>
        <w:spacing w:before="0"/>
        <w:ind w:left="0" w:right="0"/>
        <w:jc w:val="both"/>
      </w:pPr>
      <w:bookmarkStart w:id="8" w:name="bookmark8"/>
      <w:r>
        <w:rPr>
          <w:rFonts w:ascii="Times New Roman" w:eastAsia="Times New Roman" w:hAnsi="Times New Roman" w:cs="Times New Roman"/>
          <w:color w:val="000000"/>
          <w:spacing w:val="0"/>
          <w:w w:val="100"/>
          <w:position w:val="0"/>
          <w:sz w:val="28"/>
          <w:szCs w:val="28"/>
        </w:rPr>
        <w:t>6</w:t>
      </w:r>
      <w:bookmarkEnd w:id="8"/>
      <w:r>
        <w:rPr>
          <w:color w:val="000000"/>
          <w:spacing w:val="0"/>
          <w:w w:val="100"/>
          <w:position w:val="0"/>
        </w:rPr>
        <w:t>、</w:t>
        <w:tab/>
        <w:t>募集资金投资项目实施风险</w:t>
      </w:r>
    </w:p>
    <w:p>
      <w:pPr>
        <w:pStyle w:val="Style15"/>
        <w:keepNext w:val="0"/>
        <w:keepLines w:val="0"/>
        <w:widowControl w:val="0"/>
        <w:shd w:val="clear" w:color="auto" w:fill="auto"/>
        <w:bidi w:val="0"/>
        <w:spacing w:before="0" w:line="622" w:lineRule="exact"/>
        <w:ind w:left="0" w:right="0"/>
        <w:jc w:val="both"/>
      </w:pPr>
      <w:r>
        <w:rPr>
          <w:color w:val="000000"/>
          <w:spacing w:val="0"/>
          <w:w w:val="100"/>
          <w:position w:val="0"/>
        </w:rPr>
        <w:t>公司首次公开发行股票募集资金投资项目主要集中于银行内控风险管理领 域，符合行业发展趋势，具有广泛而现实的银行客户基础。如果新产品未来的 市场需求低于预期，或新产品的市场推广进展与公司预测产生偏差，将会导致 募集资金投资项目投产后不能达到预期效益的风险。如果本次募集资金投资项 目无法实现预期收益，公司则存在因折旧、摊销和研发支出大幅增加而导致经</w:t>
      </w:r>
    </w:p>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营业绩下滑的风险。</w:t>
      </w:r>
    </w:p>
    <w:p>
      <w:pPr>
        <w:pStyle w:val="Style15"/>
        <w:keepNext w:val="0"/>
        <w:keepLines w:val="0"/>
        <w:widowControl w:val="0"/>
        <w:shd w:val="clear" w:color="auto" w:fill="auto"/>
        <w:bidi w:val="0"/>
        <w:spacing w:before="0" w:after="60" w:line="638" w:lineRule="exact"/>
        <w:ind w:left="0" w:right="0"/>
        <w:jc w:val="both"/>
      </w:pPr>
      <w:r>
        <w:rPr>
          <w:color w:val="000000"/>
          <w:spacing w:val="0"/>
          <w:w w:val="100"/>
          <w:position w:val="0"/>
        </w:rPr>
        <w:t>因此，公司要加快推进项目实施进度，增强公司持续发展能力和盈利能力, 将研发成果及时转化为市场产品。</w:t>
      </w:r>
    </w:p>
    <w:p>
      <w:pPr>
        <w:pStyle w:val="Style15"/>
        <w:keepNext w:val="0"/>
        <w:keepLines w:val="0"/>
        <w:widowControl w:val="0"/>
        <w:shd w:val="clear" w:color="auto" w:fill="auto"/>
        <w:bidi w:val="0"/>
        <w:spacing w:before="0" w:after="60" w:line="626"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585" w:right="970" w:bottom="1628" w:left="1099"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252,450,683</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0.8</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股。</w:t>
      </w:r>
    </w:p>
    <w:p>
      <w:pPr>
        <w:pStyle w:val="Style2"/>
        <w:keepNext w:val="0"/>
        <w:keepLines w:val="0"/>
        <w:widowControl w:val="0"/>
        <w:shd w:val="clear" w:color="auto" w:fill="auto"/>
        <w:bidi w:val="0"/>
        <w:spacing w:before="1420" w:after="15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8"/>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9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259"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41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25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472"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47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517"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91</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604"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60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103</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pPr>
      <w:hyperlink w:anchor="bookmark2318"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104</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公司、本公司、本集团、汇金科技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陈喆女士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瑞信投资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珠海瑞信投资管理有限公司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贵安新区贵金科技有限公司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证券交易所、深交所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期末、本期末、报告期末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元、万元、亿元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人民币元、人民币万元、人民币亿元</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2"/>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汇金科技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SGSG Science&amp;Technology Co., Ltd. Zhuhai</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SGSG</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珠海市软件园路</w:t>
            </w:r>
            <w:r>
              <w:rPr>
                <w:color w:val="000000"/>
                <w:spacing w:val="0"/>
                <w:w w:val="100"/>
                <w:position w:val="0"/>
                <w:sz w:val="18"/>
                <w:szCs w:val="18"/>
              </w:rPr>
              <w:t>1</w:t>
            </w:r>
            <w:r>
              <w:rPr>
                <w:rFonts w:ascii="SimSun" w:eastAsia="SimSun" w:hAnsi="SimSun" w:cs="SimSun"/>
                <w:color w:val="000000"/>
                <w:spacing w:val="0"/>
                <w:w w:val="100"/>
                <w:position w:val="0"/>
                <w:sz w:val="17"/>
                <w:szCs w:val="17"/>
              </w:rPr>
              <w:t>号会展中心</w:t>
            </w:r>
            <w:r>
              <w:rPr>
                <w:color w:val="000000"/>
                <w:spacing w:val="0"/>
                <w:w w:val="100"/>
                <w:position w:val="0"/>
                <w:sz w:val="18"/>
                <w:szCs w:val="18"/>
              </w:rPr>
              <w:t>3#</w:t>
            </w:r>
            <w:r>
              <w:rPr>
                <w:rFonts w:ascii="SimSun" w:eastAsia="SimSun" w:hAnsi="SimSun" w:cs="SimSun"/>
                <w:color w:val="000000"/>
                <w:spacing w:val="0"/>
                <w:w w:val="100"/>
                <w:position w:val="0"/>
                <w:sz w:val="17"/>
                <w:szCs w:val="17"/>
              </w:rPr>
              <w:t>第三层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珠海市软件园路</w:t>
            </w:r>
            <w:r>
              <w:rPr>
                <w:color w:val="000000"/>
                <w:spacing w:val="0"/>
                <w:w w:val="100"/>
                <w:position w:val="0"/>
                <w:sz w:val="18"/>
                <w:szCs w:val="18"/>
              </w:rPr>
              <w:t>1</w:t>
            </w:r>
            <w:r>
              <w:rPr>
                <w:rFonts w:ascii="SimSun" w:eastAsia="SimSun" w:hAnsi="SimSun" w:cs="SimSun"/>
                <w:color w:val="000000"/>
                <w:spacing w:val="0"/>
                <w:w w:val="100"/>
                <w:position w:val="0"/>
                <w:sz w:val="17"/>
                <w:szCs w:val="17"/>
              </w:rPr>
              <w:t>号会展中心</w:t>
            </w:r>
            <w:r>
              <w:rPr>
                <w:color w:val="000000"/>
                <w:spacing w:val="0"/>
                <w:w w:val="100"/>
                <w:position w:val="0"/>
                <w:sz w:val="18"/>
                <w:szCs w:val="18"/>
              </w:rPr>
              <w:t>3#</w:t>
            </w:r>
            <w:r>
              <w:rPr>
                <w:rFonts w:ascii="SimSun" w:eastAsia="SimSun" w:hAnsi="SimSun" w:cs="SimSun"/>
                <w:color w:val="000000"/>
                <w:spacing w:val="0"/>
                <w:w w:val="100"/>
                <w:position w:val="0"/>
                <w:sz w:val="17"/>
                <w:szCs w:val="17"/>
              </w:rPr>
              <w:t>第三层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"http://www.sgsg.cc" </w:instrText>
            </w:r>
            <w:r>
              <w:fldChar w:fldCharType="separate"/>
            </w:r>
            <w:r>
              <w:rPr>
                <w:color w:val="000000"/>
                <w:spacing w:val="0"/>
                <w:w w:val="100"/>
                <w:position w:val="0"/>
              </w:rPr>
              <w:t>http://www.sgsg.cc</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"mailto:investor@sgsg.cc" </w:instrText>
            </w:r>
            <w:r>
              <w:fldChar w:fldCharType="separate"/>
            </w:r>
            <w:r>
              <w:rPr>
                <w:color w:val="000000"/>
                <w:spacing w:val="0"/>
                <w:w w:val="100"/>
                <w:position w:val="0"/>
              </w:rPr>
              <w:t>investor@sgsg.cc</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孙玉玲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何燕</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珠海市软件园路</w:t>
            </w:r>
            <w:r>
              <w:rPr>
                <w:color w:val="000000"/>
                <w:spacing w:val="0"/>
                <w:w w:val="100"/>
                <w:position w:val="0"/>
                <w:sz w:val="18"/>
                <w:szCs w:val="18"/>
              </w:rPr>
              <w:t>1</w:t>
            </w:r>
            <w:r>
              <w:rPr>
                <w:rFonts w:ascii="SimSun" w:eastAsia="SimSun" w:hAnsi="SimSun" w:cs="SimSun"/>
                <w:color w:val="000000"/>
                <w:spacing w:val="0"/>
                <w:w w:val="100"/>
                <w:position w:val="0"/>
                <w:sz w:val="17"/>
                <w:szCs w:val="17"/>
              </w:rPr>
              <w:t>号会展中心</w:t>
            </w:r>
            <w:r>
              <w:rPr>
                <w:color w:val="000000"/>
                <w:spacing w:val="0"/>
                <w:w w:val="100"/>
                <w:position w:val="0"/>
                <w:sz w:val="18"/>
                <w:szCs w:val="18"/>
              </w:rPr>
              <w:t>3#</w:t>
            </w:r>
            <w:r>
              <w:rPr>
                <w:rFonts w:ascii="SimSun" w:eastAsia="SimSun" w:hAnsi="SimSun" w:cs="SimSun"/>
                <w:color w:val="000000"/>
                <w:spacing w:val="0"/>
                <w:w w:val="100"/>
                <w:position w:val="0"/>
                <w:sz w:val="17"/>
                <w:szCs w:val="17"/>
              </w:rPr>
              <w:t>第三 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珠海市软件园路</w:t>
            </w:r>
            <w:r>
              <w:rPr>
                <w:color w:val="000000"/>
                <w:spacing w:val="0"/>
                <w:w w:val="100"/>
                <w:position w:val="0"/>
                <w:sz w:val="18"/>
                <w:szCs w:val="18"/>
              </w:rPr>
              <w:t>1</w:t>
            </w:r>
            <w:r>
              <w:rPr>
                <w:rFonts w:ascii="SimSun" w:eastAsia="SimSun" w:hAnsi="SimSun" w:cs="SimSun"/>
                <w:color w:val="000000"/>
                <w:spacing w:val="0"/>
                <w:w w:val="100"/>
                <w:position w:val="0"/>
                <w:sz w:val="17"/>
                <w:szCs w:val="17"/>
              </w:rPr>
              <w:t>号会展中心</w:t>
            </w:r>
            <w:r>
              <w:rPr>
                <w:color w:val="000000"/>
                <w:spacing w:val="0"/>
                <w:w w:val="100"/>
                <w:position w:val="0"/>
                <w:sz w:val="18"/>
                <w:szCs w:val="18"/>
              </w:rPr>
              <w:t>3#</w:t>
            </w:r>
            <w:r>
              <w:rPr>
                <w:rFonts w:ascii="SimSun" w:eastAsia="SimSun" w:hAnsi="SimSun" w:cs="SimSun"/>
                <w:color w:val="000000"/>
                <w:spacing w:val="0"/>
                <w:w w:val="100"/>
                <w:position w:val="0"/>
                <w:sz w:val="17"/>
                <w:szCs w:val="17"/>
              </w:rPr>
              <w:t>第三 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0756-3236673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0756-3236673-667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0756-3236667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0756-3236667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"mailto:investor@sgsg.cc" </w:instrText>
            </w:r>
            <w:r>
              <w:fldChar w:fldCharType="separate"/>
            </w:r>
            <w:r>
              <w:rPr>
                <w:color w:val="000000"/>
                <w:spacing w:val="0"/>
                <w:w w:val="100"/>
                <w:position w:val="0"/>
              </w:rPr>
              <w:t>investor@sgsg.cc</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"mailto:investor@sgsg.cc" </w:instrText>
            </w:r>
            <w:r>
              <w:fldChar w:fldCharType="separate"/>
            </w:r>
            <w:r>
              <w:rPr>
                <w:color w:val="000000"/>
                <w:spacing w:val="0"/>
                <w:w w:val="100"/>
                <w:position w:val="0"/>
              </w:rPr>
              <w:t>investor@sgsg.cc</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《中国证券报》、《证券时报》、《证券日报》、《上海证券报》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"http://www.cninfb.com.cn" </w:instrText>
            </w:r>
            <w:r>
              <w:fldChar w:fldCharType="separate"/>
            </w:r>
            <w:r>
              <w:rPr>
                <w:color w:val="000000"/>
                <w:spacing w:val="0"/>
                <w:w w:val="100"/>
                <w:position w:val="0"/>
                <w:sz w:val="18"/>
                <w:szCs w:val="18"/>
              </w:rPr>
              <w:t>http://www.cninfb.com.cn</w:t>
            </w:r>
            <w:r>
              <w:fldChar w:fldCharType="end"/>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珠海市软件园路</w:t>
            </w:r>
            <w:r>
              <w:rPr>
                <w:color w:val="000000"/>
                <w:spacing w:val="0"/>
                <w:w w:val="100"/>
                <w:position w:val="0"/>
                <w:sz w:val="18"/>
                <w:szCs w:val="18"/>
              </w:rPr>
              <w:t>1</w:t>
            </w:r>
            <w:r>
              <w:rPr>
                <w:rFonts w:ascii="SimSun" w:eastAsia="SimSun" w:hAnsi="SimSun" w:cs="SimSun"/>
                <w:color w:val="000000"/>
                <w:spacing w:val="0"/>
                <w:w w:val="100"/>
                <w:position w:val="0"/>
                <w:sz w:val="17"/>
                <w:szCs w:val="17"/>
              </w:rPr>
              <w:t>号会展中心</w:t>
            </w:r>
            <w:r>
              <w:rPr>
                <w:color w:val="000000"/>
                <w:spacing w:val="0"/>
                <w:w w:val="100"/>
                <w:position w:val="0"/>
                <w:sz w:val="18"/>
                <w:szCs w:val="18"/>
              </w:rPr>
              <w:t>3#</w:t>
            </w:r>
            <w:r>
              <w:rPr>
                <w:rFonts w:ascii="SimSun" w:eastAsia="SimSun" w:hAnsi="SimSun" w:cs="SimSun"/>
                <w:color w:val="000000"/>
                <w:spacing w:val="0"/>
                <w:w w:val="100"/>
                <w:position w:val="0"/>
                <w:sz w:val="17"/>
                <w:szCs w:val="17"/>
              </w:rPr>
              <w:t>第三层</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北京市朝阳区建国门外大街</w:t>
            </w:r>
            <w:r>
              <w:rPr>
                <w:color w:val="000000"/>
                <w:spacing w:val="0"/>
                <w:w w:val="100"/>
                <w:position w:val="0"/>
                <w:sz w:val="18"/>
                <w:szCs w:val="18"/>
              </w:rPr>
              <w:t>22</w:t>
            </w:r>
            <w:r>
              <w:rPr>
                <w:rFonts w:ascii="SimSun" w:eastAsia="SimSun" w:hAnsi="SimSun" w:cs="SimSun"/>
                <w:color w:val="000000"/>
                <w:spacing w:val="0"/>
                <w:w w:val="100"/>
                <w:position w:val="0"/>
                <w:sz w:val="17"/>
                <w:szCs w:val="17"/>
              </w:rPr>
              <w:t>号赛特广场</w:t>
            </w:r>
            <w:r>
              <w:rPr>
                <w:color w:val="000000"/>
                <w:spacing w:val="0"/>
                <w:w w:val="100"/>
                <w:position w:val="0"/>
                <w:sz w:val="18"/>
                <w:szCs w:val="18"/>
              </w:rPr>
              <w:t>5</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王莹、胡静</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国都证券股份有限公司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北京市东城区东直门南大街</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号国华投资大厦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邵青、周昊天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至公司募集资金使用完毕为 止。</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、主要会计数据和财务指标</w:t>
      </w:r>
      <w:bookmarkEnd w:id="28"/>
      <w:bookmarkEnd w:id="29"/>
      <w:bookmarkEnd w:id="3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203,926,202.98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196,542,876.01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244,580,350.28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17,285,190.02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20,118,329.09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26,037,504.42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7,618,046.04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7,383,347.52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5,534,245.08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48,893,909.05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52,417,303.66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-49,078,930.65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757,055,186.51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783,491,877.45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790,680,560.65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666,671,271.63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669,725,192.26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685,376,542.47</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2"/>
        <w:keepNext/>
        <w:keepLines/>
        <w:widowControl w:val="0"/>
        <w:shd w:val="clear" w:color="auto" w:fill="auto"/>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、分季度主要财务指标</w:t>
      </w:r>
      <w:bookmarkEnd w:id="32"/>
      <w:bookmarkEnd w:id="33"/>
      <w:bookmarkEnd w:id="3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37,739,426.04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43,307,192.44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50,052,424.59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72,827,159.91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6,070,972.85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3,044,261.10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7,020,852.60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1,149,103.47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4,791,275.36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2,352,931.88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-51,699.62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-16,000,202.49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-19,539,506.98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7,201,729.82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77,231,888.70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28"/>
        <w:keepNext/>
        <w:keepLines/>
        <w:widowControl w:val="0"/>
        <w:shd w:val="clear" w:color="auto" w:fill="auto"/>
        <w:tabs>
          <w:tab w:pos="403"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非经常性损益项目及金额</w:t>
      </w:r>
      <w:bookmarkEnd w:id="48"/>
      <w:bookmarkEnd w:id="49"/>
      <w:bookmarkEnd w:id="51"/>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135,420.67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企业所得税返还</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5,927,032.97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4,661,265.00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3,784,462.50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16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5,517,786.05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262,498.63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银行理财产品收益</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10,081,359.46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19,533,675.67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1,687,454.18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2,121,882.69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2,837,169.76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9,667,143.98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12,734,981.57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20,503,259.34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30" w:bottom="1532"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52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2"/>
        <w:keepNext/>
        <w:keepLines/>
        <w:widowControl w:val="0"/>
        <w:shd w:val="clear" w:color="auto" w:fill="auto"/>
        <w:bidi w:val="0"/>
        <w:spacing w:before="0" w:after="24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p>
    <w:p>
      <w:pPr>
        <w:pStyle w:val="Style24"/>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tabs>
          <w:tab w:pos="329" w:val="left"/>
        </w:tabs>
        <w:bidi w:val="0"/>
        <w:spacing w:before="0" w:after="0" w:line="314" w:lineRule="exact"/>
        <w:ind w:left="0" w:right="0" w:firstLine="0"/>
        <w:jc w:val="left"/>
      </w:pPr>
      <w:bookmarkStart w:id="59" w:name="bookmark59"/>
      <w:r>
        <w:rPr>
          <w:rFonts w:ascii="Times New Roman" w:eastAsia="Times New Roman" w:hAnsi="Times New Roman" w:cs="Times New Roman"/>
          <w:color w:val="000000"/>
          <w:spacing w:val="0"/>
          <w:w w:val="100"/>
          <w:position w:val="0"/>
          <w:sz w:val="18"/>
          <w:szCs w:val="18"/>
        </w:rPr>
        <w:t>1</w:t>
      </w:r>
      <w:bookmarkEnd w:id="59"/>
      <w:r>
        <w:rPr>
          <w:color w:val="000000"/>
          <w:spacing w:val="0"/>
          <w:w w:val="100"/>
          <w:position w:val="0"/>
        </w:rPr>
        <w:t>、</w:t>
        <w:tab/>
        <w:t>公司所处行业分析</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为更好地适应国家新发展阶段，深入贯彻新发展理念，加快构建新发展格局，中国银行业积极推进战略转型，以推动高 质量发展。银行业已将推进智能化与数字化建设作为战略重点。面对金融生态的变化，传统商业银行已经认识到金融科技的 重要性，主动谋求智能化与数字化建设，用场景化的金融服务更好地触达客户端，以更多方位的金融服务提高客户活跃度。</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随着近年金融科技领域的深化发展，物联网技术、人工智能技术渗透到传统金融领域，在金融业去杠杆、加强监管的大 背景下，银行等金融业客户需要平衡好稳增长和防风险的关系，大力推进科技转型和变革，升级内控风险管理体系，精准有 效的处置重点领域风险。</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公司主营业务是运用人工智能技术、物联网技术、密码算法技术为金融行业客户的运营管理、风险控制、网点转型、渠 道建设等提供专业解决方案和服务，系统性地控制风险、创新业务模式、降低金融客户运营成本，助力金融行业客户科技转 型和变革。公司聚焦金融行业发展需求，围绕金融内控风险防范领域具有较大的市场空间。</w:t>
      </w:r>
    </w:p>
    <w:p>
      <w:pPr>
        <w:pStyle w:val="Style24"/>
        <w:keepNext w:val="0"/>
        <w:keepLines w:val="0"/>
        <w:widowControl w:val="0"/>
        <w:shd w:val="clear" w:color="auto" w:fill="auto"/>
        <w:tabs>
          <w:tab w:pos="343" w:val="left"/>
        </w:tabs>
        <w:bidi w:val="0"/>
        <w:spacing w:before="0" w:after="0" w:line="314" w:lineRule="exact"/>
        <w:ind w:left="0" w:right="0" w:firstLine="0"/>
        <w:jc w:val="left"/>
      </w:pPr>
      <w:bookmarkStart w:id="60" w:name="bookmark60"/>
      <w:r>
        <w:rPr>
          <w:rFonts w:ascii="Times New Roman" w:eastAsia="Times New Roman" w:hAnsi="Times New Roman" w:cs="Times New Roman"/>
          <w:color w:val="000000"/>
          <w:spacing w:val="0"/>
          <w:w w:val="100"/>
          <w:position w:val="0"/>
          <w:sz w:val="18"/>
          <w:szCs w:val="18"/>
        </w:rPr>
        <w:t>2</w:t>
      </w:r>
      <w:bookmarkEnd w:id="60"/>
      <w:r>
        <w:rPr>
          <w:color w:val="000000"/>
          <w:spacing w:val="0"/>
          <w:w w:val="100"/>
          <w:position w:val="0"/>
        </w:rPr>
        <w:t>、</w:t>
        <w:tab/>
        <w:t>公司主要产品解决方案</w:t>
      </w:r>
    </w:p>
    <w:p>
      <w:pPr>
        <w:pStyle w:val="Style24"/>
        <w:keepNext w:val="0"/>
        <w:keepLines w:val="0"/>
        <w:widowControl w:val="0"/>
        <w:numPr>
          <w:ilvl w:val="0"/>
          <w:numId w:val="1"/>
        </w:numPr>
        <w:shd w:val="clear" w:color="auto" w:fill="auto"/>
        <w:tabs>
          <w:tab w:pos="435" w:val="left"/>
        </w:tabs>
        <w:bidi w:val="0"/>
        <w:spacing w:before="0" w:after="0" w:line="314" w:lineRule="exact"/>
        <w:ind w:left="0" w:right="0" w:firstLine="0"/>
        <w:jc w:val="left"/>
      </w:pPr>
      <w:bookmarkStart w:id="61" w:name="bookmark61"/>
      <w:bookmarkEnd w:id="61"/>
      <w:r>
        <w:rPr>
          <w:color w:val="000000"/>
          <w:spacing w:val="0"/>
          <w:w w:val="100"/>
          <w:position w:val="0"/>
        </w:rPr>
        <w:t>银行自助设备现金管理系统</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通过物联网、生物识别、动态密码等技术整合运用，有效控制风险，提高运营效率，满足银行附行式设备、离行式设备 以及外包自助设备、网点、金库的各种管理要求。</w:t>
      </w:r>
    </w:p>
    <w:p>
      <w:pPr>
        <w:pStyle w:val="Style24"/>
        <w:keepNext w:val="0"/>
        <w:keepLines w:val="0"/>
        <w:widowControl w:val="0"/>
        <w:numPr>
          <w:ilvl w:val="0"/>
          <w:numId w:val="1"/>
        </w:numPr>
        <w:shd w:val="clear" w:color="auto" w:fill="auto"/>
        <w:tabs>
          <w:tab w:pos="435" w:val="left"/>
        </w:tabs>
        <w:bidi w:val="0"/>
        <w:spacing w:before="0" w:after="0" w:line="314" w:lineRule="exact"/>
        <w:ind w:left="0" w:right="0" w:firstLine="0"/>
        <w:jc w:val="left"/>
      </w:pPr>
      <w:bookmarkStart w:id="62" w:name="bookmark62"/>
      <w:bookmarkEnd w:id="62"/>
      <w:r>
        <w:rPr>
          <w:color w:val="000000"/>
          <w:spacing w:val="0"/>
          <w:w w:val="100"/>
          <w:position w:val="0"/>
        </w:rPr>
        <w:t>银行印章管理系统</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应用物联网技术、</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影像识别技术、及机电一体化等技术，结合图形图像处理技术和工作流技术，为金融机构印章改 革提供了软硬件一体化的解决方案。方案在业务处理上兼顾效率与服务，在有效提升客户体验的同时提升员工体验。方案实 现金融机构业务印章统一管理，及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全范围、全流程、集中化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w:t>
      </w:r>
    </w:p>
    <w:p>
      <w:pPr>
        <w:pStyle w:val="Style24"/>
        <w:keepNext w:val="0"/>
        <w:keepLines w:val="0"/>
        <w:widowControl w:val="0"/>
        <w:numPr>
          <w:ilvl w:val="0"/>
          <w:numId w:val="1"/>
        </w:numPr>
        <w:shd w:val="clear" w:color="auto" w:fill="auto"/>
        <w:tabs>
          <w:tab w:pos="435" w:val="left"/>
        </w:tabs>
        <w:bidi w:val="0"/>
        <w:spacing w:before="0" w:after="0" w:line="314" w:lineRule="exact"/>
        <w:ind w:left="0" w:right="0" w:firstLine="0"/>
        <w:jc w:val="left"/>
      </w:pPr>
      <w:bookmarkStart w:id="63" w:name="bookmark63"/>
      <w:bookmarkEnd w:id="63"/>
      <w:r>
        <w:rPr>
          <w:color w:val="000000"/>
          <w:spacing w:val="0"/>
          <w:w w:val="100"/>
          <w:position w:val="0"/>
        </w:rPr>
        <w:t>银行支付系统人脸识别、语音识别及安全解决方案</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公司将人工智能技术、物联网技术与传统金融服务场景相结合，针对银行自助机具、网点柜面等业务场景，开发研制了 一系列具备</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人脸识别、语音识别、国密安全控制等核心功能的系统解决方案，助力银行网点的智能化转型和智慧金融建 设。</w:t>
      </w:r>
    </w:p>
    <w:p>
      <w:pPr>
        <w:pStyle w:val="Style24"/>
        <w:keepNext w:val="0"/>
        <w:keepLines w:val="0"/>
        <w:widowControl w:val="0"/>
        <w:numPr>
          <w:ilvl w:val="0"/>
          <w:numId w:val="1"/>
        </w:numPr>
        <w:shd w:val="clear" w:color="auto" w:fill="auto"/>
        <w:tabs>
          <w:tab w:pos="435" w:val="left"/>
        </w:tabs>
        <w:bidi w:val="0"/>
        <w:spacing w:before="0" w:after="0" w:line="314" w:lineRule="exact"/>
        <w:ind w:left="0" w:right="0" w:firstLine="0"/>
        <w:jc w:val="left"/>
      </w:pPr>
      <w:bookmarkStart w:id="64" w:name="bookmark64"/>
      <w:bookmarkEnd w:id="64"/>
      <w:r>
        <w:rPr>
          <w:color w:val="000000"/>
          <w:spacing w:val="0"/>
          <w:w w:val="100"/>
          <w:position w:val="0"/>
        </w:rPr>
        <w:t>银行移动金融解决方案</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根据银行客户对于普惠金融和移动营销的需求，综合运用移动互联网、人工智能、生物识别、动态密码等技术，为银行 提供安全、高效的移动金融解决方案，拓展业务应用渠道、延伸服务网络、拉近银行和客户的距离，丰富交易手段，实现业 务创新和流程优化。</w:t>
      </w:r>
    </w:p>
    <w:p>
      <w:pPr>
        <w:pStyle w:val="Style24"/>
        <w:keepNext w:val="0"/>
        <w:keepLines w:val="0"/>
        <w:widowControl w:val="0"/>
        <w:numPr>
          <w:ilvl w:val="0"/>
          <w:numId w:val="1"/>
        </w:numPr>
        <w:shd w:val="clear" w:color="auto" w:fill="auto"/>
        <w:tabs>
          <w:tab w:pos="435" w:val="left"/>
        </w:tabs>
        <w:bidi w:val="0"/>
        <w:spacing w:before="0" w:after="0" w:line="314" w:lineRule="exact"/>
        <w:ind w:left="0" w:right="0" w:firstLine="0"/>
        <w:jc w:val="left"/>
      </w:pPr>
      <w:bookmarkStart w:id="65" w:name="bookmark65"/>
      <w:bookmarkEnd w:id="65"/>
      <w:r>
        <w:rPr>
          <w:color w:val="000000"/>
          <w:spacing w:val="0"/>
          <w:w w:val="100"/>
          <w:position w:val="0"/>
        </w:rPr>
        <w:t>银行重控及客户贵重物品智能化管理解决方案</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综合运用物联网技术、无线通讯技术、生物识别技术等，对人员、款箱、现金、票据、贵金属等进行识别及确认，实现 金库管理的智能化。以客户为中心，实现客户与智能设备的结合，将银行的产品与服务无缝嵌入到客户的生活与工作，降低 银行营运成本，为客户提供银行重控及客户贵重物品智能管理的全方位一体化的金融服务。</w:t>
      </w:r>
    </w:p>
    <w:p>
      <w:pPr>
        <w:pStyle w:val="Style24"/>
        <w:keepNext w:val="0"/>
        <w:keepLines w:val="0"/>
        <w:widowControl w:val="0"/>
        <w:numPr>
          <w:ilvl w:val="0"/>
          <w:numId w:val="1"/>
        </w:numPr>
        <w:shd w:val="clear" w:color="auto" w:fill="auto"/>
        <w:tabs>
          <w:tab w:pos="435" w:val="left"/>
        </w:tabs>
        <w:bidi w:val="0"/>
        <w:spacing w:before="0" w:after="0" w:line="314" w:lineRule="exact"/>
        <w:ind w:left="0" w:right="0" w:firstLine="0"/>
        <w:jc w:val="left"/>
      </w:pPr>
      <w:bookmarkStart w:id="66" w:name="bookmark66"/>
      <w:bookmarkEnd w:id="66"/>
      <w:r>
        <w:rPr>
          <w:color w:val="000000"/>
          <w:spacing w:val="0"/>
          <w:w w:val="100"/>
          <w:position w:val="0"/>
        </w:rPr>
        <w:t>银行智能业务库管理系统</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紧贴银行业务需求，对接客户成本控制要求和安防要求，综合运用物联网技术、无线通讯技术等，提高银行网点营运效 率，防范网点运营风险，助力网点由成本型向效益型转型。</w:t>
      </w:r>
    </w:p>
    <w:p>
      <w:pPr>
        <w:pStyle w:val="Style24"/>
        <w:keepNext w:val="0"/>
        <w:keepLines w:val="0"/>
        <w:widowControl w:val="0"/>
        <w:shd w:val="clear" w:color="auto" w:fill="auto"/>
        <w:tabs>
          <w:tab w:pos="343" w:val="left"/>
        </w:tabs>
        <w:bidi w:val="0"/>
        <w:spacing w:before="0" w:after="0" w:line="360" w:lineRule="auto"/>
        <w:ind w:left="0" w:right="0" w:firstLine="0"/>
        <w:jc w:val="both"/>
      </w:pPr>
      <w:bookmarkStart w:id="67" w:name="bookmark67"/>
      <w:r>
        <w:rPr>
          <w:rFonts w:ascii="Times New Roman" w:eastAsia="Times New Roman" w:hAnsi="Times New Roman" w:cs="Times New Roman"/>
          <w:color w:val="000000"/>
          <w:spacing w:val="0"/>
          <w:w w:val="100"/>
          <w:position w:val="0"/>
          <w:sz w:val="18"/>
          <w:szCs w:val="18"/>
        </w:rPr>
        <w:t>3</w:t>
      </w:r>
      <w:bookmarkEnd w:id="67"/>
      <w:r>
        <w:rPr>
          <w:color w:val="000000"/>
          <w:spacing w:val="0"/>
          <w:w w:val="100"/>
          <w:position w:val="0"/>
        </w:rPr>
        <w:t>、</w:t>
        <w:tab/>
        <w:t>公司经营模式</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公司自成立以来，一直专注于安防电子技术、物联网技术和人工智能等技术在金融行业风险防控应用的研究与开发，形 成了涵盖业务咨询、方案设计、制度及流程优化改造、软件开发、系统集成、设备供应、安装调试、技术支持、培训及后续 技术服务在内的一体化经营模式。公司是中国金融行业内控风险管理整体解决方案的主要供应商之一，是主营业务细分领域 </w:t>
      </w:r>
      <w:r>
        <w:rPr>
          <w:color w:val="000000"/>
          <w:spacing w:val="0"/>
          <w:w w:val="100"/>
          <w:position w:val="0"/>
        </w:rPr>
        <w:t>的领头企业，国家高新技术企业、国家规划布局内重点软件企业。</w:t>
      </w:r>
    </w:p>
    <w:p>
      <w:pPr>
        <w:pStyle w:val="Style24"/>
        <w:keepNext w:val="0"/>
        <w:keepLines w:val="0"/>
        <w:widowControl w:val="0"/>
        <w:numPr>
          <w:ilvl w:val="0"/>
          <w:numId w:val="3"/>
        </w:numPr>
        <w:shd w:val="clear" w:color="auto" w:fill="auto"/>
        <w:tabs>
          <w:tab w:pos="406" w:val="left"/>
        </w:tabs>
        <w:bidi w:val="0"/>
        <w:spacing w:before="0" w:after="0" w:line="312" w:lineRule="exact"/>
        <w:ind w:left="0" w:right="0" w:firstLine="0"/>
        <w:jc w:val="left"/>
      </w:pPr>
      <w:bookmarkStart w:id="68" w:name="bookmark68"/>
      <w:bookmarkEnd w:id="68"/>
      <w:r>
        <w:rPr>
          <w:color w:val="000000"/>
          <w:spacing w:val="0"/>
          <w:w w:val="100"/>
          <w:position w:val="0"/>
        </w:rPr>
        <w:t>开发模式</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公司产品的开发是围绕国家政策及导向研究，紧扣贴合行业发展趋势，从客户需求出发，了解、分析涉及业务操作的全 部流程和控制节点，独立自主设计研发适用的解决方案。公司拥有熟悉银行运营具体业务流程，具备物联网技术应用、人工 智能技术应用和金融安防电子信息软件开发以及硬件设计等多种专业技术的研发队伍。以集成产品开发模式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IPD</w:t>
      </w:r>
      <w:r>
        <w:rPr>
          <w:color w:val="000000"/>
          <w:spacing w:val="0"/>
          <w:w w:val="100"/>
          <w:position w:val="0"/>
        </w:rPr>
        <w:t>)，从流 程重整和产品重整两个方面来达到缩短产品上市时间、提高产品利润。截至目前，公司已经取得发明专利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项、实用新型专 利</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项、计算机软件著作权</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项，具有较强的持续研究开发能力。</w:t>
      </w:r>
    </w:p>
    <w:p>
      <w:pPr>
        <w:pStyle w:val="Style24"/>
        <w:keepNext w:val="0"/>
        <w:keepLines w:val="0"/>
        <w:widowControl w:val="0"/>
        <w:numPr>
          <w:ilvl w:val="0"/>
          <w:numId w:val="3"/>
        </w:numPr>
        <w:shd w:val="clear" w:color="auto" w:fill="auto"/>
        <w:tabs>
          <w:tab w:pos="406" w:val="left"/>
        </w:tabs>
        <w:bidi w:val="0"/>
        <w:spacing w:before="0" w:after="0" w:line="312" w:lineRule="exact"/>
        <w:ind w:left="0" w:right="0" w:firstLine="0"/>
        <w:jc w:val="both"/>
      </w:pPr>
      <w:bookmarkStart w:id="69" w:name="bookmark69"/>
      <w:bookmarkEnd w:id="69"/>
      <w:r>
        <w:rPr>
          <w:color w:val="000000"/>
          <w:spacing w:val="0"/>
          <w:w w:val="100"/>
          <w:position w:val="0"/>
        </w:rPr>
        <w:t>采购模式</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公司以市场需求为导向进行销售订单预测，基于订单预测并结合安全库存和批量订购的经济性等确定采购计划的采购模 式。通过持续优化项目管理、计划管理，建设弹性供应链体系高效率响应市场需求，不断提高生产效率、周转效率、降低成 品和原材料库存；同时持续关注国内外大宗材料和电子物料市场行情的变化，进行必要的战略性采购。</w:t>
      </w:r>
    </w:p>
    <w:p>
      <w:pPr>
        <w:pStyle w:val="Style24"/>
        <w:keepNext w:val="0"/>
        <w:keepLines w:val="0"/>
        <w:widowControl w:val="0"/>
        <w:numPr>
          <w:ilvl w:val="0"/>
          <w:numId w:val="3"/>
        </w:numPr>
        <w:shd w:val="clear" w:color="auto" w:fill="auto"/>
        <w:tabs>
          <w:tab w:pos="406" w:val="left"/>
        </w:tabs>
        <w:bidi w:val="0"/>
        <w:spacing w:before="0" w:after="0" w:line="312" w:lineRule="exact"/>
        <w:ind w:left="0" w:right="0" w:firstLine="0"/>
        <w:jc w:val="both"/>
      </w:pPr>
      <w:bookmarkStart w:id="70" w:name="bookmark70"/>
      <w:bookmarkEnd w:id="70"/>
      <w:r>
        <w:rPr>
          <w:color w:val="000000"/>
          <w:spacing w:val="0"/>
          <w:w w:val="100"/>
          <w:position w:val="0"/>
        </w:rPr>
        <w:t>生产体系</w:t>
      </w:r>
    </w:p>
    <w:p>
      <w:pPr>
        <w:pStyle w:val="Style24"/>
        <w:keepNext w:val="0"/>
        <w:keepLines w:val="0"/>
        <w:widowControl w:val="0"/>
        <w:shd w:val="clear" w:color="auto" w:fill="auto"/>
        <w:tabs>
          <w:tab w:pos="1759" w:val="left"/>
          <w:tab w:pos="4658" w:val="left"/>
          <w:tab w:pos="7860" w:val="left"/>
        </w:tabs>
        <w:bidi w:val="0"/>
        <w:spacing w:before="0" w:after="0" w:line="312" w:lineRule="exact"/>
        <w:ind w:left="0" w:right="0"/>
        <w:jc w:val="both"/>
      </w:pPr>
      <w:r>
        <w:rPr>
          <w:color w:val="000000"/>
          <w:spacing w:val="0"/>
          <w:w w:val="100"/>
          <w:position w:val="0"/>
        </w:rPr>
        <w:t>公司拥有完整的生产体系、产品供应链管理系统，推行</w:t>
      </w:r>
      <w:r>
        <w:rPr>
          <w:rFonts w:ascii="Times New Roman" w:eastAsia="Times New Roman" w:hAnsi="Times New Roman" w:cs="Times New Roman"/>
          <w:color w:val="000000"/>
          <w:spacing w:val="0"/>
          <w:w w:val="100"/>
          <w:position w:val="0"/>
          <w:sz w:val="18"/>
          <w:szCs w:val="18"/>
        </w:rPr>
        <w:t>6S</w:t>
      </w:r>
      <w:r>
        <w:rPr>
          <w:color w:val="000000"/>
          <w:spacing w:val="0"/>
          <w:w w:val="100"/>
          <w:position w:val="0"/>
        </w:rPr>
        <w:t>精益管理，培育核心竞争能力。拥有成熟、完整的质量体系， 先后通过了</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质量管理体系认证、</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环境管理体系认证、</w:t>
      </w:r>
      <w:r>
        <w:rPr>
          <w:rFonts w:ascii="Times New Roman" w:eastAsia="Times New Roman" w:hAnsi="Times New Roman" w:cs="Times New Roman"/>
          <w:color w:val="000000"/>
          <w:spacing w:val="0"/>
          <w:w w:val="100"/>
          <w:position w:val="0"/>
          <w:sz w:val="18"/>
          <w:szCs w:val="18"/>
        </w:rPr>
        <w:t>OHSAS18001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职业健康安全管理</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体系认证。公司建立了以质量考核为抓手的质量认证机制，产品通过公安部检测、国家信息安全评测、德国</w:t>
      </w:r>
      <w:r>
        <w:rPr>
          <w:rFonts w:ascii="Times New Roman" w:eastAsia="Times New Roman" w:hAnsi="Times New Roman" w:cs="Times New Roman"/>
          <w:color w:val="000000"/>
          <w:spacing w:val="0"/>
          <w:w w:val="100"/>
          <w:position w:val="0"/>
          <w:sz w:val="18"/>
          <w:szCs w:val="18"/>
        </w:rPr>
        <w:t>VdS</w:t>
      </w:r>
      <w:r>
        <w:rPr>
          <w:color w:val="000000"/>
          <w:spacing w:val="0"/>
          <w:w w:val="100"/>
          <w:position w:val="0"/>
        </w:rPr>
        <w:t>安全质量认 证、美国</w:t>
      </w:r>
      <w:r>
        <w:rPr>
          <w:rFonts w:ascii="Times New Roman" w:eastAsia="Times New Roman" w:hAnsi="Times New Roman" w:cs="Times New Roman"/>
          <w:color w:val="000000"/>
          <w:spacing w:val="0"/>
          <w:w w:val="100"/>
          <w:position w:val="0"/>
          <w:sz w:val="18"/>
          <w:szCs w:val="18"/>
        </w:rPr>
        <w:t>UL</w:t>
      </w:r>
      <w:r>
        <w:rPr>
          <w:color w:val="000000"/>
          <w:spacing w:val="0"/>
          <w:w w:val="100"/>
          <w:position w:val="0"/>
        </w:rPr>
        <w:t>安全认证、欧盟</w:t>
      </w:r>
      <w:r>
        <w:rPr>
          <w:rFonts w:ascii="Times New Roman" w:eastAsia="Times New Roman" w:hAnsi="Times New Roman" w:cs="Times New Roman"/>
          <w:color w:val="000000"/>
          <w:spacing w:val="0"/>
          <w:w w:val="100"/>
          <w:position w:val="0"/>
          <w:sz w:val="18"/>
          <w:szCs w:val="18"/>
        </w:rPr>
        <w:t>CE</w:t>
      </w:r>
      <w:r>
        <w:rPr>
          <w:color w:val="000000"/>
          <w:spacing w:val="0"/>
          <w:w w:val="100"/>
          <w:position w:val="0"/>
        </w:rPr>
        <w:t>安全及质量认证，以满足客户对产品的质量需求，提升产品竞争力。</w:t>
      </w:r>
    </w:p>
    <w:p>
      <w:pPr>
        <w:pStyle w:val="Style24"/>
        <w:keepNext w:val="0"/>
        <w:keepLines w:val="0"/>
        <w:widowControl w:val="0"/>
        <w:numPr>
          <w:ilvl w:val="0"/>
          <w:numId w:val="3"/>
        </w:numPr>
        <w:shd w:val="clear" w:color="auto" w:fill="auto"/>
        <w:tabs>
          <w:tab w:pos="406" w:val="left"/>
        </w:tabs>
        <w:bidi w:val="0"/>
        <w:spacing w:before="0" w:after="0" w:line="312" w:lineRule="exact"/>
        <w:ind w:left="0" w:right="0" w:firstLine="0"/>
        <w:jc w:val="left"/>
      </w:pPr>
      <w:bookmarkStart w:id="71" w:name="bookmark71"/>
      <w:bookmarkEnd w:id="71"/>
      <w:r>
        <w:rPr>
          <w:color w:val="000000"/>
          <w:spacing w:val="0"/>
          <w:w w:val="100"/>
          <w:position w:val="0"/>
        </w:rPr>
        <w:t>销售模式</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公司营销中心根据战略部署制定销售计划，聚焦重点目标客户，持续挖掘客户需求、为客户解决问题、创造价值，在维 护老客户的同时，不断开发新客户、项目取得订单并储备商机。</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公司总部位于珠海，在东北、华北、西北、西南、华东、华中、华南区域成立了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家分公司，营销网络和售后服务体系 遍布全国。公司产品广泛应用于工、农、中、建、交、邮储银行、招商、光大、浦发、兴业、民生、华夏、平安、中信、浙 商、渤海、恒丰、各地城商行、农信农商、东亚、汇丰、渣打等中外银行，为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多家省级分行和</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多个银行网点提供 了优质、安全的系统、产品和服务。</w:t>
      </w:r>
    </w:p>
    <w:p>
      <w:pPr>
        <w:pStyle w:val="Style24"/>
        <w:keepNext w:val="0"/>
        <w:keepLines w:val="0"/>
        <w:widowControl w:val="0"/>
        <w:numPr>
          <w:ilvl w:val="0"/>
          <w:numId w:val="3"/>
        </w:numPr>
        <w:shd w:val="clear" w:color="auto" w:fill="auto"/>
        <w:tabs>
          <w:tab w:pos="406" w:val="left"/>
        </w:tabs>
        <w:bidi w:val="0"/>
        <w:spacing w:before="0" w:after="0" w:line="312" w:lineRule="exact"/>
        <w:ind w:left="0" w:right="0" w:firstLine="0"/>
        <w:jc w:val="both"/>
      </w:pPr>
      <w:bookmarkStart w:id="72" w:name="bookmark72"/>
      <w:bookmarkEnd w:id="72"/>
      <w:r>
        <w:rPr>
          <w:color w:val="000000"/>
          <w:spacing w:val="0"/>
          <w:w w:val="100"/>
          <w:position w:val="0"/>
        </w:rPr>
        <w:t>技术支持</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汇金科技客户服务团队经过多年的培养和沉淀，技术力量雄厚，均经过高水平、严要求的系统培训及考核，具备同行业 内领先的技术水平和综合服务素质。</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FFFFFF"/>
        </w:rPr>
        <w:t>公司建立了四级服务体系架构，在全国</w:t>
      </w:r>
      <w:r>
        <w:rPr>
          <w:rFonts w:ascii="Times New Roman" w:eastAsia="Times New Roman" w:hAnsi="Times New Roman" w:cs="Times New Roman"/>
          <w:color w:val="000000"/>
          <w:spacing w:val="0"/>
          <w:w w:val="100"/>
          <w:position w:val="0"/>
          <w:sz w:val="18"/>
          <w:szCs w:val="18"/>
          <w:shd w:val="clear" w:color="auto" w:fill="FFFFFF"/>
        </w:rPr>
        <w:t>38</w:t>
      </w:r>
      <w:r>
        <w:rPr>
          <w:color w:val="000000"/>
          <w:spacing w:val="0"/>
          <w:w w:val="100"/>
          <w:position w:val="0"/>
          <w:shd w:val="clear" w:color="auto" w:fill="FFFFFF"/>
        </w:rPr>
        <w:t>个省市设立了直属分支机构和服务站，客户服务可覆盖</w:t>
      </w:r>
      <w:r>
        <w:rPr>
          <w:rFonts w:ascii="Times New Roman" w:eastAsia="Times New Roman" w:hAnsi="Times New Roman" w:cs="Times New Roman"/>
          <w:color w:val="000000"/>
          <w:spacing w:val="0"/>
          <w:w w:val="100"/>
          <w:position w:val="0"/>
          <w:sz w:val="18"/>
          <w:szCs w:val="18"/>
          <w:shd w:val="clear" w:color="auto" w:fill="FFFFFF"/>
        </w:rPr>
        <w:t>334</w:t>
      </w:r>
      <w:r>
        <w:rPr>
          <w:color w:val="000000"/>
          <w:spacing w:val="0"/>
          <w:w w:val="100"/>
          <w:position w:val="0"/>
          <w:shd w:val="clear" w:color="auto" w:fill="FFFFFF"/>
        </w:rPr>
        <w:t>个地级市，服务网 点遍布了全国各个省、直辖市、自治区。公司客户服务团队经过多年的培养和沉淀，技术力量雄厚，具备同行业内领先的技 术水平和综合服务素质，同时，公司设立了</w:t>
      </w:r>
      <w:r>
        <w:rPr>
          <w:rFonts w:ascii="Times New Roman" w:eastAsia="Times New Roman" w:hAnsi="Times New Roman" w:cs="Times New Roman"/>
          <w:color w:val="000000"/>
          <w:spacing w:val="0"/>
          <w:w w:val="100"/>
          <w:position w:val="0"/>
          <w:sz w:val="18"/>
          <w:szCs w:val="18"/>
          <w:shd w:val="clear" w:color="auto" w:fill="FFFFFF"/>
        </w:rPr>
        <w:t>400</w:t>
      </w:r>
      <w:r>
        <w:rPr>
          <w:color w:val="000000"/>
          <w:spacing w:val="0"/>
          <w:w w:val="100"/>
          <w:position w:val="0"/>
          <w:shd w:val="clear" w:color="auto" w:fill="FFFFFF"/>
        </w:rPr>
        <w:t>呼叫中心</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400-8163-233</w:t>
      </w:r>
      <w:r>
        <w:rPr>
          <w:color w:val="000000"/>
          <w:spacing w:val="0"/>
          <w:w w:val="100"/>
          <w:position w:val="0"/>
          <w:shd w:val="clear" w:color="auto" w:fill="FFFFFF"/>
        </w:rPr>
        <w:t>)</w:t>
      </w:r>
      <w:r>
        <w:rPr>
          <w:color w:val="000000"/>
          <w:spacing w:val="0"/>
          <w:w w:val="100"/>
          <w:position w:val="0"/>
          <w:shd w:val="clear" w:color="auto" w:fill="FFFFFF"/>
        </w:rPr>
        <w:t>，通过</w:t>
      </w:r>
      <w:r>
        <w:rPr>
          <w:rFonts w:ascii="Times New Roman" w:eastAsia="Times New Roman" w:hAnsi="Times New Roman" w:cs="Times New Roman"/>
          <w:color w:val="000000"/>
          <w:spacing w:val="0"/>
          <w:w w:val="100"/>
          <w:position w:val="0"/>
          <w:sz w:val="18"/>
          <w:szCs w:val="18"/>
          <w:shd w:val="clear" w:color="auto" w:fill="FFFFFF"/>
        </w:rPr>
        <w:t>CRM-CSS</w:t>
      </w:r>
      <w:r>
        <w:rPr>
          <w:color w:val="000000"/>
          <w:spacing w:val="0"/>
          <w:w w:val="100"/>
          <w:position w:val="0"/>
          <w:shd w:val="clear" w:color="auto" w:fill="FFFFFF"/>
        </w:rPr>
        <w:t>信息化管理平台实现集中受理、 集中调度、集中管理手段来实现一体化管理目标，以提高服务实施效率，提高信息交互准确度，提升服务主动性及质量标准。</w:t>
      </w:r>
    </w:p>
    <w:p>
      <w:pPr>
        <w:pStyle w:val="Style24"/>
        <w:keepNext w:val="0"/>
        <w:keepLines w:val="0"/>
        <w:widowControl w:val="0"/>
        <w:shd w:val="clear" w:color="auto" w:fill="auto"/>
        <w:bidi w:val="0"/>
        <w:spacing w:before="0" w:after="0" w:line="312" w:lineRule="exact"/>
        <w:ind w:left="0" w:right="0" w:firstLine="0"/>
        <w:jc w:val="left"/>
      </w:pPr>
      <w:bookmarkStart w:id="73" w:name="bookmark73"/>
      <w:r>
        <w:rPr>
          <w:rFonts w:ascii="Times New Roman" w:eastAsia="Times New Roman" w:hAnsi="Times New Roman" w:cs="Times New Roman"/>
          <w:color w:val="000000"/>
          <w:spacing w:val="0"/>
          <w:w w:val="100"/>
          <w:position w:val="0"/>
          <w:sz w:val="18"/>
          <w:szCs w:val="18"/>
        </w:rPr>
        <w:t>4</w:t>
      </w:r>
      <w:bookmarkEnd w:id="73"/>
      <w:r>
        <w:rPr>
          <w:color w:val="000000"/>
          <w:spacing w:val="0"/>
          <w:w w:val="100"/>
          <w:position w:val="0"/>
        </w:rPr>
        <w:t>、主要的业绩驱动因素</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以客户为中心、市场为导向，为客户创造价值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w:t>
      </w:r>
      <w:r>
        <w:rPr>
          <w:color w:val="000000"/>
          <w:spacing w:val="0"/>
          <w:w w:val="100"/>
          <w:position w:val="0"/>
        </w:rPr>
        <w:t>核心价值理念，立足于金融行业内控风险防范领域，坚持自 主研发、持续创新，不断完善金融内控风险管理整体解决方案体系，产品销售一代、研发一代、预研一代，形成了从系统解 决方案、软件和硬件产品、关键部件和模块等多层面的核心技术体系。</w:t>
      </w:r>
    </w:p>
    <w:p>
      <w:pPr>
        <w:pStyle w:val="Style24"/>
        <w:keepNext w:val="0"/>
        <w:keepLines w:val="0"/>
        <w:widowControl w:val="0"/>
        <w:shd w:val="clear" w:color="auto" w:fill="auto"/>
        <w:bidi w:val="0"/>
        <w:spacing w:before="0" w:after="360" w:line="312" w:lineRule="exact"/>
        <w:ind w:left="0" w:right="0"/>
        <w:jc w:val="left"/>
      </w:pPr>
      <w:r>
        <w:rPr>
          <w:color w:val="000000"/>
          <w:spacing w:val="0"/>
          <w:w w:val="100"/>
          <w:position w:val="0"/>
        </w:rPr>
        <w:t>为保证公司持续、健康发展，公司进行了中长期战略规划，加大科研投入力度，提升产品储备质量，持续投入企业管理 信息化体系建设。公司坚持持续专注金融风险防控领域，运用科技手段，助力金融行业客户转型和变革，保持持续创新能力， 使公司为客户能够稳定、持续的提供优质、超值的产品和服务，不断增强企业的核心竞争力，坚持稳健经营，强化战略执行, 实现公司持续稳定健康发展。</w:t>
      </w:r>
    </w:p>
    <w:p>
      <w:pPr>
        <w:pStyle w:val="Style22"/>
        <w:keepNext/>
        <w:keepLines/>
        <w:widowControl w:val="0"/>
        <w:shd w:val="clear" w:color="auto" w:fill="auto"/>
        <w:bidi w:val="0"/>
        <w:spacing w:before="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二</w:t>
      </w:r>
      <w:bookmarkEnd w:id="76"/>
      <w:r>
        <w:rPr>
          <w:color w:val="000000"/>
          <w:spacing w:val="0"/>
          <w:w w:val="100"/>
          <w:position w:val="0"/>
          <w:sz w:val="24"/>
          <w:szCs w:val="24"/>
        </w:rPr>
        <w:t>、主要资产重大变化情况</w:t>
      </w:r>
      <w:bookmarkEnd w:id="74"/>
      <w:bookmarkEnd w:id="75"/>
      <w:bookmarkEnd w:id="77"/>
    </w:p>
    <w:p>
      <w:pPr>
        <w:pStyle w:val="Style28"/>
        <w:keepNext/>
        <w:keepLines/>
        <w:widowControl w:val="0"/>
        <w:shd w:val="clear" w:color="auto" w:fill="auto"/>
        <w:bidi w:val="0"/>
        <w:spacing w:before="0" w:after="320" w:line="240" w:lineRule="auto"/>
        <w:ind w:left="0" w:right="0" w:firstLine="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1</w:t>
      </w:r>
      <w:bookmarkEnd w:id="80"/>
      <w:r>
        <w:rPr>
          <w:color w:val="000000"/>
          <w:spacing w:val="0"/>
          <w:w w:val="100"/>
          <w:position w:val="0"/>
        </w:rPr>
        <w:t>、主要资产重大变化情况</w:t>
      </w:r>
      <w:bookmarkEnd w:id="78"/>
      <w:bookmarkEnd w:id="79"/>
      <w:bookmarkEnd w:id="81"/>
    </w:p>
    <w:tbl>
      <w:tblPr>
        <w:tblOverlap w:val="never"/>
        <w:jc w:val="center"/>
        <w:tblLayout w:type="fixed"/>
      </w:tblPr>
      <w:tblGrid>
        <w:gridCol w:w="3058"/>
        <w:gridCol w:w="6528"/>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bl>
    <w:p>
      <w:pPr>
        <w:spacing w:lineRule="exact" w:line="1"/>
        <w:rPr>
          <w:sz w:val="2"/>
          <w:szCs w:val="2"/>
        </w:rPr>
      </w:pPr>
      <w:r>
        <w:br w:type="page"/>
      </w:r>
    </w:p>
    <w:tbl>
      <w:tblPr>
        <w:tblOverlap w:val="never"/>
        <w:jc w:val="center"/>
        <w:tblLayout w:type="fixed"/>
      </w:tblPr>
      <w:tblGrid>
        <w:gridCol w:w="3058"/>
        <w:gridCol w:w="65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本期末较期初减少</w:t>
            </w:r>
            <w:r>
              <w:rPr>
                <w:color w:val="000000"/>
                <w:spacing w:val="0"/>
                <w:w w:val="100"/>
                <w:position w:val="0"/>
                <w:sz w:val="18"/>
                <w:szCs w:val="18"/>
              </w:rPr>
              <w:t>31.01%</w:t>
            </w:r>
            <w:r>
              <w:rPr>
                <w:rFonts w:ascii="SimSun" w:eastAsia="SimSun" w:hAnsi="SimSun" w:cs="SimSun"/>
                <w:color w:val="000000"/>
                <w:spacing w:val="0"/>
                <w:w w:val="100"/>
                <w:position w:val="0"/>
                <w:sz w:val="17"/>
                <w:szCs w:val="17"/>
              </w:rPr>
              <w:t>，主要是募集资金投入在建工程项目所致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本期末较期初增加</w:t>
            </w:r>
            <w:r>
              <w:rPr>
                <w:color w:val="000000"/>
                <w:spacing w:val="0"/>
                <w:w w:val="100"/>
                <w:position w:val="0"/>
                <w:sz w:val="18"/>
                <w:szCs w:val="18"/>
              </w:rPr>
              <w:t>61.66%</w:t>
            </w:r>
            <w:r>
              <w:rPr>
                <w:rFonts w:ascii="SimSun" w:eastAsia="SimSun" w:hAnsi="SimSun" w:cs="SimSun"/>
                <w:color w:val="000000"/>
                <w:spacing w:val="0"/>
                <w:w w:val="100"/>
                <w:position w:val="0"/>
                <w:sz w:val="17"/>
                <w:szCs w:val="17"/>
              </w:rPr>
              <w:t>，主要是期末保本浮动收益理财产品余额增加所致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本期末较期初增加</w:t>
            </w:r>
            <w:r>
              <w:rPr>
                <w:color w:val="000000"/>
                <w:spacing w:val="0"/>
                <w:w w:val="100"/>
                <w:position w:val="0"/>
                <w:sz w:val="18"/>
                <w:szCs w:val="18"/>
              </w:rPr>
              <w:t>77.42%</w:t>
            </w:r>
            <w:r>
              <w:rPr>
                <w:rFonts w:ascii="SimSun" w:eastAsia="SimSun" w:hAnsi="SimSun" w:cs="SimSun"/>
                <w:color w:val="000000"/>
                <w:spacing w:val="0"/>
                <w:w w:val="100"/>
                <w:position w:val="0"/>
                <w:sz w:val="17"/>
                <w:szCs w:val="17"/>
              </w:rPr>
              <w:t>，主要是银行票据承兑期限延长导致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本期末较期初减少</w:t>
            </w:r>
            <w:r>
              <w:rPr>
                <w:color w:val="000000"/>
                <w:spacing w:val="0"/>
                <w:w w:val="100"/>
                <w:position w:val="0"/>
                <w:sz w:val="18"/>
                <w:szCs w:val="18"/>
              </w:rPr>
              <w:t>34.36%</w:t>
            </w:r>
            <w:r>
              <w:rPr>
                <w:rFonts w:ascii="SimSun" w:eastAsia="SimSun" w:hAnsi="SimSun" w:cs="SimSun"/>
                <w:color w:val="000000"/>
                <w:spacing w:val="0"/>
                <w:w w:val="100"/>
                <w:position w:val="0"/>
                <w:sz w:val="17"/>
                <w:szCs w:val="17"/>
              </w:rPr>
              <w:t>，主要是公司加强保证金及押金回收管理所致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本期末较期初减少</w:t>
            </w:r>
            <w:r>
              <w:rPr>
                <w:color w:val="000000"/>
                <w:spacing w:val="0"/>
                <w:w w:val="100"/>
                <w:position w:val="0"/>
                <w:sz w:val="18"/>
                <w:szCs w:val="18"/>
              </w:rPr>
              <w:t>79.11%</w:t>
            </w:r>
            <w:r>
              <w:rPr>
                <w:rFonts w:ascii="SimSun" w:eastAsia="SimSun" w:hAnsi="SimSun" w:cs="SimSun"/>
                <w:color w:val="000000"/>
                <w:spacing w:val="0"/>
                <w:w w:val="100"/>
                <w:position w:val="0"/>
                <w:sz w:val="17"/>
                <w:szCs w:val="17"/>
              </w:rPr>
              <w:t>，主要是期末购买保本保收益理财产品减少所致</w:t>
            </w:r>
          </w:p>
        </w:tc>
      </w:tr>
    </w:tbl>
    <w:p>
      <w:pPr>
        <w:widowControl w:val="0"/>
        <w:spacing w:after="339" w:line="1" w:lineRule="exact"/>
      </w:pPr>
    </w:p>
    <w:p>
      <w:pPr>
        <w:pStyle w:val="Style28"/>
        <w:keepNext/>
        <w:keepLines/>
        <w:widowControl w:val="0"/>
        <w:shd w:val="clear" w:color="auto" w:fill="auto"/>
        <w:bidi w:val="0"/>
        <w:spacing w:before="0" w:after="28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2</w:t>
      </w:r>
      <w:bookmarkEnd w:id="84"/>
      <w:r>
        <w:rPr>
          <w:color w:val="000000"/>
          <w:spacing w:val="0"/>
          <w:w w:val="100"/>
          <w:position w:val="0"/>
        </w:rPr>
        <w:t>、主要境外资产情况</w:t>
      </w:r>
      <w:bookmarkEnd w:id="82"/>
      <w:bookmarkEnd w:id="83"/>
      <w:bookmarkEnd w:id="85"/>
    </w:p>
    <w:p>
      <w:pPr>
        <w:pStyle w:val="Style24"/>
        <w:keepNext w:val="0"/>
        <w:keepLines w:val="0"/>
        <w:widowControl w:val="0"/>
        <w:shd w:val="clear" w:color="auto" w:fill="auto"/>
        <w:bidi w:val="0"/>
        <w:spacing w:before="0" w:after="340" w:line="30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三</w:t>
      </w:r>
      <w:bookmarkEnd w:id="88"/>
      <w:r>
        <w:rPr>
          <w:color w:val="000000"/>
          <w:spacing w:val="0"/>
          <w:w w:val="100"/>
          <w:position w:val="0"/>
          <w:sz w:val="24"/>
          <w:szCs w:val="24"/>
        </w:rPr>
        <w:t>、核心竞争力分析</w:t>
      </w:r>
      <w:bookmarkEnd w:id="86"/>
      <w:bookmarkEnd w:id="87"/>
      <w:bookmarkEnd w:id="89"/>
    </w:p>
    <w:p>
      <w:pPr>
        <w:pStyle w:val="Style24"/>
        <w:keepNext w:val="0"/>
        <w:keepLines w:val="0"/>
        <w:widowControl w:val="0"/>
        <w:shd w:val="clear" w:color="auto" w:fill="auto"/>
        <w:bidi w:val="0"/>
        <w:spacing w:before="0" w:after="0" w:line="308" w:lineRule="exact"/>
        <w:ind w:left="0" w:right="0"/>
        <w:jc w:val="left"/>
      </w:pPr>
      <w:r>
        <w:rPr>
          <w:color w:val="000000"/>
          <w:spacing w:val="0"/>
          <w:w w:val="100"/>
          <w:position w:val="0"/>
        </w:rPr>
        <w:t>公司自成立以来，一直深耕金融领域，通过科技手段，降低客户运营成本、系统性地控制风险、创新业务模式，助力金 融行业客户转型和变革，矢志成为中国领先的金融领域的专业科技企业。</w:t>
      </w:r>
    </w:p>
    <w:p>
      <w:pPr>
        <w:pStyle w:val="Style24"/>
        <w:keepNext w:val="0"/>
        <w:keepLines w:val="0"/>
        <w:widowControl w:val="0"/>
        <w:shd w:val="clear" w:color="auto" w:fill="auto"/>
        <w:tabs>
          <w:tab w:pos="334" w:val="left"/>
        </w:tabs>
        <w:bidi w:val="0"/>
        <w:spacing w:before="0" w:after="0" w:line="308" w:lineRule="exact"/>
        <w:ind w:left="0" w:right="0" w:firstLine="0"/>
        <w:jc w:val="left"/>
      </w:pPr>
      <w:bookmarkStart w:id="90" w:name="bookmark90"/>
      <w:r>
        <w:rPr>
          <w:rFonts w:ascii="Times New Roman" w:eastAsia="Times New Roman" w:hAnsi="Times New Roman" w:cs="Times New Roman"/>
          <w:color w:val="000000"/>
          <w:spacing w:val="0"/>
          <w:w w:val="100"/>
          <w:position w:val="0"/>
          <w:sz w:val="18"/>
          <w:szCs w:val="18"/>
        </w:rPr>
        <w:t>1</w:t>
      </w:r>
      <w:bookmarkEnd w:id="90"/>
      <w:r>
        <w:rPr>
          <w:color w:val="000000"/>
          <w:spacing w:val="0"/>
          <w:w w:val="100"/>
          <w:position w:val="0"/>
        </w:rPr>
        <w:t>、</w:t>
        <w:tab/>
        <w:t>前瞻开发贴合客户业务流程的内控风险管理解决方案</w:t>
      </w:r>
    </w:p>
    <w:p>
      <w:pPr>
        <w:pStyle w:val="Style24"/>
        <w:keepNext w:val="0"/>
        <w:keepLines w:val="0"/>
        <w:widowControl w:val="0"/>
        <w:shd w:val="clear" w:color="auto" w:fill="auto"/>
        <w:bidi w:val="0"/>
        <w:spacing w:before="0" w:after="0" w:line="308" w:lineRule="exact"/>
        <w:ind w:left="0" w:right="0"/>
        <w:jc w:val="left"/>
      </w:pPr>
      <w:r>
        <w:rPr>
          <w:color w:val="000000"/>
          <w:spacing w:val="0"/>
          <w:w w:val="100"/>
          <w:position w:val="0"/>
        </w:rPr>
        <w:t>公司凭借自身对银行运营板块管理制度、业务流程及对主要风险点的认知、理解，推出了一系列内控风险解决方案，在 帮助银行对业务流程进行优化完善的基础上，以具体的技术手段实现了对相关内控操作风险的有效控制。</w:t>
      </w:r>
    </w:p>
    <w:p>
      <w:pPr>
        <w:pStyle w:val="Style24"/>
        <w:keepNext w:val="0"/>
        <w:keepLines w:val="0"/>
        <w:widowControl w:val="0"/>
        <w:shd w:val="clear" w:color="auto" w:fill="auto"/>
        <w:bidi w:val="0"/>
        <w:spacing w:before="0" w:after="0" w:line="308" w:lineRule="exact"/>
        <w:ind w:left="0" w:right="0"/>
        <w:jc w:val="left"/>
      </w:pPr>
      <w:r>
        <w:rPr>
          <w:color w:val="000000"/>
          <w:spacing w:val="0"/>
          <w:w w:val="100"/>
          <w:position w:val="0"/>
        </w:rPr>
        <w:t>公司关注金融业改革和金融科技的发展动向，聚焦市场需求，积极研究和开发适应金融发展需求的新产品。凭借着产品、 服务的前瞻性、适用性，引导着银行内控风险管理主要产品的发展方向。</w:t>
      </w:r>
    </w:p>
    <w:p>
      <w:pPr>
        <w:pStyle w:val="Style24"/>
        <w:keepNext w:val="0"/>
        <w:keepLines w:val="0"/>
        <w:widowControl w:val="0"/>
        <w:shd w:val="clear" w:color="auto" w:fill="auto"/>
        <w:tabs>
          <w:tab w:pos="354" w:val="left"/>
        </w:tabs>
        <w:bidi w:val="0"/>
        <w:spacing w:before="0" w:after="0" w:line="308" w:lineRule="exact"/>
        <w:ind w:left="0" w:right="0" w:firstLine="0"/>
        <w:jc w:val="left"/>
      </w:pPr>
      <w:bookmarkStart w:id="91" w:name="bookmark91"/>
      <w:r>
        <w:rPr>
          <w:rFonts w:ascii="Times New Roman" w:eastAsia="Times New Roman" w:hAnsi="Times New Roman" w:cs="Times New Roman"/>
          <w:color w:val="000000"/>
          <w:spacing w:val="0"/>
          <w:w w:val="100"/>
          <w:position w:val="0"/>
          <w:sz w:val="18"/>
          <w:szCs w:val="18"/>
        </w:rPr>
        <w:t>2</w:t>
      </w:r>
      <w:bookmarkEnd w:id="91"/>
      <w:r>
        <w:rPr>
          <w:color w:val="000000"/>
          <w:spacing w:val="0"/>
          <w:w w:val="100"/>
          <w:position w:val="0"/>
        </w:rPr>
        <w:t>、</w:t>
        <w:tab/>
        <w:t>产品研发自主创新，持续推进技术创新</w:t>
      </w:r>
    </w:p>
    <w:p>
      <w:pPr>
        <w:pStyle w:val="Style24"/>
        <w:keepNext w:val="0"/>
        <w:keepLines w:val="0"/>
        <w:widowControl w:val="0"/>
        <w:shd w:val="clear" w:color="auto" w:fill="auto"/>
        <w:bidi w:val="0"/>
        <w:spacing w:before="0" w:after="100" w:line="308" w:lineRule="exact"/>
        <w:ind w:left="0" w:right="0"/>
        <w:jc w:val="both"/>
      </w:pPr>
      <w:r>
        <w:rPr>
          <w:color w:val="000000"/>
          <w:spacing w:val="0"/>
          <w:w w:val="100"/>
          <w:position w:val="0"/>
        </w:rPr>
        <w:t>公司以自主研发为主，重视科研创新，同时，公司深刻认识到专利保护可用来防止竞争对手复制或使用公司的发明创造, 通过有效的专利保护，可以为企业获取并维持竞争优势。截止报告期末，公司已经取得发明专利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项、 外观设计专利</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项；对已经取得专利权的专利，公司每年均进行专利年费的缴纳以维持专利权的有效性。</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日，公司已经取得证书的专利情况如下表所示:</w:t>
      </w:r>
    </w:p>
    <w:tbl>
      <w:tblPr>
        <w:tblOverlap w:val="never"/>
        <w:jc w:val="center"/>
        <w:tblLayout w:type="fixed"/>
      </w:tblPr>
      <w:tblGrid>
        <w:gridCol w:w="451"/>
        <w:gridCol w:w="1776"/>
        <w:gridCol w:w="912"/>
        <w:gridCol w:w="2784"/>
        <w:gridCol w:w="2280"/>
        <w:gridCol w:w="514"/>
      </w:tblGrid>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授权专利号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授予名称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取得</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方式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ZL201010560931.9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一种电子射频锁及其钥匙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2010/11/21-2030/11/20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ZL201110280540.6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一种无线动态密码锁及其控制方法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2011/09/08-2031/09/07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ZL201210176146.2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一种带远程监控的密码锁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2012/05/31-2032/05/30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ZL201210440401.X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一种开锁装置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2012/11/07-2032/11/06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ZL201210440621.2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一种防盗提款箱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2012/11/07-2032/11/06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ZL201310310872.3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印章管理机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2013/07/23-2033/07/22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ZL201310342110.1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动静态密码锁的控制方法及控制装 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2013/08/07-2033/08/06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ZL201310353888.2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密码锁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2013/08/14-2033/08/13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ZL201410186493.2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印章设备和具有该印章设备的印章 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2014/05/05-2034/05/04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ZL201410538294.3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印章设备及其盖章机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2014/10/13-2034/10/12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ZL201410539514.4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印章设备及其盖章机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2014/10/13-2034/10/12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ZL201410555385.8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一种印章机系统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2014/10/17-2034/10/16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申请</w:t>
            </w:r>
          </w:p>
        </w:tc>
      </w:tr>
    </w:tbl>
    <w:p>
      <w:pPr>
        <w:spacing w:lineRule="exact" w:line="1"/>
        <w:rPr>
          <w:sz w:val="2"/>
          <w:szCs w:val="2"/>
        </w:rPr>
      </w:pPr>
      <w:r>
        <w:br w:type="page"/>
      </w:r>
    </w:p>
    <w:tbl>
      <w:tblPr>
        <w:tblOverlap w:val="never"/>
        <w:jc w:val="center"/>
        <w:tblLayout w:type="fixed"/>
      </w:tblPr>
      <w:tblGrid>
        <w:gridCol w:w="451"/>
        <w:gridCol w:w="1776"/>
        <w:gridCol w:w="912"/>
        <w:gridCol w:w="2784"/>
        <w:gridCol w:w="2280"/>
        <w:gridCol w:w="51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ZL201410552672.3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一种印章机系统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2014/10/17-2034/10/16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ZL201410631947.2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一种电子锁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2014/11/10-2034/11/09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ZL201410627948.X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电子锁及应用其的印章模块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2014/11/10-2034/11/09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ZL201410709730.9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一种基于指纹密码锁的自助设备安 全管理方法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2014/11/27-2034/11/26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ZL201510234097.7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用于银行款箱管理的实物流转系统 及实物流转方法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2015/05/08-2035/05/07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ZL201510007967.7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基于动态密码锁的开锁方法和系统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2015/01/05-2035/01/04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ZL201610065874.4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一种文件盖章方法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2016/01/19-2036/01/18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ZL201610624197.5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一种自动电子锁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2016/07/29-2036/07/28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ZL201710482274.2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印控仪的入侵检测方法、系统及印 控仪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2017/06/22-2037/06/21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ZL201410714971.2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动态密码锁的鉴权方法、开锁方法 和开锁系统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2014/11/28-2034/11/27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ZL201710288745.6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一种检测盖章图像印油情况的检测 方法及盖章设备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2017/04/27-2037/04/26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ZL201710289371.X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一种基于图像识别的批量用印控制 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2017/04/27-2037/04/26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US </w:t>
            </w:r>
            <w:r>
              <w:rPr>
                <w:color w:val="000000"/>
                <w:spacing w:val="0"/>
                <w:w w:val="100"/>
                <w:position w:val="0"/>
              </w:rPr>
              <w:t xml:space="preserve">10,198,570 </w:t>
            </w:r>
            <w:r>
              <w:rPr>
                <w:color w:val="000000"/>
                <w:spacing w:val="0"/>
                <w:w w:val="100"/>
                <w:position w:val="0"/>
              </w:rPr>
              <w:t>B2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动态密码锁及远程密码锁设备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2016/05/13-2036/05/12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ZL201120127848.2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一种具有防撬功能的提款箱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2011/04/21-2021/04/20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ZL201120272761.4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一种防止非授权人开启自助设备加 钞箱的锁具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2011/07/22-2021/07/21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ZL201220154495.X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一种封闭自动存取款机加钞箱钥匙 孔并可记录信息的卡片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2012/04/06-2022/04/05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ZL201220157614.7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一种锁定箱包拉链牌的卡片插座和 卡片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2012/04/09-2022/04/08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ZL201220363664.0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一种周转箱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2012/07/26-2022/07/25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ZL201420227168.1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打印盖章机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2014/05/05-2024/05/04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ZL201420363468.2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贵金属配送箱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2014/07/01-2024/06/30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ZL201420441753.1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动态密码锁及远程密码锁设备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2014/08/06-2024/08/05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ZL201420473005.1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用于检测</w:t>
            </w:r>
            <w:r>
              <w:rPr>
                <w:color w:val="000000"/>
                <w:spacing w:val="0"/>
                <w:w w:val="100"/>
                <w:position w:val="0"/>
                <w:sz w:val="18"/>
                <w:szCs w:val="18"/>
              </w:rPr>
              <w:t>ATM</w:t>
            </w:r>
            <w:r>
              <w:rPr>
                <w:rFonts w:ascii="SimSun" w:eastAsia="SimSun" w:hAnsi="SimSun" w:cs="SimSun"/>
                <w:color w:val="000000"/>
                <w:spacing w:val="0"/>
                <w:w w:val="100"/>
                <w:position w:val="0"/>
                <w:sz w:val="17"/>
                <w:szCs w:val="17"/>
              </w:rPr>
              <w:t>机柜门开关的装置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2014/08/20-2024/08/19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ZL201420604086.4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一种自动印章机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2014/10/17-2024/10/16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ZL201420604106.8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一种压纸机构及应用其的印章机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2014/10/17-2024/10/16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ZL201520509957.9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一种自适应式印章设备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2015/07/14-2025/07/13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ZL201520638564.8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动态密码锁及其远程控制系统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2015/08/21-2025/08/20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ZL201520643416.5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一种一体化自助终端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2015/08/24-2025/08/23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ZL201520643168.4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一种纸张自动翻转输出装置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2015/08/24-2025/08/23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ZL201520732213.3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一种用于插锁的卡片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2015/09/18-2025/09/17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ZL201520770719.3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一种电机驱动式自动盖章机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2015/09/28-2025/09/27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ZL201620828161.4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一种自动电子锁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2016/07/29-2026/07/28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ZL201620909118.0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一种用于自动印章机的夹章装置及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2016/08/19-2026/08/18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bl>
    <w:p>
      <w:pPr>
        <w:spacing w:lineRule="exact" w:line="1"/>
        <w:rPr>
          <w:sz w:val="2"/>
          <w:szCs w:val="2"/>
        </w:rPr>
      </w:pPr>
      <w:r>
        <w:br w:type="page"/>
      </w:r>
    </w:p>
    <w:tbl>
      <w:tblPr>
        <w:tblOverlap w:val="never"/>
        <w:jc w:val="center"/>
        <w:tblLayout w:type="fixed"/>
      </w:tblPr>
      <w:tblGrid>
        <w:gridCol w:w="451"/>
        <w:gridCol w:w="1776"/>
        <w:gridCol w:w="912"/>
        <w:gridCol w:w="2784"/>
        <w:gridCol w:w="2280"/>
        <w:gridCol w:w="514"/>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自动印章机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ZL201720411841.0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电子锁和自助终端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2017/04/18-2027/04/17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ZL201720457281.2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一种纸张分拣机构及批量盖章机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2017/04/27-2027/04/26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ZL201720593694.3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一种传动式盖章平台及其盖章机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2017/05/25-2027/05/24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ZL201720593701.X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一种防粘纸机构及应用其的印章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2017/05/25-2027/05/24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ZL201721212076.6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用于提款箱的锁定装置及提款箱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（传动）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2017/09/19-2027/09/18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ZL201721210271.5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用于提款箱的锁定装置及提款箱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（锁芯）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2017/09/19-2027/09/18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ZL201721205575.2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用于提款箱的锁定装置及提款箱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（锁定）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2017/09/19-2027/09/18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ZL201721491717.6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智能款箱及开锁控制系统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2017/11/09-2027/11/08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ZL201821163970.3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移动展业平板设备及其系统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2018/07/20-2028/07/19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ZL201821162266.6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银行业务用一体式金融移动终端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2018/07/20-2028/07/19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ZL201821162117.X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用于银行加钞箱的封闭装置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2018/07/20-2028/07/19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ZL201821161343.6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用于银行加钞箱的封闭装置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2018/07/20-2028/07/19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ZL201821471629.4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一种设有锁定保护机构的钞箱集装 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2018/09/07-2028/09/06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ZL201821471698.5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一种设有锁定保护机构的资料袋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2018/09/07-2028/09/06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ZL201821472696.8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一种一次性锁止的卡封片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2018/09/07-2028/09/06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ZL201822047865.X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智能锁的供电系统和智能锁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2018/12/06-2028/12/05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ZL201821995731.4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智能柜面采集仪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2018/11/28-2028/11/27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ZL201821984196.2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用于柜台信息采集的采集仪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2018/11/28-2028/11/27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ZL201920329961.5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手持智能设备保护套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2019/03/14-2029/03/13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ZL201920329963.4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抗摔手持智能设备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2019/03/14-2029/03/13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ZL201920690278.4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用于加钞箱的封闭装置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2019/05/14-2029/05/13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ZL201820836901.8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一种卡封片及卡封锁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2018/05/31-2028/05/30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ZL201820740894.1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票据管理设备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2018/05/16-2028/05/15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ZL201820789305.9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智能金库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2018/05/24-2028/05/23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ZL201820836107.3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一种卡封锁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2018/05/31-2028/05/30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ZL201920261137.0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门锁防误反锁结构及门锁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2019/02/28-2029/02/27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ZL201920266575.6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2019/03/01-2029/02/28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ZL201920266574.1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智能锁的后控制组件和智能锁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2019/03/01-2029/02/28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ZL201920266708.X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智能锁的盖板、后盖板和智能锁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2019/03/01-2029/02/28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ZL201920314475.6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一种卡封片及使用该卡封片的锁具 或锁具插座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2019/03/12-2029/03/11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ZL201920322714.2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一种使用卡封片锁定的无钥匙锁具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2019/03/12-2029/03/11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ZL201920688474.8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加钞箱封闭装置的卡封片和加钞箱 封闭装置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2019/05/14-2029/05/13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ZL201921039359.4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印章模组锁定机构及印控仪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2019/07/04-2029/07/03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bl>
    <w:p>
      <w:pPr>
        <w:spacing w:lineRule="exact" w:line="1"/>
        <w:rPr>
          <w:sz w:val="2"/>
          <w:szCs w:val="2"/>
        </w:rPr>
      </w:pPr>
      <w:r>
        <w:br w:type="page"/>
      </w:r>
    </w:p>
    <w:tbl>
      <w:tblPr>
        <w:tblOverlap w:val="never"/>
        <w:jc w:val="center"/>
        <w:tblLayout w:type="fixed"/>
      </w:tblPr>
      <w:tblGrid>
        <w:gridCol w:w="451"/>
        <w:gridCol w:w="1776"/>
        <w:gridCol w:w="912"/>
        <w:gridCol w:w="2784"/>
        <w:gridCol w:w="2280"/>
        <w:gridCol w:w="51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ZL201922037284.2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一种封口袋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2019/11/22-2029/11/21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ZL201922174302.1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一种锁具及款包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2019/12/07-2029/12/06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ZL201922174317.8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一种智能锁具及款包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2019/12/07-2029/12/06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ZL201922174853.8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一种图像采集仪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2019/12/07-2029/12/06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ZL201922501328.2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三锁二开锁具和带锁设备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2019/12/31-2029/12/30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ZL201922501093.7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锁具和带锁设备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2019/12/31-2029/12/30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ZL201922501473.0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保护结构和保护系统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2019/12/31-2029/12/30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ZL201922501453.3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联动机构和锁具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2019/12/31-2029/12/30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ZL201922501318.9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推杆式三锁二开锁具及带锁设备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2019/12/31-2029/12/30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ZL202020136665.6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一种保管柜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2020/01/21-2030/01/20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ZL202020136702.3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一种智能保管柜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2020/01/21-2030/01/20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ZL202020243901.4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一种锁具控制装置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2020/03/03-2030/03/02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ZL202020244299.6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一种指纹开锁装置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2020/03/03-2030/03/02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ZL202020271031.1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一种摄像装置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2020/03/08-2030/03/07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ZL201130278577.6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射频标签读取解锁器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2011/08/10-2021/08/09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ZL201430180848.8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动态密码锁控制器模块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2014/06/13-2024/06/12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ZL201430181135.3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动态密码锁控制器（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2014/06/13-2024/06/12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ZL201430180851.X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动态密码锁控制器（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2014/06/13-2024/06/12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ZL201430202419.6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智能印控仪</w:t>
            </w:r>
            <w:r>
              <w:rPr>
                <w:rFonts w:ascii="SimSun" w:eastAsia="SimSun" w:hAnsi="SimSun" w:cs="SimSun"/>
                <w:color w:val="000000"/>
                <w:spacing w:val="0"/>
                <w:w w:val="100"/>
                <w:position w:val="0"/>
                <w:sz w:val="17"/>
                <w:szCs w:val="17"/>
              </w:rPr>
              <w:t>（</w:t>
            </w:r>
            <w:r>
              <w:rPr>
                <w:color w:val="000000"/>
                <w:spacing w:val="0"/>
                <w:w w:val="100"/>
                <w:position w:val="0"/>
                <w:sz w:val="18"/>
                <w:szCs w:val="18"/>
              </w:rPr>
              <w:t>B</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2014/06/25-2024/06/24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ZL201430202474.5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智能印控仪</w:t>
            </w:r>
            <w:r>
              <w:rPr>
                <w:rFonts w:ascii="SimSun" w:eastAsia="SimSun" w:hAnsi="SimSun" w:cs="SimSun"/>
                <w:color w:val="000000"/>
                <w:spacing w:val="0"/>
                <w:w w:val="100"/>
                <w:position w:val="0"/>
                <w:sz w:val="17"/>
                <w:szCs w:val="17"/>
              </w:rPr>
              <w:t>（</w:t>
            </w: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2014/06/25-2024/06/24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ZL201430202049.6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智能打印盖章机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2014/06/25-2024/06/24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ZL201430227897.2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2014/07/08-2024/07/07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ZL201430515070.1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移动终端（</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2014/12/10-2024/12/09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ZL201430514866.5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移动终端（</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2014/12/10-2024/12/09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ZL201730184526.4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w:t>
            </w:r>
            <w:r>
              <w:rPr>
                <w:color w:val="000000"/>
                <w:spacing w:val="0"/>
                <w:w w:val="100"/>
                <w:position w:val="0"/>
                <w:sz w:val="18"/>
                <w:szCs w:val="18"/>
              </w:rPr>
              <w:t>PAD</w:t>
            </w:r>
            <w:r>
              <w:rPr>
                <w:rFonts w:ascii="SimSun" w:eastAsia="SimSun" w:hAnsi="SimSun" w:cs="SimSun"/>
                <w:color w:val="000000"/>
                <w:spacing w:val="0"/>
                <w:w w:val="100"/>
                <w:position w:val="0"/>
                <w:sz w:val="17"/>
                <w:szCs w:val="17"/>
              </w:rPr>
              <w:t>底座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20170/5/18-2027/05/17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受让</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ZL201730497236.5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金融移动终端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2017/10/18-2027/10/17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受让</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ZL201830034541.5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智能挂锁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2018/01/24-2028/01/23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ZL201830242192.6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2018/05/23-2028/05/22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ZL201930225397.8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通用集成金融移动终端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2019/05/09-2029/05/08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ZL201930252083.7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平板电脑（</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2019/05/22-2029/05/21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ZL201930252084.1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平板电脑（</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2019/05/22-2029/05/21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ZL201930076557.7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柜面采集装置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2019/02/26-2029/02/25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ZL201930524951.2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图像采集终端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2019/09/24-2029/09/23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ZL201930648053.8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封口袋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2019/11/22-2029/11/21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ZL201930652108.2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双目摄像头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2019/11/25-2029/11/24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ZL202030042246.1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2020/01/21-2030/01/20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ZL202030042247.6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保管柜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2020/01/21-2030/01/20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ZL202030241771.6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控制器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2020/01/21-2030/01/20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申请</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日，公司拥有</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项计算机软件著作权，详情如下:</w:t>
      </w:r>
    </w:p>
    <w:tbl>
      <w:tblPr>
        <w:tblOverlap w:val="never"/>
        <w:jc w:val="center"/>
        <w:tblLayout w:type="fixed"/>
      </w:tblPr>
      <w:tblGrid>
        <w:gridCol w:w="432"/>
        <w:gridCol w:w="1848"/>
        <w:gridCol w:w="2842"/>
        <w:gridCol w:w="1411"/>
        <w:gridCol w:w="989"/>
        <w:gridCol w:w="1157"/>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登记证书编号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登记号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著作权保护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bl>
    <w:p>
      <w:pPr>
        <w:spacing w:lineRule="exact" w:line="1"/>
        <w:rPr>
          <w:sz w:val="2"/>
          <w:szCs w:val="2"/>
        </w:rPr>
      </w:pPr>
      <w:r>
        <w:br w:type="page"/>
      </w:r>
    </w:p>
    <w:tbl>
      <w:tblPr>
        <w:tblOverlap w:val="never"/>
        <w:jc w:val="center"/>
        <w:tblLayout w:type="fixed"/>
      </w:tblPr>
      <w:tblGrid>
        <w:gridCol w:w="432"/>
        <w:gridCol w:w="1848"/>
        <w:gridCol w:w="2842"/>
        <w:gridCol w:w="1411"/>
        <w:gridCol w:w="989"/>
        <w:gridCol w:w="1157"/>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0204599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汇金现金、票据管理可识别安全防范 卡封（管理、加钞箱）锁、片、条、 箱、包系统</w:t>
            </w:r>
            <w:r>
              <w:rPr>
                <w:color w:val="000000"/>
                <w:spacing w:val="0"/>
                <w:w w:val="100"/>
                <w:position w:val="0"/>
              </w:rPr>
              <w:t>［</w:t>
            </w:r>
            <w:r>
              <w:rPr>
                <w:rFonts w:ascii="SimSun" w:eastAsia="SimSun" w:hAnsi="SimSun" w:cs="SimSun"/>
                <w:color w:val="000000"/>
                <w:spacing w:val="0"/>
                <w:w w:val="100"/>
                <w:position w:val="0"/>
                <w:sz w:val="17"/>
                <w:szCs w:val="17"/>
              </w:rPr>
              <w:t>简称：卡封【（管理、 加钞箱）锁、片、条、箱、包】</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2010SR016326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2010/03/23-2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0299020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汇金实物流转</w:t>
            </w:r>
            <w:r>
              <w:rPr>
                <w:color w:val="000000"/>
                <w:spacing w:val="0"/>
                <w:w w:val="100"/>
                <w:position w:val="0"/>
                <w:sz w:val="18"/>
                <w:szCs w:val="18"/>
              </w:rPr>
              <w:t>RFID</w:t>
            </w:r>
            <w:r>
              <w:rPr>
                <w:rFonts w:ascii="SimSun" w:eastAsia="SimSun" w:hAnsi="SimSun" w:cs="SimSun"/>
                <w:color w:val="000000"/>
                <w:spacing w:val="0"/>
                <w:w w:val="100"/>
                <w:position w:val="0"/>
                <w:sz w:val="17"/>
                <w:szCs w:val="17"/>
              </w:rPr>
              <w:t>识别及安防控制</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软件</w:t>
            </w:r>
            <w:r>
              <w:rPr>
                <w:color w:val="000000"/>
                <w:spacing w:val="0"/>
                <w:w w:val="100"/>
                <w:position w:val="0"/>
              </w:rPr>
              <w:t>［</w:t>
            </w:r>
            <w:r>
              <w:rPr>
                <w:rFonts w:ascii="SimSun" w:eastAsia="SimSun" w:hAnsi="SimSun" w:cs="SimSun"/>
                <w:color w:val="000000"/>
                <w:spacing w:val="0"/>
                <w:w w:val="100"/>
                <w:position w:val="0"/>
                <w:sz w:val="17"/>
                <w:szCs w:val="17"/>
              </w:rPr>
              <w:t>简称：汇金</w:t>
            </w:r>
            <w:r>
              <w:rPr>
                <w:color w:val="000000"/>
                <w:spacing w:val="0"/>
                <w:w w:val="100"/>
                <w:position w:val="0"/>
              </w:rPr>
              <w:t>RFID</w:t>
            </w:r>
            <w:r>
              <w:rPr>
                <w:rFonts w:ascii="SimSun" w:eastAsia="SimSun" w:hAnsi="SimSun" w:cs="SimSun"/>
                <w:color w:val="000000"/>
                <w:spacing w:val="0"/>
                <w:w w:val="100"/>
                <w:position w:val="0"/>
                <w:sz w:val="17"/>
                <w:szCs w:val="17"/>
              </w:rPr>
              <w:t>安控</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2011SR035346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2011/05/09-2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0299021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sz w:val="17"/>
                <w:szCs w:val="17"/>
              </w:rPr>
              <w:t>汇金实物流转信息管理软件</w:t>
            </w:r>
            <w:r>
              <w:rPr>
                <w:color w:val="000000"/>
                <w:spacing w:val="0"/>
                <w:w w:val="100"/>
                <w:position w:val="0"/>
              </w:rPr>
              <w:t>［</w:t>
            </w:r>
            <w:r>
              <w:rPr>
                <w:rFonts w:ascii="SimSun" w:eastAsia="SimSun" w:hAnsi="SimSun" w:cs="SimSun"/>
                <w:color w:val="000000"/>
                <w:spacing w:val="0"/>
                <w:w w:val="100"/>
                <w:position w:val="0"/>
                <w:sz w:val="17"/>
                <w:szCs w:val="17"/>
              </w:rPr>
              <w:t>简称： 汇金实物流转管理</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2011SR035347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2011/05/09-2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0495531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汇金现金款箱信息管理软件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2012SR127495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2012/04/10-2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062/12/31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0495467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汇金现金款箱批量识别控制软件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2012SR127431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2012/06/12-2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062/12/31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0473767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sz w:val="17"/>
                <w:szCs w:val="17"/>
              </w:rPr>
              <w:t>汇金卡钔上门收款控制软件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2012SR105731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2012/08/01-2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062/12/31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0477757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sz w:val="17"/>
                <w:szCs w:val="17"/>
              </w:rPr>
              <w:t>汇金卡钔收款信息管理软件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2012SR109721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2012/08/01-2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062/12/31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0477770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汇金卡钔钞箱批量识别控制软件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2012SR109734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2012/08/20-2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062/12/31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0477767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汇金卡钔动态密码锁信息管理软件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2012SR109731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2012/09/25-2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062/12/31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0473765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汇金卡钔加配钞远程控制软件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2012SR105729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2012/09/28-2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062/12/31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0495532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汇金自助设备动态密码锁控制软件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2012SR127496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2012/10/01-2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062/12/31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0681387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sz w:val="17"/>
                <w:szCs w:val="17"/>
              </w:rPr>
              <w:t>汇金卡钔清机管理控制软件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2014SR012143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2013/06/04-2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063/12/31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0701809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汇金卡钔智能印控仪软件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2014SR032565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0681833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sz w:val="17"/>
                <w:szCs w:val="17"/>
              </w:rPr>
              <w:t>汇金卡封现金流转管理软件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2014SR012589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1128060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汇金自助政务服务终端控制软件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2015SR240974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2015/05/25-2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065/12/31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1128072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汇金自助政务服务终端管理软件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2014SR240986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2015/08/18-2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065/12/31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1128025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sz w:val="17"/>
                <w:szCs w:val="17"/>
              </w:rPr>
              <w:t>汇金动态密码门禁控制软件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2015SR240939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2015/10/22-2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065/12/31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1191290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sz w:val="17"/>
                <w:szCs w:val="17"/>
              </w:rPr>
              <w:t>汇金动态密码门禁管理软件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2016SR012673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1277051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公章物联网管理软件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2016SR098434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2016/04/25-2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066/12/31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1380643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汇金批量盖章印控机控制软件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2016SR202026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2016/07/18-2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066/12/31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1706153</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汇金卡钔智能印控仪软件</w:t>
            </w:r>
            <w:r>
              <w:rPr>
                <w:color w:val="000000"/>
                <w:spacing w:val="0"/>
                <w:w w:val="100"/>
                <w:position w:val="0"/>
              </w:rPr>
              <w:t>V2.0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2017SR120869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2016/12/28-2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066/12/31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bl>
    <w:p>
      <w:pPr>
        <w:sectPr>
          <w:footnotePr>
            <w:pos w:val="pageBottom"/>
            <w:numFmt w:val="decimal"/>
            <w:numRestart w:val="continuous"/>
          </w:footnotePr>
          <w:pgSz w:w="11900" w:h="16840"/>
          <w:pgMar w:top="1383" w:right="1050" w:bottom="1469" w:left="1073" w:header="0" w:footer="3" w:gutter="0"/>
          <w:cols w:space="720"/>
          <w:noEndnote/>
          <w:rtlGutter w:val="0"/>
          <w:docGrid w:linePitch="360"/>
        </w:sectPr>
      </w:pPr>
    </w:p>
    <w:tbl>
      <w:tblPr>
        <w:tblOverlap w:val="never"/>
        <w:jc w:val="center"/>
        <w:tblLayout w:type="fixed"/>
      </w:tblPr>
      <w:tblGrid>
        <w:gridCol w:w="432"/>
        <w:gridCol w:w="1848"/>
        <w:gridCol w:w="2842"/>
        <w:gridCol w:w="1411"/>
        <w:gridCol w:w="989"/>
        <w:gridCol w:w="115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2380466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汇金智慧网点库管理软件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2018SR051371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2380380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汇金智慧网点库控制软件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2018SR051285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2392154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汇金人脸识别控制软件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2018SR063059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2018/01/13-2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068/12/31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2488999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汇金移动展业管理软件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2018SR159904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2018/02/27-2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068/12/31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2555834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汇金智能挂锁控制软件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2018SR226739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2018/02/28-2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068/12/31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2717828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汇金移动展业安全操作控制软件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2018SR388733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2018/05/01-2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068/12/31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2982948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汇金智能柜面采集仪控制软件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2018SR653853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2018/07/30-2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068/12/31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3183125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汇金物联云房屋租管平台管理软件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2018SR854030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3186493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汇金物联云房屋租管平台控制软件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2018SR857398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4453431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汇金活体检测控制软件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2019SR1032674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4027468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汇金银行重控及客户贵重物品智能</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化控制软件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2019SR0606711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4123293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汇金智能保管柜管理系统控制软件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2019SR0702536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2019/6/20-20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5120680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汇金基于</w:t>
            </w:r>
            <w:r>
              <w:rPr>
                <w:color w:val="000000"/>
                <w:spacing w:val="0"/>
                <w:w w:val="100"/>
                <w:position w:val="0"/>
                <w:sz w:val="18"/>
                <w:szCs w:val="18"/>
              </w:rPr>
              <w:t>“</w:t>
            </w:r>
            <w:r>
              <w:rPr>
                <w:rFonts w:ascii="SimSun" w:eastAsia="SimSun" w:hAnsi="SimSun" w:cs="SimSun"/>
                <w:color w:val="000000"/>
                <w:spacing w:val="0"/>
                <w:w w:val="100"/>
                <w:position w:val="0"/>
                <w:sz w:val="17"/>
                <w:szCs w:val="17"/>
              </w:rPr>
              <w:t>端</w:t>
            </w:r>
            <w:r>
              <w:rPr>
                <w:color w:val="000000"/>
                <w:spacing w:val="0"/>
                <w:w w:val="100"/>
                <w:position w:val="0"/>
                <w:sz w:val="18"/>
                <w:szCs w:val="18"/>
              </w:rPr>
              <w:t>”“</w:t>
            </w:r>
            <w:r>
              <w:rPr>
                <w:rFonts w:ascii="SimSun" w:eastAsia="SimSun" w:hAnsi="SimSun" w:cs="SimSun"/>
                <w:color w:val="000000"/>
                <w:spacing w:val="0"/>
                <w:w w:val="100"/>
                <w:position w:val="0"/>
                <w:sz w:val="17"/>
                <w:szCs w:val="17"/>
              </w:rPr>
              <w:t>云</w:t>
            </w:r>
            <w:r>
              <w:rPr>
                <w:color w:val="000000"/>
                <w:spacing w:val="0"/>
                <w:w w:val="100"/>
                <w:position w:val="0"/>
                <w:sz w:val="18"/>
                <w:szCs w:val="18"/>
              </w:rPr>
              <w:t>”</w:t>
            </w:r>
            <w:r>
              <w:rPr>
                <w:rFonts w:ascii="SimSun" w:eastAsia="SimSun" w:hAnsi="SimSun" w:cs="SimSun"/>
                <w:color w:val="000000"/>
                <w:spacing w:val="0"/>
                <w:w w:val="100"/>
                <w:position w:val="0"/>
                <w:sz w:val="17"/>
                <w:szCs w:val="17"/>
              </w:rPr>
              <w:t>的人脸活体门禁</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检测控制软件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2020SR0241984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2018/1/10-20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5120675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汇金基于</w:t>
            </w:r>
            <w:r>
              <w:rPr>
                <w:color w:val="000000"/>
                <w:spacing w:val="0"/>
                <w:w w:val="100"/>
                <w:position w:val="0"/>
              </w:rPr>
              <w:t>R-CNN</w:t>
            </w:r>
            <w:r>
              <w:rPr>
                <w:rFonts w:ascii="SimSun" w:eastAsia="SimSun" w:hAnsi="SimSun" w:cs="SimSun"/>
                <w:color w:val="000000"/>
                <w:spacing w:val="0"/>
                <w:w w:val="100"/>
                <w:position w:val="0"/>
                <w:sz w:val="17"/>
                <w:szCs w:val="17"/>
              </w:rPr>
              <w:t>的人脸活体检测控 制软件</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2020SR0241979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2018/1/10-20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5500543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汇金现金及重要物品实物控制软件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2020SR0621847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5448254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汇金智能保管柜管理系统控制软件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2020SR0569558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2019/12/10-2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5731825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汇金卡钔动态密码锁信息管理软件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2020SR0853129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5731874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汇金卡钔智能印控仪控制软件</w:t>
            </w:r>
            <w:r>
              <w:rPr>
                <w:color w:val="000000"/>
                <w:spacing w:val="0"/>
                <w:w w:val="100"/>
                <w:position w:val="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2020SR0853178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5749206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汇金</w:t>
            </w:r>
            <w:r>
              <w:rPr>
                <w:color w:val="000000"/>
                <w:spacing w:val="0"/>
                <w:w w:val="100"/>
                <w:position w:val="0"/>
                <w:sz w:val="18"/>
                <w:szCs w:val="18"/>
              </w:rPr>
              <w:t>OCR</w:t>
            </w:r>
            <w:r>
              <w:rPr>
                <w:rFonts w:ascii="SimSun" w:eastAsia="SimSun" w:hAnsi="SimSun" w:cs="SimSun"/>
                <w:color w:val="000000"/>
                <w:spacing w:val="0"/>
                <w:w w:val="100"/>
                <w:position w:val="0"/>
                <w:sz w:val="17"/>
                <w:szCs w:val="17"/>
              </w:rPr>
              <w:t>识别自定义工具管理软件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2020SR0870510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56353044</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汇金智能业务库管理系统控制软件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2020SR1552072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申请</w:t>
            </w: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注：汇金卡钔智能印控仪软件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、汇金卡封现金流转管理软件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、汇金动态密码门禁管理软件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、汇金智慧网点库管 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、汇金智慧网点库控制软件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、汇金物联云房屋租管平台管理软件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 xml:space="preserve">、汇金物联云房屋租管平台控制软件 </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w:t>
      </w:r>
      <w:r>
        <w:rPr>
          <w:color w:val="000000"/>
          <w:spacing w:val="0"/>
          <w:w w:val="100"/>
          <w:position w:val="0"/>
        </w:rPr>
        <w:t>汇金活体检测控制软件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、汇金银行重控及客户贵重物品智能化控制软件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 xml:space="preserve">、汇金现金及重要物品实物控制软件 </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w:t>
      </w:r>
      <w:r>
        <w:rPr>
          <w:color w:val="000000"/>
          <w:spacing w:val="0"/>
          <w:w w:val="100"/>
          <w:position w:val="0"/>
        </w:rPr>
        <w:t>汇金卡钔动态密码锁信息管理软件</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w:t>
      </w:r>
      <w:r>
        <w:rPr>
          <w:color w:val="000000"/>
          <w:spacing w:val="0"/>
          <w:w w:val="100"/>
          <w:position w:val="0"/>
        </w:rPr>
        <w:t>汇金卡钔智能印控仪控制软件</w:t>
      </w:r>
      <w:r>
        <w:rPr>
          <w:rFonts w:ascii="Times New Roman" w:eastAsia="Times New Roman" w:hAnsi="Times New Roman" w:cs="Times New Roman"/>
          <w:color w:val="000000"/>
          <w:spacing w:val="0"/>
          <w:w w:val="100"/>
          <w:position w:val="0"/>
          <w:sz w:val="18"/>
          <w:szCs w:val="18"/>
        </w:rPr>
        <w:t>V3.0</w:t>
      </w:r>
      <w:r>
        <w:rPr>
          <w:color w:val="000000"/>
          <w:spacing w:val="0"/>
          <w:w w:val="100"/>
          <w:position w:val="0"/>
        </w:rPr>
        <w:t>、</w:t>
      </w:r>
      <w:r>
        <w:rPr>
          <w:color w:val="000000"/>
          <w:spacing w:val="0"/>
          <w:w w:val="100"/>
          <w:position w:val="0"/>
        </w:rPr>
        <w:t>汇金</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识别自定义工具管理软件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 汇金智能业务库管理系统控制软件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color w:val="000000"/>
          <w:spacing w:val="0"/>
          <w:w w:val="100"/>
          <w:position w:val="0"/>
        </w:rPr>
        <w:t>分别于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日完成开发。</w:t>
      </w:r>
    </w:p>
    <w:p>
      <w:pPr>
        <w:pStyle w:val="Style24"/>
        <w:keepNext w:val="0"/>
        <w:keepLines w:val="0"/>
        <w:widowControl w:val="0"/>
        <w:shd w:val="clear" w:color="auto" w:fill="auto"/>
        <w:tabs>
          <w:tab w:pos="300" w:val="left"/>
        </w:tabs>
        <w:bidi w:val="0"/>
        <w:spacing w:before="0" w:after="0" w:line="312" w:lineRule="exact"/>
        <w:ind w:left="0" w:right="0" w:firstLine="0"/>
        <w:jc w:val="both"/>
      </w:pPr>
      <w:bookmarkStart w:id="92" w:name="bookmark92"/>
      <w:r>
        <w:rPr>
          <w:rFonts w:ascii="Times New Roman" w:eastAsia="Times New Roman" w:hAnsi="Times New Roman" w:cs="Times New Roman"/>
          <w:color w:val="000000"/>
          <w:spacing w:val="0"/>
          <w:w w:val="100"/>
          <w:position w:val="0"/>
          <w:sz w:val="18"/>
          <w:szCs w:val="18"/>
        </w:rPr>
        <w:t>3</w:t>
      </w:r>
      <w:bookmarkEnd w:id="92"/>
      <w:r>
        <w:rPr>
          <w:color w:val="000000"/>
          <w:spacing w:val="0"/>
          <w:w w:val="100"/>
          <w:position w:val="0"/>
        </w:rPr>
        <w:t>、</w:t>
        <w:tab/>
        <w:t>一体化服务优势</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公司为客户提供一体化服务整体解决方案，涵盖业务咨询、方案设计、制度及流程优化改造、软件开发、硬件设计、系 统集成、安装调试、技术支持、培训及售后全过程。</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项目前期，公司将研发环节前移，直接参与银行客户具体业务流程改进的技术交流，实现研发与市场的直接对接，帮助 银行发现、挖掘具体操作风险，进而在开发中及时、准确地反映客户需求；中期，公司具备不同专业背景的技术研发团队根 据解决方案提出的功能需求，能够集成应用多领域、多学科的专业技术进行软件开发、硬件设计及系统集成；在后期安装、 服务环节，公司拥有具备全国服务能力的安装、服务团队，建立了全国性的技术服务网络和响应机制，保持</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x24</w:t>
      </w:r>
      <w:r>
        <w:rPr>
          <w:color w:val="000000"/>
          <w:spacing w:val="0"/>
          <w:w w:val="100"/>
          <w:position w:val="0"/>
        </w:rPr>
        <w:t>小时响 应级别。公司的一体化服务模式能够更有效地服务银行客户，提高客户黏性，发掘市场机会。</w:t>
      </w:r>
    </w:p>
    <w:p>
      <w:pPr>
        <w:pStyle w:val="Style24"/>
        <w:keepNext w:val="0"/>
        <w:keepLines w:val="0"/>
        <w:widowControl w:val="0"/>
        <w:shd w:val="clear" w:color="auto" w:fill="auto"/>
        <w:tabs>
          <w:tab w:pos="309" w:val="left"/>
        </w:tabs>
        <w:bidi w:val="0"/>
        <w:spacing w:before="0" w:after="0" w:line="312" w:lineRule="exact"/>
        <w:ind w:left="0" w:right="0" w:firstLine="0"/>
        <w:jc w:val="left"/>
      </w:pPr>
      <w:bookmarkStart w:id="93" w:name="bookmark93"/>
      <w:r>
        <w:rPr>
          <w:rFonts w:ascii="Times New Roman" w:eastAsia="Times New Roman" w:hAnsi="Times New Roman" w:cs="Times New Roman"/>
          <w:color w:val="000000"/>
          <w:spacing w:val="0"/>
          <w:w w:val="100"/>
          <w:position w:val="0"/>
          <w:sz w:val="18"/>
          <w:szCs w:val="18"/>
        </w:rPr>
        <w:t>4</w:t>
      </w:r>
      <w:bookmarkEnd w:id="93"/>
      <w:r>
        <w:rPr>
          <w:color w:val="000000"/>
          <w:spacing w:val="0"/>
          <w:w w:val="100"/>
          <w:position w:val="0"/>
        </w:rPr>
        <w:t>、</w:t>
        <w:tab/>
        <w:t>专业的管理团队优势</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公司管理团队由具备丰富企业管理经验的人才组成，主要管理人员及核心技术人员均具有多年相关行业工作经验，管理 团队内部精诚合作、优势互补。公司注重风险控制，强调稳健发展，实施全面完善的财务体系，稳步发展公司业务规模，持 续保持较强的抗风险能力，为公司持续健康发展奠定基础。</w:t>
      </w:r>
    </w:p>
    <w:p>
      <w:pPr>
        <w:pStyle w:val="Style24"/>
        <w:keepNext w:val="0"/>
        <w:keepLines w:val="0"/>
        <w:widowControl w:val="0"/>
        <w:shd w:val="clear" w:color="auto" w:fill="auto"/>
        <w:tabs>
          <w:tab w:pos="309" w:val="left"/>
        </w:tabs>
        <w:bidi w:val="0"/>
        <w:spacing w:before="0" w:after="0" w:line="312" w:lineRule="exact"/>
        <w:ind w:left="0" w:right="0" w:firstLine="0"/>
        <w:jc w:val="left"/>
      </w:pPr>
      <w:bookmarkStart w:id="94" w:name="bookmark94"/>
      <w:r>
        <w:rPr>
          <w:rFonts w:ascii="Times New Roman" w:eastAsia="Times New Roman" w:hAnsi="Times New Roman" w:cs="Times New Roman"/>
          <w:color w:val="000000"/>
          <w:spacing w:val="0"/>
          <w:w w:val="100"/>
          <w:position w:val="0"/>
          <w:sz w:val="18"/>
          <w:szCs w:val="18"/>
        </w:rPr>
        <w:t>5</w:t>
      </w:r>
      <w:bookmarkEnd w:id="94"/>
      <w:r>
        <w:rPr>
          <w:color w:val="000000"/>
          <w:spacing w:val="0"/>
          <w:w w:val="100"/>
          <w:position w:val="0"/>
        </w:rPr>
        <w:t>、</w:t>
        <w:tab/>
        <w:t>市场先入优势，树立品牌影响力</w:t>
      </w:r>
    </w:p>
    <w:p>
      <w:pPr>
        <w:pStyle w:val="Style24"/>
        <w:keepNext w:val="0"/>
        <w:keepLines w:val="0"/>
        <w:widowControl w:val="0"/>
        <w:shd w:val="clear" w:color="auto" w:fill="auto"/>
        <w:bidi w:val="0"/>
        <w:spacing w:before="0" w:after="0" w:line="312" w:lineRule="exact"/>
        <w:ind w:left="0" w:right="0"/>
        <w:jc w:val="both"/>
        <w:sectPr>
          <w:footnotePr>
            <w:pos w:val="pageBottom"/>
            <w:numFmt w:val="decimal"/>
            <w:numRestart w:val="continuous"/>
          </w:footnotePr>
          <w:pgSz w:w="11900" w:h="16840"/>
          <w:pgMar w:top="1388" w:right="1027" w:bottom="1551" w:left="1101" w:header="0" w:footer="3" w:gutter="0"/>
          <w:cols w:space="720"/>
          <w:noEndnote/>
          <w:rtlGutter w:val="0"/>
          <w:docGrid w:linePitch="360"/>
        </w:sectPr>
      </w:pPr>
      <w:r>
        <w:rPr>
          <w:color w:val="000000"/>
          <w:spacing w:val="0"/>
          <w:w w:val="100"/>
          <w:position w:val="0"/>
        </w:rPr>
        <w:t>经过多年深耕经营，公司业务已遍及中国大陆，包括国有和股份制商业银行在内的国内多数商业银行、邮政储蓄系统、 信用社等金融机构均不同程度地购买和使用了公司相关应用系统，并建立了从总行、省级分行到支行、乃至营业部的全国范 围的客户网络。银行在相关的系统维护、系统升级、人员培训等服务内容方面对公司具有一定的黏性。</w:t>
      </w:r>
    </w:p>
    <w:p>
      <w:pPr>
        <w:pStyle w:val="Style13"/>
        <w:keepNext/>
        <w:keepLines/>
        <w:widowControl w:val="0"/>
        <w:shd w:val="clear" w:color="auto" w:fill="auto"/>
        <w:bidi w:val="0"/>
        <w:spacing w:before="520" w:line="240" w:lineRule="auto"/>
        <w:ind w:left="0" w:right="0" w:firstLine="0"/>
        <w:jc w:val="center"/>
      </w:pPr>
      <w:bookmarkStart w:id="95" w:name="bookmark95"/>
      <w:bookmarkStart w:id="96" w:name="bookmark96"/>
      <w:bookmarkStart w:id="97" w:name="bookmark97"/>
      <w:r>
        <w:rPr>
          <w:color w:val="000000"/>
          <w:spacing w:val="0"/>
          <w:w w:val="100"/>
          <w:position w:val="0"/>
        </w:rPr>
        <w:t>第四节经营情况讨论与分析</w:t>
      </w:r>
      <w:bookmarkEnd w:id="95"/>
      <w:bookmarkEnd w:id="96"/>
      <w:bookmarkEnd w:id="97"/>
    </w:p>
    <w:p>
      <w:pPr>
        <w:pStyle w:val="Style22"/>
        <w:keepNext/>
        <w:keepLines/>
        <w:widowControl w:val="0"/>
        <w:shd w:val="clear" w:color="auto" w:fill="auto"/>
        <w:bidi w:val="0"/>
        <w:spacing w:before="0" w:after="28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sz w:val="24"/>
          <w:szCs w:val="24"/>
        </w:rPr>
        <w:t>一</w:t>
      </w:r>
      <w:bookmarkEnd w:id="100"/>
      <w:r>
        <w:rPr>
          <w:color w:val="000000"/>
          <w:spacing w:val="0"/>
          <w:w w:val="100"/>
          <w:position w:val="0"/>
          <w:sz w:val="24"/>
          <w:szCs w:val="24"/>
        </w:rPr>
        <w:t>、概述</w:t>
      </w:r>
      <w:bookmarkEnd w:id="101"/>
      <w:bookmarkEnd w:id="98"/>
      <w:bookmarkEnd w:id="99"/>
    </w:p>
    <w:p>
      <w:pPr>
        <w:pStyle w:val="Style24"/>
        <w:keepNext w:val="0"/>
        <w:keepLines w:val="0"/>
        <w:widowControl w:val="0"/>
        <w:shd w:val="clear" w:color="auto" w:fill="auto"/>
        <w:bidi w:val="0"/>
        <w:spacing w:before="0" w:after="0" w:line="295" w:lineRule="exact"/>
        <w:ind w:left="0" w:right="0"/>
        <w:jc w:val="left"/>
      </w:pPr>
      <w:r>
        <w:rPr>
          <w:color w:val="000000"/>
          <w:spacing w:val="0"/>
          <w:w w:val="100"/>
          <w:position w:val="0"/>
        </w:rPr>
        <w:t>公司主营业务是运用人工智能技术、物联网技术、密码算法等技术为金融行业客户的运营管理、风险控制、网点转型、 渠道建设等提供专业解决方案和服务，系统性地控制风险、创新业务模式、降低金融客户运营成本，助力金融行业客户科技 转型和变革。</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报告期内，面对年初突如其来新冠疫情，在给企业经营带来巨大影响的严峻挑战面前，公司管理层沉着应对，统一部署， 全力做好疫情防控各项工作，积极有序的复工复产。在国家宏观经济下行压力和金融行业深度转型、外部市场竞争极其激烈 的环境下，公司全体员工在管理层的带领下，实现营业收入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0,392.6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3.76%</w:t>
      </w:r>
      <w:r>
        <w:rPr>
          <w:color w:val="000000"/>
          <w:spacing w:val="0"/>
          <w:w w:val="100"/>
          <w:position w:val="0"/>
        </w:rPr>
        <w:t>,实现归属于上市公司股 东的净利润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,728.5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14.08%</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报告期内，公司重点开展以下工作：</w:t>
      </w:r>
    </w:p>
    <w:p>
      <w:pPr>
        <w:pStyle w:val="Style24"/>
        <w:keepNext w:val="0"/>
        <w:keepLines w:val="0"/>
        <w:widowControl w:val="0"/>
        <w:shd w:val="clear" w:color="auto" w:fill="auto"/>
        <w:tabs>
          <w:tab w:pos="278" w:val="left"/>
        </w:tabs>
        <w:bidi w:val="0"/>
        <w:spacing w:before="0" w:after="0" w:line="313" w:lineRule="exact"/>
        <w:ind w:left="0" w:right="0" w:firstLine="0"/>
        <w:jc w:val="left"/>
      </w:pPr>
      <w:bookmarkStart w:id="102" w:name="bookmark102"/>
      <w:r>
        <w:rPr>
          <w:rFonts w:ascii="Times New Roman" w:eastAsia="Times New Roman" w:hAnsi="Times New Roman" w:cs="Times New Roman"/>
          <w:color w:val="000000"/>
          <w:spacing w:val="0"/>
          <w:w w:val="100"/>
          <w:position w:val="0"/>
          <w:sz w:val="18"/>
          <w:szCs w:val="18"/>
        </w:rPr>
        <w:t>1</w:t>
      </w:r>
      <w:bookmarkEnd w:id="102"/>
      <w:r>
        <w:rPr>
          <w:color w:val="000000"/>
          <w:spacing w:val="0"/>
          <w:w w:val="100"/>
          <w:position w:val="0"/>
        </w:rPr>
        <w:t>、</w:t>
        <w:tab/>
        <w:t>稳健做好主营，积极拓展新产品新业务</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报告期内，公司深耕、精耕主营业务，主营业务收入保持稳定，公司品牌影响力和整体市场占有率保持稳定。公司关注 金融业改革和金融科技的发展动向，聚焦市场需求，积极营拓新产品、新业务并取得突破。</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报告期内，公司第三代智能业务库管理系统，凭借领先技术优势、贴合客户场景及业务流程解决方案，成功在交通银行 总行项目中标；同时公司积极参与建设银行总行的智能库（柜）系统（四期）的上线试点任务。公司银行重控及客户贵重物 品智能化管理解决方案顺利在邮政储蓄银行总行及上海农商银行中标，实现公司第四代战略产品重控在六大行和城商行的首 次突破。公司的指静脉动码锁成功入围华夏银行总行，成为首家实现指静脉动码锁在银行系统的应用，有利于树立新的行业 标准和技术门槛，进一步巩固和扩大公司在动码锁市场的引领地位。公司各个重点项目按计划推进，标志着公司以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 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技术为基础的金融科技方案及产品正在不断丰富，为公司健康发展提供了新的动能。</w:t>
      </w:r>
    </w:p>
    <w:p>
      <w:pPr>
        <w:pStyle w:val="Style24"/>
        <w:keepNext w:val="0"/>
        <w:keepLines w:val="0"/>
        <w:widowControl w:val="0"/>
        <w:shd w:val="clear" w:color="auto" w:fill="auto"/>
        <w:tabs>
          <w:tab w:pos="297" w:val="left"/>
        </w:tabs>
        <w:bidi w:val="0"/>
        <w:spacing w:before="0" w:after="0" w:line="313" w:lineRule="exact"/>
        <w:ind w:left="0" w:right="0" w:firstLine="0"/>
        <w:jc w:val="left"/>
      </w:pPr>
      <w:bookmarkStart w:id="103" w:name="bookmark103"/>
      <w:r>
        <w:rPr>
          <w:rFonts w:ascii="Times New Roman" w:eastAsia="Times New Roman" w:hAnsi="Times New Roman" w:cs="Times New Roman"/>
          <w:color w:val="000000"/>
          <w:spacing w:val="0"/>
          <w:w w:val="100"/>
          <w:position w:val="0"/>
          <w:sz w:val="18"/>
          <w:szCs w:val="18"/>
        </w:rPr>
        <w:t>2</w:t>
      </w:r>
      <w:bookmarkEnd w:id="103"/>
      <w:r>
        <w:rPr>
          <w:color w:val="000000"/>
          <w:spacing w:val="0"/>
          <w:w w:val="100"/>
          <w:position w:val="0"/>
        </w:rPr>
        <w:t>、</w:t>
        <w:tab/>
        <w:t>优化组织架构，提升员工创造能力</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报告期内，公司根据发展战略，因势而变，优化组织架构，优化业务流程和岗位职责、强抓人岗适配，提高个人和组织 创造价值能力，大力推行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能力、承诺、贡献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人才标准和绩效管理模式，提高运行效率，为公司培养和提升团队能力发挥重 大作用。</w:t>
      </w:r>
    </w:p>
    <w:p>
      <w:pPr>
        <w:pStyle w:val="Style24"/>
        <w:keepNext w:val="0"/>
        <w:keepLines w:val="0"/>
        <w:widowControl w:val="0"/>
        <w:shd w:val="clear" w:color="auto" w:fill="auto"/>
        <w:tabs>
          <w:tab w:pos="297" w:val="left"/>
        </w:tabs>
        <w:bidi w:val="0"/>
        <w:spacing w:before="0" w:after="0" w:line="313" w:lineRule="exact"/>
        <w:ind w:left="0" w:right="0" w:firstLine="0"/>
        <w:jc w:val="left"/>
      </w:pPr>
      <w:bookmarkStart w:id="104" w:name="bookmark104"/>
      <w:r>
        <w:rPr>
          <w:rFonts w:ascii="Times New Roman" w:eastAsia="Times New Roman" w:hAnsi="Times New Roman" w:cs="Times New Roman"/>
          <w:color w:val="000000"/>
          <w:spacing w:val="0"/>
          <w:w w:val="100"/>
          <w:position w:val="0"/>
          <w:sz w:val="18"/>
          <w:szCs w:val="18"/>
        </w:rPr>
        <w:t>3</w:t>
      </w:r>
      <w:bookmarkEnd w:id="104"/>
      <w:r>
        <w:rPr>
          <w:color w:val="000000"/>
          <w:spacing w:val="0"/>
          <w:w w:val="100"/>
          <w:position w:val="0"/>
        </w:rPr>
        <w:t>、</w:t>
        <w:tab/>
        <w:t>继续深化体系建设，助力企业高质量发展</w:t>
      </w:r>
    </w:p>
    <w:p>
      <w:pPr>
        <w:pStyle w:val="Style2"/>
        <w:keepNext w:val="0"/>
        <w:keepLines w:val="0"/>
        <w:widowControl w:val="0"/>
        <w:shd w:val="clear" w:color="auto" w:fill="auto"/>
        <w:bidi w:val="0"/>
        <w:spacing w:before="0" w:after="0" w:line="313" w:lineRule="exact"/>
        <w:ind w:left="0" w:right="0" w:firstLine="300"/>
        <w:jc w:val="both"/>
        <w:rPr>
          <w:sz w:val="17"/>
          <w:szCs w:val="17"/>
        </w:rPr>
      </w:pPr>
      <w:r>
        <w:rPr>
          <w:rFonts w:ascii="SimSun" w:eastAsia="SimSun" w:hAnsi="SimSun" w:cs="SimSun"/>
          <w:color w:val="000000"/>
          <w:spacing w:val="0"/>
          <w:w w:val="100"/>
          <w:position w:val="0"/>
          <w:sz w:val="17"/>
          <w:szCs w:val="17"/>
        </w:rPr>
        <w:t>报告期内，公司在稳步修正和深入推进</w:t>
      </w:r>
      <w:r>
        <w:rPr>
          <w:color w:val="000000"/>
          <w:spacing w:val="0"/>
          <w:w w:val="100"/>
          <w:position w:val="0"/>
          <w:sz w:val="18"/>
          <w:szCs w:val="18"/>
        </w:rPr>
        <w:t>IPD</w:t>
      </w:r>
      <w:r>
        <w:rPr>
          <w:rFonts w:ascii="SimSun" w:eastAsia="SimSun" w:hAnsi="SimSun" w:cs="SimSun"/>
          <w:color w:val="000000"/>
          <w:spacing w:val="0"/>
          <w:w w:val="100"/>
          <w:position w:val="0"/>
          <w:sz w:val="17"/>
          <w:szCs w:val="17"/>
        </w:rPr>
        <w:t>（</w:t>
      </w:r>
      <w:r>
        <w:rPr>
          <w:color w:val="000000"/>
          <w:spacing w:val="0"/>
          <w:w w:val="100"/>
          <w:position w:val="0"/>
          <w:sz w:val="18"/>
          <w:szCs w:val="18"/>
        </w:rPr>
        <w:t>Integrated Product Development,</w:t>
      </w:r>
      <w:r>
        <w:rPr>
          <w:rFonts w:ascii="SimSun" w:eastAsia="SimSun" w:hAnsi="SimSun" w:cs="SimSun"/>
          <w:color w:val="000000"/>
          <w:spacing w:val="0"/>
          <w:w w:val="100"/>
          <w:position w:val="0"/>
          <w:sz w:val="17"/>
          <w:szCs w:val="17"/>
        </w:rPr>
        <w:t>简称</w:t>
      </w:r>
      <w:r>
        <w:rPr>
          <w:color w:val="000000"/>
          <w:spacing w:val="0"/>
          <w:w w:val="100"/>
          <w:position w:val="0"/>
          <w:sz w:val="18"/>
          <w:szCs w:val="18"/>
        </w:rPr>
        <w:t>IPD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集成产品开发）、</w:t>
      </w:r>
      <w:r>
        <w:rPr>
          <w:color w:val="000000"/>
          <w:spacing w:val="0"/>
          <w:w w:val="100"/>
          <w:position w:val="0"/>
          <w:sz w:val="18"/>
          <w:szCs w:val="18"/>
        </w:rPr>
        <w:t>LTC</w:t>
      </w:r>
      <w:r>
        <w:rPr>
          <w:rFonts w:ascii="SimSun" w:eastAsia="SimSun" w:hAnsi="SimSun" w:cs="SimSun"/>
          <w:color w:val="000000"/>
          <w:spacing w:val="0"/>
          <w:w w:val="100"/>
          <w:position w:val="0"/>
          <w:sz w:val="17"/>
          <w:szCs w:val="17"/>
        </w:rPr>
        <w:t>（</w:t>
      </w:r>
      <w:r>
        <w:rPr>
          <w:color w:val="000000"/>
          <w:spacing w:val="0"/>
          <w:w w:val="100"/>
          <w:position w:val="0"/>
          <w:sz w:val="18"/>
          <w:szCs w:val="18"/>
        </w:rPr>
        <w:t>Leads To Cash</w:t>
      </w:r>
      <w:r>
        <w:rPr>
          <w:rFonts w:ascii="SimSun" w:eastAsia="SimSun" w:hAnsi="SimSun" w:cs="SimSun"/>
          <w:color w:val="000000"/>
          <w:spacing w:val="0"/>
          <w:w w:val="100"/>
          <w:position w:val="0"/>
          <w:sz w:val="17"/>
          <w:szCs w:val="17"/>
        </w:rPr>
        <w:t>，简称</w:t>
      </w:r>
      <w:r>
        <w:rPr>
          <w:color w:val="000000"/>
          <w:spacing w:val="0"/>
          <w:w w:val="100"/>
          <w:position w:val="0"/>
          <w:sz w:val="18"/>
          <w:szCs w:val="18"/>
        </w:rPr>
        <w:t>LTC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从线索到现金）、</w:t>
      </w:r>
      <w:r>
        <w:rPr>
          <w:color w:val="000000"/>
          <w:spacing w:val="0"/>
          <w:w w:val="100"/>
          <w:position w:val="0"/>
          <w:sz w:val="18"/>
          <w:szCs w:val="18"/>
        </w:rPr>
        <w:t>ITR</w:t>
      </w:r>
      <w:r>
        <w:rPr>
          <w:rFonts w:ascii="SimSun" w:eastAsia="SimSun" w:hAnsi="SimSun" w:cs="SimSun"/>
          <w:color w:val="000000"/>
          <w:spacing w:val="0"/>
          <w:w w:val="100"/>
          <w:position w:val="0"/>
          <w:sz w:val="17"/>
          <w:szCs w:val="17"/>
        </w:rPr>
        <w:t>（</w:t>
      </w:r>
      <w:r>
        <w:rPr>
          <w:color w:val="000000"/>
          <w:spacing w:val="0"/>
          <w:w w:val="100"/>
          <w:position w:val="0"/>
          <w:sz w:val="18"/>
          <w:szCs w:val="18"/>
        </w:rPr>
        <w:t>Issue to Resolution,</w:t>
      </w:r>
      <w:r>
        <w:rPr>
          <w:rFonts w:ascii="SimSun" w:eastAsia="SimSun" w:hAnsi="SimSun" w:cs="SimSun"/>
          <w:color w:val="000000"/>
          <w:spacing w:val="0"/>
          <w:w w:val="100"/>
          <w:position w:val="0"/>
          <w:sz w:val="17"/>
          <w:szCs w:val="17"/>
        </w:rPr>
        <w:t>简称</w:t>
      </w:r>
      <w:r>
        <w:rPr>
          <w:color w:val="000000"/>
          <w:spacing w:val="0"/>
          <w:w w:val="100"/>
          <w:position w:val="0"/>
          <w:sz w:val="18"/>
          <w:szCs w:val="18"/>
        </w:rPr>
        <w:t>ITR</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问题到解决）项目分层分级管理基础上，着力进行 </w:t>
      </w:r>
      <w:r>
        <w:rPr>
          <w:color w:val="000000"/>
          <w:spacing w:val="0"/>
          <w:w w:val="100"/>
          <w:position w:val="0"/>
          <w:sz w:val="18"/>
          <w:szCs w:val="18"/>
        </w:rPr>
        <w:t>RDM （Research and Development Management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研究与开发管理系统）和</w:t>
      </w:r>
      <w:r>
        <w:rPr>
          <w:color w:val="000000"/>
          <w:spacing w:val="0"/>
          <w:w w:val="100"/>
          <w:position w:val="0"/>
          <w:sz w:val="18"/>
          <w:szCs w:val="18"/>
        </w:rPr>
        <w:t xml:space="preserve">CRM </w:t>
      </w:r>
      <w:r>
        <w:rPr>
          <w:color w:val="000000"/>
          <w:spacing w:val="0"/>
          <w:w w:val="100"/>
          <w:position w:val="0"/>
          <w:sz w:val="18"/>
          <w:szCs w:val="18"/>
        </w:rPr>
        <w:t>（</w:t>
      </w:r>
      <w:r>
        <w:rPr>
          <w:color w:val="000000"/>
          <w:spacing w:val="0"/>
          <w:w w:val="100"/>
          <w:position w:val="0"/>
          <w:sz w:val="18"/>
          <w:szCs w:val="18"/>
        </w:rPr>
        <w:t>Customer Relationship Management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简称</w:t>
      </w:r>
      <w:r>
        <w:rPr>
          <w:color w:val="000000"/>
          <w:spacing w:val="0"/>
          <w:w w:val="100"/>
          <w:position w:val="0"/>
          <w:sz w:val="18"/>
          <w:szCs w:val="18"/>
        </w:rPr>
        <w:t>CRM</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客户关系管理）专项建设，继续深化体系建设，助力公司人才标准和绩效管理有实效落实，助力公司经营业绩有序增长。</w:t>
      </w:r>
    </w:p>
    <w:p>
      <w:pPr>
        <w:pStyle w:val="Style24"/>
        <w:keepNext w:val="0"/>
        <w:keepLines w:val="0"/>
        <w:widowControl w:val="0"/>
        <w:shd w:val="clear" w:color="auto" w:fill="auto"/>
        <w:tabs>
          <w:tab w:pos="297" w:val="left"/>
        </w:tabs>
        <w:bidi w:val="0"/>
        <w:spacing w:before="0" w:after="0" w:line="313" w:lineRule="exact"/>
        <w:ind w:left="0" w:right="0" w:firstLine="0"/>
        <w:jc w:val="left"/>
      </w:pPr>
      <w:bookmarkStart w:id="105" w:name="bookmark105"/>
      <w:r>
        <w:rPr>
          <w:rFonts w:ascii="Times New Roman" w:eastAsia="Times New Roman" w:hAnsi="Times New Roman" w:cs="Times New Roman"/>
          <w:color w:val="000000"/>
          <w:spacing w:val="0"/>
          <w:w w:val="100"/>
          <w:position w:val="0"/>
          <w:sz w:val="18"/>
          <w:szCs w:val="18"/>
        </w:rPr>
        <w:t>4</w:t>
      </w:r>
      <w:bookmarkEnd w:id="105"/>
      <w:r>
        <w:rPr>
          <w:color w:val="000000"/>
          <w:spacing w:val="0"/>
          <w:w w:val="100"/>
          <w:position w:val="0"/>
        </w:rPr>
        <w:t>、</w:t>
        <w:tab/>
        <w:t>汇金金融科技产业园建设顺利推进，产学研平台建设不断进步</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年底已全面完成汇金金融科技产业园的基建类工作，并实现绝大部分主体全面验收，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年初将进入室内装 修阶段，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年下半年产业园将正式投入运营。公司依托汇金研修院继续深化与大湾区科研院所的合作，共同承担国家级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省市级研究项目。未来将借助国家及省市各级产业扶持政策，依托汇金金融科技产业园、创新研究院，整合公司自身技术及 客户资源、金融科技领域上下游企业、大湾区高校智力资源，建设金融科技产业生态及创新基地，服务大湾区金融业发展， 为公司发展提供持续的动力来源。</w:t>
      </w:r>
    </w:p>
    <w:p>
      <w:pPr>
        <w:pStyle w:val="Style24"/>
        <w:keepNext w:val="0"/>
        <w:keepLines w:val="0"/>
        <w:widowControl w:val="0"/>
        <w:shd w:val="clear" w:color="auto" w:fill="auto"/>
        <w:tabs>
          <w:tab w:pos="297" w:val="left"/>
        </w:tabs>
        <w:bidi w:val="0"/>
        <w:spacing w:before="0" w:after="0" w:line="313" w:lineRule="exact"/>
        <w:ind w:left="0" w:right="0" w:firstLine="0"/>
        <w:jc w:val="left"/>
      </w:pPr>
      <w:bookmarkStart w:id="106" w:name="bookmark106"/>
      <w:r>
        <w:rPr>
          <w:rFonts w:ascii="Times New Roman" w:eastAsia="Times New Roman" w:hAnsi="Times New Roman" w:cs="Times New Roman"/>
          <w:color w:val="000000"/>
          <w:spacing w:val="0"/>
          <w:w w:val="100"/>
          <w:position w:val="0"/>
          <w:sz w:val="18"/>
          <w:szCs w:val="18"/>
        </w:rPr>
        <w:t>5</w:t>
      </w:r>
      <w:bookmarkEnd w:id="106"/>
      <w:r>
        <w:rPr>
          <w:color w:val="000000"/>
          <w:spacing w:val="0"/>
          <w:w w:val="100"/>
          <w:position w:val="0"/>
        </w:rPr>
        <w:t>、</w:t>
        <w:tab/>
        <w:t>持续规范运作，提升企业治理水平</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报告期内，公司根据上市公司规范运作相关要求，不断完善公司的法人治理结构，提升内部控制管理水平；公司通过绩 效考评体系、激励体系等鼓励员工发挥积极性与创造性，不断提高为公司、为客户创造价值的能力；公司积极跟进应收账款 管理，增强公司资金流动性；落实执行预算管理制度，严控各项成本开支，有效降低各项费用。公司持续提升经营管理水平， 促进企业健康稳定发展。</w:t>
      </w:r>
    </w:p>
    <w:p>
      <w:pPr>
        <w:pStyle w:val="Style22"/>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、主营业务分析</w:t>
      </w:r>
      <w:bookmarkEnd w:id="107"/>
      <w:bookmarkEnd w:id="108"/>
      <w:bookmarkEnd w:id="110"/>
    </w:p>
    <w:p>
      <w:pPr>
        <w:pStyle w:val="Style28"/>
        <w:keepNext/>
        <w:keepLines/>
        <w:widowControl w:val="0"/>
        <w:shd w:val="clear" w:color="auto" w:fill="auto"/>
        <w:tabs>
          <w:tab w:pos="368" w:val="left"/>
        </w:tabs>
        <w:bidi w:val="0"/>
        <w:spacing w:before="0" w:after="38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36"/>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9"/>
      <w:bookmarkEnd w:id="120"/>
      <w:bookmarkEnd w:id="12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203,926,202.98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196,542,876.01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203,926,202.98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196,542,876.01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银行自助设备现金 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73,456,874.16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103,596,668.64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银行现金流转内控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39,835,894.43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46,253,268.43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银行印章管理系统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35,780,072.45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25,322,370.28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银行支付系统人脸、 语音识别及安全解 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41,195,499.01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20,530,051.96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13,657,862.93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840,516.70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1,524.94%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31,180,184.03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36,847,627.67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28,857,169.45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40,290,010.59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43,797,392.82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27,934,778.76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51,051,392.25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47,937,783.58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34,234,974.02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25,792,966.57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4,703,885.87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9,174,064.44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10,101,204.54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8,565,644.40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第四季度</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37,739,426.0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43,307,192.4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50,052,424.5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72,827,159.9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53,568,381.6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51,512,890.9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38,832,944.5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52,628,658.8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 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6,070,972.85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3,044,261.10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7,020,852.60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1,149,103.47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9,882,104.94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6,300,034.21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1,325,687.17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2,610,502.77</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说明经营季节性（或周期性）发生的原因及波动风险</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随着银行业务的变革和转型，公司经营季节性或（周期性）的特征趋于不明显，各季度业务差距在缩小。</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公司主营业务是运用人工智能技术、物联网技术、密码算法技术为金融行业客户的运营管理、风险控制、网点转型、渠道建 设等提供专业解决方案和服务，系统性地控制风险、创新业务模式、降低金融客户运营成本，助力金融行业客户科技转型和 变革。公司业务直接受下游银行客户变化影响，银行业客户的投资和采购方式、风险控制模式、经营情况等对公司业务有直 接影响，银行业客户采购行为趋于分散，公司的季节性特征也趋于不明显。</w:t>
      </w:r>
    </w:p>
    <w:p>
      <w:pPr>
        <w:pStyle w:val="Style36"/>
        <w:keepNext/>
        <w:keepLines/>
        <w:widowControl w:val="0"/>
        <w:shd w:val="clear" w:color="auto" w:fill="auto"/>
        <w:bidi w:val="0"/>
        <w:spacing w:before="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203,926,202.98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110,543,834.31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银行自助设备现 金管理系统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73,456,874.16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31,715,298.49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银行现金流转内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39,835,894.43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16,016,377.86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银行印章管理系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35,780,072.45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29,828,155.10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银行支付系统人 脸、语音识别及 安全解决方案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41,195,499.01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27,546,802.20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31,180,184.03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17,501,266.01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28,857,169.45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15,563,121.61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43,797,392.82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24,627,641.17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51,051,392.25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24,894,495.63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34,234,974.02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21,157,386.68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7"/>
      <w:bookmarkEnd w:id="128"/>
      <w:bookmarkEnd w:id="130"/>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94,766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76,339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22,533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80" w:line="310" w:lineRule="exact"/>
        <w:ind w:left="0" w:right="0" w:firstLine="360"/>
        <w:jc w:val="left"/>
      </w:pPr>
      <w:r>
        <w:rPr>
          <w:color w:val="000000"/>
          <w:spacing w:val="0"/>
          <w:w w:val="100"/>
          <w:position w:val="0"/>
        </w:rPr>
        <w:t>报告期生产量较上年同期同比增加</w:t>
      </w:r>
      <w:r>
        <w:rPr>
          <w:rFonts w:ascii="Times New Roman" w:eastAsia="Times New Roman" w:hAnsi="Times New Roman" w:cs="Times New Roman"/>
          <w:color w:val="000000"/>
          <w:spacing w:val="0"/>
          <w:w w:val="100"/>
          <w:position w:val="0"/>
          <w:sz w:val="18"/>
          <w:szCs w:val="18"/>
        </w:rPr>
        <w:t>80.28%</w:t>
      </w:r>
      <w:r>
        <w:rPr>
          <w:color w:val="000000"/>
          <w:spacing w:val="0"/>
          <w:w w:val="100"/>
          <w:position w:val="0"/>
        </w:rPr>
        <w:t>，主要系本期银行支付系统人脸、语音识别及安全解决方案生产量</w:t>
      </w:r>
      <w:r>
        <w:rPr>
          <w:rFonts w:ascii="Times New Roman" w:eastAsia="Times New Roman" w:hAnsi="Times New Roman" w:cs="Times New Roman"/>
          <w:color w:val="000000"/>
          <w:spacing w:val="0"/>
          <w:w w:val="100"/>
          <w:position w:val="0"/>
          <w:sz w:val="18"/>
          <w:szCs w:val="18"/>
        </w:rPr>
        <w:t>89,467</w:t>
      </w:r>
      <w:r>
        <w:rPr>
          <w:color w:val="000000"/>
          <w:spacing w:val="0"/>
          <w:w w:val="100"/>
          <w:position w:val="0"/>
        </w:rPr>
        <w:t>台， 较上年同期增加</w:t>
      </w:r>
      <w:r>
        <w:rPr>
          <w:rFonts w:ascii="Times New Roman" w:eastAsia="Times New Roman" w:hAnsi="Times New Roman" w:cs="Times New Roman"/>
          <w:color w:val="000000"/>
          <w:spacing w:val="0"/>
          <w:w w:val="100"/>
          <w:position w:val="0"/>
          <w:sz w:val="18"/>
          <w:szCs w:val="18"/>
        </w:rPr>
        <w:t xml:space="preserve">222% </w:t>
      </w:r>
      <w:r>
        <w:rPr>
          <w:color w:val="000000"/>
          <w:spacing w:val="0"/>
          <w:w w:val="100"/>
          <w:position w:val="0"/>
        </w:rPr>
        <w:t>；报告期库存量较上年同期同比增加</w:t>
      </w:r>
      <w:r>
        <w:rPr>
          <w:rFonts w:ascii="Times New Roman" w:eastAsia="Times New Roman" w:hAnsi="Times New Roman" w:cs="Times New Roman"/>
          <w:color w:val="000000"/>
          <w:spacing w:val="0"/>
          <w:w w:val="100"/>
          <w:position w:val="0"/>
          <w:sz w:val="18"/>
          <w:szCs w:val="18"/>
        </w:rPr>
        <w:t>42.08%</w:t>
      </w:r>
      <w:r>
        <w:rPr>
          <w:color w:val="000000"/>
          <w:spacing w:val="0"/>
          <w:w w:val="100"/>
          <w:position w:val="0"/>
        </w:rPr>
        <w:t>，主要系本期银行支付系统人脸、语音识别及安全解决方 案库存量</w:t>
      </w:r>
      <w:r>
        <w:rPr>
          <w:rFonts w:ascii="Times New Roman" w:eastAsia="Times New Roman" w:hAnsi="Times New Roman" w:cs="Times New Roman"/>
          <w:color w:val="000000"/>
          <w:spacing w:val="0"/>
          <w:w w:val="100"/>
          <w:position w:val="0"/>
          <w:sz w:val="18"/>
          <w:szCs w:val="18"/>
        </w:rPr>
        <w:t>9,895</w:t>
      </w:r>
      <w:r>
        <w:rPr>
          <w:color w:val="000000"/>
          <w:spacing w:val="0"/>
          <w:w w:val="100"/>
          <w:position w:val="0"/>
        </w:rPr>
        <w:t>台，较上年同期增加</w:t>
      </w:r>
      <w:r>
        <w:rPr>
          <w:rFonts w:ascii="Times New Roman" w:eastAsia="Times New Roman" w:hAnsi="Times New Roman" w:cs="Times New Roman"/>
          <w:color w:val="000000"/>
          <w:spacing w:val="0"/>
          <w:w w:val="100"/>
          <w:position w:val="0"/>
          <w:sz w:val="18"/>
          <w:szCs w:val="18"/>
        </w:rPr>
        <w:t>397%</w:t>
      </w:r>
      <w:r>
        <w:rPr>
          <w:color w:val="000000"/>
          <w:spacing w:val="0"/>
          <w:w w:val="100"/>
          <w:position w:val="0"/>
        </w:rPr>
        <w:t>。</w:t>
      </w:r>
    </w:p>
    <w:p>
      <w:pPr>
        <w:pStyle w:val="Style36"/>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1"/>
      <w:bookmarkEnd w:id="132"/>
      <w:bookmarkEnd w:id="134"/>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5"/>
      <w:bookmarkEnd w:id="136"/>
      <w:bookmarkEnd w:id="138"/>
    </w:p>
    <w:p>
      <w:pPr>
        <w:pStyle w:val="Style24"/>
        <w:keepNext w:val="0"/>
        <w:keepLines w:val="0"/>
        <w:widowControl w:val="0"/>
        <w:shd w:val="clear" w:color="auto" w:fill="auto"/>
        <w:bidi w:val="0"/>
        <w:spacing w:before="0" w:after="40" w:line="310" w:lineRule="exact"/>
        <w:ind w:left="0" w:right="0" w:firstLine="0"/>
        <w:jc w:val="left"/>
      </w:pPr>
      <w:r>
        <w:rPr>
          <w:color w:val="000000"/>
          <w:spacing w:val="0"/>
          <w:w w:val="100"/>
          <w:position w:val="0"/>
        </w:rPr>
        <w:t>行业分类</w:t>
      </w:r>
    </w:p>
    <w:p>
      <w:pPr>
        <w:pStyle w:val="Style24"/>
        <w:keepNext w:val="0"/>
        <w:keepLines w:val="0"/>
        <w:widowControl w:val="0"/>
        <w:shd w:val="clear" w:color="auto" w:fill="auto"/>
        <w:bidi w:val="0"/>
        <w:spacing w:before="0" w:after="140" w:line="310" w:lineRule="exact"/>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92,657,207.14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69,994,275.82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2,956,552.04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3,626,428.17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5,218,913.53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8,619,624.25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产品发货运费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3,667,836.97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产品安装维保费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6,043,324.64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200" w:line="240" w:lineRule="auto"/>
        <w:ind w:left="0" w:right="0" w:firstLine="160"/>
        <w:jc w:val="both"/>
      </w:pPr>
      <w:r>
        <w:rPr>
          <w:color w:val="000000"/>
          <w:spacing w:val="0"/>
          <w:w w:val="100"/>
          <w:position w:val="0"/>
        </w:rPr>
        <w:t>本公司根据新收入准则规定，将原计入销售费用的产品发货运费</w:t>
      </w:r>
      <w:r>
        <w:rPr>
          <w:rFonts w:ascii="Times New Roman" w:eastAsia="Times New Roman" w:hAnsi="Times New Roman" w:cs="Times New Roman"/>
          <w:color w:val="000000"/>
          <w:spacing w:val="0"/>
          <w:w w:val="100"/>
          <w:position w:val="0"/>
          <w:sz w:val="18"/>
          <w:szCs w:val="18"/>
        </w:rPr>
        <w:t>366.78</w:t>
      </w:r>
      <w:r>
        <w:rPr>
          <w:color w:val="000000"/>
          <w:spacing w:val="0"/>
          <w:w w:val="100"/>
          <w:position w:val="0"/>
        </w:rPr>
        <w:t>万元及产品安装维保费</w:t>
      </w:r>
      <w:r>
        <w:rPr>
          <w:rFonts w:ascii="Times New Roman" w:eastAsia="Times New Roman" w:hAnsi="Times New Roman" w:cs="Times New Roman"/>
          <w:color w:val="000000"/>
          <w:spacing w:val="0"/>
          <w:w w:val="100"/>
          <w:position w:val="0"/>
          <w:sz w:val="18"/>
          <w:szCs w:val="18"/>
        </w:rPr>
        <w:t>604.33</w:t>
      </w:r>
      <w:r>
        <w:rPr>
          <w:color w:val="000000"/>
          <w:spacing w:val="0"/>
          <w:w w:val="100"/>
          <w:position w:val="0"/>
        </w:rPr>
        <w:t>万元计入营业成本。</w:t>
      </w:r>
      <w:r>
        <w:br w:type="page"/>
      </w:r>
    </w:p>
    <w:p>
      <w:pPr>
        <w:pStyle w:val="Style24"/>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主营业务成本构成</w:t>
      </w:r>
    </w:p>
    <w:p>
      <w:pPr>
        <w:pStyle w:val="Style24"/>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92,657,207.14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69,994,275.82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2,956,552.04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3,626,428.17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5,218,913.53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8,619,624.25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产品发货运费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3,667,836.97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产品安装维保费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6,043,324.64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r>
    </w:tbl>
    <w:p>
      <w:pPr>
        <w:widowControl w:val="0"/>
        <w:spacing w:after="319" w:line="1" w:lineRule="exact"/>
      </w:pPr>
    </w:p>
    <w:p>
      <w:pPr>
        <w:pStyle w:val="Style36"/>
        <w:keepNext/>
        <w:keepLines/>
        <w:widowControl w:val="0"/>
        <w:shd w:val="clear" w:color="auto" w:fill="auto"/>
        <w:tabs>
          <w:tab w:pos="913" w:val="left"/>
        </w:tabs>
        <w:bidi w:val="0"/>
        <w:spacing w:before="0" w:line="240" w:lineRule="auto"/>
        <w:ind w:left="0" w:right="0" w:firstLine="42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9"/>
      <w:bookmarkEnd w:id="140"/>
      <w:bookmarkEnd w:id="142"/>
    </w:p>
    <w:p>
      <w:pPr>
        <w:pStyle w:val="Style24"/>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913" w:val="left"/>
        </w:tabs>
        <w:bidi w:val="0"/>
        <w:spacing w:before="0" w:line="240" w:lineRule="auto"/>
        <w:ind w:left="0" w:right="0" w:firstLine="42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3"/>
      <w:bookmarkEnd w:id="144"/>
      <w:bookmarkEnd w:id="146"/>
    </w:p>
    <w:p>
      <w:pPr>
        <w:pStyle w:val="Style24"/>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913" w:val="left"/>
        </w:tabs>
        <w:bidi w:val="0"/>
        <w:spacing w:before="0" w:line="240" w:lineRule="auto"/>
        <w:ind w:left="0" w:right="0" w:firstLine="42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7"/>
      <w:bookmarkEnd w:id="148"/>
      <w:bookmarkEnd w:id="150"/>
    </w:p>
    <w:p>
      <w:pPr>
        <w:pStyle w:val="Style24"/>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123,868,802.49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38,739,834.00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37,523,092.76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23,682,921.71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13,837,473.47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10,085,480.55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123,868,802.49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60.74%</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39,178,935.43</w:t>
            </w:r>
          </w:p>
        </w:tc>
      </w:tr>
    </w:tbl>
    <w:p>
      <w:pPr>
        <w:spacing w:lineRule="exact" w:line="1"/>
        <w:rPr>
          <w:sz w:val="2"/>
          <w:szCs w:val="2"/>
        </w:rPr>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23,361,723.97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4,541,911.50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4,528,069.06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3,776,197.55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2,971,033.35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39,178,935.43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42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、费用</w:t>
      </w:r>
      <w:bookmarkEnd w:id="151"/>
      <w:bookmarkEnd w:id="152"/>
      <w:bookmarkEnd w:id="154"/>
    </w:p>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49,379,432.43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58,973,515.57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本期较上年同期减少</w:t>
            </w:r>
            <w:r>
              <w:rPr>
                <w:color w:val="000000"/>
                <w:spacing w:val="0"/>
                <w:w w:val="100"/>
                <w:position w:val="0"/>
                <w:sz w:val="18"/>
                <w:szCs w:val="18"/>
              </w:rPr>
              <w:t>16.27%</w:t>
            </w:r>
            <w:r>
              <w:rPr>
                <w:rFonts w:ascii="SimSun" w:eastAsia="SimSun" w:hAnsi="SimSun" w:cs="SimSun"/>
                <w:color w:val="000000"/>
                <w:spacing w:val="0"/>
                <w:w w:val="100"/>
                <w:position w:val="0"/>
                <w:sz w:val="17"/>
                <w:szCs w:val="17"/>
              </w:rPr>
              <w:t>，主要是 根据新收入准则将安装维保费及产 品运费计入主营业务成本所致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19,402,728.20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22,172,121.80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本期较上年同期减少</w:t>
            </w:r>
            <w:r>
              <w:rPr>
                <w:color w:val="000000"/>
                <w:spacing w:val="0"/>
                <w:w w:val="100"/>
                <w:position w:val="0"/>
                <w:sz w:val="18"/>
                <w:szCs w:val="18"/>
              </w:rPr>
              <w:t>12.49%</w:t>
            </w:r>
            <w:r>
              <w:rPr>
                <w:rFonts w:ascii="SimSun" w:eastAsia="SimSun" w:hAnsi="SimSun" w:cs="SimSun"/>
                <w:color w:val="000000"/>
                <w:spacing w:val="0"/>
                <w:w w:val="100"/>
                <w:position w:val="0"/>
                <w:sz w:val="17"/>
                <w:szCs w:val="17"/>
              </w:rPr>
              <w:t>，主要是 本期中介机构鉴证服务费减少所致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-330,178.07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-577,022.38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本期较上年同期增加</w:t>
            </w:r>
            <w:r>
              <w:rPr>
                <w:color w:val="000000"/>
                <w:spacing w:val="0"/>
                <w:w w:val="100"/>
                <w:position w:val="0"/>
                <w:sz w:val="18"/>
                <w:szCs w:val="18"/>
              </w:rPr>
              <w:t>42.78%</w:t>
            </w:r>
            <w:r>
              <w:rPr>
                <w:rFonts w:ascii="SimSun" w:eastAsia="SimSun" w:hAnsi="SimSun" w:cs="SimSun"/>
                <w:color w:val="000000"/>
                <w:spacing w:val="0"/>
                <w:w w:val="100"/>
                <w:position w:val="0"/>
                <w:sz w:val="17"/>
                <w:szCs w:val="17"/>
              </w:rPr>
              <w:t>，主要是 本期闲置资金减少导致利息收入减 少所述</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25,946,781.83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32,347,916.13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本期较上年同期减少</w:t>
            </w:r>
            <w:r>
              <w:rPr>
                <w:color w:val="000000"/>
                <w:spacing w:val="0"/>
                <w:w w:val="100"/>
                <w:position w:val="0"/>
                <w:sz w:val="18"/>
                <w:szCs w:val="18"/>
              </w:rPr>
              <w:t>19.79%</w:t>
            </w:r>
            <w:r>
              <w:rPr>
                <w:rFonts w:ascii="SimSun" w:eastAsia="SimSun" w:hAnsi="SimSun" w:cs="SimSun"/>
                <w:color w:val="000000"/>
                <w:spacing w:val="0"/>
                <w:w w:val="100"/>
                <w:position w:val="0"/>
                <w:sz w:val="17"/>
                <w:szCs w:val="17"/>
              </w:rPr>
              <w:t>，主要是 持续推进降本增效体系建设，较好的 控制各项费用</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42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4</w:t>
      </w:r>
      <w:bookmarkEnd w:id="157"/>
      <w:r>
        <w:rPr>
          <w:color w:val="000000"/>
          <w:spacing w:val="0"/>
          <w:w w:val="100"/>
          <w:position w:val="0"/>
        </w:rPr>
        <w:t>、研发投入</w:t>
      </w:r>
      <w:bookmarkEnd w:id="155"/>
      <w:bookmarkEnd w:id="156"/>
      <w:bookmarkEnd w:id="158"/>
    </w:p>
    <w:p>
      <w:pPr>
        <w:pStyle w:val="Style24"/>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418" w:right="0" w:firstLine="0"/>
        <w:jc w:val="left"/>
      </w:pPr>
      <w:r>
        <w:rPr>
          <w:color w:val="000000"/>
          <w:spacing w:val="0"/>
          <w:w w:val="100"/>
          <w:position w:val="0"/>
        </w:rPr>
        <w:t>报告期内，公司从事的主要研发项目情况如下:</w:t>
      </w:r>
    </w:p>
    <w:tbl>
      <w:tblPr>
        <w:tblOverlap w:val="never"/>
        <w:jc w:val="center"/>
        <w:tblLayout w:type="fixed"/>
      </w:tblPr>
      <w:tblGrid>
        <w:gridCol w:w="1637"/>
        <w:gridCol w:w="5136"/>
        <w:gridCol w:w="1277"/>
        <w:gridCol w:w="2458"/>
      </w:tblGrid>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拟达到目标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目前进展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对公司未来发展的影响</w:t>
            </w:r>
          </w:p>
        </w:tc>
      </w:tr>
      <w:tr>
        <w:trPr>
          <w:trHeight w:val="13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center"/>
              <w:rPr>
                <w:sz w:val="17"/>
                <w:szCs w:val="17"/>
              </w:rPr>
            </w:pPr>
            <w:r>
              <w:rPr>
                <w:rFonts w:ascii="SimSun" w:eastAsia="SimSun" w:hAnsi="SimSun" w:cs="SimSun"/>
                <w:color w:val="000000"/>
                <w:spacing w:val="0"/>
                <w:w w:val="100"/>
                <w:position w:val="0"/>
                <w:sz w:val="17"/>
                <w:szCs w:val="17"/>
              </w:rPr>
              <w:t>银行现金及重要物 品实物管理系统</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rPr>
                <w:sz w:val="17"/>
                <w:szCs w:val="17"/>
              </w:rPr>
            </w:pPr>
            <w:r>
              <w:rPr>
                <w:rFonts w:ascii="SimSun" w:eastAsia="SimSun" w:hAnsi="SimSun" w:cs="SimSun"/>
                <w:color w:val="000000"/>
                <w:spacing w:val="0"/>
                <w:w w:val="100"/>
                <w:position w:val="0"/>
                <w:sz w:val="17"/>
                <w:szCs w:val="17"/>
              </w:rPr>
              <w:t>现金及重要物品实物管理系统主要是围绕对银行已有的现金 类、重要单证类、贵金属及权证等交易进行系统化管控的业务系 统，借助与现有系统现金凭证系统、统一柜面系统、资金清算系 统等进行交互，以达到实物流、信息流和账务流的同步。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研发阶段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根据银行业务发展需要，结合 同业最佳实践，在借助应用物 联网技术基础上，建设完成符 合运营管理要求的现金及重要</w:t>
            </w:r>
          </w:p>
        </w:tc>
      </w:tr>
    </w:tbl>
    <w:p>
      <w:pPr>
        <w:spacing w:lineRule="exact" w:line="1"/>
        <w:rPr>
          <w:sz w:val="2"/>
          <w:szCs w:val="2"/>
        </w:rPr>
      </w:pPr>
      <w:r>
        <w:br w:type="page"/>
      </w:r>
    </w:p>
    <w:tbl>
      <w:tblPr>
        <w:tblOverlap w:val="never"/>
        <w:jc w:val="center"/>
        <w:tblLayout w:type="fixed"/>
      </w:tblPr>
      <w:tblGrid>
        <w:gridCol w:w="1637"/>
        <w:gridCol w:w="5136"/>
        <w:gridCol w:w="1277"/>
        <w:gridCol w:w="2458"/>
      </w:tblGrid>
      <w:tr>
        <w:trPr>
          <w:trHeight w:val="19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实物管理系统应用物联网技术，借助</w:t>
            </w:r>
            <w:r>
              <w:rPr>
                <w:color w:val="000000"/>
                <w:spacing w:val="0"/>
                <w:w w:val="100"/>
                <w:position w:val="0"/>
                <w:sz w:val="18"/>
                <w:szCs w:val="18"/>
              </w:rPr>
              <w:t>RFID</w:t>
            </w:r>
            <w:r>
              <w:rPr>
                <w:rFonts w:ascii="SimSun" w:eastAsia="SimSun" w:hAnsi="SimSun" w:cs="SimSun"/>
                <w:color w:val="000000"/>
                <w:spacing w:val="0"/>
                <w:w w:val="100"/>
                <w:position w:val="0"/>
                <w:sz w:val="17"/>
                <w:szCs w:val="17"/>
              </w:rPr>
              <w:t>电子标签、</w:t>
            </w:r>
            <w:r>
              <w:rPr>
                <w:color w:val="000000"/>
                <w:spacing w:val="0"/>
                <w:w w:val="100"/>
                <w:position w:val="0"/>
                <w:sz w:val="18"/>
                <w:szCs w:val="18"/>
              </w:rPr>
              <w:t>PDA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批量 扫描设备等外设，采集实物在流转各环节的状态和信息，实现现 金及重要物品实物交接、盘库等电子化全流程管理，完成电子信 息的传递取代传统的纸质介质，同时采用生物识别技术对交接人 员身份进行验证，完成电子信息传递取代传统纸质介质，满足银 行对实物流转、金库管理的管控要求。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物品实物管理系统，进一步提 升我司产品与客户粘合度。</w:t>
            </w:r>
          </w:p>
        </w:tc>
      </w:tr>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智能业务库管理系 统解决方案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420"/>
              <w:jc w:val="both"/>
              <w:rPr>
                <w:sz w:val="17"/>
                <w:szCs w:val="17"/>
              </w:rPr>
            </w:pPr>
            <w:r>
              <w:rPr>
                <w:rFonts w:ascii="SimSun" w:eastAsia="SimSun" w:hAnsi="SimSun" w:cs="SimSun"/>
                <w:color w:val="000000"/>
                <w:spacing w:val="0"/>
                <w:w w:val="100"/>
                <w:position w:val="0"/>
                <w:sz w:val="17"/>
                <w:szCs w:val="17"/>
              </w:rPr>
              <w:t>通过在网点部署符合公安要求的智能业务库，搭建统一的银 行重控物品及现金管理智能化管理平台，以降低对押运业务的依 赖，提高网点营运效率及防范网点运营风险，助力网点由成本型 向效益型转型。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紧贴银行业务需求，解决现行 现金萎缩下的成本控制要求和 安防要求，市场前景大，有望 成为新的利润增长点。</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金融</w:t>
            </w:r>
            <w:r>
              <w:rPr>
                <w:color w:val="000000"/>
                <w:spacing w:val="0"/>
                <w:w w:val="100"/>
                <w:position w:val="0"/>
                <w:sz w:val="18"/>
                <w:szCs w:val="18"/>
              </w:rPr>
              <w:t>AI</w:t>
            </w:r>
            <w:r>
              <w:rPr>
                <w:rFonts w:ascii="SimSun" w:eastAsia="SimSun" w:hAnsi="SimSun" w:cs="SimSun"/>
                <w:color w:val="000000"/>
                <w:spacing w:val="0"/>
                <w:w w:val="100"/>
                <w:position w:val="0"/>
                <w:sz w:val="17"/>
                <w:szCs w:val="17"/>
              </w:rPr>
              <w:t>解决方案</w:t>
            </w:r>
          </w:p>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20"/>
              <w:jc w:val="both"/>
              <w:rPr>
                <w:sz w:val="17"/>
                <w:szCs w:val="17"/>
              </w:rPr>
            </w:pPr>
            <w:r>
              <w:rPr>
                <w:rFonts w:ascii="SimSun" w:eastAsia="SimSun" w:hAnsi="SimSun" w:cs="SimSun"/>
                <w:color w:val="000000"/>
                <w:spacing w:val="0"/>
                <w:w w:val="100"/>
                <w:position w:val="0"/>
                <w:sz w:val="17"/>
                <w:szCs w:val="17"/>
              </w:rPr>
              <w:t>风控红外双目摄像头是一款高安全性的智能人脸识别设备， 具备金融级的安全硬件，可结合人脸活检</w:t>
            </w:r>
            <w:r>
              <w:rPr>
                <w:color w:val="000000"/>
                <w:spacing w:val="0"/>
                <w:w w:val="100"/>
                <w:position w:val="0"/>
                <w:sz w:val="18"/>
                <w:szCs w:val="18"/>
              </w:rPr>
              <w:t>/</w:t>
            </w:r>
            <w:r>
              <w:rPr>
                <w:rFonts w:ascii="SimSun" w:eastAsia="SimSun" w:hAnsi="SimSun" w:cs="SimSun"/>
                <w:color w:val="000000"/>
                <w:spacing w:val="0"/>
                <w:w w:val="100"/>
                <w:position w:val="0"/>
                <w:sz w:val="17"/>
                <w:szCs w:val="17"/>
              </w:rPr>
              <w:t>比对算法，有效防止平 面照片、</w:t>
            </w:r>
            <w:r>
              <w:rPr>
                <w:color w:val="000000"/>
                <w:spacing w:val="0"/>
                <w:w w:val="100"/>
                <w:position w:val="0"/>
                <w:sz w:val="18"/>
                <w:szCs w:val="18"/>
              </w:rPr>
              <w:t>PS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视频等伪装欺诈，实现无感身份验证，可应用在信 贷信用审批、柜面业务系统的身份认证或授权等环节。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继续巩固在金融</w:t>
            </w:r>
            <w:r>
              <w:rPr>
                <w:color w:val="000000"/>
                <w:spacing w:val="0"/>
                <w:w w:val="100"/>
                <w:position w:val="0"/>
                <w:sz w:val="18"/>
                <w:szCs w:val="18"/>
              </w:rPr>
              <w:t>AI</w:t>
            </w:r>
            <w:r>
              <w:rPr>
                <w:rFonts w:ascii="SimSun" w:eastAsia="SimSun" w:hAnsi="SimSun" w:cs="SimSun"/>
                <w:color w:val="000000"/>
                <w:spacing w:val="0"/>
                <w:w w:val="100"/>
                <w:position w:val="0"/>
                <w:sz w:val="17"/>
                <w:szCs w:val="17"/>
              </w:rPr>
              <w:t>领域的市场 地位，在行业内树立品牌形象 和产品标准，落实公司的产品 战略规划，顺应</w:t>
            </w:r>
            <w:r>
              <w:rPr>
                <w:color w:val="000000"/>
                <w:spacing w:val="0"/>
                <w:w w:val="100"/>
                <w:position w:val="0"/>
                <w:sz w:val="18"/>
                <w:szCs w:val="18"/>
              </w:rPr>
              <w:t>“AI+</w:t>
            </w:r>
            <w:r>
              <w:rPr>
                <w:rFonts w:ascii="SimSun" w:eastAsia="SimSun" w:hAnsi="SimSun" w:cs="SimSun"/>
                <w:color w:val="000000"/>
                <w:spacing w:val="0"/>
                <w:w w:val="100"/>
                <w:position w:val="0"/>
                <w:sz w:val="17"/>
                <w:szCs w:val="17"/>
              </w:rPr>
              <w:t>金融</w:t>
            </w:r>
            <w:r>
              <w:rPr>
                <w:color w:val="000000"/>
                <w:spacing w:val="0"/>
                <w:w w:val="100"/>
                <w:position w:val="0"/>
                <w:sz w:val="18"/>
                <w:szCs w:val="18"/>
              </w:rPr>
              <w:t>”</w:t>
            </w:r>
            <w:r>
              <w:rPr>
                <w:rFonts w:ascii="SimSun" w:eastAsia="SimSun" w:hAnsi="SimSun" w:cs="SimSun"/>
                <w:color w:val="000000"/>
                <w:spacing w:val="0"/>
                <w:w w:val="100"/>
                <w:position w:val="0"/>
                <w:sz w:val="17"/>
                <w:szCs w:val="17"/>
              </w:rPr>
              <w:t>潮 流，为公司新的业绩增长点；</w:t>
            </w:r>
          </w:p>
        </w:tc>
      </w:tr>
      <w:tr>
        <w:trPr>
          <w:trHeight w:val="11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center"/>
              <w:rPr>
                <w:sz w:val="17"/>
                <w:szCs w:val="17"/>
              </w:rPr>
            </w:pPr>
            <w:r>
              <w:rPr>
                <w:rFonts w:ascii="SimSun" w:eastAsia="SimSun" w:hAnsi="SimSun" w:cs="SimSun"/>
                <w:color w:val="000000"/>
                <w:spacing w:val="0"/>
                <w:w w:val="100"/>
                <w:position w:val="0"/>
                <w:sz w:val="17"/>
                <w:szCs w:val="17"/>
              </w:rPr>
              <w:t>物联网印章 管理系统</w:t>
            </w:r>
          </w:p>
          <w:p>
            <w:pPr>
              <w:pStyle w:val="Style2"/>
              <w:keepNext w:val="0"/>
              <w:keepLines w:val="0"/>
              <w:widowControl w:val="0"/>
              <w:shd w:val="clear" w:color="auto" w:fill="auto"/>
              <w:bidi w:val="0"/>
              <w:spacing w:before="0" w:after="0" w:line="360" w:lineRule="exact"/>
              <w:ind w:left="0" w:right="0" w:firstLine="460"/>
              <w:jc w:val="left"/>
              <w:rPr>
                <w:sz w:val="17"/>
                <w:szCs w:val="17"/>
              </w:rPr>
            </w:pPr>
            <w:r>
              <w:rPr>
                <w:rFonts w:ascii="SimSun" w:eastAsia="SimSun" w:hAnsi="SimSun" w:cs="SimSun"/>
                <w:color w:val="000000"/>
                <w:spacing w:val="0"/>
                <w:w w:val="100"/>
                <w:position w:val="0"/>
                <w:sz w:val="17"/>
                <w:szCs w:val="17"/>
              </w:rPr>
              <w:t>（四期）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rPr>
                <w:sz w:val="17"/>
                <w:szCs w:val="17"/>
              </w:rPr>
            </w:pPr>
            <w:r>
              <w:rPr>
                <w:rFonts w:ascii="SimSun" w:eastAsia="SimSun" w:hAnsi="SimSun" w:cs="SimSun"/>
                <w:color w:val="000000"/>
                <w:spacing w:val="0"/>
                <w:w w:val="100"/>
                <w:position w:val="0"/>
                <w:sz w:val="17"/>
                <w:szCs w:val="17"/>
              </w:rPr>
              <w:t>对印章管理系统和硬件进一步优化改进，丰富产品及系统功 能，提升客户使用体验，更加安全、方便地实现银行工作中对实 体印章的管理和使用。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发布阶段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加强了公司智能印控仪产品在 市场的占有率，特别是大客户 市场的占有率。</w:t>
            </w:r>
          </w:p>
        </w:tc>
      </w:tr>
      <w:tr>
        <w:trPr>
          <w:trHeight w:val="20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center"/>
              <w:rPr>
                <w:sz w:val="17"/>
                <w:szCs w:val="17"/>
              </w:rPr>
            </w:pPr>
            <w:r>
              <w:rPr>
                <w:rFonts w:ascii="SimSun" w:eastAsia="SimSun" w:hAnsi="SimSun" w:cs="SimSun"/>
                <w:color w:val="000000"/>
                <w:spacing w:val="0"/>
                <w:w w:val="100"/>
                <w:position w:val="0"/>
                <w:sz w:val="17"/>
                <w:szCs w:val="17"/>
              </w:rPr>
              <w:t>银行移动业务安全 管控解决方案</w:t>
            </w:r>
          </w:p>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60"/>
              <w:jc w:val="both"/>
              <w:rPr>
                <w:sz w:val="17"/>
                <w:szCs w:val="17"/>
              </w:rPr>
            </w:pPr>
            <w:r>
              <w:rPr>
                <w:rFonts w:ascii="SimSun" w:eastAsia="SimSun" w:hAnsi="SimSun" w:cs="SimSun"/>
                <w:color w:val="000000"/>
                <w:spacing w:val="0"/>
                <w:w w:val="100"/>
                <w:position w:val="0"/>
                <w:sz w:val="17"/>
                <w:szCs w:val="17"/>
              </w:rPr>
              <w:t>基于上一代产品和主要客户的需求，着重提升产品的体验感 和产品线性能，包括使产品更加轻便，提升硬件性能和整机运算 处理能力。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研发阶段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稳固公司在银行移动金融解决 方案领域的产品竞争力，同时 为开拓更大市场做准备，从而 完善金融行业产品线布局，巩 固公司在金融行业解决方案的 领先地位。</w:t>
            </w:r>
          </w:p>
        </w:tc>
      </w:tr>
      <w:tr>
        <w:trPr>
          <w:trHeight w:val="22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center"/>
              <w:rPr>
                <w:sz w:val="17"/>
                <w:szCs w:val="17"/>
              </w:rPr>
            </w:pPr>
            <w:r>
              <w:rPr>
                <w:rFonts w:ascii="SimSun" w:eastAsia="SimSun" w:hAnsi="SimSun" w:cs="SimSun"/>
                <w:color w:val="000000"/>
                <w:spacing w:val="0"/>
                <w:w w:val="100"/>
                <w:position w:val="0"/>
                <w:sz w:val="17"/>
                <w:szCs w:val="17"/>
              </w:rPr>
              <w:t>自助设备加配钞管 理系统</w:t>
            </w:r>
          </w:p>
          <w:p>
            <w:pPr>
              <w:pStyle w:val="Style2"/>
              <w:keepNext w:val="0"/>
              <w:keepLines w:val="0"/>
              <w:widowControl w:val="0"/>
              <w:shd w:val="clear" w:color="auto" w:fill="auto"/>
              <w:bidi w:val="0"/>
              <w:spacing w:before="0" w:after="0" w:line="307" w:lineRule="exact"/>
              <w:ind w:left="0" w:right="0" w:firstLine="460"/>
              <w:jc w:val="left"/>
              <w:rPr>
                <w:sz w:val="17"/>
                <w:szCs w:val="17"/>
              </w:rPr>
            </w:pPr>
            <w:r>
              <w:rPr>
                <w:rFonts w:ascii="SimSun" w:eastAsia="SimSun" w:hAnsi="SimSun" w:cs="SimSun"/>
                <w:color w:val="000000"/>
                <w:spacing w:val="0"/>
                <w:w w:val="100"/>
                <w:position w:val="0"/>
                <w:sz w:val="17"/>
                <w:szCs w:val="17"/>
              </w:rPr>
              <w:t>（二期）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20"/>
              <w:jc w:val="both"/>
              <w:rPr>
                <w:sz w:val="17"/>
                <w:szCs w:val="17"/>
              </w:rPr>
            </w:pPr>
            <w:r>
              <w:rPr>
                <w:rFonts w:ascii="SimSun" w:eastAsia="SimSun" w:hAnsi="SimSun" w:cs="SimSun"/>
                <w:color w:val="000000"/>
                <w:spacing w:val="0"/>
                <w:w w:val="100"/>
                <w:position w:val="0"/>
                <w:sz w:val="17"/>
                <w:szCs w:val="17"/>
              </w:rPr>
              <w:t>本产品主要为在以前产品功能基础上优化产品的结构、硬件、 工艺等，提升产品可靠性、兼容性（适应包括指纹、指静脉在内 的多种生物识别方式），使产品整体解决方案更贴近行内实际业 务需求，以提高公司产品竞争力。产品具有完整的加密体系，采 用一次有效的动态密码机制；采用国密算法，符合自主可控发展 方向；操作过程无需介质，有效的提高了银行在自助设备加配钞 环节的可操作性及管理精细度。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研发阶段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公司的主打产品，为客户提供 高效、便捷、安全的解决方案, 进一步提升产品的竞争力，稳 固产品的市场地位。</w:t>
            </w:r>
          </w:p>
        </w:tc>
      </w:tr>
    </w:tbl>
    <w:p>
      <w:pPr>
        <w:widowControl w:val="0"/>
        <w:spacing w:after="37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25,946,781.83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32,347,916.13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35,901,446.12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实施进度</w:t>
            </w:r>
          </w:p>
        </w:tc>
      </w:tr>
      <w:tr>
        <w:trPr>
          <w:trHeight w:val="1277"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159" w:name="bookmark159"/>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、现金流</w:t>
            </w:r>
            <w:bookmarkEnd w:id="159"/>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285,669,457.49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254,396,127.12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236,775,548.44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201,978,823.46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48,893,909.05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52,417,303.66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812,794,231.14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1,113,216,700.66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874,947,039.28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1,161,695,042.86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-62,152,808.14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-48,478,342.20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6,354,057.16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30,612,661.19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48,552,406.54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-24,258,604.03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-48,552,406.54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-37,519,664.93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-44,611,917.18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w:t>
            </w:r>
          </w:p>
        </w:tc>
      </w:tr>
    </w:tbl>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筹资活动产生的现金流量净额较上年同期下降</w:t>
      </w:r>
      <w:r>
        <w:rPr>
          <w:rFonts w:ascii="Times New Roman" w:eastAsia="Times New Roman" w:hAnsi="Times New Roman" w:cs="Times New Roman"/>
          <w:color w:val="000000"/>
          <w:spacing w:val="0"/>
          <w:w w:val="100"/>
          <w:position w:val="0"/>
          <w:sz w:val="18"/>
          <w:szCs w:val="18"/>
        </w:rPr>
        <w:t>50.04%</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年支付股利及员工激励限制性股票回购金额较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 少所致。</w:t>
      </w:r>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,725.52</w:t>
      </w:r>
      <w:r>
        <w:rPr>
          <w:color w:val="000000"/>
          <w:spacing w:val="0"/>
          <w:w w:val="100"/>
          <w:position w:val="0"/>
        </w:rPr>
        <w:t>万元，经营活动产生的现金流量净额</w:t>
      </w:r>
      <w:r>
        <w:rPr>
          <w:rFonts w:ascii="Times New Roman" w:eastAsia="Times New Roman" w:hAnsi="Times New Roman" w:cs="Times New Roman"/>
          <w:color w:val="000000"/>
          <w:spacing w:val="0"/>
          <w:w w:val="100"/>
          <w:position w:val="0"/>
          <w:sz w:val="18"/>
          <w:szCs w:val="18"/>
        </w:rPr>
        <w:t>4,889.39</w:t>
      </w:r>
      <w:r>
        <w:rPr>
          <w:color w:val="000000"/>
          <w:spacing w:val="0"/>
          <w:w w:val="100"/>
          <w:position w:val="0"/>
        </w:rPr>
        <w:t>万元，差异</w:t>
      </w:r>
      <w:r>
        <w:rPr>
          <w:rFonts w:ascii="Times New Roman" w:eastAsia="Times New Roman" w:hAnsi="Times New Roman" w:cs="Times New Roman"/>
          <w:color w:val="000000"/>
          <w:spacing w:val="0"/>
          <w:w w:val="100"/>
          <w:position w:val="0"/>
          <w:sz w:val="18"/>
          <w:szCs w:val="18"/>
        </w:rPr>
        <w:t>-3,163.87</w:t>
      </w:r>
      <w:r>
        <w:rPr>
          <w:color w:val="000000"/>
          <w:spacing w:val="0"/>
          <w:w w:val="100"/>
          <w:position w:val="0"/>
        </w:rPr>
        <w:t>万元，主要系公司加强应收账款管理 减少期末未收回货款所致。</w:t>
      </w:r>
      <w:r>
        <w:br w:type="page"/>
      </w:r>
    </w:p>
    <w:p>
      <w:pPr>
        <w:pStyle w:val="Style22"/>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sz w:val="24"/>
          <w:szCs w:val="24"/>
        </w:rPr>
        <w:t>三</w:t>
      </w:r>
      <w:bookmarkEnd w:id="162"/>
      <w:r>
        <w:rPr>
          <w:color w:val="000000"/>
          <w:spacing w:val="0"/>
          <w:w w:val="100"/>
          <w:position w:val="0"/>
          <w:sz w:val="24"/>
          <w:szCs w:val="24"/>
        </w:rPr>
        <w:t>、非主营业务情况</w:t>
      </w:r>
      <w:bookmarkEnd w:id="160"/>
      <w:bookmarkEnd w:id="161"/>
      <w:bookmarkEnd w:id="163"/>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5,271,854.55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245,931.50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保本浮动收益银行理财产 品收益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3,311,465.24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245,931.50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主要为公益捐赠支出、非流 动资产报废损失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17,829,532.98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主要为与日常活动有关的 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-1,044,918.32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主要为应收账款、其他应收 款坏账准备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应收账款坏账准备具有可持 续性</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四</w:t>
      </w:r>
      <w:bookmarkEnd w:id="166"/>
      <w:r>
        <w:rPr>
          <w:color w:val="000000"/>
          <w:spacing w:val="0"/>
          <w:w w:val="100"/>
          <w:position w:val="0"/>
          <w:sz w:val="24"/>
          <w:szCs w:val="24"/>
        </w:rPr>
        <w:t>、资产及负债状况分析</w:t>
      </w:r>
      <w:bookmarkEnd w:id="164"/>
      <w:bookmarkEnd w:id="165"/>
      <w:bookmarkEnd w:id="167"/>
    </w:p>
    <w:p>
      <w:pPr>
        <w:pStyle w:val="Style28"/>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、资产构成重大变动情况</w:t>
      </w:r>
      <w:bookmarkEnd w:id="168"/>
      <w:bookmarkEnd w:id="169"/>
      <w:bookmarkEnd w:id="171"/>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82,900,839.71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120,155,171.52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87,144,787.42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122,217,512.98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46,812,828.40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44,827,334.31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9,873,096.10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10,894,340.97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297,739,460.0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236,397,336.85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主要是创新科技海岸厂房项目基建 工程增加所致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5,631,757.16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23,191,780.58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111,019,857.84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主要是期末购买保本保收益理财产 品减少所致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9,796,697.08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10,636,880.90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178,245,931.5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110,262,498.63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主要是期末非保本保收益理财产品</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11,860,933.60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6,685,218.00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6,343,496.90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3,073,642.70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824,654.60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、以公允价值计量的资产和负债</w:t>
      </w:r>
      <w:bookmarkEnd w:id="172"/>
      <w:bookmarkEnd w:id="173"/>
      <w:bookmarkEnd w:id="17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110,262,498.</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245,931.50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178,245,931.50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110,262,498.</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245,931.50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178,245,931.50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26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、截至报告期末的资产权利受限情况</w:t>
      </w:r>
      <w:bookmarkEnd w:id="176"/>
      <w:bookmarkEnd w:id="177"/>
      <w:bookmarkEnd w:id="179"/>
    </w:p>
    <w:p>
      <w:pPr>
        <w:pStyle w:val="Style24"/>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日止，本公司位于广东省珠海市科技创新海岸北围鼎兴路北、兴中路西侧的土地及地上建筑物基于与交通 银行股份有限公司珠海分行签定的贷款合同（合同号</w:t>
      </w:r>
      <w:r>
        <w:rPr>
          <w:rFonts w:ascii="Times New Roman" w:eastAsia="Times New Roman" w:hAnsi="Times New Roman" w:cs="Times New Roman"/>
          <w:color w:val="000000"/>
          <w:spacing w:val="0"/>
          <w:w w:val="100"/>
          <w:position w:val="0"/>
          <w:sz w:val="18"/>
          <w:szCs w:val="18"/>
        </w:rPr>
        <w:t>A07190202015）</w:t>
      </w:r>
      <w:r>
        <w:rPr>
          <w:color w:val="000000"/>
          <w:spacing w:val="0"/>
          <w:w w:val="100"/>
          <w:position w:val="0"/>
        </w:rPr>
        <w:t>抵押给交通银行股份有限公司珠海分行。</w:t>
      </w:r>
    </w:p>
    <w:p>
      <w:pPr>
        <w:pStyle w:val="Style22"/>
        <w:keepNext/>
        <w:keepLines/>
        <w:widowControl w:val="0"/>
        <w:shd w:val="clear" w:color="auto" w:fill="auto"/>
        <w:bidi w:val="0"/>
        <w:spacing w:before="0" w:after="34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sz w:val="24"/>
          <w:szCs w:val="24"/>
        </w:rPr>
        <w:t>五</w:t>
      </w:r>
      <w:bookmarkEnd w:id="182"/>
      <w:r>
        <w:rPr>
          <w:color w:val="000000"/>
          <w:spacing w:val="0"/>
          <w:w w:val="100"/>
          <w:position w:val="0"/>
          <w:sz w:val="24"/>
          <w:szCs w:val="24"/>
        </w:rPr>
        <w:t>、投资状况分析</w:t>
      </w:r>
      <w:bookmarkEnd w:id="180"/>
      <w:bookmarkEnd w:id="181"/>
      <w:bookmarkEnd w:id="183"/>
    </w:p>
    <w:p>
      <w:pPr>
        <w:pStyle w:val="Style28"/>
        <w:keepNext/>
        <w:keepLines/>
        <w:widowControl w:val="0"/>
        <w:shd w:val="clear" w:color="auto" w:fill="auto"/>
        <w:bidi w:val="0"/>
        <w:spacing w:before="0" w:after="34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、总体情况</w:t>
      </w:r>
      <w:bookmarkEnd w:id="184"/>
      <w:bookmarkEnd w:id="185"/>
      <w:bookmarkEnd w:id="187"/>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61,342,123.24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181,707,551.79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-66.24%</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、报告期内获取的重大的股权投资情况</w:t>
      </w:r>
      <w:bookmarkEnd w:id="188"/>
      <w:bookmarkEnd w:id="189"/>
      <w:bookmarkEnd w:id="191"/>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tabs>
          <w:tab w:pos="378" w:val="left"/>
        </w:tabs>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w:t>
        <w:tab/>
        <w:t>报告期内正在进行的重大的非股权投资情况</w:t>
      </w:r>
      <w:bookmarkEnd w:id="192"/>
      <w:bookmarkEnd w:id="193"/>
      <w:bookmarkEnd w:id="195"/>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4</w:t>
      </w:r>
      <w:bookmarkEnd w:id="198"/>
      <w:r>
        <w:rPr>
          <w:color w:val="000000"/>
          <w:spacing w:val="0"/>
          <w:w w:val="100"/>
          <w:position w:val="0"/>
        </w:rPr>
        <w:t>、</w:t>
        <w:tab/>
        <w:t>以公允价值计量的金融资产</w:t>
      </w:r>
      <w:bookmarkEnd w:id="196"/>
      <w:bookmarkEnd w:id="197"/>
      <w:bookmarkEnd w:id="199"/>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累计投资收</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110,262,49</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245,931.50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4,637,669.8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178,245,931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110,262,49</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245,931.50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4,637,669.8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178,245,931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5</w:t>
      </w:r>
      <w:bookmarkEnd w:id="202"/>
      <w:r>
        <w:rPr>
          <w:color w:val="000000"/>
          <w:spacing w:val="0"/>
          <w:w w:val="100"/>
          <w:position w:val="0"/>
        </w:rPr>
        <w:t>、募集资金使用情况</w:t>
      </w:r>
      <w:bookmarkEnd w:id="200"/>
      <w:bookmarkEnd w:id="201"/>
      <w:bookmarkEnd w:id="203"/>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4"/>
      <w:bookmarkEnd w:id="205"/>
      <w:bookmarkEnd w:id="207"/>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尚未使用 的募集资 金将用于 完成募投 项目，其存 放于募投 资金三方 监管专户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年度，募集资金项目投入金额合计</w:t>
            </w:r>
            <w:r>
              <w:rPr>
                <w:color w:val="000000"/>
                <w:spacing w:val="0"/>
                <w:w w:val="100"/>
                <w:position w:val="0"/>
                <w:sz w:val="18"/>
                <w:szCs w:val="18"/>
              </w:rPr>
              <w:t>6,518.66</w:t>
            </w:r>
            <w:r>
              <w:rPr>
                <w:rFonts w:ascii="SimSun" w:eastAsia="SimSun" w:hAnsi="SimSun" w:cs="SimSun"/>
                <w:color w:val="000000"/>
                <w:spacing w:val="0"/>
                <w:w w:val="100"/>
                <w:position w:val="0"/>
                <w:sz w:val="17"/>
                <w:szCs w:val="17"/>
              </w:rPr>
              <w:t>万元，累计使用募集资金总额</w:t>
            </w:r>
            <w:r>
              <w:rPr>
                <w:color w:val="000000"/>
                <w:spacing w:val="0"/>
                <w:w w:val="100"/>
                <w:position w:val="0"/>
                <w:sz w:val="18"/>
                <w:szCs w:val="18"/>
              </w:rPr>
              <w:t>32,202.8</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本公司募集资金账户余额为</w:t>
            </w:r>
            <w:r>
              <w:rPr>
                <w:color w:val="000000"/>
                <w:spacing w:val="0"/>
                <w:w w:val="100"/>
                <w:position w:val="0"/>
                <w:sz w:val="18"/>
                <w:szCs w:val="18"/>
              </w:rPr>
              <w:t>3,691.49</w:t>
            </w:r>
            <w:r>
              <w:rPr>
                <w:rFonts w:ascii="SimSun" w:eastAsia="SimSun" w:hAnsi="SimSun" w:cs="SimSun"/>
                <w:color w:val="000000"/>
                <w:spacing w:val="0"/>
                <w:w w:val="100"/>
                <w:position w:val="0"/>
                <w:sz w:val="17"/>
                <w:szCs w:val="17"/>
              </w:rPr>
              <w:t>万元，专用账户余额为</w:t>
            </w:r>
            <w:r>
              <w:rPr>
                <w:color w:val="000000"/>
                <w:spacing w:val="0"/>
                <w:w w:val="100"/>
                <w:position w:val="0"/>
                <w:sz w:val="18"/>
                <w:szCs w:val="18"/>
              </w:rPr>
              <w:t>3,691.49</w:t>
            </w:r>
            <w:r>
              <w:rPr>
                <w:rFonts w:ascii="SimSun" w:eastAsia="SimSun" w:hAnsi="SimSun" w:cs="SimSun"/>
                <w:color w:val="000000"/>
                <w:spacing w:val="0"/>
                <w:w w:val="100"/>
                <w:position w:val="0"/>
                <w:sz w:val="17"/>
                <w:szCs w:val="17"/>
              </w:rPr>
              <w:t>万元（包括累计收到的银行存款利息扣除银行手续费 等的净额）。公司将尚未使用的募集资金存放于银行募集资金专户，同时使用部分闲置募集资金进行现金管理。</w:t>
            </w:r>
          </w:p>
        </w:tc>
      </w:tr>
    </w:tbl>
    <w:p>
      <w:pPr>
        <w:spacing w:lineRule="exact" w:line="1"/>
        <w:rPr>
          <w:sz w:val="2"/>
          <w:szCs w:val="2"/>
        </w:rPr>
      </w:pPr>
      <w:r>
        <w:br w:type="page"/>
      </w:r>
    </w:p>
    <w:p>
      <w:pPr>
        <w:pStyle w:val="Style36"/>
        <w:keepNext/>
        <w:keepLines/>
        <w:widowControl w:val="0"/>
        <w:numPr>
          <w:ilvl w:val="0"/>
          <w:numId w:val="5"/>
        </w:numPr>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bookmarkEnd w:id="210"/>
      <w:r>
        <w:rPr>
          <w:color w:val="000000"/>
          <w:spacing w:val="0"/>
          <w:w w:val="100"/>
          <w:position w:val="0"/>
        </w:rPr>
        <w:t>募集资金承诺项目情况</w:t>
      </w:r>
      <w:bookmarkEnd w:id="208"/>
      <w:bookmarkEnd w:id="209"/>
      <w:bookmarkEnd w:id="211"/>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承诺投 资项目 和超募 资金投</w:t>
            </w:r>
          </w:p>
          <w:p>
            <w:pPr>
              <w:pStyle w:val="Style2"/>
              <w:keepNext w:val="0"/>
              <w:keepLines w:val="0"/>
              <w:widowControl w:val="0"/>
              <w:shd w:val="clear" w:color="auto" w:fill="auto"/>
              <w:bidi w:val="0"/>
              <w:spacing w:before="0" w:after="0" w:line="312" w:lineRule="exact"/>
              <w:ind w:left="0" w:right="0" w:firstLine="28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调整后投 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200"/>
              <w:jc w:val="left"/>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截止报告 期末累计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银行自 助设备 内控管 理解决 方案升 级改造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14,547.65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14,547.65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银行现 金实物 流转内 控管理 解决方 案升级 改造项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研发中 心建设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4,154.45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银行印 章管理 解决方 案建设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物流内 控管理 解决方 案建设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承诺投 资项目 小计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33,296.61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33,296.61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6,518.66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33,296.61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33,296.61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32,202.8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09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38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日召开第三届董事会第十九次会议、第三届监事会第十四次会议，审议通过了《关 于募投项目延期的议案》。公司上述募投项目本次延期的原因为：募集资金投资项目在前期经过充分的可行性论 证，但在具体实施过程中公司项目用地发生过变更，由于地质条件变化、沿海地区天气及用地政策等原因的影响， 导致项目不能按计划开工建设，基建工作整体进度比预期延迟。为此，公司根据募投项目的实施场所建设情况对 募投项目计划进度进行调整，决定将募投项目达到预定可使用状态日期由</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日延长至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bidi w:val="0"/>
              <w:spacing w:before="0" w:after="40" w:line="311" w:lineRule="exact"/>
              <w:ind w:left="0" w:right="0" w:firstLine="38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日召开第三届董事会第二十三次会议、第三届监事会第十八次会议，审议通过《关于 募集资金投资项目延期的议案》。公司上述募投项目本次延期的原因为：募投项目的主体基建工程已完工，附属 配套设施建设、场地装修、设备仪器购置和安装调试工作按计划开展，但受新型冠状病毒疫情的影响，部分原材 料供应受影响，项目建设的施工人员未能准时复工，导致项目进度达不到预期。为保证项目质量，公司根据项目 实际情况对募投项目计划进度进行调整，同意将项目达到预定可使用状态日期由</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日延期至</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bidi w:val="0"/>
              <w:spacing w:before="0" w:after="40" w:line="312" w:lineRule="exact"/>
              <w:ind w:left="0" w:right="0" w:firstLine="38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日召开第三届董事会第三十一次会议、第三届监事会第二十四次会议，审议通过了 《关于募集资金投资项目延期的议案》。公司上述募投项目本次延期的原因为：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年上半年，因受新型冠状病 毒肺炎疫情的影响，公司募集资金投资项目建设的部分原材料供应受影响，项目建设的施工人员未准时复工；复 产复工后，为防止疫情影响扩大，保障员工安全健康，在条件允许的情况下采取了轮班施工等方式，影响了项目 的整体进度。公司考虑募集资金投资项目的实施进展情况，在募集资金投资项目实施主体、募集资金投资用途及 投资规模都不发生变更的情况下，对项目达到预定使用状态的时间进行调整，调整后募集资金投资项目达到预定 可使用状态日期由</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日延长至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48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物流内控管理解决方案建设项目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旨在拓展主营业务相关产品和技术在物流行业应用，扩大公司产品线， 增强公司可持续发展能力。经过公司管理层近三年对物流行业发展的判断，物流行业竞争激烈，原募投项目产品 应用至物流行业，盈利空间缩小，并且物流实物流转内控风险管理发展并不成熟，还没有健全的行业技术标准， 规模效应还不明显，将无法实现原预计收益目标，不能达到公司及全体股东预期的投资回报，实施该项目具有不 确定性。</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日，经第三届董事会第九次会议审议通过，终止</w:t>
            </w:r>
            <w:r>
              <w:rPr>
                <w:color w:val="000000"/>
                <w:spacing w:val="0"/>
                <w:w w:val="100"/>
                <w:position w:val="0"/>
                <w:sz w:val="18"/>
                <w:szCs w:val="18"/>
              </w:rPr>
              <w:t>“</w:t>
            </w:r>
            <w:r>
              <w:rPr>
                <w:rFonts w:ascii="SimSun" w:eastAsia="SimSun" w:hAnsi="SimSun" w:cs="SimSun"/>
                <w:color w:val="000000"/>
                <w:spacing w:val="0"/>
                <w:w w:val="100"/>
                <w:position w:val="0"/>
                <w:sz w:val="17"/>
                <w:szCs w:val="17"/>
              </w:rPr>
              <w:t>物流内控管理解决方案建设项目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的实 施，并将该项目募集资金投资余额</w:t>
            </w:r>
            <w:r>
              <w:rPr>
                <w:color w:val="000000"/>
                <w:spacing w:val="0"/>
                <w:w w:val="100"/>
                <w:position w:val="0"/>
                <w:sz w:val="18"/>
                <w:szCs w:val="18"/>
              </w:rPr>
              <w:t>1,359.95</w:t>
            </w:r>
            <w:r>
              <w:rPr>
                <w:rFonts w:ascii="SimSun" w:eastAsia="SimSun" w:hAnsi="SimSun" w:cs="SimSun"/>
                <w:color w:val="000000"/>
                <w:spacing w:val="0"/>
                <w:w w:val="100"/>
                <w:position w:val="0"/>
                <w:sz w:val="17"/>
                <w:szCs w:val="17"/>
              </w:rPr>
              <w:t>万元，用于</w:t>
            </w:r>
            <w:r>
              <w:rPr>
                <w:color w:val="000000"/>
                <w:spacing w:val="0"/>
                <w:w w:val="100"/>
                <w:position w:val="0"/>
                <w:sz w:val="18"/>
                <w:szCs w:val="18"/>
              </w:rPr>
              <w:t>“</w:t>
            </w:r>
            <w:r>
              <w:rPr>
                <w:rFonts w:ascii="SimSun" w:eastAsia="SimSun" w:hAnsi="SimSun" w:cs="SimSun"/>
                <w:color w:val="000000"/>
                <w:spacing w:val="0"/>
                <w:w w:val="100"/>
                <w:position w:val="0"/>
                <w:sz w:val="17"/>
                <w:szCs w:val="17"/>
              </w:rPr>
              <w:t>研发中心建设项目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w:t>
            </w:r>
            <w:r>
              <w:rPr>
                <w:rFonts w:ascii="SimSun" w:eastAsia="SimSun" w:hAnsi="SimSun" w:cs="SimSun"/>
                <w:color w:val="000000"/>
                <w:spacing w:val="0"/>
                <w:w w:val="100"/>
                <w:position w:val="0"/>
                <w:sz w:val="17"/>
                <w:szCs w:val="17"/>
              </w:rPr>
              <w:t>银行印章管理解决方案建设项目</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的资金投入。</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日，公司召开</w:t>
            </w:r>
            <w:r>
              <w:rPr>
                <w:color w:val="000000"/>
                <w:spacing w:val="0"/>
                <w:w w:val="100"/>
                <w:position w:val="0"/>
                <w:sz w:val="18"/>
                <w:szCs w:val="18"/>
              </w:rPr>
              <w:t>2019</w:t>
            </w:r>
            <w:r>
              <w:rPr>
                <w:rFonts w:ascii="SimSun" w:eastAsia="SimSun" w:hAnsi="SimSun" w:cs="SimSun"/>
                <w:color w:val="000000"/>
                <w:spacing w:val="0"/>
                <w:w w:val="100"/>
                <w:position w:val="0"/>
                <w:sz w:val="17"/>
                <w:szCs w:val="17"/>
              </w:rPr>
              <w:t>年第一次临时股东大会审议通过该议案。</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超募资 金的金 额、用途 及使用 进展情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施地点 变更情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以前年度发生</w:t>
            </w:r>
          </w:p>
        </w:tc>
      </w:tr>
      <w:tr>
        <w:trPr>
          <w:trHeight w:val="1162"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38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日经公司第二届董事会第九次会议审议通过，公司全部募投项目实施地点由</w:t>
            </w:r>
            <w:r>
              <w:rPr>
                <w:color w:val="000000"/>
                <w:spacing w:val="0"/>
                <w:w w:val="100"/>
                <w:position w:val="0"/>
                <w:sz w:val="18"/>
                <w:szCs w:val="18"/>
              </w:rPr>
              <w:t>“</w:t>
            </w:r>
            <w:r>
              <w:rPr>
                <w:rFonts w:ascii="SimSun" w:eastAsia="SimSun" w:hAnsi="SimSun" w:cs="SimSun"/>
                <w:color w:val="000000"/>
                <w:spacing w:val="0"/>
                <w:w w:val="100"/>
                <w:position w:val="0"/>
                <w:sz w:val="17"/>
                <w:szCs w:val="17"/>
              </w:rPr>
              <w:t>珠海市科技创新 海岸南围、港湾北路西、科技七路南侧</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珠海市科技创新海岸北围、金环路北、金环西路西侧</w:t>
            </w:r>
            <w:r>
              <w:rPr>
                <w:color w:val="000000"/>
                <w:spacing w:val="0"/>
                <w:w w:val="100"/>
                <w:position w:val="0"/>
                <w:sz w:val="18"/>
                <w:szCs w:val="18"/>
              </w:rPr>
              <w:t>”</w:t>
            </w:r>
            <w:r>
              <w:rPr>
                <w:rFonts w:ascii="SimSun" w:eastAsia="SimSun" w:hAnsi="SimSun" w:cs="SimSun"/>
                <w:color w:val="000000"/>
                <w:spacing w:val="0"/>
                <w:w w:val="100"/>
                <w:position w:val="0"/>
                <w:sz w:val="17"/>
                <w:szCs w:val="17"/>
              </w:rPr>
              <w:t>；后市政道 路名称变更，该地址更名为</w:t>
            </w:r>
            <w:r>
              <w:rPr>
                <w:color w:val="000000"/>
                <w:spacing w:val="0"/>
                <w:w w:val="100"/>
                <w:position w:val="0"/>
                <w:sz w:val="18"/>
                <w:szCs w:val="18"/>
              </w:rPr>
              <w:t>“</w:t>
            </w:r>
            <w:r>
              <w:rPr>
                <w:rFonts w:ascii="SimSun" w:eastAsia="SimSun" w:hAnsi="SimSun" w:cs="SimSun"/>
                <w:color w:val="000000"/>
                <w:spacing w:val="0"/>
                <w:w w:val="100"/>
                <w:position w:val="0"/>
                <w:sz w:val="17"/>
                <w:szCs w:val="17"/>
              </w:rPr>
              <w:t>珠海市高新区科技创新海岸北围鼎兴路北、兴中路西侧。</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金投资 项目实 施方式 调整情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21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left"/>
              <w:rPr>
                <w:sz w:val="17"/>
                <w:szCs w:val="17"/>
              </w:rPr>
            </w:pPr>
            <w:r>
              <w:rPr>
                <w:rFonts w:ascii="SimSun" w:eastAsia="SimSun" w:hAnsi="SimSun" w:cs="SimSun"/>
                <w:color w:val="000000"/>
                <w:spacing w:val="0"/>
                <w:w w:val="100"/>
                <w:position w:val="0"/>
                <w:sz w:val="17"/>
                <w:szCs w:val="17"/>
              </w:rPr>
              <w:t>募集资金到位前，公司以自筹资金预先投入募集资金投资项目</w:t>
            </w:r>
            <w:r>
              <w:rPr>
                <w:color w:val="000000"/>
                <w:spacing w:val="0"/>
                <w:w w:val="100"/>
                <w:position w:val="0"/>
                <w:sz w:val="18"/>
                <w:szCs w:val="18"/>
              </w:rPr>
              <w:t>3,900.47</w:t>
            </w:r>
            <w:r>
              <w:rPr>
                <w:rFonts w:ascii="SimSun" w:eastAsia="SimSun" w:hAnsi="SimSun" w:cs="SimSun"/>
                <w:color w:val="000000"/>
                <w:spacing w:val="0"/>
                <w:w w:val="100"/>
                <w:position w:val="0"/>
                <w:sz w:val="17"/>
                <w:szCs w:val="17"/>
              </w:rPr>
              <w:t>万元。</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日，公司第二届 董事会第七次会议、第二届监事会第七次会议审议通过《关于使用募集资金置换已投入募集资金投资项目自筹资 金的议案》，同意公司使用</w:t>
            </w:r>
            <w:r>
              <w:rPr>
                <w:color w:val="000000"/>
                <w:spacing w:val="0"/>
                <w:w w:val="100"/>
                <w:position w:val="0"/>
                <w:sz w:val="18"/>
                <w:szCs w:val="18"/>
              </w:rPr>
              <w:t>3,900.47</w:t>
            </w:r>
            <w:r>
              <w:rPr>
                <w:rFonts w:ascii="SimSun" w:eastAsia="SimSun" w:hAnsi="SimSun" w:cs="SimSun"/>
                <w:color w:val="000000"/>
                <w:spacing w:val="0"/>
                <w:w w:val="100"/>
                <w:position w:val="0"/>
                <w:sz w:val="17"/>
                <w:szCs w:val="17"/>
              </w:rPr>
              <w:t>万元募集资金置换预先已投入募集资金投资项目的自筹资金。其中银行自助 设备内控管理解决方案升级改造项目</w:t>
            </w:r>
            <w:r>
              <w:rPr>
                <w:color w:val="000000"/>
                <w:spacing w:val="0"/>
                <w:w w:val="100"/>
                <w:position w:val="0"/>
                <w:sz w:val="18"/>
                <w:szCs w:val="18"/>
              </w:rPr>
              <w:t>2,027.03</w:t>
            </w:r>
            <w:r>
              <w:rPr>
                <w:rFonts w:ascii="SimSun" w:eastAsia="SimSun" w:hAnsi="SimSun" w:cs="SimSun"/>
                <w:color w:val="000000"/>
                <w:spacing w:val="0"/>
                <w:w w:val="100"/>
                <w:position w:val="0"/>
                <w:sz w:val="17"/>
                <w:szCs w:val="17"/>
              </w:rPr>
              <w:t>万元，银行现金实物流转内控管理解决方案升级改造项目</w:t>
            </w:r>
            <w:r>
              <w:rPr>
                <w:color w:val="000000"/>
                <w:spacing w:val="0"/>
                <w:w w:val="100"/>
                <w:position w:val="0"/>
                <w:sz w:val="18"/>
                <w:szCs w:val="18"/>
              </w:rPr>
              <w:t xml:space="preserve">778.21 </w:t>
            </w:r>
            <w:r>
              <w:rPr>
                <w:rFonts w:ascii="SimSun" w:eastAsia="SimSun" w:hAnsi="SimSun" w:cs="SimSun"/>
                <w:color w:val="000000"/>
                <w:spacing w:val="0"/>
                <w:w w:val="100"/>
                <w:position w:val="0"/>
                <w:sz w:val="17"/>
                <w:szCs w:val="17"/>
              </w:rPr>
              <w:t>万元，研发中心建设项目</w:t>
            </w:r>
            <w:r>
              <w:rPr>
                <w:color w:val="000000"/>
                <w:spacing w:val="0"/>
                <w:w w:val="100"/>
                <w:position w:val="0"/>
                <w:sz w:val="18"/>
                <w:szCs w:val="18"/>
              </w:rPr>
              <w:t>70.73</w:t>
            </w:r>
            <w:r>
              <w:rPr>
                <w:rFonts w:ascii="SimSun" w:eastAsia="SimSun" w:hAnsi="SimSun" w:cs="SimSun"/>
                <w:color w:val="000000"/>
                <w:spacing w:val="0"/>
                <w:w w:val="100"/>
                <w:position w:val="0"/>
                <w:sz w:val="17"/>
                <w:szCs w:val="17"/>
              </w:rPr>
              <w:t>万元，银行印章管理解决方案建设项目</w:t>
            </w:r>
            <w:r>
              <w:rPr>
                <w:color w:val="000000"/>
                <w:spacing w:val="0"/>
                <w:w w:val="100"/>
                <w:position w:val="0"/>
                <w:sz w:val="18"/>
                <w:szCs w:val="18"/>
              </w:rPr>
              <w:t>942.81</w:t>
            </w:r>
            <w:r>
              <w:rPr>
                <w:rFonts w:ascii="SimSun" w:eastAsia="SimSun" w:hAnsi="SimSun" w:cs="SimSun"/>
                <w:color w:val="000000"/>
                <w:spacing w:val="0"/>
                <w:w w:val="100"/>
                <w:position w:val="0"/>
                <w:sz w:val="17"/>
                <w:szCs w:val="17"/>
              </w:rPr>
              <w:t>万元，物流内控管理解决方案建设 项目</w:t>
            </w:r>
            <w:r>
              <w:rPr>
                <w:color w:val="000000"/>
                <w:spacing w:val="0"/>
                <w:w w:val="100"/>
                <w:position w:val="0"/>
                <w:sz w:val="18"/>
                <w:szCs w:val="18"/>
              </w:rPr>
              <w:t>81.68</w:t>
            </w:r>
            <w:r>
              <w:rPr>
                <w:rFonts w:ascii="SimSun" w:eastAsia="SimSun" w:hAnsi="SimSun" w:cs="SimSun"/>
                <w:color w:val="000000"/>
                <w:spacing w:val="0"/>
                <w:w w:val="100"/>
                <w:position w:val="0"/>
                <w:sz w:val="17"/>
                <w:szCs w:val="17"/>
              </w:rPr>
              <w:t>万元。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用闲置 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尚未使用的募集资金将用于完成募投项目，其存放于募投资金三方监管专户。</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日，公司召开第三届董事会第三十次会议和第三届监事会第二十三次会议，审议通过了《关 于使用部分闲置募集资金和自有资金进行现金管理的议案》，同意公司在确保不影响正常经营、不改变募集资金 用途的情况下，使用不超过人民币</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万元的闲置募集资金和不超过人民币</w:t>
            </w:r>
            <w:r>
              <w:rPr>
                <w:color w:val="000000"/>
                <w:spacing w:val="0"/>
                <w:w w:val="100"/>
                <w:position w:val="0"/>
                <w:sz w:val="18"/>
                <w:szCs w:val="18"/>
              </w:rPr>
              <w:t>20,000</w:t>
            </w:r>
            <w:r>
              <w:rPr>
                <w:rFonts w:ascii="SimSun" w:eastAsia="SimSun" w:hAnsi="SimSun" w:cs="SimSun"/>
                <w:color w:val="000000"/>
                <w:spacing w:val="0"/>
                <w:w w:val="100"/>
                <w:position w:val="0"/>
                <w:sz w:val="17"/>
                <w:szCs w:val="17"/>
              </w:rPr>
              <w:t>万元的自有资金进行现金管 理，决议自股东大会审议通过之日起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个月内有效，资金额度在决议有效期内可滚动使用，并授权董事长在该 额度范围内行使投资决策权，签署相关法律文件。</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日，公司召开</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年第三次临时股东大会审 议通过上述议案。</w:t>
            </w:r>
          </w:p>
        </w:tc>
      </w:tr>
    </w:tbl>
    <w:p>
      <w:pPr>
        <w:widowControl w:val="0"/>
        <w:spacing w:after="319" w:line="1" w:lineRule="exact"/>
      </w:pPr>
    </w:p>
    <w:p>
      <w:pPr>
        <w:pStyle w:val="Style36"/>
        <w:keepNext/>
        <w:keepLines/>
        <w:widowControl w:val="0"/>
        <w:numPr>
          <w:ilvl w:val="0"/>
          <w:numId w:val="5"/>
        </w:numPr>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募集资金变更项目情况</w:t>
      </w:r>
      <w:bookmarkEnd w:id="212"/>
      <w:bookmarkEnd w:id="213"/>
      <w:bookmarkEnd w:id="21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对应的原承</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截至期末实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截至期末投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项目达到预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变更后的项</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拟投入募集 资金总额</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际投入金额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sz w:val="17"/>
                <w:szCs w:val="17"/>
              </w:rPr>
              <w:t>际累计投入 金额</w:t>
            </w:r>
            <w:r>
              <w:rPr>
                <w:color w:val="000000"/>
                <w:spacing w:val="0"/>
                <w:w w:val="100"/>
                <w:position w:val="0"/>
              </w:rPr>
              <w:t>(2)</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资进度</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定可使用状 态日期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现的效益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目可行性是 否发生重大 变化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研发中心建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物流内控管 理解决方案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银行印章管 理解决方案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物流内控管 理解决方案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2,465.91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11,179.93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3211"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物流内控管理解决方案建设项目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旨在拓展主营业务相关产品和技术在物流行业应 用，扩大公司产品线，增强公司的可持续发展能力。经过公司管理层近三年对物流行 业发展的判断，物流行业竞争激烈，原募投项目产品应用至物流行业，盈利空间缩小， 并且物流实物流转内控风险管理发展并不成熟，还没有健全的行业技术标准，规模效 应还不明显，将无法实现原预计收益目标，不能达到公司以及全体股东预期的投资回 报，实施该项目具有不确定性。</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日，经第三届董事会第九次会议、第 三届监事会第六次会议审议通过，终止</w:t>
            </w:r>
            <w:r>
              <w:rPr>
                <w:color w:val="000000"/>
                <w:spacing w:val="0"/>
                <w:w w:val="100"/>
                <w:position w:val="0"/>
                <w:sz w:val="18"/>
                <w:szCs w:val="18"/>
              </w:rPr>
              <w:t>“</w:t>
            </w:r>
            <w:r>
              <w:rPr>
                <w:rFonts w:ascii="SimSun" w:eastAsia="SimSun" w:hAnsi="SimSun" w:cs="SimSun"/>
                <w:color w:val="000000"/>
                <w:spacing w:val="0"/>
                <w:w w:val="100"/>
                <w:position w:val="0"/>
                <w:sz w:val="17"/>
                <w:szCs w:val="17"/>
              </w:rPr>
              <w:t>物流内控管理解决方案建设项目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的实施，并 将该项目募集资金投资余额</w:t>
            </w:r>
            <w:r>
              <w:rPr>
                <w:color w:val="000000"/>
                <w:spacing w:val="0"/>
                <w:w w:val="100"/>
                <w:position w:val="0"/>
                <w:sz w:val="18"/>
                <w:szCs w:val="18"/>
              </w:rPr>
              <w:t>1,359.95</w:t>
            </w:r>
            <w:r>
              <w:rPr>
                <w:rFonts w:ascii="SimSun" w:eastAsia="SimSun" w:hAnsi="SimSun" w:cs="SimSun"/>
                <w:color w:val="000000"/>
                <w:spacing w:val="0"/>
                <w:w w:val="100"/>
                <w:position w:val="0"/>
                <w:sz w:val="17"/>
                <w:szCs w:val="17"/>
              </w:rPr>
              <w:t>万元，用于</w:t>
            </w:r>
            <w:r>
              <w:rPr>
                <w:color w:val="000000"/>
                <w:spacing w:val="0"/>
                <w:w w:val="100"/>
                <w:position w:val="0"/>
                <w:sz w:val="18"/>
                <w:szCs w:val="18"/>
              </w:rPr>
              <w:t>“</w:t>
            </w:r>
            <w:r>
              <w:rPr>
                <w:rFonts w:ascii="SimSun" w:eastAsia="SimSun" w:hAnsi="SimSun" w:cs="SimSun"/>
                <w:color w:val="000000"/>
                <w:spacing w:val="0"/>
                <w:w w:val="100"/>
                <w:position w:val="0"/>
                <w:sz w:val="17"/>
                <w:szCs w:val="17"/>
              </w:rPr>
              <w:t>研发中心建设项目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w:t>
            </w:r>
            <w:r>
              <w:rPr>
                <w:rFonts w:ascii="SimSun" w:eastAsia="SimSun" w:hAnsi="SimSun" w:cs="SimSun"/>
                <w:color w:val="000000"/>
                <w:spacing w:val="0"/>
                <w:w w:val="100"/>
                <w:position w:val="0"/>
                <w:sz w:val="17"/>
                <w:szCs w:val="17"/>
              </w:rPr>
              <w:t>银行印章管理 解决方案建设项目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的资金投入。</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日，公司召开</w:t>
            </w:r>
            <w:r>
              <w:rPr>
                <w:color w:val="000000"/>
                <w:spacing w:val="0"/>
                <w:w w:val="100"/>
                <w:position w:val="0"/>
                <w:sz w:val="18"/>
                <w:szCs w:val="18"/>
              </w:rPr>
              <w:t>2019</w:t>
            </w:r>
            <w:r>
              <w:rPr>
                <w:rFonts w:ascii="SimSun" w:eastAsia="SimSun" w:hAnsi="SimSun" w:cs="SimSun"/>
                <w:color w:val="000000"/>
                <w:spacing w:val="0"/>
                <w:w w:val="100"/>
                <w:position w:val="0"/>
                <w:sz w:val="17"/>
                <w:szCs w:val="17"/>
              </w:rPr>
              <w:t>年第一次临时股 东大会审议通过该议案。</w:t>
            </w:r>
          </w:p>
        </w:tc>
      </w:tr>
      <w:tr>
        <w:trPr>
          <w:trHeight w:val="700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日，公司召开第三届董事会第十九次会议、第三届监事会第十四 次会议，审议通过了《关于募投项目延期的议案》。汇金科技上述募投项目本次延期 的原因为：项目在前期经过充分的可行性论证，但在具体实施过程中公司项目用地发 生过变更，由于地质条件变化、沿海地区天气及用地政策等原因的影响，导致项目不 能按计划开工建设，基建工作整体进度比预期延迟。为此，公司根据募投项目的实施 场所建设情况对募投项目计划进度进行调整，决定将募投项目达到预定可使用状态日 期由</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日延长至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日，公司召开第三届董事会第二十三次会议、第三届监事会第十 八次会议，审议通过《关于募集资金投资项目延期的议案》。汇金科技上述募投项目 本次延期的原因为：募投项目的主体基建工程已完工，附属配套设施建设、场地装修、 设备仪器购置和安装调试工作按计划开展，但受新型冠状病毒疫情的影响，部分原材 料供应受影响，项目建设的施工人员未能准时复工，导致项目进度达不到预期。为保 证项目质量，公司根据项目实际情况对募投项目计划进度进行调整，同意将项目达到 预定可使用状态日期由</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日延期至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日，公司召开第三届董事会第三十一次会议、第三届监事会第二 十四次会议，审议通过了《关于募集资金投资项目延期的议案》。汇金科技上述募投 项目本次延期的原因为：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年上半年，因受新型冠状病毒肺炎疫情的影响，公司募 集资金投资项目建设的部分原材料供应受影响，项目建设的施工人员未准时复工；复 产复工后，为防止疫情影响扩大，保障员工安全健康，在条件允许的情况下采取了轮 班施工等方式，影响了项目的整体进度。公司考虑目前募集资金投资项目的实施进展 情况，在募集资金投资项目实施主体、募集资金投资用途及投资规模都不发生变更的 情况下，对项目达到预定使用状态的时间进行调整，调整后募集资金投资项目达到预</w:t>
            </w:r>
          </w:p>
        </w:tc>
      </w:tr>
    </w:tbl>
    <w:p>
      <w:pPr>
        <w:spacing w:lineRule="exact" w:line="1"/>
        <w:rPr>
          <w:sz w:val="2"/>
          <w:szCs w:val="2"/>
        </w:rPr>
      </w:pPr>
      <w:r>
        <w:br w:type="page"/>
      </w:r>
    </w:p>
    <w:tbl>
      <w:tblPr>
        <w:tblOverlap w:val="never"/>
        <w:jc w:val="center"/>
        <w:tblLayout w:type="fixed"/>
      </w:tblPr>
      <w:tblGrid>
        <w:gridCol w:w="2880"/>
        <w:gridCol w:w="67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定可使用状态日期由</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日延长至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六</w:t>
      </w:r>
      <w:bookmarkEnd w:id="218"/>
      <w:r>
        <w:rPr>
          <w:color w:val="000000"/>
          <w:spacing w:val="0"/>
          <w:w w:val="100"/>
          <w:position w:val="0"/>
          <w:sz w:val="24"/>
          <w:szCs w:val="24"/>
        </w:rPr>
        <w:t>、重大资产和股权出售</w:t>
      </w:r>
      <w:bookmarkEnd w:id="216"/>
      <w:bookmarkEnd w:id="217"/>
      <w:bookmarkEnd w:id="219"/>
    </w:p>
    <w:p>
      <w:pPr>
        <w:pStyle w:val="Style28"/>
        <w:keepNext/>
        <w:keepLines/>
        <w:widowControl w:val="0"/>
        <w:shd w:val="clear" w:color="auto" w:fill="auto"/>
        <w:tabs>
          <w:tab w:pos="368"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1</w:t>
      </w:r>
      <w:bookmarkEnd w:id="222"/>
      <w:r>
        <w:rPr>
          <w:color w:val="000000"/>
          <w:spacing w:val="0"/>
          <w:w w:val="100"/>
          <w:position w:val="0"/>
        </w:rPr>
        <w:t>、</w:t>
        <w:tab/>
        <w:t>出售重大资产情况</w:t>
      </w:r>
      <w:bookmarkEnd w:id="220"/>
      <w:bookmarkEnd w:id="221"/>
      <w:bookmarkEnd w:id="22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378"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2</w:t>
      </w:r>
      <w:bookmarkEnd w:id="226"/>
      <w:r>
        <w:rPr>
          <w:color w:val="000000"/>
          <w:spacing w:val="0"/>
          <w:w w:val="100"/>
          <w:position w:val="0"/>
        </w:rPr>
        <w:t>、</w:t>
        <w:tab/>
        <w:t>出售重大股权情况</w:t>
      </w:r>
      <w:bookmarkEnd w:id="224"/>
      <w:bookmarkEnd w:id="225"/>
      <w:bookmarkEnd w:id="227"/>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七</w:t>
      </w:r>
      <w:bookmarkEnd w:id="230"/>
      <w:r>
        <w:rPr>
          <w:color w:val="000000"/>
          <w:spacing w:val="0"/>
          <w:w w:val="100"/>
          <w:position w:val="0"/>
          <w:sz w:val="24"/>
          <w:szCs w:val="24"/>
        </w:rPr>
        <w:t>、主要控股参股公司分析</w:t>
      </w:r>
      <w:bookmarkEnd w:id="228"/>
      <w:bookmarkEnd w:id="229"/>
      <w:bookmarkEnd w:id="23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净利润</w:t>
            </w:r>
          </w:p>
        </w:tc>
      </w:tr>
      <w:tr>
        <w:trPr>
          <w:trHeight w:val="69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贵安新区贵 金科技有限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智能科技产 品的研发、 设计及销 售，人工智 能及大数据 的研发与销 售，软件和 信息技术服 务领域内的 技术及产品 开发、技术 转让、技术 咨询、技术 服务，计算 机软硬件及 辅助设备、 电子设备、 通信设备、 信息服务产 品，安全保 护服务产品 的设计、研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伍佰万整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19,701,575.7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-1,440,184.4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-61,162.89</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发、生产、 销售及维 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主要控股参股公司情况说明</w:t>
      </w:r>
    </w:p>
    <w:p>
      <w:pPr>
        <w:pStyle w:val="Style24"/>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贵安新区贵金科技有限公司主营业务主要是智能科技产品的研发、设计及销售，人工智能及大数据的研发与销售，软件 和信息技术服务领域内的技术及产品开发、技术转让、技术咨询、技术服务，计算机软硬件及辅助设备、电子设备、通信设 备、信息服务产品，安全保护服务产品的设计、研发、生产、销售及维护，本公司持股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；由于贵金子公司智能科技产品 第一期项目已完结，第二期因客户计划原因暂未启动，导致贵金子公司本报告期内未实现营业收入。</w:t>
      </w:r>
    </w:p>
    <w:p>
      <w:pPr>
        <w:pStyle w:val="Style22"/>
        <w:keepNext/>
        <w:keepLines/>
        <w:widowControl w:val="0"/>
        <w:shd w:val="clear" w:color="auto" w:fill="auto"/>
        <w:tabs>
          <w:tab w:pos="507"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八</w:t>
      </w:r>
      <w:bookmarkEnd w:id="234"/>
      <w:r>
        <w:rPr>
          <w:color w:val="000000"/>
          <w:spacing w:val="0"/>
          <w:w w:val="100"/>
          <w:position w:val="0"/>
          <w:sz w:val="24"/>
          <w:szCs w:val="24"/>
        </w:rPr>
        <w:t>、</w:t>
        <w:tab/>
        <w:t>公司控制的结构化主体情况</w:t>
      </w:r>
      <w:bookmarkEnd w:id="232"/>
      <w:bookmarkEnd w:id="233"/>
      <w:bookmarkEnd w:id="235"/>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07" w:val="left"/>
        </w:tabs>
        <w:bidi w:val="0"/>
        <w:spacing w:before="0" w:after="26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九</w:t>
      </w:r>
      <w:bookmarkEnd w:id="238"/>
      <w:r>
        <w:rPr>
          <w:color w:val="000000"/>
          <w:spacing w:val="0"/>
          <w:w w:val="100"/>
          <w:position w:val="0"/>
          <w:sz w:val="24"/>
          <w:szCs w:val="24"/>
        </w:rPr>
        <w:t>、</w:t>
        <w:tab/>
        <w:t>公司未来发展的展望</w:t>
      </w:r>
      <w:bookmarkEnd w:id="236"/>
      <w:bookmarkEnd w:id="237"/>
      <w:bookmarkEnd w:id="239"/>
    </w:p>
    <w:p>
      <w:pPr>
        <w:pStyle w:val="Style24"/>
        <w:keepNext w:val="0"/>
        <w:keepLines w:val="0"/>
        <w:widowControl w:val="0"/>
        <w:shd w:val="clear" w:color="auto" w:fill="auto"/>
        <w:tabs>
          <w:tab w:pos="522" w:val="left"/>
        </w:tabs>
        <w:bidi w:val="0"/>
        <w:spacing w:before="0" w:after="0" w:line="313" w:lineRule="exact"/>
        <w:ind w:left="0" w:right="0" w:firstLine="0"/>
        <w:jc w:val="left"/>
      </w:pPr>
      <w:bookmarkStart w:id="240" w:name="bookmark240"/>
      <w:r>
        <w:rPr>
          <w:color w:val="000000"/>
          <w:spacing w:val="0"/>
          <w:w w:val="100"/>
          <w:position w:val="0"/>
        </w:rPr>
        <w:t>（</w:t>
      </w:r>
      <w:bookmarkEnd w:id="240"/>
      <w:r>
        <w:rPr>
          <w:color w:val="000000"/>
          <w:spacing w:val="0"/>
          <w:w w:val="100"/>
          <w:position w:val="0"/>
        </w:rPr>
        <w:t>一）</w:t>
        <w:tab/>
        <w:t>行业的发展趋势</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当前金融科技领域深化发展，物联网技术、人工智能技术渗透到传统金融领域，在金融业去杠杆、加强监管的大背景下， 银行等金融业客户需要平衡好稳增长和防风险的关系，大力推进科技转型和变革，升级内控风险管理体系，精准有效的处置 重点领域风险。公司聚焦金融行业发展需求，围绕金融内控风险防范领域具有较大的市场空间。</w:t>
      </w:r>
    </w:p>
    <w:p>
      <w:pPr>
        <w:pStyle w:val="Style24"/>
        <w:keepNext w:val="0"/>
        <w:keepLines w:val="0"/>
        <w:widowControl w:val="0"/>
        <w:shd w:val="clear" w:color="auto" w:fill="auto"/>
        <w:tabs>
          <w:tab w:pos="522" w:val="left"/>
        </w:tabs>
        <w:bidi w:val="0"/>
        <w:spacing w:before="0" w:after="0" w:line="313" w:lineRule="exact"/>
        <w:ind w:left="0" w:right="0" w:firstLine="0"/>
        <w:jc w:val="left"/>
      </w:pPr>
      <w:bookmarkStart w:id="241" w:name="bookmark241"/>
      <w:r>
        <w:rPr>
          <w:color w:val="000000"/>
          <w:spacing w:val="0"/>
          <w:w w:val="100"/>
          <w:position w:val="0"/>
        </w:rPr>
        <w:t>（</w:t>
      </w:r>
      <w:bookmarkEnd w:id="241"/>
      <w:r>
        <w:rPr>
          <w:color w:val="000000"/>
          <w:spacing w:val="0"/>
          <w:w w:val="100"/>
          <w:position w:val="0"/>
        </w:rPr>
        <w:t>二）</w:t>
        <w:tab/>
        <w:t>公司的发展战略</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以客户为中心、市场为导向，为客户创造价值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的核心价值理念，立足于金融行业内控风险防范领域，深耕、 精耕主营业务，产品销售一代、研发一代、预研一代，不断增强企业的核心竞争力，提高品牌知名度，坚持稳健经营，强化 执行，实现公司健康持续发展。</w:t>
      </w:r>
    </w:p>
    <w:p>
      <w:pPr>
        <w:pStyle w:val="Style24"/>
        <w:keepNext w:val="0"/>
        <w:keepLines w:val="0"/>
        <w:widowControl w:val="0"/>
        <w:shd w:val="clear" w:color="auto" w:fill="auto"/>
        <w:bidi w:val="0"/>
        <w:spacing w:before="0" w:after="0" w:line="350" w:lineRule="exact"/>
        <w:ind w:left="0" w:right="0"/>
        <w:jc w:val="both"/>
      </w:pPr>
      <w:r>
        <w:rPr>
          <w:color w:val="000000"/>
          <w:spacing w:val="0"/>
          <w:w w:val="100"/>
          <w:position w:val="0"/>
        </w:rPr>
        <w:t>公司将继续坚持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内生增长、外延发展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的双轮驱动战略，紧密结合市场需求，充分发挥公司的技术优势、管理优势及营 销优势，依托资本市场的支持，积极稳妥地扩展业务板块、拓展应用领域，推动公司战略目标的稳步实现。</w:t>
      </w:r>
    </w:p>
    <w:p>
      <w:pPr>
        <w:pStyle w:val="Style24"/>
        <w:keepNext w:val="0"/>
        <w:keepLines w:val="0"/>
        <w:widowControl w:val="0"/>
        <w:shd w:val="clear" w:color="auto" w:fill="auto"/>
        <w:tabs>
          <w:tab w:pos="522" w:val="left"/>
        </w:tabs>
        <w:bidi w:val="0"/>
        <w:spacing w:before="0" w:after="0" w:line="317" w:lineRule="exact"/>
        <w:ind w:left="0" w:right="0" w:firstLine="0"/>
        <w:jc w:val="left"/>
      </w:pPr>
      <w:bookmarkStart w:id="242" w:name="bookmark242"/>
      <w:r>
        <w:rPr>
          <w:color w:val="000000"/>
          <w:spacing w:val="0"/>
          <w:w w:val="100"/>
          <w:position w:val="0"/>
        </w:rPr>
        <w:t>（</w:t>
      </w:r>
      <w:bookmarkEnd w:id="242"/>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年度公司经营计划</w:t>
      </w:r>
    </w:p>
    <w:p>
      <w:pPr>
        <w:pStyle w:val="Style24"/>
        <w:keepNext w:val="0"/>
        <w:keepLines w:val="0"/>
        <w:widowControl w:val="0"/>
        <w:shd w:val="clear" w:color="auto" w:fill="auto"/>
        <w:tabs>
          <w:tab w:pos="622" w:val="left"/>
        </w:tabs>
        <w:bidi w:val="0"/>
        <w:spacing w:before="0" w:after="0" w:line="317" w:lineRule="exact"/>
        <w:ind w:left="0" w:right="0"/>
        <w:jc w:val="left"/>
      </w:pPr>
      <w:bookmarkStart w:id="243" w:name="bookmark243"/>
      <w:r>
        <w:rPr>
          <w:rFonts w:ascii="Times New Roman" w:eastAsia="Times New Roman" w:hAnsi="Times New Roman" w:cs="Times New Roman"/>
          <w:color w:val="000000"/>
          <w:spacing w:val="0"/>
          <w:w w:val="100"/>
          <w:position w:val="0"/>
          <w:sz w:val="18"/>
          <w:szCs w:val="18"/>
        </w:rPr>
        <w:t>1</w:t>
      </w:r>
      <w:bookmarkEnd w:id="243"/>
      <w:r>
        <w:rPr>
          <w:color w:val="000000"/>
          <w:spacing w:val="0"/>
          <w:w w:val="100"/>
          <w:position w:val="0"/>
        </w:rPr>
        <w:t>、</w:t>
        <w:tab/>
        <w:t>根据公司发展战略，稳健开展各项经营活动，以市场为导向，以金融科技、金融行业转型发展为主线，加大科研投 入力度，积极培育新的业务增长点和利润增长点，打造具有行业核心竞争力的同心多元化产品集群，加快内控风险管理相关 技术、产品在其他领域的应用研究和市场开拓，进一步扩大公司市场影响力。</w:t>
      </w:r>
    </w:p>
    <w:p>
      <w:pPr>
        <w:pStyle w:val="Style24"/>
        <w:keepNext w:val="0"/>
        <w:keepLines w:val="0"/>
        <w:widowControl w:val="0"/>
        <w:shd w:val="clear" w:color="auto" w:fill="auto"/>
        <w:tabs>
          <w:tab w:pos="622" w:val="left"/>
        </w:tabs>
        <w:bidi w:val="0"/>
        <w:spacing w:before="0" w:after="0" w:line="317" w:lineRule="exact"/>
        <w:ind w:left="0" w:right="0"/>
        <w:jc w:val="left"/>
      </w:pPr>
      <w:bookmarkStart w:id="244" w:name="bookmark244"/>
      <w:r>
        <w:rPr>
          <w:rFonts w:ascii="Times New Roman" w:eastAsia="Times New Roman" w:hAnsi="Times New Roman" w:cs="Times New Roman"/>
          <w:color w:val="000000"/>
          <w:spacing w:val="0"/>
          <w:w w:val="100"/>
          <w:position w:val="0"/>
          <w:sz w:val="18"/>
          <w:szCs w:val="18"/>
        </w:rPr>
        <w:t>2</w:t>
      </w:r>
      <w:bookmarkEnd w:id="244"/>
      <w:r>
        <w:rPr>
          <w:color w:val="000000"/>
          <w:spacing w:val="0"/>
          <w:w w:val="100"/>
          <w:position w:val="0"/>
        </w:rPr>
        <w:t>、</w:t>
        <w:tab/>
        <w:t>积极维护客户资源，持续地经营客户群体，实现有效突破；加强供应商的选择、培养和管理，建立良好的合作关系， 完善渠道、上下游战略合作，增强服务能力。公司将在重点客户和产品上进行布局，为经营业绩的长期增长奠定基础。</w:t>
      </w:r>
    </w:p>
    <w:p>
      <w:pPr>
        <w:pStyle w:val="Style24"/>
        <w:keepNext w:val="0"/>
        <w:keepLines w:val="0"/>
        <w:widowControl w:val="0"/>
        <w:shd w:val="clear" w:color="auto" w:fill="auto"/>
        <w:tabs>
          <w:tab w:pos="618" w:val="left"/>
        </w:tabs>
        <w:bidi w:val="0"/>
        <w:spacing w:before="0" w:after="0" w:line="317" w:lineRule="exact"/>
        <w:ind w:left="0" w:right="0"/>
        <w:jc w:val="left"/>
      </w:pPr>
      <w:bookmarkStart w:id="245" w:name="bookmark245"/>
      <w:r>
        <w:rPr>
          <w:rFonts w:ascii="Times New Roman" w:eastAsia="Times New Roman" w:hAnsi="Times New Roman" w:cs="Times New Roman"/>
          <w:color w:val="000000"/>
          <w:spacing w:val="0"/>
          <w:w w:val="100"/>
          <w:position w:val="0"/>
          <w:sz w:val="18"/>
          <w:szCs w:val="18"/>
        </w:rPr>
        <w:t>3</w:t>
      </w:r>
      <w:bookmarkEnd w:id="245"/>
      <w:r>
        <w:rPr>
          <w:color w:val="000000"/>
          <w:spacing w:val="0"/>
          <w:w w:val="100"/>
          <w:position w:val="0"/>
        </w:rPr>
        <w:t>、</w:t>
        <w:tab/>
        <w:t>公司持续提升经营管理水平，完善公司治理和内部控制制度，优化管理流程，更好地防范和降低企业经营生产过程 中的各种风险，提高公司经营管理效率，适应企业的快速发展。</w:t>
      </w:r>
    </w:p>
    <w:p>
      <w:pPr>
        <w:pStyle w:val="Style24"/>
        <w:keepNext w:val="0"/>
        <w:keepLines w:val="0"/>
        <w:widowControl w:val="0"/>
        <w:shd w:val="clear" w:color="auto" w:fill="auto"/>
        <w:tabs>
          <w:tab w:pos="622" w:val="left"/>
        </w:tabs>
        <w:bidi w:val="0"/>
        <w:spacing w:before="0" w:after="0" w:line="317" w:lineRule="exact"/>
        <w:ind w:left="0" w:right="0"/>
        <w:jc w:val="left"/>
      </w:pPr>
      <w:bookmarkStart w:id="246" w:name="bookmark246"/>
      <w:r>
        <w:rPr>
          <w:rFonts w:ascii="Times New Roman" w:eastAsia="Times New Roman" w:hAnsi="Times New Roman" w:cs="Times New Roman"/>
          <w:color w:val="000000"/>
          <w:spacing w:val="0"/>
          <w:w w:val="100"/>
          <w:position w:val="0"/>
          <w:sz w:val="18"/>
          <w:szCs w:val="18"/>
        </w:rPr>
        <w:t>4</w:t>
      </w:r>
      <w:bookmarkEnd w:id="246"/>
      <w:r>
        <w:rPr>
          <w:color w:val="000000"/>
          <w:spacing w:val="0"/>
          <w:w w:val="100"/>
          <w:position w:val="0"/>
        </w:rPr>
        <w:t>、</w:t>
        <w:tab/>
        <w:t>根据公司战略发展需要，完善人才队伍的建设，打造学习型组织，提高从业人员素质，建立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责任结果导向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的绩效考 核机制，树立人才竞争理念，鼓励员工总结和分享，形成你追我赶的良好局面，充分调动员工的积极性和创造性，提升企业 人才整体竞争力。</w:t>
      </w:r>
    </w:p>
    <w:p>
      <w:pPr>
        <w:pStyle w:val="Style24"/>
        <w:keepNext w:val="0"/>
        <w:keepLines w:val="0"/>
        <w:widowControl w:val="0"/>
        <w:shd w:val="clear" w:color="auto" w:fill="auto"/>
        <w:tabs>
          <w:tab w:pos="637" w:val="left"/>
        </w:tabs>
        <w:bidi w:val="0"/>
        <w:spacing w:before="0" w:after="0" w:line="317" w:lineRule="exact"/>
        <w:ind w:left="0" w:right="0"/>
        <w:jc w:val="left"/>
      </w:pPr>
      <w:bookmarkStart w:id="247" w:name="bookmark247"/>
      <w:r>
        <w:rPr>
          <w:rFonts w:ascii="Times New Roman" w:eastAsia="Times New Roman" w:hAnsi="Times New Roman" w:cs="Times New Roman"/>
          <w:color w:val="000000"/>
          <w:spacing w:val="0"/>
          <w:w w:val="100"/>
          <w:position w:val="0"/>
          <w:sz w:val="18"/>
          <w:szCs w:val="18"/>
        </w:rPr>
        <w:t>5</w:t>
      </w:r>
      <w:bookmarkEnd w:id="247"/>
      <w:r>
        <w:rPr>
          <w:color w:val="000000"/>
          <w:spacing w:val="0"/>
          <w:w w:val="100"/>
          <w:position w:val="0"/>
        </w:rPr>
        <w:t>、</w:t>
        <w:tab/>
        <w:t>在深耕精耕主营业务、注重内生式发展的同时，关注市场趋势，识别战略机会，依托资本市场的支持，寻求外延并 购的发展机会，积极发挥公司优势、实现资源互补，实现资本推动产业发展。</w:t>
      </w:r>
    </w:p>
    <w:p>
      <w:pPr>
        <w:pStyle w:val="Style24"/>
        <w:keepNext w:val="0"/>
        <w:keepLines w:val="0"/>
        <w:widowControl w:val="0"/>
        <w:shd w:val="clear" w:color="auto" w:fill="auto"/>
        <w:bidi w:val="0"/>
        <w:spacing w:before="0" w:after="80" w:line="317" w:lineRule="exact"/>
        <w:ind w:left="0" w:right="0"/>
        <w:jc w:val="left"/>
      </w:pPr>
      <w:r>
        <w:rPr>
          <w:color w:val="000000"/>
          <w:spacing w:val="0"/>
          <w:w w:val="100"/>
          <w:position w:val="0"/>
        </w:rPr>
        <w:t>上述经营计划不构成公司对投资者的业绩承诺。请投资者注意投资风险。</w:t>
      </w:r>
    </w:p>
    <w:p>
      <w:pPr>
        <w:pStyle w:val="Style22"/>
        <w:keepNext/>
        <w:keepLines/>
        <w:widowControl w:val="0"/>
        <w:shd w:val="clear" w:color="auto" w:fill="auto"/>
        <w:bidi w:val="0"/>
        <w:spacing w:before="0" w:line="240" w:lineRule="auto"/>
        <w:ind w:left="0" w:right="0" w:firstLine="0"/>
        <w:jc w:val="left"/>
      </w:pPr>
      <w:bookmarkStart w:id="248" w:name="bookmark248"/>
      <w:bookmarkStart w:id="249" w:name="bookmark249"/>
      <w:bookmarkStart w:id="250" w:name="bookmark250"/>
      <w:r>
        <w:rPr>
          <w:color w:val="000000"/>
          <w:spacing w:val="0"/>
          <w:w w:val="100"/>
          <w:position w:val="0"/>
          <w:sz w:val="24"/>
          <w:szCs w:val="24"/>
        </w:rPr>
        <w:t>十、接待调研、沟通、采访等活动登记表</w:t>
      </w:r>
      <w:bookmarkEnd w:id="248"/>
      <w:bookmarkEnd w:id="249"/>
      <w:bookmarkEnd w:id="250"/>
    </w:p>
    <w:p>
      <w:pPr>
        <w:pStyle w:val="Style28"/>
        <w:keepNext/>
        <w:keepLines/>
        <w:widowControl w:val="0"/>
        <w:shd w:val="clear" w:color="auto" w:fill="auto"/>
        <w:bidi w:val="0"/>
        <w:spacing w:before="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、报告期内接待调研、沟通、采访等活动登记表</w:t>
      </w:r>
      <w:bookmarkEnd w:id="251"/>
      <w:bookmarkEnd w:id="252"/>
      <w:bookmarkEnd w:id="25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700" w:bottom="1441" w:left="692" w:header="0" w:footer="3" w:gutter="0"/>
          <w:cols w:space="720"/>
          <w:noEndnote/>
          <w:rtlGutter w:val="0"/>
          <w:docGrid w:linePitch="360"/>
        </w:sectPr>
      </w:pPr>
      <w:r>
        <w:rPr>
          <w:color w:val="000000"/>
          <w:spacing w:val="0"/>
          <w:w w:val="100"/>
          <w:position w:val="0"/>
        </w:rPr>
        <w:t>公司报告期内未发生接待调研、沟通、采访等活动。</w:t>
      </w:r>
    </w:p>
    <w:p>
      <w:pPr>
        <w:pStyle w:val="Style13"/>
        <w:keepNext/>
        <w:keepLines/>
        <w:widowControl w:val="0"/>
        <w:shd w:val="clear" w:color="auto" w:fill="auto"/>
        <w:bidi w:val="0"/>
        <w:spacing w:before="560" w:line="240" w:lineRule="auto"/>
        <w:ind w:left="0" w:right="0" w:firstLine="0"/>
        <w:jc w:val="center"/>
      </w:pPr>
      <w:bookmarkStart w:id="258" w:name="bookmark258"/>
      <w:bookmarkStart w:id="259" w:name="bookmark259"/>
      <w:bookmarkStart w:id="260" w:name="bookmark260"/>
      <w:r>
        <w:rPr>
          <w:color w:val="000000"/>
          <w:spacing w:val="0"/>
          <w:w w:val="100"/>
          <w:position w:val="0"/>
        </w:rPr>
        <w:t>第五节重要事项</w:t>
      </w:r>
      <w:bookmarkEnd w:id="258"/>
      <w:bookmarkEnd w:id="259"/>
      <w:bookmarkEnd w:id="260"/>
    </w:p>
    <w:p>
      <w:pPr>
        <w:pStyle w:val="Style22"/>
        <w:keepNext/>
        <w:keepLines/>
        <w:widowControl w:val="0"/>
        <w:shd w:val="clear" w:color="auto" w:fill="auto"/>
        <w:bidi w:val="0"/>
        <w:spacing w:before="0" w:after="240" w:line="240" w:lineRule="auto"/>
        <w:ind w:left="0" w:right="0" w:firstLine="0"/>
        <w:jc w:val="both"/>
      </w:pPr>
      <w:bookmarkStart w:id="261" w:name="bookmark261"/>
      <w:bookmarkStart w:id="262" w:name="bookmark262"/>
      <w:bookmarkStart w:id="263" w:name="bookmark263"/>
      <w:bookmarkStart w:id="264" w:name="bookmark264"/>
      <w:r>
        <w:rPr>
          <w:color w:val="000000"/>
          <w:spacing w:val="0"/>
          <w:w w:val="100"/>
          <w:position w:val="0"/>
          <w:sz w:val="24"/>
          <w:szCs w:val="24"/>
        </w:rPr>
        <w:t>一</w:t>
      </w:r>
      <w:bookmarkEnd w:id="263"/>
      <w:r>
        <w:rPr>
          <w:color w:val="000000"/>
          <w:spacing w:val="0"/>
          <w:w w:val="100"/>
          <w:position w:val="0"/>
          <w:sz w:val="24"/>
          <w:szCs w:val="24"/>
        </w:rPr>
        <w:t>、公司普通股利润分配及资本公积金转增股本情况</w:t>
      </w:r>
      <w:bookmarkEnd w:id="261"/>
      <w:bookmarkEnd w:id="262"/>
      <w:bookmarkEnd w:id="264"/>
    </w:p>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日，公司召开第三届董事会第二十三次会议，审议通过了公司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年度利润分配预案：以截止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253,736,848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元人民币（含税），不送红股，不进行资本公积 金转增股本。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年年度股东大会审议通过上述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w:t>
      </w:r>
    </w:p>
    <w:p>
      <w:pPr>
        <w:pStyle w:val="Style24"/>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日，公司披露了《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年年度权益分派实施公告》，本次权益分派股权登记日为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日，除权除息 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日。截止报告期末，公司已经完成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度权益分派的实施工作。</w:t>
      </w:r>
    </w:p>
    <w:p>
      <w:pPr>
        <w:pStyle w:val="Style24"/>
        <w:keepNext w:val="0"/>
        <w:keepLines w:val="0"/>
        <w:widowControl w:val="0"/>
        <w:shd w:val="clear" w:color="auto" w:fill="auto"/>
        <w:bidi w:val="0"/>
        <w:spacing w:before="0" w:after="360" w:line="314" w:lineRule="exact"/>
        <w:ind w:left="0" w:right="0"/>
        <w:jc w:val="left"/>
      </w:pPr>
      <w:r>
        <w:rPr>
          <w:color w:val="000000"/>
          <w:spacing w:val="0"/>
          <w:w w:val="100"/>
          <w:position w:val="0"/>
        </w:rPr>
        <w:t>报告期内，公司按照《公司章程》及《珠海汇金科技股份有限公司未来三年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年）股东回报规划》执行，公司 普通股利润分配政策没有发生变化。</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252,450,683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20,196,054.64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20,196,054.64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199,927,401.93</w:t>
            </w:r>
          </w:p>
        </w:tc>
      </w:tr>
    </w:tbl>
    <w:p>
      <w:pPr>
        <w:widowControl w:val="0"/>
        <w:spacing w:line="1" w:lineRule="exact"/>
      </w:pPr>
      <w:r>
        <w:br w:type="page"/>
      </w:r>
    </w:p>
    <w:tbl>
      <w:tblPr>
        <w:tblOverlap w:val="never"/>
        <w:jc w:val="center"/>
        <w:tblLayout w:type="fixed"/>
      </w:tblPr>
      <w:tblGrid>
        <w:gridCol w:w="3725"/>
        <w:gridCol w:w="586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公司发展阶段不易区分但有重大资金支出安排的，进行利润分配时，现金分红在本次利润分配中所占比例最低应达到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201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年度利润分配预案：公司以截止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日公司总股本</w:t>
            </w:r>
            <w:r>
              <w:rPr>
                <w:color w:val="000000"/>
                <w:spacing w:val="0"/>
                <w:w w:val="100"/>
                <w:position w:val="0"/>
                <w:sz w:val="18"/>
                <w:szCs w:val="18"/>
              </w:rPr>
              <w:t>252,450,683</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 派发现金股利</w:t>
            </w:r>
            <w:r>
              <w:rPr>
                <w:color w:val="000000"/>
                <w:spacing w:val="0"/>
                <w:w w:val="100"/>
                <w:position w:val="0"/>
                <w:sz w:val="18"/>
                <w:szCs w:val="18"/>
              </w:rPr>
              <w:t>0.80</w:t>
            </w:r>
            <w:r>
              <w:rPr>
                <w:rFonts w:ascii="SimSun" w:eastAsia="SimSun" w:hAnsi="SimSun" w:cs="SimSun"/>
                <w:color w:val="000000"/>
                <w:spacing w:val="0"/>
                <w:w w:val="100"/>
                <w:position w:val="0"/>
                <w:sz w:val="17"/>
                <w:szCs w:val="17"/>
              </w:rPr>
              <w:t>元人民币（含税），不送红股，以资本公积金转增股份每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w:t>
            </w:r>
            <w:r>
              <w:rPr>
                <w:color w:val="000000"/>
                <w:spacing w:val="0"/>
                <w:w w:val="100"/>
                <w:position w:val="0"/>
                <w:sz w:val="18"/>
                <w:szCs w:val="18"/>
              </w:rPr>
              <w:t>3</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315" w:lineRule="exact"/>
              <w:ind w:left="0" w:right="0" w:firstLine="40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日召开第三届董事会第三十二次会议，审议通过了《关于公司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年度利润分配预案的议案》。 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年度利润分配预案符合中国证监会《关于进一步落实上市公司现金分红有关事项的通知》、《上市公司监管指引 第</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上市公司现金分红》及《公司章程》等规定，符合公司当前的实际情况，有利于公司的持续稳定健康发展，并更好 地兼顾股东的即期利益和长远利益，审议程序符合相关规定。该议案尚需提交公司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年度股东大会审议。</w:t>
            </w:r>
          </w:p>
        </w:tc>
      </w:tr>
    </w:tbl>
    <w:p>
      <w:pPr>
        <w:pStyle w:val="Style24"/>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tabs>
          <w:tab w:pos="334" w:val="left"/>
        </w:tabs>
        <w:bidi w:val="0"/>
        <w:spacing w:before="0" w:after="0" w:line="318" w:lineRule="exact"/>
        <w:ind w:left="0" w:right="0" w:firstLine="0"/>
        <w:jc w:val="left"/>
      </w:pPr>
      <w:bookmarkStart w:id="265" w:name="bookmark265"/>
      <w:r>
        <w:rPr>
          <w:rFonts w:ascii="Times New Roman" w:eastAsia="Times New Roman" w:hAnsi="Times New Roman" w:cs="Times New Roman"/>
          <w:color w:val="000000"/>
          <w:spacing w:val="0"/>
          <w:w w:val="100"/>
          <w:position w:val="0"/>
          <w:sz w:val="18"/>
          <w:szCs w:val="18"/>
        </w:rPr>
        <w:t>1</w:t>
      </w:r>
      <w:bookmarkEnd w:id="265"/>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年度利润分配方案：以公司总股本</w:t>
      </w:r>
      <w:r>
        <w:rPr>
          <w:rFonts w:ascii="Times New Roman" w:eastAsia="Times New Roman" w:hAnsi="Times New Roman" w:cs="Times New Roman"/>
          <w:color w:val="000000"/>
          <w:spacing w:val="0"/>
          <w:w w:val="100"/>
          <w:position w:val="0"/>
          <w:sz w:val="18"/>
          <w:szCs w:val="18"/>
        </w:rPr>
        <w:t>170,115,232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元人民币（含税）， 同时，以资本公积金转增股份每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24"/>
        <w:keepNext w:val="0"/>
        <w:keepLines w:val="0"/>
        <w:widowControl w:val="0"/>
        <w:shd w:val="clear" w:color="auto" w:fill="auto"/>
        <w:tabs>
          <w:tab w:pos="354" w:val="left"/>
        </w:tabs>
        <w:bidi w:val="0"/>
        <w:spacing w:before="0" w:after="0" w:line="318" w:lineRule="exact"/>
        <w:ind w:left="0" w:right="0" w:firstLine="0"/>
        <w:jc w:val="left"/>
      </w:pPr>
      <w:bookmarkStart w:id="266" w:name="bookmark266"/>
      <w:r>
        <w:rPr>
          <w:rFonts w:ascii="Times New Roman" w:eastAsia="Times New Roman" w:hAnsi="Times New Roman" w:cs="Times New Roman"/>
          <w:color w:val="000000"/>
          <w:spacing w:val="0"/>
          <w:w w:val="100"/>
          <w:position w:val="0"/>
          <w:sz w:val="18"/>
          <w:szCs w:val="18"/>
        </w:rPr>
        <w:t>2</w:t>
      </w:r>
      <w:bookmarkEnd w:id="26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年度利润分配方案：以公司总股本</w:t>
      </w:r>
      <w:r>
        <w:rPr>
          <w:rFonts w:ascii="Times New Roman" w:eastAsia="Times New Roman" w:hAnsi="Times New Roman" w:cs="Times New Roman"/>
          <w:color w:val="000000"/>
          <w:spacing w:val="0"/>
          <w:w w:val="100"/>
          <w:position w:val="0"/>
          <w:sz w:val="18"/>
          <w:szCs w:val="18"/>
        </w:rPr>
        <w:t>253,736,848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元（含税）， 不送红股，不进行资本公积金转增股本。</w:t>
      </w:r>
    </w:p>
    <w:p>
      <w:pPr>
        <w:pStyle w:val="Style24"/>
        <w:keepNext w:val="0"/>
        <w:keepLines w:val="0"/>
        <w:widowControl w:val="0"/>
        <w:shd w:val="clear" w:color="auto" w:fill="auto"/>
        <w:tabs>
          <w:tab w:pos="354" w:val="left"/>
        </w:tabs>
        <w:bidi w:val="0"/>
        <w:spacing w:before="0" w:after="0" w:line="318" w:lineRule="exact"/>
        <w:ind w:left="0" w:right="0" w:firstLine="0"/>
        <w:jc w:val="left"/>
      </w:pPr>
      <w:bookmarkStart w:id="267" w:name="bookmark267"/>
      <w:r>
        <w:rPr>
          <w:rFonts w:ascii="Times New Roman" w:eastAsia="Times New Roman" w:hAnsi="Times New Roman" w:cs="Times New Roman"/>
          <w:color w:val="000000"/>
          <w:spacing w:val="0"/>
          <w:w w:val="100"/>
          <w:position w:val="0"/>
          <w:sz w:val="18"/>
          <w:szCs w:val="18"/>
        </w:rPr>
        <w:t>3</w:t>
      </w:r>
      <w:bookmarkEnd w:id="267"/>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年度利润分配预案：以公司总股本</w:t>
      </w:r>
      <w:r>
        <w:rPr>
          <w:rFonts w:ascii="Times New Roman" w:eastAsia="Times New Roman" w:hAnsi="Times New Roman" w:cs="Times New Roman"/>
          <w:color w:val="000000"/>
          <w:spacing w:val="0"/>
          <w:w w:val="100"/>
          <w:position w:val="0"/>
          <w:sz w:val="18"/>
          <w:szCs w:val="18"/>
        </w:rPr>
        <w:t>252,450,683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元（含税）， 不送红股，以资本公积金转增股份每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w:t>
      </w:r>
    </w:p>
    <w:p>
      <w:pPr>
        <w:pStyle w:val="Style24"/>
        <w:keepNext w:val="0"/>
        <w:keepLines w:val="0"/>
        <w:widowControl w:val="0"/>
        <w:shd w:val="clear" w:color="auto" w:fill="auto"/>
        <w:bidi w:val="0"/>
        <w:spacing w:before="0" w:after="160" w:line="318"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20,196,054.64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17,285,190.02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20,196,054.64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20,298,947.84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20,118,329.09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20,298,947.84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34,023,046.43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26,037,504.42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34,023,046.43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130.67%</w:t>
            </w:r>
          </w:p>
        </w:tc>
      </w:tr>
    </w:tbl>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二</w:t>
      </w:r>
      <w:bookmarkEnd w:id="270"/>
      <w:r>
        <w:rPr>
          <w:color w:val="000000"/>
          <w:spacing w:val="0"/>
          <w:w w:val="100"/>
          <w:position w:val="0"/>
          <w:sz w:val="24"/>
          <w:szCs w:val="24"/>
        </w:rPr>
        <w:t>、承诺事项履行情况</w:t>
      </w:r>
      <w:bookmarkEnd w:id="268"/>
      <w:bookmarkEnd w:id="269"/>
      <w:bookmarkEnd w:id="271"/>
    </w:p>
    <w:p>
      <w:pPr>
        <w:pStyle w:val="Style28"/>
        <w:keepNext/>
        <w:keepLines/>
        <w:widowControl w:val="0"/>
        <w:shd w:val="clear" w:color="auto" w:fill="auto"/>
        <w:bidi w:val="0"/>
        <w:spacing w:before="0" w:line="317"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、公司实际控制人、股东、关联方、收购人以及公司等承诺相关方在报告期内履行完毕及截至报告期末 尚未履行完毕的承诺事项</w:t>
      </w:r>
      <w:bookmarkEnd w:id="272"/>
      <w:bookmarkEnd w:id="273"/>
      <w:bookmarkEnd w:id="275"/>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股份限售承 诺及减持意 向承诺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 票上市之日 起三十六个 月内，本人不 转让或者委 托他人管理 本人直接或 间接持有的 发行人公开 发行股票前 已发行的股 票，也不由发 行人回购本 人直接或间 接持有的发 行人公开发 行股票前已 发行的股票； 任职期间本 人每年转让 的股票数量， 不超过届时 本人所持发 行人股票总 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 职后半年内， 不转让本人 所持有的发 行人股份。本 人所持股票 在锁定期满 后两年内减 持的，其减持 价格不低于 发行价；发行 人上市后</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个 月内如发行 人股票连续 </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 的收盘价均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锁定期限承 诺至</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 已履行完毕； 其他长期有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低于发行价， 或者上市后</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个月期末收 盘价格低于 发行价，本人 持有发行人 股票的锁定 期限自动延 长</w:t>
            </w:r>
            <w:r>
              <w:rPr>
                <w:color w:val="000000"/>
                <w:spacing w:val="0"/>
                <w:w w:val="100"/>
                <w:position w:val="0"/>
                <w:sz w:val="18"/>
                <w:szCs w:val="18"/>
              </w:rPr>
              <w:t>6</w:t>
            </w:r>
            <w:r>
              <w:rPr>
                <w:rFonts w:ascii="SimSun" w:eastAsia="SimSun" w:hAnsi="SimSun" w:cs="SimSun"/>
                <w:color w:val="000000"/>
                <w:spacing w:val="0"/>
                <w:w w:val="100"/>
                <w:position w:val="0"/>
                <w:sz w:val="17"/>
                <w:szCs w:val="17"/>
              </w:rPr>
              <w:t>个月。本 人在锁定期 满，遵守相关 法律、法规、 规章、规范性 文件及证券 交易所监管 规则且不违 背本人已做 出的其他承 诺的情况下， 将根据资金 需求、投资安 排等各方面 因素确定是 否减持所持 公司股份。锁 定期满两年 内，如本人确 定减持公司 股份的，则在 减持对公司 二级市场不 构成重大干 扰的条件下， 本人每年所 累积减持的 股份总数将 不超过本人 所持有的公 司股份总数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；减持 价格不低于 本次发行价 格的</w:t>
            </w:r>
            <w:r>
              <w:rPr>
                <w:color w:val="000000"/>
                <w:spacing w:val="0"/>
                <w:w w:val="100"/>
                <w:position w:val="0"/>
                <w:sz w:val="18"/>
                <w:szCs w:val="18"/>
              </w:rPr>
              <w:t>100%</w:t>
            </w:r>
            <w:r>
              <w:rPr>
                <w:rFonts w:ascii="SimSun" w:eastAsia="SimSun" w:hAnsi="SimSun" w:cs="SimSun"/>
                <w:color w:val="000000"/>
                <w:spacing w:val="0"/>
                <w:w w:val="100"/>
                <w:position w:val="0"/>
                <w:sz w:val="17"/>
                <w:szCs w:val="17"/>
              </w:rPr>
              <w:t>。 该等减持方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式为大宗交 易或集中竞 价等法律允 许的方式。该 等减持行为， 将提前三个 交易日予以 公告。期间公 司如有派息、 送股、资本公 积金转增股 本、配股等除 权除息事项， 减持底价相 应进行调整。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股份限售承 诺及减持意 向承诺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 票上市之日 起一年内，本 人不转让或 者委托他人 管理本人持 有的发行人 公开发行股 票前已发行 的股票，也不 由发行人回 购本人持有 的发行人公 开发行股票 前已发行的 股票；自发行 人首次公开 发行股票上 市之日起六 个月内申报 离职的，自申 报离职之日 起十八个月 内不转让本 人直接持有 的发行人股 份；在首次公 开发行股票 上市之日起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锁定期限承 诺至</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 已履行完毕； 其他长期有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第七个月至 第十二个月 之间申报离 职的，自申报 离职之日起 十二个月内 不转让本人 直接持有的 发行人股份； 任职期间本 人每年转让 的股票数量， 不超过届时 本人所持发 行人股票总 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 职后半年内 不转让本人 持有的发行 人股票。本人 所持发行人 股票在锁定 期满后两年 内减持的，其 减持价格不 低于发行价； 发行人上市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个月内如 发行人股票 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 易日的收盘 价低于发行 价，或者上市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个月期末 收盘价低于 发行价，本人 持有发行人 股票的锁定 期限自动延 长</w:t>
            </w:r>
            <w:r>
              <w:rPr>
                <w:color w:val="000000"/>
                <w:spacing w:val="0"/>
                <w:w w:val="100"/>
                <w:position w:val="0"/>
                <w:sz w:val="18"/>
                <w:szCs w:val="18"/>
              </w:rPr>
              <w:t>6</w:t>
            </w:r>
            <w:r>
              <w:rPr>
                <w:rFonts w:ascii="SimSun" w:eastAsia="SimSun" w:hAnsi="SimSun" w:cs="SimSun"/>
                <w:color w:val="000000"/>
                <w:spacing w:val="0"/>
                <w:w w:val="100"/>
                <w:position w:val="0"/>
                <w:sz w:val="17"/>
                <w:szCs w:val="17"/>
              </w:rPr>
              <w:t>个月。本 人在锁定期 满，遵守相关 法律、法规、 规章、规范性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文件及证券 交易所监管 规则且不违 背本人已做 出的其他承 诺的情况下， 将根据资金 需求、投资安 排等各方面 因素确定是 否减持所持 公司股份。锁 定期满两年 内，如本人确 定减持公司 股份的，则在 减持对公司 二级市场不 构成重大干 扰的条件下， 本人每年所 累积减持的 股份总数将 不超过本人 所持有的公 司股份总数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；减持 价格不低于 本次发行价 格的</w:t>
            </w:r>
            <w:r>
              <w:rPr>
                <w:color w:val="000000"/>
                <w:spacing w:val="0"/>
                <w:w w:val="100"/>
                <w:position w:val="0"/>
                <w:sz w:val="18"/>
                <w:szCs w:val="18"/>
              </w:rPr>
              <w:t>100%</w:t>
            </w:r>
            <w:r>
              <w:rPr>
                <w:rFonts w:ascii="SimSun" w:eastAsia="SimSun" w:hAnsi="SimSun" w:cs="SimSun"/>
                <w:color w:val="000000"/>
                <w:spacing w:val="0"/>
                <w:w w:val="100"/>
                <w:position w:val="0"/>
                <w:sz w:val="17"/>
                <w:szCs w:val="17"/>
              </w:rPr>
              <w:t>。 该等减持方 式为大宗交 易或集中竞 价等法律允 许的方式。该 等减持行为， 将提前三个 交易日予以 公告。期间公 司如有派息、 送股、资本公 积金转增股 本、配股等除 权除息事项，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减持底价相 应进行调整。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宋京生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 票上市之日 起一年内，本 人不转让或 者委托他人 管理本人持 有的发行人 公开发行股 票前已发行 的股票，也不 由发行人回 购本人持有 的发行人公 开发行股票 前已发行的 股票；自发行 人首次公开 发行股票上 市之日起六 个月内申报 离职的，自申 报离职之日 起十八个月 内不转让本 人直接持有 的发行人股 份；在首次公 开发行股票 上市之日起 第七个月至 第十二个月 之间申报离 职的，自申报 离职之日起 十二个月内 不转让本人 直接持有的 发行人股份； 任职期间本 人每年转让 的股票数量， 不超过届时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股份限售承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本人所持发 行人股票总 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 职后半年内 不转让本人 持有的发行 人股票。本人 所持发行人 股票在锁定 期满后两年 内减持的，其 减持价格不 低于发行价； 发行人上市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个月内如 发行人股票 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 易日的收盘 价低于发行 价，或者上市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个月期末 收盘价低于 发行价，本人 持有发行人 股票的锁定 期限自动延 长</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苏州衡赢真 盛创业投资 中心（有限合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股份限售承 诺及减持意 向承诺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 票上市之日 起一年内，本 有限合伙不 转让或者委 托他人管理 本有限合伙 持有的发行 人公开发行 股票前已发 行的股票，也 不由发行人 回购本有限 合伙持有的 发行人公开 发行股票前 已发行的股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98" w:lineRule="exact"/>
              <w:ind w:left="0" w:right="0" w:firstLine="0"/>
              <w:jc w:val="left"/>
              <w:rPr>
                <w:sz w:val="17"/>
                <w:szCs w:val="17"/>
              </w:rPr>
            </w:pPr>
            <w:r>
              <w:rPr>
                <w:rFonts w:ascii="SimSun" w:eastAsia="SimSun" w:hAnsi="SimSun" w:cs="SimSun"/>
                <w:color w:val="000000"/>
                <w:spacing w:val="0"/>
                <w:w w:val="100"/>
                <w:position w:val="0"/>
                <w:sz w:val="17"/>
                <w:szCs w:val="17"/>
              </w:rPr>
              <w:t>锁定期限承 诺至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46"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已履行完毕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票。本有限合 伙所持公司 股票自上市 之日起将严 格履行锁定 承诺，在股份 锁定期满并 不违背承诺 的条件下，根 据法律法规 的要求和自 身财务规划 的需要，进行 合理减持；每 次减持时，将 提前三个交 易日通知公 司公告本次 减持的数量、 减持价格区 间、减持时间 区间等，减持 将通过深圳 证券交易所 以协议转让、 大宗交易、竞 价交易或其 他方式依法 进行。期间公 司如有派息、 送股、资本公 积金转增股 本、配股等除 权除息事项， 减持底价相 应进行调整。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珠海瑞信投 资管理有限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 票上市之日 起三十六个 月内，本公司 不转让或者 委托他人管 理本公司持 有的发行人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锁定期限承 诺至</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 已履行完毕； 其他承诺有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公开发行股 票前已发行 的股票，也不 由发行人回 购本公司持 有的发行人 公开发行股 票前已发行 的股票。所持 股票在锁定 期满后两年 内减持的，其 减持价格不 低于发行价； 发行人上市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个月内如 发行人股票 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 易日的收盘 价均低于发 行价，或者上 市后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个月期 末收盘价格 低于发行价， 持有发行人 股票的锁定 期限自动延 长</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李志良、李志 勇、梁铁民、 宋昌林、王毅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 票上市之日 起一年内，本 人不转让或 者委托他人 管理本人持 有的发行人 公开发行股 票前已发行 的股票，也不 由发行人回 购本人持有 的发行人公 开发行股票 前已发行的 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汇金科技、陈 喆、马铮、宋 京生、肖志 宏、马晓丽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稳定股价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为维护市场 公平，切实保 护中小投资 者的合法权 益，公司</w:t>
            </w:r>
            <w:r>
              <w:rPr>
                <w:color w:val="000000"/>
                <w:spacing w:val="0"/>
                <w:w w:val="100"/>
                <w:position w:val="0"/>
                <w:sz w:val="18"/>
                <w:szCs w:val="18"/>
              </w:rPr>
              <w:t>A</w:t>
            </w:r>
            <w:r>
              <w:rPr>
                <w:rFonts w:ascii="SimSun" w:eastAsia="SimSun" w:hAnsi="SimSun" w:cs="SimSun"/>
                <w:color w:val="000000"/>
                <w:spacing w:val="0"/>
                <w:w w:val="100"/>
                <w:position w:val="0"/>
                <w:sz w:val="17"/>
                <w:szCs w:val="17"/>
              </w:rPr>
              <w:t>股 股票上市后</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年内，收盘价</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（除权除息 后，下同）连 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 日（公司股票 全天停牌的 交易日除外， 下同）低于最 近一期经审 计的每股净 资产，且公司 情况同时满 足监管机构 对于回购、增 持等股本变 动行为的规 定，则触发控 股股东、董事 及高级管理 人员增持及 回购的相关 义务。未来新 聘的董事及 高级管理人 员，也应履行 本承诺规定 的增持及回 购的相关义 务。</w:t>
            </w:r>
            <w:r>
              <w:rPr>
                <w:color w:val="000000"/>
                <w:spacing w:val="0"/>
                <w:w w:val="100"/>
                <w:position w:val="0"/>
                <w:sz w:val="18"/>
                <w:szCs w:val="18"/>
              </w:rPr>
              <w:t>1</w:t>
            </w:r>
            <w:r>
              <w:rPr>
                <w:rFonts w:ascii="SimSun" w:eastAsia="SimSun" w:hAnsi="SimSun" w:cs="SimSun"/>
                <w:color w:val="000000"/>
                <w:spacing w:val="0"/>
                <w:w w:val="100"/>
                <w:position w:val="0"/>
                <w:sz w:val="17"/>
                <w:szCs w:val="17"/>
              </w:rPr>
              <w:t>、启动 股价稳定措 施的具体条 件公司股票 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 易日的收盘 价均低于公 司最近一期 经审计的每 股净资产。</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股价稳定措 施的方式及 顺序股价稳 定措施的方 式为：（</w:t>
            </w:r>
            <w:r>
              <w:rPr>
                <w:color w:val="000000"/>
                <w:spacing w:val="0"/>
                <w:w w:val="100"/>
                <w:position w:val="0"/>
                <w:sz w:val="18"/>
                <w:szCs w:val="18"/>
              </w:rPr>
              <w:t>1</w:t>
            </w:r>
            <w:r>
              <w:rPr>
                <w:rFonts w:ascii="SimSun" w:eastAsia="SimSun" w:hAnsi="SimSun" w:cs="SimSun"/>
                <w:color w:val="000000"/>
                <w:spacing w:val="0"/>
                <w:w w:val="100"/>
                <w:position w:val="0"/>
                <w:sz w:val="17"/>
                <w:szCs w:val="17"/>
              </w:rPr>
              <w:t>）公 司控股股东 增持公司股 票；（</w:t>
            </w:r>
            <w:r>
              <w:rPr>
                <w:color w:val="000000"/>
                <w:spacing w:val="0"/>
                <w:w w:val="100"/>
                <w:position w:val="0"/>
                <w:sz w:val="18"/>
                <w:szCs w:val="18"/>
              </w:rPr>
              <w:t>2</w:t>
            </w:r>
            <w:r>
              <w:rPr>
                <w:rFonts w:ascii="SimSun" w:eastAsia="SimSun" w:hAnsi="SimSun" w:cs="SimSun"/>
                <w:color w:val="000000"/>
                <w:spacing w:val="0"/>
                <w:w w:val="100"/>
                <w:position w:val="0"/>
                <w:sz w:val="17"/>
                <w:szCs w:val="17"/>
              </w:rPr>
              <w:t>）董事</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（不含独立 董事）、高级 管理人员增 持公司股票；</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）公司回 购股票。选用 前述方式时 应考虑：（</w:t>
            </w:r>
            <w:r>
              <w:rPr>
                <w:color w:val="000000"/>
                <w:spacing w:val="0"/>
                <w:w w:val="100"/>
                <w:position w:val="0"/>
                <w:sz w:val="18"/>
                <w:szCs w:val="18"/>
              </w:rPr>
              <w:t>1</w:t>
            </w:r>
            <w:r>
              <w:rPr>
                <w:rFonts w:ascii="SimSun" w:eastAsia="SimSun" w:hAnsi="SimSun" w:cs="SimSun"/>
                <w:color w:val="000000"/>
                <w:spacing w:val="0"/>
                <w:w w:val="100"/>
                <w:position w:val="0"/>
                <w:sz w:val="17"/>
                <w:szCs w:val="17"/>
              </w:rPr>
              <w:t>） 不能导致公 司不满足法 定上市条件；</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）不能导 致控股股东 或实际控制 人履行要约 收购义务。东 增持公司股 票，除非公司 控股股东增 持公司股票 致使公司不 满足法定上 市条件或触 发控股股东 的要约收购 义务且控股 股东未计划 实施要约收 购；第二选择 为董事（不含 独立董事）、 高级管理人 员增持公司 股票，在下列 情形之一出 现时将启动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第二选择：</w:t>
            </w:r>
          </w:p>
          <w:p>
            <w:pPr>
              <w:pStyle w:val="Style2"/>
              <w:keepNext w:val="0"/>
              <w:keepLines w:val="0"/>
              <w:widowControl w:val="0"/>
              <w:numPr>
                <w:ilvl w:val="0"/>
                <w:numId w:val="7"/>
              </w:numPr>
              <w:shd w:val="clear" w:color="auto" w:fill="auto"/>
              <w:tabs>
                <w:tab w:pos="446"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在控股 股东增持公 司股票方案 实施完成后， 仍未满足''公 司股票连续</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个交易日的 收盘价均已 高于公司最 近一期经审 计的每股净 资产''之条件；</w:t>
            </w:r>
          </w:p>
          <w:p>
            <w:pPr>
              <w:pStyle w:val="Style2"/>
              <w:keepNext w:val="0"/>
              <w:keepLines w:val="0"/>
              <w:widowControl w:val="0"/>
              <w:numPr>
                <w:ilvl w:val="0"/>
                <w:numId w:val="7"/>
              </w:numPr>
              <w:shd w:val="clear" w:color="auto" w:fill="auto"/>
              <w:tabs>
                <w:tab w:pos="456"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控股股 东因故(包括 但不限于公 司控股股东 如增持公司 股票将致使 公司不满足 法定上市条 件或触发控 股股东的要 约收购义务 且控股股东 未计划实施 要约收购等 情形)无法实 施增持股票 计划，且董事</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(不含独立 董事)、高级 管理人员增 持公司股票 不会致使公 司不满足法 定上市条件 或触发控股 股东的要约 收购义务。第 三选择为公 司回购股票， 启动该选择 的条件为：在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第一选择和 第二选择已 实施或因故 未实施后，公 司股票仍未 满足</w:t>
            </w:r>
            <w:r>
              <w:rPr>
                <w:color w:val="000000"/>
                <w:spacing w:val="0"/>
                <w:w w:val="100"/>
                <w:position w:val="0"/>
                <w:sz w:val="18"/>
                <w:szCs w:val="18"/>
              </w:rPr>
              <w:t>"</w:t>
            </w:r>
            <w:r>
              <w:rPr>
                <w:rFonts w:ascii="SimSun" w:eastAsia="SimSun" w:hAnsi="SimSun" w:cs="SimSun"/>
                <w:color w:val="000000"/>
                <w:spacing w:val="0"/>
                <w:w w:val="100"/>
                <w:position w:val="0"/>
                <w:sz w:val="17"/>
                <w:szCs w:val="17"/>
              </w:rPr>
              <w:t>公司股 票连续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 易日的收盘 价均已高于 公司最近一 期经审计的 每股净资产</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之条件，且公 司实施股票 回购不会导 致公司不满 足法定上市 条件、公司回 购股票议案 已获得公司 股东大会批 准。每一自然 年度，强制启 动股价稳定 措施的义务 仅限一次。</w:t>
            </w:r>
            <w:r>
              <w:rPr>
                <w:color w:val="000000"/>
                <w:spacing w:val="0"/>
                <w:w w:val="100"/>
                <w:position w:val="0"/>
                <w:sz w:val="18"/>
                <w:szCs w:val="18"/>
              </w:rPr>
              <w:t>3</w:t>
            </w:r>
            <w:r>
              <w:rPr>
                <w:rFonts w:ascii="SimSun" w:eastAsia="SimSun" w:hAnsi="SimSun" w:cs="SimSun"/>
                <w:color w:val="000000"/>
                <w:spacing w:val="0"/>
                <w:w w:val="100"/>
                <w:position w:val="0"/>
                <w:sz w:val="17"/>
                <w:szCs w:val="17"/>
              </w:rPr>
              <w:t>、 实施控股股 东增持公司 股票的程序 在达到触发 启动股价稳 定措施条件 的情况下，在 履行相应的 公告等义务 后，控股股东 将在满足法 定条件下依 照方案中所 规定的价格 区间、期限实 施增持。公司 不得为控股 股东实施增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持公司股票 提供资金支 持。</w:t>
            </w:r>
            <w:r>
              <w:rPr>
                <w:color w:val="000000"/>
                <w:spacing w:val="0"/>
                <w:w w:val="100"/>
                <w:position w:val="0"/>
                <w:sz w:val="18"/>
                <w:szCs w:val="18"/>
              </w:rPr>
              <w:t>4</w:t>
            </w:r>
            <w:r>
              <w:rPr>
                <w:rFonts w:ascii="SimSun" w:eastAsia="SimSun" w:hAnsi="SimSun" w:cs="SimSun"/>
                <w:color w:val="000000"/>
                <w:spacing w:val="0"/>
                <w:w w:val="100"/>
                <w:position w:val="0"/>
                <w:sz w:val="17"/>
                <w:szCs w:val="17"/>
              </w:rPr>
              <w:t>、实施 董事（不含独 立董事）和高 级管理人员 增持公司股 票的程序（</w:t>
            </w:r>
            <w:r>
              <w:rPr>
                <w:color w:val="000000"/>
                <w:spacing w:val="0"/>
                <w:w w:val="100"/>
                <w:position w:val="0"/>
                <w:sz w:val="18"/>
                <w:szCs w:val="18"/>
              </w:rPr>
              <w:t>1</w:t>
            </w:r>
            <w:r>
              <w:rPr>
                <w:rFonts w:ascii="SimSun" w:eastAsia="SimSun" w:hAnsi="SimSun" w:cs="SimSun"/>
                <w:color w:val="000000"/>
                <w:spacing w:val="0"/>
                <w:w w:val="100"/>
                <w:position w:val="0"/>
                <w:sz w:val="17"/>
                <w:szCs w:val="17"/>
              </w:rPr>
              <w:t>） 启动程序① 控股股东未 实施增持公 司股票计划 在达到触发 启动股价稳 定措施条件 的情况下，并 且在控股股 东无法实施 增持公司股 票计划，且董 事（不含独立 董事）和高级 管理人员增 持公司股票 不会致使公 司不满足法 定上市条件， 公司董事（不 含独立董事） 和高级管理 人员将在达 到触发启动 股价稳定措 施条件或公 司控股股东 决定不实施 增持公司股 票计划公告 之日起</w:t>
            </w:r>
            <w:r>
              <w:rPr>
                <w:color w:val="000000"/>
                <w:spacing w:val="0"/>
                <w:w w:val="100"/>
                <w:position w:val="0"/>
                <w:sz w:val="18"/>
                <w:szCs w:val="18"/>
              </w:rPr>
              <w:t>30</w:t>
            </w:r>
            <w:r>
              <w:rPr>
                <w:rFonts w:ascii="SimSun" w:eastAsia="SimSun" w:hAnsi="SimSun" w:cs="SimSun"/>
                <w:color w:val="000000"/>
                <w:spacing w:val="0"/>
                <w:w w:val="100"/>
                <w:position w:val="0"/>
                <w:sz w:val="17"/>
                <w:szCs w:val="17"/>
              </w:rPr>
              <w:t>日 内向公司提 交增持公司 股票的方案 并由公司公 告。②控股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股东已实施 增持公司股 票计划控股 股东已实施 增持公司股 票计划但仍 未满足</w:t>
            </w:r>
            <w:r>
              <w:rPr>
                <w:color w:val="000000"/>
                <w:spacing w:val="0"/>
                <w:w w:val="100"/>
                <w:position w:val="0"/>
                <w:sz w:val="18"/>
                <w:szCs w:val="18"/>
              </w:rPr>
              <w:t>"</w:t>
            </w:r>
            <w:r>
              <w:rPr>
                <w:rFonts w:ascii="SimSun" w:eastAsia="SimSun" w:hAnsi="SimSun" w:cs="SimSun"/>
                <w:color w:val="000000"/>
                <w:spacing w:val="0"/>
                <w:w w:val="100"/>
                <w:position w:val="0"/>
                <w:sz w:val="17"/>
                <w:szCs w:val="17"/>
              </w:rPr>
              <w:t>公司 股票连续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 交易日的收 盘价均已高 于公司最近 一期经审计 的每股净资 产</w:t>
            </w:r>
            <w:r>
              <w:rPr>
                <w:color w:val="000000"/>
                <w:spacing w:val="0"/>
                <w:w w:val="100"/>
                <w:position w:val="0"/>
                <w:sz w:val="18"/>
                <w:szCs w:val="18"/>
              </w:rPr>
              <w:t>"</w:t>
            </w:r>
            <w:r>
              <w:rPr>
                <w:rFonts w:ascii="SimSun" w:eastAsia="SimSun" w:hAnsi="SimSun" w:cs="SimSun"/>
                <w:color w:val="000000"/>
                <w:spacing w:val="0"/>
                <w:w w:val="100"/>
                <w:position w:val="0"/>
                <w:sz w:val="17"/>
                <w:szCs w:val="17"/>
              </w:rPr>
              <w:t>之条件，公 司董事（不含 控股股东、独 立董事）和高 级管理人员 将在控股股 东增持公司 股票计划实 施完毕或终 止之日起</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日内向公司 提交增持公 司股票的方 案并由公司 公告。（</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）董 事（不含独立 董事）和高级 管理人员增 持公司的计 划控股股东 因故未实施 增持公司股 票计划或在 控股股东增 持公司股票 方案实施完 成后，仍未满 足''公司股票 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 日的收盘价 均已高于公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司最近一期 经审计的每 股净资产</w:t>
            </w:r>
            <w:r>
              <w:rPr>
                <w:color w:val="000000"/>
                <w:spacing w:val="0"/>
                <w:w w:val="100"/>
                <w:position w:val="0"/>
                <w:sz w:val="18"/>
                <w:szCs w:val="18"/>
              </w:rPr>
              <w:t>"</w:t>
            </w:r>
            <w:r>
              <w:rPr>
                <w:rFonts w:ascii="SimSun" w:eastAsia="SimSun" w:hAnsi="SimSun" w:cs="SimSun"/>
                <w:color w:val="000000"/>
                <w:spacing w:val="0"/>
                <w:w w:val="100"/>
                <w:position w:val="0"/>
                <w:sz w:val="17"/>
                <w:szCs w:val="17"/>
              </w:rPr>
              <w:t>之 条件，董事</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（不含独立 董事）和高级 管理人员将 在控股股东 增持公司股 票方案实施 完成后</w:t>
            </w:r>
            <w:r>
              <w:rPr>
                <w:color w:val="000000"/>
                <w:spacing w:val="0"/>
                <w:w w:val="100"/>
                <w:position w:val="0"/>
                <w:sz w:val="18"/>
                <w:szCs w:val="18"/>
              </w:rPr>
              <w:t>90</w:t>
            </w:r>
            <w:r>
              <w:rPr>
                <w:rFonts w:ascii="SimSun" w:eastAsia="SimSun" w:hAnsi="SimSun" w:cs="SimSun"/>
                <w:color w:val="000000"/>
                <w:spacing w:val="0"/>
                <w:w w:val="100"/>
                <w:position w:val="0"/>
                <w:sz w:val="17"/>
                <w:szCs w:val="17"/>
              </w:rPr>
              <w:t>日 内或控股股 东未实施增 持公司股票 计划公告之 日起</w:t>
            </w:r>
            <w:r>
              <w:rPr>
                <w:color w:val="000000"/>
                <w:spacing w:val="0"/>
                <w:w w:val="100"/>
                <w:position w:val="0"/>
                <w:sz w:val="18"/>
                <w:szCs w:val="18"/>
              </w:rPr>
              <w:t>90</w:t>
            </w:r>
            <w:r>
              <w:rPr>
                <w:rFonts w:ascii="SimSun" w:eastAsia="SimSun" w:hAnsi="SimSun" w:cs="SimSun"/>
                <w:color w:val="000000"/>
                <w:spacing w:val="0"/>
                <w:w w:val="100"/>
                <w:position w:val="0"/>
                <w:sz w:val="17"/>
                <w:szCs w:val="17"/>
              </w:rPr>
              <w:t xml:space="preserve">日内 增持公司股 票，且用于增 持股票的资 金不低于其 上一年度于 公司取得薪 酬总额的 </w:t>
            </w:r>
            <w:r>
              <w:rPr>
                <w:color w:val="000000"/>
                <w:spacing w:val="0"/>
                <w:w w:val="100"/>
                <w:position w:val="0"/>
                <w:sz w:val="18"/>
                <w:szCs w:val="18"/>
              </w:rPr>
              <w:t>30%</w:t>
            </w:r>
            <w:r>
              <w:rPr>
                <w:rFonts w:ascii="SimSun" w:eastAsia="SimSun" w:hAnsi="SimSun" w:cs="SimSun"/>
                <w:color w:val="000000"/>
                <w:spacing w:val="0"/>
                <w:w w:val="100"/>
                <w:position w:val="0"/>
                <w:sz w:val="17"/>
                <w:szCs w:val="17"/>
              </w:rPr>
              <w:t>。董事（不 含控股股东、 独立董事）和 高级管理人 员增持公司 股票在达到 以下条件之 一的情况下 终止：（</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）通 过增持公司 股票，公司股 票连续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 易日的收盘 价均已高于 公司最近一 期经审计的 每股净资产；</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）继续增 持股票将导 致公司不满 足法定上市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条件；（</w:t>
            </w:r>
            <w:r>
              <w:rPr>
                <w:color w:val="000000"/>
                <w:spacing w:val="0"/>
                <w:w w:val="100"/>
                <w:position w:val="0"/>
                <w:sz w:val="18"/>
                <w:szCs w:val="18"/>
              </w:rPr>
              <w:t>3</w:t>
            </w:r>
            <w:r>
              <w:rPr>
                <w:rFonts w:ascii="SimSun" w:eastAsia="SimSun" w:hAnsi="SimSun" w:cs="SimSun"/>
                <w:color w:val="000000"/>
                <w:spacing w:val="0"/>
                <w:w w:val="100"/>
                <w:position w:val="0"/>
                <w:sz w:val="17"/>
                <w:szCs w:val="17"/>
              </w:rPr>
              <w:t>）继 续增持股票 将导致需要 履行要约收 购义务且其 未计划实施 要约收购。公 司在未来聘 任新的董事</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（不含独立 董事）、高级 管理人员前， 将要求其签 署承诺书，保 证其履行公 司首次公开 发行上市时 董事、高级管 理人员已做 出的相应承 诺。</w:t>
            </w:r>
            <w:r>
              <w:rPr>
                <w:color w:val="000000"/>
                <w:spacing w:val="0"/>
                <w:w w:val="100"/>
                <w:position w:val="0"/>
                <w:sz w:val="18"/>
                <w:szCs w:val="18"/>
              </w:rPr>
              <w:t>5</w:t>
            </w:r>
            <w:r>
              <w:rPr>
                <w:rFonts w:ascii="SimSun" w:eastAsia="SimSun" w:hAnsi="SimSun" w:cs="SimSun"/>
                <w:color w:val="000000"/>
                <w:spacing w:val="0"/>
                <w:w w:val="100"/>
                <w:position w:val="0"/>
                <w:sz w:val="17"/>
                <w:szCs w:val="17"/>
              </w:rPr>
              <w:t>、实施 公司回购股 票的程序在 控股股东和</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或董事（不含 独立董事）、 高级管理人 员增持公司 股票计划实 施后，公司股 票仍未满足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公司股票连 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 的收盘价均 已高于公司 最近一期经 审计的每股 净资产</w:t>
            </w:r>
            <w:r>
              <w:rPr>
                <w:color w:val="000000"/>
                <w:spacing w:val="0"/>
                <w:w w:val="100"/>
                <w:position w:val="0"/>
                <w:sz w:val="18"/>
                <w:szCs w:val="18"/>
              </w:rPr>
              <w:t>"</w:t>
            </w:r>
            <w:r>
              <w:rPr>
                <w:rFonts w:ascii="SimSun" w:eastAsia="SimSun" w:hAnsi="SimSun" w:cs="SimSun"/>
                <w:color w:val="000000"/>
                <w:spacing w:val="0"/>
                <w:w w:val="100"/>
                <w:position w:val="0"/>
                <w:sz w:val="17"/>
                <w:szCs w:val="17"/>
              </w:rPr>
              <w:t>之条 件，或控股股 东和董事（不 含独立董 事）、高级管 理人员因故 未能实施增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持公司股票 计划，在达到 触发启动股 价稳定措施 条件的情况 下，公司将在 </w:t>
            </w:r>
            <w:r>
              <w:rPr>
                <w:color w:val="000000"/>
                <w:spacing w:val="0"/>
                <w:w w:val="100"/>
                <w:position w:val="0"/>
                <w:sz w:val="18"/>
                <w:szCs w:val="18"/>
              </w:rPr>
              <w:t>10</w:t>
            </w:r>
            <w:r>
              <w:rPr>
                <w:rFonts w:ascii="SimSun" w:eastAsia="SimSun" w:hAnsi="SimSun" w:cs="SimSun"/>
                <w:color w:val="000000"/>
                <w:spacing w:val="0"/>
                <w:w w:val="100"/>
                <w:position w:val="0"/>
                <w:sz w:val="17"/>
                <w:szCs w:val="17"/>
              </w:rPr>
              <w:t>日内召开 董事会，依法 作出实施回 购股票的决 议，提交股东 大会批准并 履行相应的 公告程序。公 司将在董事 会决议出具 之日起</w:t>
            </w:r>
            <w:r>
              <w:rPr>
                <w:color w:val="000000"/>
                <w:spacing w:val="0"/>
                <w:w w:val="100"/>
                <w:position w:val="0"/>
                <w:sz w:val="18"/>
                <w:szCs w:val="18"/>
              </w:rPr>
              <w:t>30</w:t>
            </w:r>
            <w:r>
              <w:rPr>
                <w:rFonts w:ascii="SimSun" w:eastAsia="SimSun" w:hAnsi="SimSun" w:cs="SimSun"/>
                <w:color w:val="000000"/>
                <w:spacing w:val="0"/>
                <w:w w:val="100"/>
                <w:position w:val="0"/>
                <w:sz w:val="17"/>
                <w:szCs w:val="17"/>
              </w:rPr>
              <w:t>日 内召开股东 大会，审议实 施回购股票 的议案，公司 股东大会对 实施回购股 票作出的决 议，必须经出 席会议的股 东所持表决 权的</w:t>
            </w:r>
            <w:r>
              <w:rPr>
                <w:color w:val="000000"/>
                <w:spacing w:val="0"/>
                <w:w w:val="100"/>
                <w:position w:val="0"/>
                <w:sz w:val="18"/>
                <w:szCs w:val="18"/>
              </w:rPr>
              <w:t>2/3</w:t>
            </w:r>
            <w:r>
              <w:rPr>
                <w:rFonts w:ascii="SimSun" w:eastAsia="SimSun" w:hAnsi="SimSun" w:cs="SimSun"/>
                <w:color w:val="000000"/>
                <w:spacing w:val="0"/>
                <w:w w:val="100"/>
                <w:position w:val="0"/>
                <w:sz w:val="17"/>
                <w:szCs w:val="17"/>
              </w:rPr>
              <w:t>以上 通过。公司股 东大会批准 实施回购股 票的议案后 公司将依法 履行相应的 公告、备案及 通知债权人 等义务。在满 足法定条件 下依照决议 通过的实施 回购股票的 议案中所规 定的价格区 间、期限实施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回购。除非出 现下列情形， 公司将在股 东大会决议 作出之日起</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个月内回购 股票，且回购 股票的数量 不超过回购 前公司股份 总数的</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）通过实 施回购股票， 公司股票连 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 的收盘价均 已高于公司 最近一期经 审计的每股 净资产；（</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 继续回购股 票将导致公 司不满足法 定上市条件。 单次实施回 购股票完毕 或终止后，本 次回购的公 司股票应在 实施完毕或 终止之日起 </w:t>
            </w:r>
            <w:r>
              <w:rPr>
                <w:color w:val="000000"/>
                <w:spacing w:val="0"/>
                <w:w w:val="100"/>
                <w:position w:val="0"/>
                <w:sz w:val="18"/>
                <w:szCs w:val="18"/>
              </w:rPr>
              <w:t>10</w:t>
            </w:r>
            <w:r>
              <w:rPr>
                <w:rFonts w:ascii="SimSun" w:eastAsia="SimSun" w:hAnsi="SimSun" w:cs="SimSun"/>
                <w:color w:val="000000"/>
                <w:spacing w:val="0"/>
                <w:w w:val="100"/>
                <w:position w:val="0"/>
                <w:sz w:val="17"/>
                <w:szCs w:val="17"/>
              </w:rPr>
              <w:t>日内注 销，并及时办 理公司减资 程序。</w:t>
            </w:r>
            <w:r>
              <w:rPr>
                <w:color w:val="000000"/>
                <w:spacing w:val="0"/>
                <w:w w:val="100"/>
                <w:position w:val="0"/>
                <w:sz w:val="18"/>
                <w:szCs w:val="18"/>
              </w:rPr>
              <w:t>6</w:t>
            </w:r>
            <w:r>
              <w:rPr>
                <w:rFonts w:ascii="SimSun" w:eastAsia="SimSun" w:hAnsi="SimSun" w:cs="SimSun"/>
                <w:color w:val="000000"/>
                <w:spacing w:val="0"/>
                <w:w w:val="100"/>
                <w:position w:val="0"/>
                <w:sz w:val="17"/>
                <w:szCs w:val="17"/>
              </w:rPr>
              <w:t>、约 束机制（</w:t>
            </w:r>
            <w:r>
              <w:rPr>
                <w:color w:val="000000"/>
                <w:spacing w:val="0"/>
                <w:w w:val="100"/>
                <w:position w:val="0"/>
                <w:sz w:val="18"/>
                <w:szCs w:val="18"/>
              </w:rPr>
              <w:t>1</w:t>
            </w:r>
            <w:r>
              <w:rPr>
                <w:rFonts w:ascii="SimSun" w:eastAsia="SimSun" w:hAnsi="SimSun" w:cs="SimSun"/>
                <w:color w:val="000000"/>
                <w:spacing w:val="0"/>
                <w:w w:val="100"/>
                <w:position w:val="0"/>
                <w:sz w:val="17"/>
                <w:szCs w:val="17"/>
              </w:rPr>
              <w:t>） 控股股东负 有增持股票 义务，但未按 本承诺的规 定提出增持 股票计划和</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或实施增持 股票计划的，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发行人有权 责令控股股 东在限期内 履行增持股 票义务，控股 股东仍不履 行的，发行人 有权扣减其 应向控股股 东支付的分 红。控股股东 多次违反上 述规定的，扣 减数额应累 计计算。（</w:t>
            </w:r>
            <w:r>
              <w:rPr>
                <w:color w:val="000000"/>
                <w:spacing w:val="0"/>
                <w:w w:val="100"/>
                <w:position w:val="0"/>
                <w:sz w:val="18"/>
                <w:szCs w:val="18"/>
              </w:rPr>
              <w:t>2</w:t>
            </w:r>
            <w:r>
              <w:rPr>
                <w:rFonts w:ascii="SimSun" w:eastAsia="SimSun" w:hAnsi="SimSun" w:cs="SimSun"/>
                <w:color w:val="000000"/>
                <w:spacing w:val="0"/>
                <w:w w:val="100"/>
                <w:position w:val="0"/>
                <w:sz w:val="17"/>
                <w:szCs w:val="17"/>
              </w:rPr>
              <w:t>） 发行人董事 （不含独立 董事）、高级 管理人员负 有增持股票 义务，但未按 本承诺的规 定提出增持 股票计划和</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或实施增持 股票计划的， 发行人有权 责令董事（不 含独立董 事）、高级管 理人员在限 期内履行增 持股票义务， 董事（不含独 立董事）、高 级管理人员 仍不履行，发 行人有权自 行扣减其应 向董事（不含 独立董事）、 高级管理人 员支付的报 酬。（</w:t>
            </w:r>
            <w:r>
              <w:rPr>
                <w:color w:val="000000"/>
                <w:spacing w:val="0"/>
                <w:w w:val="100"/>
                <w:position w:val="0"/>
                <w:sz w:val="18"/>
                <w:szCs w:val="18"/>
              </w:rPr>
              <w:t>3</w:t>
            </w:r>
            <w:r>
              <w:rPr>
                <w:rFonts w:ascii="SimSun" w:eastAsia="SimSun" w:hAnsi="SimSun" w:cs="SimSun"/>
                <w:color w:val="000000"/>
                <w:spacing w:val="0"/>
                <w:w w:val="100"/>
                <w:position w:val="0"/>
                <w:sz w:val="17"/>
                <w:szCs w:val="17"/>
              </w:rPr>
              <w:t>）发行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人董事（不含 独立董事）、 高级管理人 员拒不履行 本承诺规定 的股票增持 义务情节严 重的，控股股 东或董事会、 监事会、半数 以上的独立 董事有权提 请股东大会 同意更换相 关董事，发行 人董事会有 权解聘相关 高级管理人 员。（</w:t>
            </w:r>
            <w:r>
              <w:rPr>
                <w:color w:val="000000"/>
                <w:spacing w:val="0"/>
                <w:w w:val="100"/>
                <w:position w:val="0"/>
                <w:sz w:val="18"/>
                <w:szCs w:val="18"/>
              </w:rPr>
              <w:t>4</w:t>
            </w:r>
            <w:r>
              <w:rPr>
                <w:rFonts w:ascii="SimSun" w:eastAsia="SimSun" w:hAnsi="SimSun" w:cs="SimSun"/>
                <w:color w:val="000000"/>
                <w:spacing w:val="0"/>
                <w:w w:val="100"/>
                <w:position w:val="0"/>
                <w:sz w:val="17"/>
                <w:szCs w:val="17"/>
              </w:rPr>
              <w:t>）发行 人拒不履行 本承诺规定 义务的，发行 人应在中国 证监会指定 报刊上公开 说明未履行 本预案规定 义务的具体 原因并向公 司股东和社 会公众投资 者道歉。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汇金科技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股份回购承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发行人招股 说明书有虚 假记载、误导 性陈述或者 重大遗漏，对 判断发行人 是否符合法 律规定的发 行条件构成 重大、实质影 响的，将依法 回购首次公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开发行的全 部新股。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股份回购承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发行人招股 说明书有虚 假记载、误导 性陈述或者 重大遗漏，对 判断发行人 是否符合法 律规定的发 行条件构成 重大、实质影 响的，将依法 购回已转让 的原限售股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陈喆、马铮、 肖志宏、宋京 生、侯平、杨 大贺、于风 政、何锋、陈 家贤、罗秀 红、汇金科技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发行人招股 说明书有虚 假记载、误导 性陈述或者 重大遗漏，致 使投资者在 证券交易中 遭受损失的， 将依法赔偿 投资者实际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r>
        <w:trPr>
          <w:trHeight w:val="50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陈喆、马铮、 肖志宏、宋京 生、侯平、杨 大贺、于风 政、马晓丽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填补即期回</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报措施切实</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履行的承诺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控股股东承 诺''不越权干 预公司经营 管理活动，不 侵占公司利 益全体董 事、高级管理 人员承诺''承 诺不无偿或 以不公平条 件向其他单 位或者个人 输送利益，也 不采用其他 方式损害发 行人利益；承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诺对本人的 职务消费行 为进行约束； 承诺不动用 发行人资产 从事与其履 行职责无关 的投资、消费 活动；承诺由 董事会或薪 酬委员会制 定的薪酬制 度与发行人 填补回报措 施的执行情 况相挂钩；承 诺拟公布的 发行人股权 激励的行权 条件与发行 人填补回报 措施的执行 情况相挂钩； 承诺本人忠 实、勤勉地履 行职责，维护 发行人和全 体股东的合 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汇金科技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公司根据国 务院发布国 办发〔</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110</w:t>
            </w:r>
            <w:r>
              <w:rPr>
                <w:rFonts w:ascii="SimSun" w:eastAsia="SimSun" w:hAnsi="SimSun" w:cs="SimSun"/>
                <w:color w:val="000000"/>
                <w:spacing w:val="0"/>
                <w:w w:val="100"/>
                <w:position w:val="0"/>
                <w:sz w:val="17"/>
                <w:szCs w:val="17"/>
              </w:rPr>
              <w:t>号《关于 进一步加强 资本市场中 小投资者合 法权益保护 工作的意见》 及证监会《上 市公司监管 指引第</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上市公司现 金分红》等规 范文件的相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关相求，重视 对投资者的 合理投资回 报，制定了本 次发行上市 后适用的《珠 海汇金科技 股份有限公 司公司章程</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（草案）》及</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《珠海汇金 科技股份有 限公司首次 公开发行股 票并上市后 股东分红回 报规划》，完 善了公司利 润分配制度， 对利润分配 政策尤其是 现金分红政 策进行了具 体安排。公司 承诺将严格 按照上述制 度进行利润 分配，切实保 障投资者收 益权。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关于同业竞 争方面的承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本人目前未 以任何形式 直接或间接 从事与发行 人相同或相 似的业务，未 拥有与发行 人相同或相 似的控股公 司、联营公司 及合营公司， 将来也不会 从事与发行 人相同或相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似的业务；本 人将不投资 与发行人相 同或相似的 企业或项目， 以避免对发 行人的生产 经营构成直 接或间接的 竞争；保证本 人与本人关 系密切的家 庭成员不直 接或间接从 事、参与或进 行与发行人 生产、经营相 竞争的任何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规范和减少 关联交易承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、不利用自 身作为发行 人控股股东、 实际控制人 之地位及控 制性影响谋 求发行人在 业务合作等 方面给予优 于市场第三 方的权利；</w:t>
            </w:r>
            <w:r>
              <w:rPr>
                <w:color w:val="000000"/>
                <w:spacing w:val="0"/>
                <w:w w:val="100"/>
                <w:position w:val="0"/>
                <w:sz w:val="18"/>
                <w:szCs w:val="18"/>
              </w:rPr>
              <w:t>2</w:t>
            </w:r>
            <w:r>
              <w:rPr>
                <w:rFonts w:ascii="SimSun" w:eastAsia="SimSun" w:hAnsi="SimSun" w:cs="SimSun"/>
                <w:color w:val="000000"/>
                <w:spacing w:val="0"/>
                <w:w w:val="100"/>
                <w:position w:val="0"/>
                <w:sz w:val="17"/>
                <w:szCs w:val="17"/>
              </w:rPr>
              <w:t>、 不利用自身 作为发行人 控股股东、实 际控制人之 地位及控制 性影响谋求 与发行人达 成交易的优 先权利；</w:t>
            </w:r>
            <w:r>
              <w:rPr>
                <w:color w:val="000000"/>
                <w:spacing w:val="0"/>
                <w:w w:val="100"/>
                <w:position w:val="0"/>
                <w:sz w:val="18"/>
                <w:szCs w:val="18"/>
              </w:rPr>
              <w:t>3</w:t>
            </w:r>
            <w:r>
              <w:rPr>
                <w:rFonts w:ascii="SimSun" w:eastAsia="SimSun" w:hAnsi="SimSun" w:cs="SimSun"/>
                <w:color w:val="000000"/>
                <w:spacing w:val="0"/>
                <w:w w:val="100"/>
                <w:position w:val="0"/>
                <w:sz w:val="17"/>
                <w:szCs w:val="17"/>
              </w:rPr>
              <w:t>、 不以与市场 价格相比显 失公允的条 件与发行人 进行交易，亦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不利用该类 交易从事任 何损害发行 人利益的行 为；</w:t>
            </w:r>
            <w:r>
              <w:rPr>
                <w:color w:val="000000"/>
                <w:spacing w:val="0"/>
                <w:w w:val="100"/>
                <w:position w:val="0"/>
                <w:sz w:val="18"/>
                <w:szCs w:val="18"/>
              </w:rPr>
              <w:t>4</w:t>
            </w:r>
            <w:r>
              <w:rPr>
                <w:rFonts w:ascii="SimSun" w:eastAsia="SimSun" w:hAnsi="SimSun" w:cs="SimSun"/>
                <w:color w:val="000000"/>
                <w:spacing w:val="0"/>
                <w:w w:val="100"/>
                <w:position w:val="0"/>
                <w:sz w:val="17"/>
                <w:szCs w:val="17"/>
              </w:rPr>
              <w:t>、在发 行人将来可 能产生的与 本人及本人 控制的企业 的关联交易 时，本人将积 极、善意促使 发行人采取 如下措施规 范该等关联 交易：（</w:t>
            </w:r>
            <w:r>
              <w:rPr>
                <w:color w:val="000000"/>
                <w:spacing w:val="0"/>
                <w:w w:val="100"/>
                <w:position w:val="0"/>
                <w:sz w:val="18"/>
                <w:szCs w:val="18"/>
              </w:rPr>
              <w:t>1</w:t>
            </w:r>
            <w:r>
              <w:rPr>
                <w:rFonts w:ascii="SimSun" w:eastAsia="SimSun" w:hAnsi="SimSun" w:cs="SimSun"/>
                <w:color w:val="000000"/>
                <w:spacing w:val="0"/>
                <w:w w:val="100"/>
                <w:position w:val="0"/>
                <w:sz w:val="17"/>
                <w:szCs w:val="17"/>
              </w:rPr>
              <w:t>）严 格遵守发行 人章程、股东 大会议事规 则、董事会议 事规则等相 关规定，履行 关联交易决 策、回避表决 等公允决策 程序，及时详 细进行信息 披露；（</w:t>
            </w:r>
            <w:r>
              <w:rPr>
                <w:color w:val="000000"/>
                <w:spacing w:val="0"/>
                <w:w w:val="100"/>
                <w:position w:val="0"/>
                <w:sz w:val="18"/>
                <w:szCs w:val="18"/>
              </w:rPr>
              <w:t>2</w:t>
            </w:r>
            <w:r>
              <w:rPr>
                <w:rFonts w:ascii="SimSun" w:eastAsia="SimSun" w:hAnsi="SimSun" w:cs="SimSun"/>
                <w:color w:val="000000"/>
                <w:spacing w:val="0"/>
                <w:w w:val="100"/>
                <w:position w:val="0"/>
                <w:sz w:val="17"/>
                <w:szCs w:val="17"/>
              </w:rPr>
              <w:t>）依 照市场经济 原则，采取市 场定价确定 交易价格。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马铮、苏州衡 赢真盛创业 投资中心（有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规范和减少 关联交易承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1</w:t>
            </w:r>
            <w:r>
              <w:rPr>
                <w:rFonts w:ascii="SimSun" w:eastAsia="SimSun" w:hAnsi="SimSun" w:cs="SimSun"/>
                <w:color w:val="000000"/>
                <w:spacing w:val="0"/>
                <w:w w:val="100"/>
                <w:position w:val="0"/>
                <w:sz w:val="17"/>
                <w:szCs w:val="17"/>
              </w:rPr>
              <w:t>、不利用自 身作为发行 人</w:t>
            </w:r>
            <w:r>
              <w:rPr>
                <w:color w:val="000000"/>
                <w:spacing w:val="0"/>
                <w:w w:val="100"/>
                <w:position w:val="0"/>
              </w:rPr>
              <w:t>5%</w:t>
            </w:r>
            <w:r>
              <w:rPr>
                <w:rFonts w:ascii="SimSun" w:eastAsia="SimSun" w:hAnsi="SimSun" w:cs="SimSun"/>
                <w:color w:val="000000"/>
                <w:spacing w:val="0"/>
                <w:w w:val="100"/>
                <w:position w:val="0"/>
                <w:sz w:val="17"/>
                <w:szCs w:val="17"/>
              </w:rPr>
              <w:t>以上股 东之地位及 影响谋求发 行人在业务 合作等方面 给予优于市 场第三方的 权利；</w:t>
            </w:r>
            <w:r>
              <w:rPr>
                <w:color w:val="000000"/>
                <w:spacing w:val="0"/>
                <w:w w:val="100"/>
                <w:position w:val="0"/>
              </w:rPr>
              <w:t>2</w:t>
            </w:r>
            <w:r>
              <w:rPr>
                <w:rFonts w:ascii="SimSun" w:eastAsia="SimSun" w:hAnsi="SimSun" w:cs="SimSun"/>
                <w:color w:val="000000"/>
                <w:spacing w:val="0"/>
                <w:w w:val="100"/>
                <w:position w:val="0"/>
                <w:sz w:val="17"/>
                <w:szCs w:val="17"/>
              </w:rPr>
              <w:t>、不 利用自身作 为发行人</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以上股东之 地位及影响 谋求与发行 人达成交易 的优先权利； </w:t>
            </w:r>
            <w:r>
              <w:rPr>
                <w:color w:val="000000"/>
                <w:spacing w:val="0"/>
                <w:w w:val="100"/>
                <w:position w:val="0"/>
                <w:sz w:val="18"/>
                <w:szCs w:val="18"/>
              </w:rPr>
              <w:t>3</w:t>
            </w:r>
            <w:r>
              <w:rPr>
                <w:rFonts w:ascii="SimSun" w:eastAsia="SimSun" w:hAnsi="SimSun" w:cs="SimSun"/>
                <w:color w:val="000000"/>
                <w:spacing w:val="0"/>
                <w:w w:val="100"/>
                <w:position w:val="0"/>
                <w:sz w:val="17"/>
                <w:szCs w:val="17"/>
              </w:rPr>
              <w:t>、不以与市 场价格相比 显失公允的 条件与发行 人进行交易， 亦不利用该 类交易从事 任何损害发 行人利益的 行为；</w:t>
            </w:r>
            <w:r>
              <w:rPr>
                <w:color w:val="000000"/>
                <w:spacing w:val="0"/>
                <w:w w:val="100"/>
                <w:position w:val="0"/>
                <w:sz w:val="18"/>
                <w:szCs w:val="18"/>
              </w:rPr>
              <w:t>4</w:t>
            </w:r>
            <w:r>
              <w:rPr>
                <w:rFonts w:ascii="SimSun" w:eastAsia="SimSun" w:hAnsi="SimSun" w:cs="SimSun"/>
                <w:color w:val="000000"/>
                <w:spacing w:val="0"/>
                <w:w w:val="100"/>
                <w:position w:val="0"/>
                <w:sz w:val="17"/>
                <w:szCs w:val="17"/>
              </w:rPr>
              <w:t>、在 发行人将来 可能产生的 与本人</w:t>
            </w:r>
            <w:r>
              <w:rPr>
                <w:color w:val="000000"/>
                <w:spacing w:val="0"/>
                <w:w w:val="100"/>
                <w:position w:val="0"/>
                <w:sz w:val="18"/>
                <w:szCs w:val="18"/>
              </w:rPr>
              <w:t>/</w:t>
            </w:r>
            <w:r>
              <w:rPr>
                <w:rFonts w:ascii="SimSun" w:eastAsia="SimSun" w:hAnsi="SimSun" w:cs="SimSun"/>
                <w:color w:val="000000"/>
                <w:spacing w:val="0"/>
                <w:w w:val="100"/>
                <w:position w:val="0"/>
                <w:sz w:val="17"/>
                <w:szCs w:val="17"/>
              </w:rPr>
              <w:t>企业 及本人</w:t>
            </w:r>
            <w:r>
              <w:rPr>
                <w:color w:val="000000"/>
                <w:spacing w:val="0"/>
                <w:w w:val="100"/>
                <w:position w:val="0"/>
                <w:sz w:val="18"/>
                <w:szCs w:val="18"/>
              </w:rPr>
              <w:t>/</w:t>
            </w:r>
            <w:r>
              <w:rPr>
                <w:rFonts w:ascii="SimSun" w:eastAsia="SimSun" w:hAnsi="SimSun" w:cs="SimSun"/>
                <w:color w:val="000000"/>
                <w:spacing w:val="0"/>
                <w:w w:val="100"/>
                <w:position w:val="0"/>
                <w:sz w:val="17"/>
                <w:szCs w:val="17"/>
              </w:rPr>
              <w:t>企业 控制的企业 的关联交易 时，本人</w:t>
            </w:r>
            <w:r>
              <w:rPr>
                <w:color w:val="000000"/>
                <w:spacing w:val="0"/>
                <w:w w:val="100"/>
                <w:position w:val="0"/>
                <w:sz w:val="18"/>
                <w:szCs w:val="18"/>
              </w:rPr>
              <w:t>/</w:t>
            </w:r>
            <w:r>
              <w:rPr>
                <w:rFonts w:ascii="SimSun" w:eastAsia="SimSun" w:hAnsi="SimSun" w:cs="SimSun"/>
                <w:color w:val="000000"/>
                <w:spacing w:val="0"/>
                <w:w w:val="100"/>
                <w:position w:val="0"/>
                <w:sz w:val="17"/>
                <w:szCs w:val="17"/>
              </w:rPr>
              <w:t>企业 将积极、善意 促使发行人 采取如下措 施规范该等 关联交易：</w:t>
            </w:r>
          </w:p>
          <w:p>
            <w:pPr>
              <w:pStyle w:val="Style2"/>
              <w:keepNext w:val="0"/>
              <w:keepLines w:val="0"/>
              <w:widowControl w:val="0"/>
              <w:numPr>
                <w:ilvl w:val="0"/>
                <w:numId w:val="9"/>
              </w:numPr>
              <w:shd w:val="clear" w:color="auto" w:fill="auto"/>
              <w:tabs>
                <w:tab w:pos="456"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严格遵 守发行人章 程、股东大会 议事规则、董 事会议事规 则等相关规 定，履行关联 交易决策、回 避表决等公 允决策程序， 及时详细进 行信息披露；</w:t>
            </w:r>
          </w:p>
          <w:p>
            <w:pPr>
              <w:pStyle w:val="Style2"/>
              <w:keepNext w:val="0"/>
              <w:keepLines w:val="0"/>
              <w:widowControl w:val="0"/>
              <w:numPr>
                <w:ilvl w:val="0"/>
                <w:numId w:val="9"/>
              </w:numPr>
              <w:shd w:val="clear" w:color="auto" w:fill="auto"/>
              <w:tabs>
                <w:tab w:pos="451"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依照市 场经济原则， 采取市场定 价确定交易 价格。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846"/>
        <w:gridCol w:w="1123"/>
        <w:gridCol w:w="1128"/>
        <w:gridCol w:w="1123"/>
        <w:gridCol w:w="1128"/>
        <w:gridCol w:w="1118"/>
        <w:gridCol w:w="1118"/>
      </w:tblGrid>
      <w:tr>
        <w:trPr>
          <w:trHeight w:val="4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汇金科技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公司承诺不 为激励对象 依公司</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年限制性股 票激励计划 获取有关限 制性股票提 供贷款以及 其他任何形 式的财务资 助，包括为其 贷款提供担 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28"/>
        <w:keepNext/>
        <w:keepLines/>
        <w:widowControl w:val="0"/>
        <w:shd w:val="clear" w:color="auto" w:fill="auto"/>
        <w:bidi w:val="0"/>
        <w:spacing w:before="0" w:after="240" w:line="326" w:lineRule="exact"/>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、公司资产或项目存在盈利预测，且报告期仍处在盈利预测期间，公司就资产或项目达到原盈利预测及 其原因做出说明</w:t>
      </w:r>
      <w:bookmarkEnd w:id="276"/>
      <w:bookmarkEnd w:id="277"/>
      <w:bookmarkEnd w:id="279"/>
    </w:p>
    <w:p>
      <w:pPr>
        <w:pStyle w:val="Style24"/>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24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三</w:t>
      </w:r>
      <w:bookmarkEnd w:id="282"/>
      <w:r>
        <w:rPr>
          <w:color w:val="000000"/>
          <w:spacing w:val="0"/>
          <w:w w:val="100"/>
          <w:position w:val="0"/>
          <w:sz w:val="24"/>
          <w:szCs w:val="24"/>
        </w:rPr>
        <w:t>、</w:t>
        <w:tab/>
        <w:t>控股股东及其关联方对上市公司的非经营性占用资金情况</w:t>
      </w:r>
      <w:bookmarkEnd w:id="280"/>
      <w:bookmarkEnd w:id="281"/>
      <w:bookmarkEnd w:id="283"/>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22" w:val="left"/>
        </w:tabs>
        <w:bidi w:val="0"/>
        <w:spacing w:before="0" w:after="24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4"/>
      <w:bookmarkEnd w:id="285"/>
      <w:bookmarkEnd w:id="287"/>
    </w:p>
    <w:p>
      <w:pPr>
        <w:pStyle w:val="Style24"/>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24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8"/>
      <w:bookmarkEnd w:id="289"/>
      <w:bookmarkEnd w:id="291"/>
    </w:p>
    <w:p>
      <w:pPr>
        <w:pStyle w:val="Style24"/>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24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w:t>
        <w:tab/>
        <w:t>董事会关于报告期会计政策、会计估计变更或重大会计差错更正的说明</w:t>
      </w:r>
      <w:bookmarkEnd w:id="292"/>
      <w:bookmarkEnd w:id="293"/>
      <w:bookmarkEnd w:id="295"/>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26"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日起执行该准则，对会计政策相关内容进行了调整。</w:t>
      </w:r>
    </w:p>
    <w:p>
      <w:pPr>
        <w:pStyle w:val="Style24"/>
        <w:keepNext w:val="0"/>
        <w:keepLines w:val="0"/>
        <w:widowControl w:val="0"/>
        <w:shd w:val="clear" w:color="auto" w:fill="auto"/>
        <w:bidi w:val="0"/>
        <w:spacing w:before="0" w:after="40" w:line="326" w:lineRule="exact"/>
        <w:ind w:left="0" w:right="0" w:firstLine="480"/>
        <w:jc w:val="both"/>
      </w:pPr>
      <w:r>
        <w:rPr>
          <w:color w:val="000000"/>
          <w:spacing w:val="0"/>
          <w:w w:val="100"/>
          <w:position w:val="0"/>
        </w:rPr>
        <w:t>本集团在履行了合同中的履约义务，即在客户取得相关商品或服务的控制权时，确认收入。在满足一定条件时，本集团</w:t>
        <w:br w:type="page"/>
      </w:r>
      <w:r>
        <w:rPr>
          <w:color w:val="000000"/>
          <w:spacing w:val="0"/>
          <w:w w:val="100"/>
          <w:position w:val="0"/>
        </w:rPr>
        <w:t>属于在某一时段内履行履约义务，否则，属于在某一时点履行履约义务。合同中包含两项或多项履约义务的，本集团在合同 开始日，按照各单项履约义务所承诺商品或服务的单独售价的相对比例，将交易价格分摊至各单项履约义务，按照分摊至各 单项履约义务的交易价格计量收入。</w:t>
      </w:r>
    </w:p>
    <w:p>
      <w:pPr>
        <w:pStyle w:val="Style24"/>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本集团依据新收入准则有关特定事项或交易的具体规定调整了相关会计政策。例如：质量保证、预收款项等。</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本集团已向客户转让商品而有权收取对价的权利，且该权利取决于时间流逝之外的其他因素作为合同资产列示。本集团 已收或应收客户对价而应向客户转让商品的义务作为合同负债列示。</w:t>
      </w:r>
    </w:p>
    <w:p>
      <w:pPr>
        <w:pStyle w:val="Style24"/>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本集团根据首次执行新收入准则的累积影响数，调整本集团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年年初留存收益及财务报表其他相关项目金额，未对 比较财务报表数据进行调整。本集团仅对在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日尚未完成的合同的累积影响数调整本集团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 及财务报表其他相关项目金额。</w:t>
      </w:r>
    </w:p>
    <w:tbl>
      <w:tblPr>
        <w:tblOverlap w:val="never"/>
        <w:jc w:val="center"/>
        <w:tblLayout w:type="fixed"/>
      </w:tblPr>
      <w:tblGrid>
        <w:gridCol w:w="4546"/>
        <w:gridCol w:w="2227"/>
        <w:gridCol w:w="231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受影响的报表项目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影响金额（元）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（2020年1月1日）</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因执行新收入准则，本集团将与销售商品及提供劳务相关、 不满足无条件收款权的收取对价的权利计入合同资产；将 与基建建设、部分制造与安装业务及提供劳务相关、不满 足无条件收款权的已完工未结算、长期应收款计入合同资 产和其他非流动资产；将与基建建设、部分制造与安装业 务相关的已结算未完工、销售商品及与提供劳务相关的预 收款项重分类至合同负债。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合同资产</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原值</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3,073,642.70</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-3,473,216.25</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399,573.55</w:t>
            </w:r>
          </w:p>
        </w:tc>
      </w:tr>
      <w:tr>
        <w:trPr>
          <w:trHeight w:val="3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67"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w:t>
      </w:r>
    </w:p>
    <w:p>
      <w:pPr>
        <w:widowControl w:val="0"/>
        <w:spacing w:after="79" w:line="1" w:lineRule="exact"/>
      </w:pPr>
    </w:p>
    <w:p>
      <w:pPr>
        <w:widowControl w:val="0"/>
        <w:spacing w:line="1" w:lineRule="exact"/>
      </w:pPr>
    </w:p>
    <w:tbl>
      <w:tblPr>
        <w:tblOverlap w:val="never"/>
        <w:jc w:val="center"/>
        <w:tblLayout w:type="fixed"/>
      </w:tblPr>
      <w:tblGrid>
        <w:gridCol w:w="4459"/>
        <w:gridCol w:w="4627"/>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受影响的资产负债表项目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影响金额（元）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2020年12月31日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合同资产</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原值</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6,343,496.90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-7,168,151.50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824,654.60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受影响的利润表项目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影响金额（元）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2020年年度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9,711,161.61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-9,711,161.61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其中：归属于母公司股东权益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459"/>
        <w:gridCol w:w="4627"/>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tabs>
          <w:tab w:pos="522" w:val="left"/>
        </w:tabs>
        <w:bidi w:val="0"/>
        <w:spacing w:before="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七</w:t>
      </w:r>
      <w:bookmarkEnd w:id="298"/>
      <w:r>
        <w:rPr>
          <w:color w:val="000000"/>
          <w:spacing w:val="0"/>
          <w:w w:val="100"/>
          <w:position w:val="0"/>
          <w:sz w:val="24"/>
          <w:szCs w:val="24"/>
        </w:rPr>
        <w:t>、</w:t>
        <w:tab/>
        <w:t>与上年度财务报告相比，合并报表范围发生变化的情况说明</w:t>
      </w:r>
      <w:bookmarkEnd w:id="296"/>
      <w:bookmarkEnd w:id="297"/>
      <w:bookmarkEnd w:id="29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2"/>
        <w:keepNext/>
        <w:keepLines/>
        <w:widowControl w:val="0"/>
        <w:shd w:val="clear" w:color="auto" w:fill="auto"/>
        <w:tabs>
          <w:tab w:pos="522" w:val="left"/>
        </w:tabs>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八</w:t>
      </w:r>
      <w:bookmarkEnd w:id="302"/>
      <w:r>
        <w:rPr>
          <w:color w:val="000000"/>
          <w:spacing w:val="0"/>
          <w:w w:val="100"/>
          <w:position w:val="0"/>
          <w:sz w:val="24"/>
          <w:szCs w:val="24"/>
        </w:rPr>
        <w:t>、</w:t>
        <w:tab/>
        <w:t>聘任、解聘会计师事务所情况</w:t>
      </w:r>
      <w:bookmarkEnd w:id="300"/>
      <w:bookmarkEnd w:id="301"/>
      <w:bookmarkEnd w:id="303"/>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王莹、胡静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王莹</w:t>
            </w:r>
            <w:r>
              <w:rPr>
                <w:color w:val="000000"/>
                <w:spacing w:val="0"/>
                <w:w w:val="100"/>
                <w:position w:val="0"/>
                <w:sz w:val="18"/>
                <w:szCs w:val="18"/>
              </w:rPr>
              <w:t>5</w:t>
            </w:r>
            <w:r>
              <w:rPr>
                <w:rFonts w:ascii="SimSun" w:eastAsia="SimSun" w:hAnsi="SimSun" w:cs="SimSun"/>
                <w:color w:val="000000"/>
                <w:spacing w:val="0"/>
                <w:w w:val="100"/>
                <w:position w:val="0"/>
                <w:sz w:val="17"/>
                <w:szCs w:val="17"/>
              </w:rPr>
              <w:t>年、胡静</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九</w:t>
      </w:r>
      <w:bookmarkEnd w:id="306"/>
      <w:r>
        <w:rPr>
          <w:color w:val="000000"/>
          <w:spacing w:val="0"/>
          <w:w w:val="100"/>
          <w:position w:val="0"/>
          <w:sz w:val="24"/>
          <w:szCs w:val="24"/>
        </w:rPr>
        <w:t>、年度报告披露后面临退市情况</w:t>
      </w:r>
      <w:bookmarkEnd w:id="304"/>
      <w:bookmarkEnd w:id="305"/>
      <w:bookmarkEnd w:id="307"/>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十、破产重整相关事项</w:t>
      </w:r>
      <w:bookmarkEnd w:id="308"/>
      <w:bookmarkEnd w:id="309"/>
      <w:bookmarkEnd w:id="31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十一、重大诉讼、仲裁事项</w:t>
      </w:r>
      <w:bookmarkEnd w:id="311"/>
      <w:bookmarkEnd w:id="312"/>
      <w:bookmarkEnd w:id="31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2"/>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十二、处罚及整改情况</w:t>
      </w:r>
      <w:bookmarkEnd w:id="314"/>
      <w:bookmarkEnd w:id="315"/>
      <w:bookmarkEnd w:id="316"/>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十三、公司及其控股股东、实际控制人的诚信状况</w:t>
      </w:r>
      <w:bookmarkEnd w:id="317"/>
      <w:bookmarkEnd w:id="318"/>
      <w:bookmarkEnd w:id="319"/>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十四、公司股权激励计划、员工持股计划或其他员工激励措施的实施情况</w:t>
      </w:r>
      <w:bookmarkEnd w:id="320"/>
      <w:bookmarkEnd w:id="321"/>
      <w:bookmarkEnd w:id="322"/>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709" w:val="left"/>
        </w:tabs>
        <w:bidi w:val="0"/>
        <w:spacing w:before="0" w:after="0" w:line="315" w:lineRule="exact"/>
        <w:ind w:left="0" w:right="0" w:firstLine="380"/>
        <w:jc w:val="left"/>
      </w:pPr>
      <w:bookmarkStart w:id="323" w:name="bookmark323"/>
      <w:r>
        <w:rPr>
          <w:rFonts w:ascii="Times New Roman" w:eastAsia="Times New Roman" w:hAnsi="Times New Roman" w:cs="Times New Roman"/>
          <w:color w:val="000000"/>
          <w:spacing w:val="0"/>
          <w:w w:val="100"/>
          <w:position w:val="0"/>
          <w:sz w:val="18"/>
          <w:szCs w:val="18"/>
        </w:rPr>
        <w:t>1</w:t>
      </w:r>
      <w:bookmarkEnd w:id="32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日，公司召开第三届董事会第二十四次会议和第三届监事会第十九次会议，审议通过了《关于调整限制 性股票激励计划回购价格并回购注销部分限制性股票的议案》，经调整，公司首次授予的限制性股票回购价格由</w:t>
      </w:r>
      <w:r>
        <w:rPr>
          <w:rFonts w:ascii="Times New Roman" w:eastAsia="Times New Roman" w:hAnsi="Times New Roman" w:cs="Times New Roman"/>
          <w:color w:val="000000"/>
          <w:spacing w:val="0"/>
          <w:w w:val="100"/>
          <w:position w:val="0"/>
          <w:sz w:val="18"/>
          <w:szCs w:val="18"/>
        </w:rPr>
        <w:t>7.9059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7.8259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股，预留授予的限制性股票回购价格由</w:t>
      </w:r>
      <w:r>
        <w:rPr>
          <w:rFonts w:ascii="Times New Roman" w:eastAsia="Times New Roman" w:hAnsi="Times New Roman" w:cs="Times New Roman"/>
          <w:color w:val="000000"/>
          <w:spacing w:val="0"/>
          <w:w w:val="100"/>
          <w:position w:val="0"/>
          <w:sz w:val="18"/>
          <w:szCs w:val="18"/>
        </w:rPr>
        <w:t>6.8147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6.7347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股；同时，因公司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年度业绩未达 到限制性股票激励计划中规定的首次授予部分第三个解除限售期及预留部分第二个解除限售期的解除限售条件，以及部分激 励对象因个人原因离职、不符合激励对象条件，同意公司回购注销上述情况所涉及的限制性股票</w:t>
      </w:r>
      <w:r>
        <w:rPr>
          <w:rFonts w:ascii="Times New Roman" w:eastAsia="Times New Roman" w:hAnsi="Times New Roman" w:cs="Times New Roman"/>
          <w:color w:val="000000"/>
          <w:spacing w:val="0"/>
          <w:w w:val="100"/>
          <w:position w:val="0"/>
          <w:sz w:val="18"/>
          <w:szCs w:val="18"/>
        </w:rPr>
        <w:t>1,286,165</w:t>
      </w:r>
      <w:r>
        <w:rPr>
          <w:color w:val="000000"/>
          <w:spacing w:val="0"/>
          <w:w w:val="100"/>
          <w:position w:val="0"/>
        </w:rPr>
        <w:t>股。公司独立董事 发表了同意的独立意见，监事会发表了核查意见。</w:t>
      </w:r>
    </w:p>
    <w:p>
      <w:pPr>
        <w:pStyle w:val="Style24"/>
        <w:keepNext w:val="0"/>
        <w:keepLines w:val="0"/>
        <w:widowControl w:val="0"/>
        <w:shd w:val="clear" w:color="auto" w:fill="auto"/>
        <w:bidi w:val="0"/>
        <w:spacing w:before="0" w:after="0" w:line="315" w:lineRule="exact"/>
        <w:ind w:left="0" w:right="0" w:firstLine="380"/>
        <w:jc w:val="left"/>
      </w:pPr>
      <w:bookmarkStart w:id="324" w:name="bookmark324"/>
      <w:r>
        <w:rPr>
          <w:rFonts w:ascii="Times New Roman" w:eastAsia="Times New Roman" w:hAnsi="Times New Roman" w:cs="Times New Roman"/>
          <w:color w:val="000000"/>
          <w:spacing w:val="0"/>
          <w:w w:val="100"/>
          <w:position w:val="0"/>
          <w:sz w:val="18"/>
          <w:szCs w:val="18"/>
        </w:rPr>
        <w:t>2</w:t>
      </w:r>
      <w:bookmarkEnd w:id="32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年第一次临时股东大会，审议通过《关于调整限制性股票激励计划回购价格并回购注 销部分限制性股票的议案》和《关于变更公司注册资本并修改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的议案》。公司在巨潮资讯网和中国证券报刊登 了减资公告，自公告日起</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天内未收到债权人要求提供担保或提前清偿债务的请求。</w:t>
      </w:r>
    </w:p>
    <w:p>
      <w:pPr>
        <w:pStyle w:val="Style24"/>
        <w:keepNext w:val="0"/>
        <w:keepLines w:val="0"/>
        <w:widowControl w:val="0"/>
        <w:shd w:val="clear" w:color="auto" w:fill="auto"/>
        <w:bidi w:val="0"/>
        <w:spacing w:before="0" w:after="100" w:line="315" w:lineRule="exact"/>
        <w:ind w:left="0" w:right="0" w:firstLine="380"/>
        <w:jc w:val="left"/>
      </w:pPr>
      <w:bookmarkStart w:id="325" w:name="bookmark325"/>
      <w:r>
        <w:rPr>
          <w:rFonts w:ascii="Times New Roman" w:eastAsia="Times New Roman" w:hAnsi="Times New Roman" w:cs="Times New Roman"/>
          <w:color w:val="000000"/>
          <w:spacing w:val="0"/>
          <w:w w:val="100"/>
          <w:position w:val="0"/>
          <w:sz w:val="18"/>
          <w:szCs w:val="18"/>
        </w:rPr>
        <w:t>3</w:t>
      </w:r>
      <w:bookmarkEnd w:id="325"/>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日在中国证券登记结算有限责任公司深圳分公司完成相关限制性股票的注销手续，同日在巨潮资 讯网披露了《关于部分限制性股票回购注销完成的公告》。本次回购注销完成后，公司总股本由</w:t>
      </w:r>
      <w:r>
        <w:rPr>
          <w:rFonts w:ascii="Times New Roman" w:eastAsia="Times New Roman" w:hAnsi="Times New Roman" w:cs="Times New Roman"/>
          <w:color w:val="000000"/>
          <w:spacing w:val="0"/>
          <w:w w:val="100"/>
          <w:position w:val="0"/>
          <w:sz w:val="18"/>
          <w:szCs w:val="18"/>
        </w:rPr>
        <w:t>253,736,848</w:t>
      </w:r>
      <w:r>
        <w:rPr>
          <w:color w:val="000000"/>
          <w:spacing w:val="0"/>
          <w:w w:val="100"/>
          <w:position w:val="0"/>
        </w:rPr>
        <w:t>股变更为</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252,450,683</w:t>
      </w:r>
      <w:r>
        <w:rPr>
          <w:color w:val="000000"/>
          <w:spacing w:val="0"/>
          <w:w w:val="100"/>
          <w:position w:val="0"/>
        </w:rPr>
        <w:t>股，公司于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日披露了《关于完成工商变更登记的公告》。</w:t>
      </w:r>
    </w:p>
    <w:tbl>
      <w:tblPr>
        <w:tblOverlap w:val="never"/>
        <w:jc w:val="center"/>
        <w:tblLayout w:type="fixed"/>
      </w:tblPr>
      <w:tblGrid>
        <w:gridCol w:w="2218"/>
        <w:gridCol w:w="2410"/>
        <w:gridCol w:w="4997"/>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临时报告披露网站查询索引</w:t>
            </w:r>
          </w:p>
        </w:tc>
      </w:tr>
      <w:tr>
        <w:trPr>
          <w:trHeight w:val="66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rFonts w:ascii="SimSun" w:eastAsia="SimSun" w:hAnsi="SimSun" w:cs="SimSun"/>
                <w:color w:val="000000"/>
                <w:spacing w:val="0"/>
                <w:w w:val="100"/>
                <w:position w:val="0"/>
                <w:sz w:val="19"/>
                <w:szCs w:val="19"/>
              </w:rPr>
              <w:t>股权激励限制性股票回 购注销事宜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6</w:t>
            </w:r>
            <w:r>
              <w:rPr>
                <w:rFonts w:ascii="SimSun" w:eastAsia="SimSun" w:hAnsi="SimSun" w:cs="SimSun"/>
                <w:color w:val="000000"/>
                <w:spacing w:val="0"/>
                <w:w w:val="100"/>
                <w:position w:val="0"/>
                <w:sz w:val="19"/>
                <w:szCs w:val="19"/>
              </w:rPr>
              <w:t>月</w:t>
            </w:r>
            <w:r>
              <w:rPr>
                <w:color w:val="000000"/>
                <w:spacing w:val="0"/>
                <w:w w:val="100"/>
                <w:position w:val="0"/>
                <w:sz w:val="20"/>
                <w:szCs w:val="20"/>
              </w:rPr>
              <w:t>3</w:t>
            </w:r>
            <w:r>
              <w:rPr>
                <w:rFonts w:ascii="SimSun" w:eastAsia="SimSun" w:hAnsi="SimSun" w:cs="SimSun"/>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《第三届董事会第二十四次会议决议公告》(公告编号：</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2020-038</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，巨潮资讯网(</w:t>
            </w:r>
            <w:r>
              <w:fldChar w:fldCharType="begin"/>
            </w:r>
            <w:r>
              <w:rPr/>
              <w:instrText> HYPERLINK "http://www.cninfo.com.cn" </w:instrText>
            </w:r>
            <w:r>
              <w:fldChar w:fldCharType="separate"/>
            </w:r>
            <w:r>
              <w:rPr>
                <w:color w:val="000000"/>
                <w:spacing w:val="0"/>
                <w:w w:val="100"/>
                <w:position w:val="0"/>
                <w:sz w:val="20"/>
                <w:szCs w:val="20"/>
              </w:rPr>
              <w:t>www.cninfo.com.cn</w:t>
            </w:r>
            <w:r>
              <w:fldChar w:fldCharType="end"/>
            </w:r>
            <w:r>
              <w:rPr>
                <w:rFonts w:ascii="SimSun" w:eastAsia="SimSun" w:hAnsi="SimSun" w:cs="SimSun"/>
                <w:color w:val="000000"/>
                <w:spacing w:val="0"/>
                <w:w w:val="100"/>
                <w:position w:val="0"/>
                <w:sz w:val="19"/>
                <w:szCs w:val="19"/>
              </w:rPr>
              <w:t>)</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6</w:t>
            </w:r>
            <w:r>
              <w:rPr>
                <w:rFonts w:ascii="SimSun" w:eastAsia="SimSun" w:hAnsi="SimSun" w:cs="SimSun"/>
                <w:color w:val="000000"/>
                <w:spacing w:val="0"/>
                <w:w w:val="100"/>
                <w:position w:val="0"/>
                <w:sz w:val="19"/>
                <w:szCs w:val="19"/>
              </w:rPr>
              <w:t>月</w:t>
            </w:r>
            <w:r>
              <w:rPr>
                <w:color w:val="000000"/>
                <w:spacing w:val="0"/>
                <w:w w:val="100"/>
                <w:position w:val="0"/>
                <w:sz w:val="20"/>
                <w:szCs w:val="20"/>
              </w:rPr>
              <w:t>3</w:t>
            </w:r>
            <w:r>
              <w:rPr>
                <w:rFonts w:ascii="SimSun" w:eastAsia="SimSun" w:hAnsi="SimSun" w:cs="SimSun"/>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《第三届监事会第十九次会议决议公告》(公告编号：</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2020-039</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，巨潮资讯网(</w:t>
            </w:r>
            <w:r>
              <w:fldChar w:fldCharType="begin"/>
            </w:r>
            <w:r>
              <w:rPr/>
              <w:instrText> HYPERLINK "http://www.cninfo.com.cn" </w:instrText>
            </w:r>
            <w:r>
              <w:fldChar w:fldCharType="separate"/>
            </w:r>
            <w:r>
              <w:rPr>
                <w:color w:val="000000"/>
                <w:spacing w:val="0"/>
                <w:w w:val="100"/>
                <w:position w:val="0"/>
                <w:sz w:val="20"/>
                <w:szCs w:val="20"/>
              </w:rPr>
              <w:t>www.cninfo.com.cn</w:t>
            </w:r>
            <w:r>
              <w:fldChar w:fldCharType="end"/>
            </w:r>
            <w:r>
              <w:rPr>
                <w:rFonts w:ascii="SimSun" w:eastAsia="SimSun" w:hAnsi="SimSun" w:cs="SimSun"/>
                <w:color w:val="000000"/>
                <w:spacing w:val="0"/>
                <w:w w:val="100"/>
                <w:position w:val="0"/>
                <w:sz w:val="19"/>
                <w:szCs w:val="19"/>
              </w:rPr>
              <w:t>)</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6</w:t>
            </w:r>
            <w:r>
              <w:rPr>
                <w:rFonts w:ascii="SimSun" w:eastAsia="SimSun" w:hAnsi="SimSun" w:cs="SimSun"/>
                <w:color w:val="000000"/>
                <w:spacing w:val="0"/>
                <w:w w:val="100"/>
                <w:position w:val="0"/>
                <w:sz w:val="19"/>
                <w:szCs w:val="19"/>
              </w:rPr>
              <w:t>月</w:t>
            </w:r>
            <w:r>
              <w:rPr>
                <w:color w:val="000000"/>
                <w:spacing w:val="0"/>
                <w:w w:val="100"/>
                <w:position w:val="0"/>
                <w:sz w:val="20"/>
                <w:szCs w:val="20"/>
              </w:rPr>
              <w:t>3</w:t>
            </w:r>
            <w:r>
              <w:rPr>
                <w:rFonts w:ascii="SimSun" w:eastAsia="SimSun" w:hAnsi="SimSun" w:cs="SimSun"/>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9"/>
                <w:szCs w:val="19"/>
              </w:rPr>
            </w:pPr>
            <w:r>
              <w:rPr>
                <w:rFonts w:ascii="SimSun" w:eastAsia="SimSun" w:hAnsi="SimSun" w:cs="SimSun"/>
                <w:color w:val="000000"/>
                <w:spacing w:val="0"/>
                <w:w w:val="100"/>
                <w:position w:val="0"/>
                <w:sz w:val="19"/>
                <w:szCs w:val="19"/>
              </w:rPr>
              <w:t>《关于调整限制性股票激励计划回购价格并回购注销部 分限制性股票的公告》(公告编号：</w:t>
            </w:r>
            <w:r>
              <w:rPr>
                <w:color w:val="000000"/>
                <w:spacing w:val="0"/>
                <w:w w:val="100"/>
                <w:position w:val="0"/>
                <w:sz w:val="20"/>
                <w:szCs w:val="20"/>
              </w:rPr>
              <w:t>2020-040</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，巨潮资 讯网(</w:t>
            </w:r>
            <w:r>
              <w:fldChar w:fldCharType="begin"/>
            </w:r>
            <w:r>
              <w:rPr/>
              <w:instrText> HYPERLINK "http://www.cninfo.com.cn" </w:instrText>
            </w:r>
            <w:r>
              <w:fldChar w:fldCharType="separate"/>
            </w:r>
            <w:r>
              <w:rPr>
                <w:color w:val="000000"/>
                <w:spacing w:val="0"/>
                <w:w w:val="100"/>
                <w:position w:val="0"/>
                <w:sz w:val="20"/>
                <w:szCs w:val="20"/>
              </w:rPr>
              <w:t>www.cninfo.com.cn</w:t>
            </w:r>
            <w:r>
              <w:fldChar w:fldCharType="end"/>
            </w:r>
            <w:r>
              <w:rPr>
                <w:rFonts w:ascii="SimSun" w:eastAsia="SimSun" w:hAnsi="SimSun" w:cs="SimSun"/>
                <w:color w:val="000000"/>
                <w:spacing w:val="0"/>
                <w:w w:val="100"/>
                <w:position w:val="0"/>
                <w:sz w:val="19"/>
                <w:szCs w:val="19"/>
              </w:rPr>
              <w:t>)</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6</w:t>
            </w:r>
            <w:r>
              <w:rPr>
                <w:rFonts w:ascii="SimSun" w:eastAsia="SimSun" w:hAnsi="SimSun" w:cs="SimSun"/>
                <w:color w:val="000000"/>
                <w:spacing w:val="0"/>
                <w:w w:val="100"/>
                <w:position w:val="0"/>
                <w:sz w:val="19"/>
                <w:szCs w:val="19"/>
              </w:rPr>
              <w:t>月</w:t>
            </w:r>
            <w:r>
              <w:rPr>
                <w:color w:val="000000"/>
                <w:spacing w:val="0"/>
                <w:w w:val="100"/>
                <w:position w:val="0"/>
                <w:sz w:val="20"/>
                <w:szCs w:val="20"/>
              </w:rPr>
              <w:t>3</w:t>
            </w:r>
            <w:r>
              <w:rPr>
                <w:rFonts w:ascii="SimSun" w:eastAsia="SimSun" w:hAnsi="SimSun" w:cs="SimSun"/>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《关于召开</w:t>
            </w:r>
            <w:r>
              <w:rPr>
                <w:color w:val="000000"/>
                <w:spacing w:val="0"/>
                <w:w w:val="100"/>
                <w:position w:val="0"/>
                <w:sz w:val="20"/>
                <w:szCs w:val="20"/>
              </w:rPr>
              <w:t>2020</w:t>
            </w:r>
            <w:r>
              <w:rPr>
                <w:rFonts w:ascii="SimSun" w:eastAsia="SimSun" w:hAnsi="SimSun" w:cs="SimSun"/>
                <w:color w:val="000000"/>
                <w:spacing w:val="0"/>
                <w:w w:val="100"/>
                <w:position w:val="0"/>
                <w:sz w:val="19"/>
                <w:szCs w:val="19"/>
              </w:rPr>
              <w:t>年第一次临时股东大会的通知》(公告编</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号：</w:t>
            </w:r>
            <w:r>
              <w:rPr>
                <w:color w:val="000000"/>
                <w:spacing w:val="0"/>
                <w:w w:val="100"/>
                <w:position w:val="0"/>
                <w:sz w:val="20"/>
                <w:szCs w:val="20"/>
              </w:rPr>
              <w:t>2020-041</w:t>
            </w:r>
            <w:r>
              <w:rPr>
                <w:rFonts w:ascii="SimSun" w:eastAsia="SimSun" w:hAnsi="SimSun" w:cs="SimSun"/>
                <w:color w:val="000000"/>
                <w:spacing w:val="0"/>
                <w:w w:val="100"/>
                <w:position w:val="0"/>
                <w:sz w:val="19"/>
                <w:szCs w:val="19"/>
              </w:rPr>
              <w:t>)，巨潮资讯网(</w:t>
            </w:r>
            <w:r>
              <w:fldChar w:fldCharType="begin"/>
            </w:r>
            <w:r>
              <w:rPr/>
              <w:instrText> HYPERLINK "http://www.cninfo.com.cn" </w:instrText>
            </w:r>
            <w:r>
              <w:fldChar w:fldCharType="separate"/>
            </w:r>
            <w:r>
              <w:rPr>
                <w:color w:val="000000"/>
                <w:spacing w:val="0"/>
                <w:w w:val="100"/>
                <w:position w:val="0"/>
                <w:sz w:val="20"/>
                <w:szCs w:val="20"/>
              </w:rPr>
              <w:t>www.cninfo.com.cn</w:t>
            </w:r>
            <w:r>
              <w:fldChar w:fldCharType="end"/>
            </w:r>
            <w:r>
              <w:rPr>
                <w:rFonts w:ascii="SimSun" w:eastAsia="SimSun" w:hAnsi="SimSun" w:cs="SimSun"/>
                <w:color w:val="000000"/>
                <w:spacing w:val="0"/>
                <w:w w:val="100"/>
                <w:position w:val="0"/>
                <w:sz w:val="19"/>
                <w:szCs w:val="19"/>
              </w:rPr>
              <w:t>)</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6</w:t>
            </w:r>
            <w:r>
              <w:rPr>
                <w:rFonts w:ascii="SimSun" w:eastAsia="SimSun" w:hAnsi="SimSun" w:cs="SimSun"/>
                <w:color w:val="000000"/>
                <w:spacing w:val="0"/>
                <w:w w:val="100"/>
                <w:position w:val="0"/>
                <w:sz w:val="19"/>
                <w:szCs w:val="19"/>
              </w:rPr>
              <w:t>月</w:t>
            </w:r>
            <w:r>
              <w:rPr>
                <w:color w:val="000000"/>
                <w:spacing w:val="0"/>
                <w:w w:val="100"/>
                <w:position w:val="0"/>
                <w:sz w:val="20"/>
                <w:szCs w:val="20"/>
              </w:rPr>
              <w:t>18</w:t>
            </w:r>
            <w:r>
              <w:rPr>
                <w:rFonts w:ascii="SimSun" w:eastAsia="SimSun" w:hAnsi="SimSun" w:cs="SimSun"/>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w:t>
            </w:r>
            <w:r>
              <w:rPr>
                <w:color w:val="000000"/>
                <w:spacing w:val="0"/>
                <w:w w:val="100"/>
                <w:position w:val="0"/>
                <w:sz w:val="20"/>
                <w:szCs w:val="20"/>
              </w:rPr>
              <w:t>2020</w:t>
            </w:r>
            <w:r>
              <w:rPr>
                <w:rFonts w:ascii="SimSun" w:eastAsia="SimSun" w:hAnsi="SimSun" w:cs="SimSun"/>
                <w:color w:val="000000"/>
                <w:spacing w:val="0"/>
                <w:w w:val="100"/>
                <w:position w:val="0"/>
                <w:sz w:val="19"/>
                <w:szCs w:val="19"/>
              </w:rPr>
              <w:t>年第一次临时股东大会决议公告》(公告编号：</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2020-049</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，巨潮资讯网(</w:t>
            </w:r>
            <w:r>
              <w:fldChar w:fldCharType="begin"/>
            </w:r>
            <w:r>
              <w:rPr/>
              <w:instrText> HYPERLINK "http://www.cninfo.com.cn" </w:instrText>
            </w:r>
            <w:r>
              <w:fldChar w:fldCharType="separate"/>
            </w:r>
            <w:r>
              <w:rPr>
                <w:color w:val="000000"/>
                <w:spacing w:val="0"/>
                <w:w w:val="100"/>
                <w:position w:val="0"/>
                <w:sz w:val="20"/>
                <w:szCs w:val="20"/>
              </w:rPr>
              <w:t>www.cninfo.com.cn</w:t>
            </w:r>
            <w:r>
              <w:fldChar w:fldCharType="end"/>
            </w:r>
            <w:r>
              <w:rPr>
                <w:rFonts w:ascii="SimSun" w:eastAsia="SimSun" w:hAnsi="SimSun" w:cs="SimSun"/>
                <w:color w:val="000000"/>
                <w:spacing w:val="0"/>
                <w:w w:val="100"/>
                <w:position w:val="0"/>
                <w:sz w:val="19"/>
                <w:szCs w:val="19"/>
              </w:rPr>
              <w:t>)</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6</w:t>
            </w:r>
            <w:r>
              <w:rPr>
                <w:rFonts w:ascii="SimSun" w:eastAsia="SimSun" w:hAnsi="SimSun" w:cs="SimSun"/>
                <w:color w:val="000000"/>
                <w:spacing w:val="0"/>
                <w:w w:val="100"/>
                <w:position w:val="0"/>
                <w:sz w:val="19"/>
                <w:szCs w:val="19"/>
              </w:rPr>
              <w:t>月</w:t>
            </w:r>
            <w:r>
              <w:rPr>
                <w:color w:val="000000"/>
                <w:spacing w:val="0"/>
                <w:w w:val="100"/>
                <w:position w:val="0"/>
                <w:sz w:val="20"/>
                <w:szCs w:val="20"/>
              </w:rPr>
              <w:t>18</w:t>
            </w:r>
            <w:r>
              <w:rPr>
                <w:rFonts w:ascii="SimSun" w:eastAsia="SimSun" w:hAnsi="SimSun" w:cs="SimSun"/>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《关于回购注销部分限制性股票的减资公告》(公告编号:</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2020-050</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，巨潮资讯网(</w:t>
            </w:r>
            <w:r>
              <w:fldChar w:fldCharType="begin"/>
            </w:r>
            <w:r>
              <w:rPr/>
              <w:instrText> HYPERLINK "http://www.cninfo.com.cn" </w:instrText>
            </w:r>
            <w:r>
              <w:fldChar w:fldCharType="separate"/>
            </w:r>
            <w:r>
              <w:rPr>
                <w:color w:val="000000"/>
                <w:spacing w:val="0"/>
                <w:w w:val="100"/>
                <w:position w:val="0"/>
                <w:sz w:val="20"/>
                <w:szCs w:val="20"/>
              </w:rPr>
              <w:t>www.cninfo.com.cn</w:t>
            </w:r>
            <w:r>
              <w:fldChar w:fldCharType="end"/>
            </w:r>
            <w:r>
              <w:rPr>
                <w:rFonts w:ascii="SimSun" w:eastAsia="SimSun" w:hAnsi="SimSun" w:cs="SimSun"/>
                <w:color w:val="000000"/>
                <w:spacing w:val="0"/>
                <w:w w:val="100"/>
                <w:position w:val="0"/>
                <w:sz w:val="19"/>
                <w:szCs w:val="19"/>
              </w:rPr>
              <w:t>)</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8</w:t>
            </w:r>
            <w:r>
              <w:rPr>
                <w:rFonts w:ascii="SimSun" w:eastAsia="SimSun" w:hAnsi="SimSun" w:cs="SimSun"/>
                <w:color w:val="000000"/>
                <w:spacing w:val="0"/>
                <w:w w:val="100"/>
                <w:position w:val="0"/>
                <w:sz w:val="19"/>
                <w:szCs w:val="19"/>
              </w:rPr>
              <w:t>月</w:t>
            </w:r>
            <w:r>
              <w:rPr>
                <w:color w:val="000000"/>
                <w:spacing w:val="0"/>
                <w:w w:val="100"/>
                <w:position w:val="0"/>
                <w:sz w:val="20"/>
                <w:szCs w:val="20"/>
              </w:rPr>
              <w:t>27</w:t>
            </w:r>
            <w:r>
              <w:rPr>
                <w:rFonts w:ascii="SimSun" w:eastAsia="SimSun" w:hAnsi="SimSun" w:cs="SimSun"/>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《关于部分限制性股票回购注销完成的公告》(公告编号:</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2020-079</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，巨潮资讯网(</w:t>
            </w:r>
            <w:r>
              <w:fldChar w:fldCharType="begin"/>
            </w:r>
            <w:r>
              <w:rPr/>
              <w:instrText> HYPERLINK "http://www.cninfo.com.cn" </w:instrText>
            </w:r>
            <w:r>
              <w:fldChar w:fldCharType="separate"/>
            </w:r>
            <w:r>
              <w:rPr>
                <w:color w:val="000000"/>
                <w:spacing w:val="0"/>
                <w:w w:val="100"/>
                <w:position w:val="0"/>
                <w:sz w:val="20"/>
                <w:szCs w:val="20"/>
              </w:rPr>
              <w:t>www.cninfo.com.cn</w:t>
            </w:r>
            <w:r>
              <w:fldChar w:fldCharType="end"/>
            </w:r>
            <w:r>
              <w:rPr>
                <w:rFonts w:ascii="SimSun" w:eastAsia="SimSun" w:hAnsi="SimSun" w:cs="SimSun"/>
                <w:color w:val="000000"/>
                <w:spacing w:val="0"/>
                <w:w w:val="100"/>
                <w:position w:val="0"/>
                <w:sz w:val="19"/>
                <w:szCs w:val="19"/>
              </w:rPr>
              <w:t>)</w:t>
            </w:r>
          </w:p>
        </w:tc>
      </w:tr>
      <w:tr>
        <w:trPr>
          <w:trHeight w:val="67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w:t>
            </w:r>
            <w:r>
              <w:rPr>
                <w:color w:val="000000"/>
                <w:spacing w:val="0"/>
                <w:w w:val="100"/>
                <w:position w:val="0"/>
                <w:sz w:val="20"/>
                <w:szCs w:val="20"/>
              </w:rPr>
              <w:t>8</w:t>
            </w:r>
            <w:r>
              <w:rPr>
                <w:rFonts w:ascii="SimSun" w:eastAsia="SimSun" w:hAnsi="SimSun" w:cs="SimSun"/>
                <w:color w:val="000000"/>
                <w:spacing w:val="0"/>
                <w:w w:val="100"/>
                <w:position w:val="0"/>
                <w:sz w:val="19"/>
                <w:szCs w:val="19"/>
              </w:rPr>
              <w:t>月</w:t>
            </w:r>
            <w:r>
              <w:rPr>
                <w:color w:val="000000"/>
                <w:spacing w:val="0"/>
                <w:w w:val="100"/>
                <w:position w:val="0"/>
                <w:sz w:val="20"/>
                <w:szCs w:val="20"/>
              </w:rPr>
              <w:t>28</w:t>
            </w:r>
            <w:r>
              <w:rPr>
                <w:rFonts w:ascii="SimSun" w:eastAsia="SimSun" w:hAnsi="SimSun" w:cs="SimSun"/>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《关于完成工商变更登记的公告》</w:t>
            </w:r>
            <w:r>
              <w:rPr>
                <w:rFonts w:ascii="SimSun" w:eastAsia="SimSun" w:hAnsi="SimSun" w:cs="SimSun"/>
                <w:color w:val="000000"/>
                <w:spacing w:val="0"/>
                <w:w w:val="100"/>
                <w:position w:val="0"/>
                <w:sz w:val="19"/>
                <w:szCs w:val="19"/>
              </w:rPr>
              <w:t>(</w:t>
            </w:r>
            <w:r>
              <w:rPr>
                <w:color w:val="000000"/>
                <w:spacing w:val="0"/>
                <w:w w:val="100"/>
                <w:position w:val="0"/>
                <w:sz w:val="20"/>
                <w:szCs w:val="20"/>
              </w:rPr>
              <w:t>2020-082</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，巨潮资</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讯网(</w:t>
            </w:r>
            <w:r>
              <w:fldChar w:fldCharType="begin"/>
            </w:r>
            <w:r>
              <w:rPr/>
              <w:instrText> HYPERLINK "http://www.cninfo.com.cn" </w:instrText>
            </w:r>
            <w:r>
              <w:fldChar w:fldCharType="separate"/>
            </w:r>
            <w:r>
              <w:rPr>
                <w:color w:val="000000"/>
                <w:spacing w:val="0"/>
                <w:w w:val="100"/>
                <w:position w:val="0"/>
                <w:sz w:val="20"/>
                <w:szCs w:val="20"/>
              </w:rPr>
              <w:t>www.cninfo.com.cn</w:t>
            </w:r>
            <w:r>
              <w:fldChar w:fldCharType="end"/>
            </w:r>
            <w:r>
              <w:rPr>
                <w:rFonts w:ascii="SimSun" w:eastAsia="SimSun" w:hAnsi="SimSun" w:cs="SimSun"/>
                <w:color w:val="000000"/>
                <w:spacing w:val="0"/>
                <w:w w:val="100"/>
                <w:position w:val="0"/>
                <w:sz w:val="19"/>
                <w:szCs w:val="19"/>
              </w:rPr>
              <w:t>)</w:t>
            </w:r>
          </w:p>
        </w:tc>
      </w:tr>
    </w:tbl>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本期以权益结算的股份支付确认的费用总额</w:t>
      </w:r>
      <w:r>
        <w:rPr>
          <w:rFonts w:ascii="Times New Roman" w:eastAsia="Times New Roman" w:hAnsi="Times New Roman" w:cs="Times New Roman"/>
          <w:color w:val="000000"/>
          <w:spacing w:val="0"/>
          <w:w w:val="100"/>
          <w:position w:val="0"/>
          <w:sz w:val="18"/>
          <w:szCs w:val="18"/>
        </w:rPr>
        <w:t>-14.78</w:t>
      </w:r>
      <w:r>
        <w:rPr>
          <w:color w:val="000000"/>
          <w:spacing w:val="0"/>
          <w:w w:val="100"/>
          <w:position w:val="0"/>
        </w:rPr>
        <w:t>万元，剔除股权激励费用后归属于上市公司股东的净利润</w:t>
      </w:r>
      <w:r>
        <w:rPr>
          <w:rFonts w:ascii="Times New Roman" w:eastAsia="Times New Roman" w:hAnsi="Times New Roman" w:cs="Times New Roman"/>
          <w:color w:val="000000"/>
          <w:spacing w:val="0"/>
          <w:w w:val="100"/>
          <w:position w:val="0"/>
          <w:sz w:val="18"/>
          <w:szCs w:val="18"/>
        </w:rPr>
        <w:t>1,713.74</w:t>
      </w:r>
      <w:r>
        <w:rPr>
          <w:color w:val="000000"/>
          <w:spacing w:val="0"/>
          <w:w w:val="100"/>
          <w:position w:val="0"/>
        </w:rPr>
        <w:t>万 元，股权激励费用占剔除股权激励费用后归属于上市公司股东的净利润的</w:t>
      </w:r>
      <w:r>
        <w:rPr>
          <w:rFonts w:ascii="Times New Roman" w:eastAsia="Times New Roman" w:hAnsi="Times New Roman" w:cs="Times New Roman"/>
          <w:color w:val="000000"/>
          <w:spacing w:val="0"/>
          <w:w w:val="100"/>
          <w:position w:val="0"/>
          <w:sz w:val="18"/>
          <w:szCs w:val="18"/>
        </w:rPr>
        <w:t>-0.86%</w:t>
      </w:r>
      <w:r>
        <w:rPr>
          <w:color w:val="000000"/>
          <w:spacing w:val="0"/>
          <w:w w:val="100"/>
          <w:position w:val="0"/>
        </w:rPr>
        <w:t>。其中核心技术人员的股权激励费用是</w:t>
      </w:r>
      <w:r>
        <w:rPr>
          <w:rFonts w:ascii="Times New Roman" w:eastAsia="Times New Roman" w:hAnsi="Times New Roman" w:cs="Times New Roman"/>
          <w:color w:val="000000"/>
          <w:spacing w:val="0"/>
          <w:w w:val="100"/>
          <w:position w:val="0"/>
          <w:sz w:val="18"/>
          <w:szCs w:val="18"/>
        </w:rPr>
        <w:t xml:space="preserve">-2.17 </w:t>
      </w:r>
      <w:r>
        <w:rPr>
          <w:color w:val="000000"/>
          <w:spacing w:val="0"/>
          <w:w w:val="100"/>
          <w:position w:val="0"/>
        </w:rPr>
        <w:t>万，占当期计提股权激励费用的</w:t>
      </w:r>
      <w:r>
        <w:rPr>
          <w:rFonts w:ascii="Times New Roman" w:eastAsia="Times New Roman" w:hAnsi="Times New Roman" w:cs="Times New Roman"/>
          <w:color w:val="000000"/>
          <w:spacing w:val="0"/>
          <w:w w:val="100"/>
          <w:position w:val="0"/>
          <w:sz w:val="18"/>
          <w:szCs w:val="18"/>
        </w:rPr>
        <w:t>14.68%</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十五、重大关联交易</w:t>
      </w:r>
      <w:bookmarkEnd w:id="326"/>
      <w:bookmarkEnd w:id="327"/>
      <w:bookmarkEnd w:id="328"/>
    </w:p>
    <w:p>
      <w:pPr>
        <w:pStyle w:val="Style28"/>
        <w:keepNext/>
        <w:keepLines/>
        <w:widowControl w:val="0"/>
        <w:shd w:val="clear" w:color="auto" w:fill="auto"/>
        <w:tabs>
          <w:tab w:pos="368"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w:t>
        <w:tab/>
        <w:t>与日常经营相关的关联交易</w:t>
      </w:r>
      <w:bookmarkEnd w:id="329"/>
      <w:bookmarkEnd w:id="330"/>
      <w:bookmarkEnd w:id="332"/>
    </w:p>
    <w:p>
      <w:pPr>
        <w:pStyle w:val="Style2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资产或股权收购、出售发生的关联交易</w:t>
      </w:r>
      <w:bookmarkEnd w:id="333"/>
      <w:bookmarkEnd w:id="334"/>
      <w:bookmarkEnd w:id="336"/>
    </w:p>
    <w:p>
      <w:pPr>
        <w:pStyle w:val="Style2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3</w:t>
      </w:r>
      <w:bookmarkEnd w:id="339"/>
      <w:r>
        <w:rPr>
          <w:color w:val="000000"/>
          <w:spacing w:val="0"/>
          <w:w w:val="100"/>
          <w:position w:val="0"/>
        </w:rPr>
        <w:t>、</w:t>
        <w:tab/>
        <w:t>共同对外投资的关联交易</w:t>
      </w:r>
      <w:bookmarkEnd w:id="337"/>
      <w:bookmarkEnd w:id="338"/>
      <w:bookmarkEnd w:id="340"/>
    </w:p>
    <w:p>
      <w:pPr>
        <w:pStyle w:val="Style2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4</w:t>
      </w:r>
      <w:bookmarkEnd w:id="343"/>
      <w:r>
        <w:rPr>
          <w:color w:val="000000"/>
          <w:spacing w:val="0"/>
          <w:w w:val="100"/>
          <w:position w:val="0"/>
        </w:rPr>
        <w:t>、</w:t>
        <w:tab/>
        <w:t>关联债权债务往来</w:t>
      </w:r>
      <w:bookmarkEnd w:id="341"/>
      <w:bookmarkEnd w:id="342"/>
      <w:bookmarkEnd w:id="344"/>
    </w:p>
    <w:p>
      <w:pPr>
        <w:pStyle w:val="Style2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5</w:t>
      </w:r>
      <w:bookmarkEnd w:id="347"/>
      <w:r>
        <w:rPr>
          <w:color w:val="000000"/>
          <w:spacing w:val="0"/>
          <w:w w:val="100"/>
          <w:position w:val="0"/>
        </w:rPr>
        <w:t>、</w:t>
        <w:tab/>
        <w:t>其他重大关联交易</w:t>
      </w:r>
      <w:bookmarkEnd w:id="345"/>
      <w:bookmarkEnd w:id="346"/>
      <w:bookmarkEnd w:id="348"/>
    </w:p>
    <w:p>
      <w:pPr>
        <w:pStyle w:val="Style2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十六、重大合同及其履行情况</w:t>
      </w:r>
      <w:bookmarkEnd w:id="349"/>
      <w:bookmarkEnd w:id="350"/>
      <w:bookmarkEnd w:id="351"/>
    </w:p>
    <w:p>
      <w:pPr>
        <w:pStyle w:val="Style28"/>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、托管、承包、租赁事项情况</w:t>
      </w:r>
      <w:bookmarkEnd w:id="352"/>
      <w:bookmarkEnd w:id="353"/>
      <w:bookmarkEnd w:id="355"/>
    </w:p>
    <w:p>
      <w:pPr>
        <w:pStyle w:val="Style28"/>
        <w:keepNext/>
        <w:keepLines/>
        <w:widowControl w:val="0"/>
        <w:numPr>
          <w:ilvl w:val="0"/>
          <w:numId w:val="11"/>
        </w:numPr>
        <w:shd w:val="clear" w:color="auto" w:fill="auto"/>
        <w:tabs>
          <w:tab w:pos="493" w:val="left"/>
        </w:tabs>
        <w:bidi w:val="0"/>
        <w:spacing w:before="0" w:after="220" w:line="240" w:lineRule="auto"/>
        <w:ind w:left="0" w:right="0" w:firstLine="0"/>
        <w:jc w:val="left"/>
      </w:pPr>
      <w:bookmarkStart w:id="352" w:name="bookmark352"/>
      <w:bookmarkStart w:id="353" w:name="bookmark353"/>
      <w:bookmarkStart w:id="356" w:name="bookmark356"/>
      <w:bookmarkStart w:id="357" w:name="bookmark357"/>
      <w:bookmarkEnd w:id="356"/>
      <w:r>
        <w:rPr>
          <w:color w:val="000000"/>
          <w:spacing w:val="0"/>
          <w:w w:val="100"/>
          <w:position w:val="0"/>
        </w:rPr>
        <w:t>托管情况</w:t>
      </w:r>
      <w:bookmarkEnd w:id="352"/>
      <w:bookmarkEnd w:id="353"/>
      <w:bookmarkEnd w:id="357"/>
    </w:p>
    <w:p>
      <w:pPr>
        <w:pStyle w:val="Style24"/>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公司报告期不存在托管情况。</w:t>
      </w:r>
    </w:p>
    <w:p>
      <w:pPr>
        <w:pStyle w:val="Style48"/>
        <w:keepNext w:val="0"/>
        <w:keepLines w:val="0"/>
        <w:widowControl w:val="0"/>
        <w:numPr>
          <w:ilvl w:val="0"/>
          <w:numId w:val="11"/>
        </w:numPr>
        <w:shd w:val="clear" w:color="auto" w:fill="auto"/>
        <w:tabs>
          <w:tab w:pos="493" w:val="left"/>
        </w:tabs>
        <w:bidi w:val="0"/>
        <w:spacing w:before="0" w:line="240" w:lineRule="auto"/>
        <w:ind w:left="0" w:right="0" w:firstLine="0"/>
        <w:jc w:val="left"/>
      </w:pPr>
      <w:bookmarkStart w:id="358" w:name="bookmark358"/>
      <w:bookmarkStart w:id="359" w:name="bookmark359"/>
      <w:bookmarkEnd w:id="358"/>
      <w:r>
        <w:rPr>
          <w:color w:val="000000"/>
          <w:spacing w:val="0"/>
          <w:w w:val="100"/>
          <w:position w:val="0"/>
        </w:rPr>
        <w:t>承包情况</w:t>
      </w:r>
      <w:bookmarkEnd w:id="35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60"/>
      <w:bookmarkEnd w:id="361"/>
      <w:bookmarkEnd w:id="363"/>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重大担保</w:t>
      </w:r>
      <w:bookmarkEnd w:id="364"/>
      <w:bookmarkEnd w:id="365"/>
      <w:bookmarkEnd w:id="367"/>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8"/>
        <w:keepNext/>
        <w:keepLines/>
        <w:widowControl w:val="0"/>
        <w:shd w:val="clear" w:color="auto" w:fill="auto"/>
        <w:tabs>
          <w:tab w:pos="378" w:val="left"/>
        </w:tabs>
        <w:bidi w:val="0"/>
        <w:spacing w:before="0" w:after="38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w:t>
        <w:tab/>
        <w:t>日常经营重大合同</w:t>
      </w:r>
      <w:bookmarkEnd w:id="368"/>
      <w:bookmarkEnd w:id="369"/>
      <w:bookmarkEnd w:id="371"/>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合同订立公 司方名称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合同订立对 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合同总金额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合同履行的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 销售收入金</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累计确认的 销售收入金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应收账款回 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影响重大合 同履行的各 项条件是否 发生重大变</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是否存在合 同无法履行 的重大风险</w:t>
            </w:r>
          </w:p>
        </w:tc>
      </w:tr>
    </w:tbl>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4</w:t>
      </w:r>
      <w:bookmarkEnd w:id="374"/>
      <w:r>
        <w:rPr>
          <w:color w:val="000000"/>
          <w:spacing w:val="0"/>
          <w:w w:val="100"/>
          <w:position w:val="0"/>
        </w:rPr>
        <w:t>、委托他人进行现金资产管理情况</w:t>
      </w:r>
      <w:bookmarkEnd w:id="372"/>
      <w:bookmarkEnd w:id="373"/>
      <w:bookmarkEnd w:id="375"/>
    </w:p>
    <w:p>
      <w:pPr>
        <w:pStyle w:val="Style36"/>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6"/>
      <w:bookmarkEnd w:id="377"/>
      <w:bookmarkEnd w:id="379"/>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4"/>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事项</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方式</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预期</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期损</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概述</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起始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年化</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益实</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经过</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还有</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及相</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来源</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投向</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关查</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人）类</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率</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回情</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程序</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询索</w:t>
            </w: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人姓</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型</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计划</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引（如</w:t>
            </w:r>
          </w:p>
        </w:tc>
      </w:tr>
    </w:tbl>
    <w:p>
      <w:pPr>
        <w:widowControl w:val="0"/>
        <w:spacing w:line="1" w:lineRule="exact"/>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有）</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浦东</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发展</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03</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2"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 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 珠海</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24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2"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 有限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bottom"/>
          </w:tcPr>
          <w:p>
            <w:pP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 银行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保本保 收益型</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募集 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理财 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 银行 股份 有限 公司 珠海 分行 营业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保本浮 动收益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07 </w:t>
            </w:r>
            <w:r>
              <w:rPr>
                <w:rFonts w:ascii="SimSun" w:eastAsia="SimSun" w:hAnsi="SimSun" w:cs="SimSun"/>
                <w:color w:val="000000"/>
                <w:spacing w:val="0"/>
                <w:w w:val="100"/>
                <w:position w:val="0"/>
                <w:sz w:val="17"/>
                <w:szCs w:val="17"/>
              </w:rPr>
              <w:t>月</w:t>
            </w:r>
            <w:r>
              <w:rPr>
                <w:color w:val="000000"/>
                <w:spacing w:val="0"/>
                <w:w w:val="100"/>
                <w:position w:val="0"/>
              </w:rPr>
              <w:t>27</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27</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银行 理财 资金 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 资讯 网</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11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06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 银行 股份</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10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30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31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25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自有 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理财 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7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26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 吉大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自有 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理财 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0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招商</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9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 珠海 吉大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自有 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理财 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07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巨潮</w:t>
            </w:r>
          </w:p>
        </w:tc>
      </w:tr>
      <w:tr>
        <w:trPr>
          <w:trHeight w:val="432"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资讯</w:t>
            </w:r>
          </w:p>
        </w:tc>
      </w:tr>
    </w:tbl>
    <w:p>
      <w:pPr>
        <w:widowControl w:val="0"/>
        <w:spacing w:line="1" w:lineRule="exact"/>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 有限 公司 珠海 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11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07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11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12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未到</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2021</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动收益</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自有 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理财 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签署</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未到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池</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78,200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0"/>
      <w:bookmarkEnd w:id="381"/>
      <w:bookmarkEnd w:id="383"/>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after="2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5</w:t>
      </w:r>
      <w:bookmarkEnd w:id="386"/>
      <w:r>
        <w:rPr>
          <w:color w:val="000000"/>
          <w:spacing w:val="0"/>
          <w:w w:val="100"/>
          <w:position w:val="0"/>
        </w:rPr>
        <w:t>、其他重大合同</w:t>
      </w:r>
      <w:bookmarkEnd w:id="384"/>
      <w:bookmarkEnd w:id="385"/>
      <w:bookmarkEnd w:id="387"/>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十七、社会责任情况</w:t>
      </w:r>
      <w:bookmarkEnd w:id="388"/>
      <w:bookmarkEnd w:id="389"/>
      <w:bookmarkEnd w:id="390"/>
    </w:p>
    <w:p>
      <w:pPr>
        <w:pStyle w:val="Style28"/>
        <w:keepNext/>
        <w:keepLines/>
        <w:widowControl w:val="0"/>
        <w:shd w:val="clear" w:color="auto" w:fill="auto"/>
        <w:tabs>
          <w:tab w:pos="368" w:val="left"/>
        </w:tabs>
        <w:bidi w:val="0"/>
        <w:spacing w:before="0" w:after="2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w:t>
        <w:tab/>
        <w:t>履行社会责任情况</w:t>
      </w:r>
      <w:bookmarkEnd w:id="391"/>
      <w:bookmarkEnd w:id="392"/>
      <w:bookmarkEnd w:id="394"/>
    </w:p>
    <w:p>
      <w:pPr>
        <w:pStyle w:val="Style24"/>
        <w:keepNext w:val="0"/>
        <w:keepLines w:val="0"/>
        <w:widowControl w:val="0"/>
        <w:shd w:val="clear" w:color="auto" w:fill="auto"/>
        <w:tabs>
          <w:tab w:pos="445" w:val="left"/>
        </w:tabs>
        <w:bidi w:val="0"/>
        <w:spacing w:before="0" w:after="0" w:line="313" w:lineRule="exact"/>
        <w:ind w:left="0" w:right="0" w:firstLine="0"/>
        <w:jc w:val="left"/>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持续投入社会公益事业</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报告期内，汇金科技慈善基金持续关注和帮扶珠海市社会福利院的儿童，持续投入资金支持，实施人文关怀；为助力国 家抗击新型冠状病毒肺炎疫情，公司向珠海市慈善基金总会捐赠</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元，积极践行社会责任；为助力珠海市工业和信息 化局脱贫攻坚和乡村振兴任务，公司向珠海市财政国库支付中心捐赠</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元，积极践行公益精神。公司热心公益的贡献得 到了社会认可。</w:t>
      </w:r>
    </w:p>
    <w:p>
      <w:pPr>
        <w:pStyle w:val="Style24"/>
        <w:keepNext w:val="0"/>
        <w:keepLines w:val="0"/>
        <w:widowControl w:val="0"/>
        <w:shd w:val="clear" w:color="auto" w:fill="auto"/>
        <w:tabs>
          <w:tab w:pos="445" w:val="left"/>
        </w:tabs>
        <w:bidi w:val="0"/>
        <w:spacing w:before="0" w:after="0" w:line="313" w:lineRule="exact"/>
        <w:ind w:left="0" w:right="0" w:firstLine="0"/>
        <w:jc w:val="left"/>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股东和债权人权益保护</w:t>
      </w:r>
    </w:p>
    <w:p>
      <w:pPr>
        <w:pStyle w:val="Style24"/>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报告期内，公司严格遵守各项法律法规，持续完善企业治理结构，形成了以股东大会、董事会、监事会及管理层为主体 结构的决策与经营体系，切实保障股东的合法权益。公司的财务政策稳健，资产、资金安全，能够维护债权人的合法利益。</w:t>
      </w:r>
    </w:p>
    <w:p>
      <w:pPr>
        <w:pStyle w:val="Style24"/>
        <w:keepNext w:val="0"/>
        <w:keepLines w:val="0"/>
        <w:widowControl w:val="0"/>
        <w:shd w:val="clear" w:color="auto" w:fill="auto"/>
        <w:tabs>
          <w:tab w:pos="445" w:val="left"/>
        </w:tabs>
        <w:bidi w:val="0"/>
        <w:spacing w:before="0" w:after="0" w:line="313" w:lineRule="exact"/>
        <w:ind w:left="0" w:right="0" w:firstLine="0"/>
        <w:jc w:val="left"/>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职工权益保护</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公司严格遵守《劳动法》等法律法规要求，依法与员工签订《劳动合同》，并按照国家和地方法律法规为员工办理各项 社会保险与公积金，为员工提供健康、有保障的工作环境。公司注重人才培养，不断完善职业培训制度，提升员工素质，为 员工发展提供更多机会，实现员工与企业的共同成长。</w:t>
      </w:r>
    </w:p>
    <w:p>
      <w:pPr>
        <w:pStyle w:val="Style24"/>
        <w:keepNext w:val="0"/>
        <w:keepLines w:val="0"/>
        <w:widowControl w:val="0"/>
        <w:shd w:val="clear" w:color="auto" w:fill="auto"/>
        <w:tabs>
          <w:tab w:pos="445" w:val="left"/>
        </w:tabs>
        <w:bidi w:val="0"/>
        <w:spacing w:before="0" w:after="0" w:line="313" w:lineRule="exact"/>
        <w:ind w:left="0" w:right="0" w:firstLine="0"/>
        <w:jc w:val="left"/>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供应商及客户权益保护</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公司将诚实守信作为企业发展之基，与供应商和客户建立了长期稳定、合作共赢的战略合作伙伴关系，充分尊重并保护 供应商、客户的合法权益，实现互利共赢。</w:t>
      </w:r>
    </w:p>
    <w:p>
      <w:pPr>
        <w:pStyle w:val="Style24"/>
        <w:keepNext w:val="0"/>
        <w:keepLines w:val="0"/>
        <w:widowControl w:val="0"/>
        <w:shd w:val="clear" w:color="auto" w:fill="auto"/>
        <w:tabs>
          <w:tab w:pos="445" w:val="left"/>
        </w:tabs>
        <w:bidi w:val="0"/>
        <w:spacing w:before="0" w:after="0" w:line="313" w:lineRule="exact"/>
        <w:ind w:left="0" w:right="0" w:firstLine="0"/>
        <w:jc w:val="left"/>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投资者权益保护</w:t>
      </w:r>
    </w:p>
    <w:p>
      <w:pPr>
        <w:pStyle w:val="Style24"/>
        <w:keepNext w:val="0"/>
        <w:keepLines w:val="0"/>
        <w:widowControl w:val="0"/>
        <w:shd w:val="clear" w:color="auto" w:fill="auto"/>
        <w:bidi w:val="0"/>
        <w:spacing w:before="0" w:after="380" w:line="313" w:lineRule="exact"/>
        <w:ind w:left="0" w:right="0"/>
        <w:jc w:val="left"/>
      </w:pPr>
      <w:r>
        <w:rPr>
          <w:color w:val="000000"/>
          <w:spacing w:val="0"/>
          <w:w w:val="100"/>
          <w:position w:val="0"/>
        </w:rPr>
        <w:t>公司重视投资者关系管理工作，遵守真实、准确、完整、及时、公平的原则，认真履行信息披露义务，不断完善公司治 理，塑造公司在资本市场的良好形象。公司通过投资者热线电话、投资者互动平台交流等多种渠道，积极与投资者交流互动， 提高投资者对公司的认知度。</w:t>
      </w:r>
    </w:p>
    <w:p>
      <w:pPr>
        <w:pStyle w:val="Style28"/>
        <w:keepNext/>
        <w:keepLines/>
        <w:widowControl w:val="0"/>
        <w:shd w:val="clear" w:color="auto" w:fill="auto"/>
        <w:tabs>
          <w:tab w:pos="378" w:val="left"/>
        </w:tabs>
        <w:bidi w:val="0"/>
        <w:spacing w:before="0" w:after="2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w:t>
        <w:tab/>
        <w:t>履行精准扶贫社会责任情况</w:t>
      </w:r>
      <w:bookmarkEnd w:id="400"/>
      <w:bookmarkEnd w:id="401"/>
      <w:bookmarkEnd w:id="403"/>
    </w:p>
    <w:p>
      <w:pPr>
        <w:pStyle w:val="Style24"/>
        <w:keepNext w:val="0"/>
        <w:keepLines w:val="0"/>
        <w:widowControl w:val="0"/>
        <w:shd w:val="clear" w:color="auto" w:fill="auto"/>
        <w:bidi w:val="0"/>
        <w:spacing w:before="0" w:after="280" w:line="313" w:lineRule="exact"/>
        <w:ind w:left="0" w:right="0" w:firstLine="380"/>
        <w:jc w:val="left"/>
      </w:pPr>
      <w:r>
        <w:rPr>
          <w:color w:val="000000"/>
          <w:spacing w:val="0"/>
          <w:w w:val="100"/>
          <w:position w:val="0"/>
        </w:rPr>
        <w:t>公司报告年度暂未开展精准扶贫工作，也暂无后续精准扶贫计划。</w:t>
      </w:r>
    </w:p>
    <w:p>
      <w:pPr>
        <w:pStyle w:val="Style28"/>
        <w:keepNext/>
        <w:keepLines/>
        <w:widowControl w:val="0"/>
        <w:shd w:val="clear" w:color="auto" w:fill="auto"/>
        <w:bidi w:val="0"/>
        <w:spacing w:before="0" w:after="26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3</w:t>
      </w:r>
      <w:bookmarkEnd w:id="406"/>
      <w:r>
        <w:rPr>
          <w:color w:val="000000"/>
          <w:spacing w:val="0"/>
          <w:w w:val="100"/>
          <w:position w:val="0"/>
        </w:rPr>
        <w:t>、环境保护相关的情况</w:t>
      </w:r>
      <w:bookmarkEnd w:id="404"/>
      <w:bookmarkEnd w:id="405"/>
      <w:bookmarkEnd w:id="407"/>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公司及子公司不属于环境保护部门公布的重点排污单位。公司及子公司在日常生产经营中认真执行国家有关环境保护方 面的法律法规，报告期内未出现因违反环境保护相关法律法规而受到处罚的情况。</w:t>
      </w:r>
    </w:p>
    <w:p>
      <w:pPr>
        <w:pStyle w:val="Style22"/>
        <w:keepNext/>
        <w:keepLines/>
        <w:widowControl w:val="0"/>
        <w:shd w:val="clear" w:color="auto" w:fill="auto"/>
        <w:bidi w:val="0"/>
        <w:spacing w:before="0" w:after="26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十八、其他重大事项的说明</w:t>
      </w:r>
      <w:bookmarkEnd w:id="408"/>
      <w:bookmarkEnd w:id="409"/>
      <w:bookmarkEnd w:id="410"/>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报告期内，公司筹划以发行股份、可转换公司债券及支付现金方式购买卓沃网络科技（上海）有限公司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 配套资金，进展情况如下：</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公司因筹划重大资产重组相关事宜，经向深圳证券交易所申请，公司股票自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日开市起停牌，具体内容详见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）披露的《关于筹划重大资产重组事项停牌的公 告》（公告编号：</w:t>
      </w:r>
      <w:r>
        <w:rPr>
          <w:rFonts w:ascii="Times New Roman" w:eastAsia="Times New Roman" w:hAnsi="Times New Roman" w:cs="Times New Roman"/>
          <w:color w:val="000000"/>
          <w:spacing w:val="0"/>
          <w:w w:val="100"/>
          <w:position w:val="0"/>
          <w:sz w:val="18"/>
          <w:szCs w:val="18"/>
        </w:rPr>
        <w:t xml:space="preserve">2020-051 </w:t>
      </w:r>
      <w:r>
        <w:rPr>
          <w:color w:val="000000"/>
          <w:spacing w:val="0"/>
          <w:w w:val="100"/>
          <w:position w:val="0"/>
        </w:rPr>
        <w:t>）。</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停牌期间，公司每五个交易日发布一次本次重大资产重组事件进展情况公告，于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日在指定信息披露媒体巨潮 资讯网披露了《关于筹划重大资产重组事项的停牌进展公告》（公告编号：</w:t>
      </w:r>
      <w:r>
        <w:rPr>
          <w:rFonts w:ascii="Times New Roman" w:eastAsia="Times New Roman" w:hAnsi="Times New Roman" w:cs="Times New Roman"/>
          <w:color w:val="000000"/>
          <w:spacing w:val="0"/>
          <w:w w:val="100"/>
          <w:position w:val="0"/>
          <w:sz w:val="18"/>
          <w:szCs w:val="18"/>
        </w:rPr>
        <w:t>2020-053</w:t>
      </w:r>
      <w:r>
        <w:rPr>
          <w:color w:val="000000"/>
          <w:spacing w:val="0"/>
          <w:w w:val="100"/>
          <w:position w:val="0"/>
        </w:rPr>
        <w:t>）。</w:t>
      </w:r>
    </w:p>
    <w:p>
      <w:pPr>
        <w:pStyle w:val="Style24"/>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日，公司召开第三届董事会第二十六次会议，审议通过了《关于</w:t>
      </w:r>
      <w:r>
        <w:rPr>
          <w:color w:val="000000"/>
          <w:spacing w:val="0"/>
          <w:w w:val="100"/>
          <w:position w:val="0"/>
          <w:sz w:val="18"/>
          <w:szCs w:val="18"/>
        </w:rPr>
        <w:t>〈</w:t>
      </w:r>
      <w:r>
        <w:rPr>
          <w:color w:val="000000"/>
          <w:spacing w:val="0"/>
          <w:w w:val="100"/>
          <w:position w:val="0"/>
        </w:rPr>
        <w:t>珠海汇金科技股份有限公司发行股份、可 转换公司债券及支付现金购买资产并募集配套资金暨关联交易报告书（草案）</w:t>
      </w:r>
      <w:r>
        <w:rPr>
          <w:color w:val="000000"/>
          <w:spacing w:val="0"/>
          <w:w w:val="100"/>
          <w:position w:val="0"/>
          <w:sz w:val="18"/>
          <w:szCs w:val="18"/>
        </w:rPr>
        <w:t>〉</w:t>
      </w:r>
      <w:r>
        <w:rPr>
          <w:color w:val="000000"/>
          <w:spacing w:val="0"/>
          <w:w w:val="100"/>
          <w:position w:val="0"/>
        </w:rPr>
        <w:t>及其摘要的议案》，具体内容详见公司于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日在指定信息披露媒体巨潮资讯网披露的相关公告，并于同日披露了《关于发行股份、可转换公司债券及支付现金 购买资产并募集配套资金的一般风险提示暨复牌公告》（公告编号:</w:t>
      </w:r>
      <w:r>
        <w:rPr>
          <w:rFonts w:ascii="Times New Roman" w:eastAsia="Times New Roman" w:hAnsi="Times New Roman" w:cs="Times New Roman"/>
          <w:color w:val="000000"/>
          <w:spacing w:val="0"/>
          <w:w w:val="100"/>
          <w:position w:val="0"/>
          <w:sz w:val="18"/>
          <w:szCs w:val="18"/>
        </w:rPr>
        <w:t>2020-059</w:t>
      </w:r>
      <w:r>
        <w:rPr>
          <w:color w:val="000000"/>
          <w:spacing w:val="0"/>
          <w:w w:val="100"/>
          <w:position w:val="0"/>
        </w:rPr>
        <w:t>）</w:t>
      </w:r>
      <w:r>
        <w:rPr>
          <w:color w:val="000000"/>
          <w:spacing w:val="0"/>
          <w:w w:val="100"/>
          <w:position w:val="0"/>
        </w:rPr>
        <w:t>，经向深圳证券交易所申请，公司股票于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日开市起复牌。</w:t>
      </w:r>
    </w:p>
    <w:p>
      <w:pPr>
        <w:pStyle w:val="Style24"/>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日，公司收到深圳证券交易所创业板公司管理部下发的《关于对珠海汇金科技股份有限公司的重组问询函》 （创业板许可类重组问询函〔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号）（以下简称《问询函》），要求公司就《问询函》问题做出书面说明，并在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日前将有关说明材料报送深圳证券交易所创业板公司管理部。针对《问询函》中提及的问题，公司积极组织各中介 机构进行逐项落实和回复。鉴于《问询函》问题涉及的工作量较大，涉及的相关事项尚需进一步补充和完善，公司向深圳证 券交易所申请延期回复，公司于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日，分别披露了《关于延期回复深圳证券交易所重组问询函的 公告》（公告编号：</w:t>
      </w:r>
      <w:r>
        <w:rPr>
          <w:rFonts w:ascii="Times New Roman" w:eastAsia="Times New Roman" w:hAnsi="Times New Roman" w:cs="Times New Roman"/>
          <w:color w:val="000000"/>
          <w:spacing w:val="0"/>
          <w:w w:val="100"/>
          <w:position w:val="0"/>
          <w:sz w:val="18"/>
          <w:szCs w:val="18"/>
        </w:rPr>
        <w:t>2020-066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2020-067</w:t>
      </w:r>
      <w:r>
        <w:rPr>
          <w:color w:val="000000"/>
          <w:spacing w:val="0"/>
          <w:w w:val="100"/>
          <w:position w:val="0"/>
        </w:rPr>
        <w:t>）。</w:t>
      </w:r>
    </w:p>
    <w:p>
      <w:pPr>
        <w:pStyle w:val="Style24"/>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日，公司披露了《关于重大资产重组事项的进展公告》（公告编号：</w:t>
      </w:r>
      <w:r>
        <w:rPr>
          <w:rFonts w:ascii="Times New Roman" w:eastAsia="Times New Roman" w:hAnsi="Times New Roman" w:cs="Times New Roman"/>
          <w:color w:val="000000"/>
          <w:spacing w:val="0"/>
          <w:w w:val="100"/>
          <w:position w:val="0"/>
          <w:sz w:val="18"/>
          <w:szCs w:val="18"/>
        </w:rPr>
        <w:t>2020-068</w:t>
      </w:r>
      <w:r>
        <w:rPr>
          <w:color w:val="000000"/>
          <w:spacing w:val="0"/>
          <w:w w:val="100"/>
          <w:position w:val="0"/>
        </w:rPr>
        <w:t>）</w:t>
      </w: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日披露了《关于延期回复深圳证券交易所重组问询函的公告》（公告编号：</w:t>
      </w:r>
      <w:r>
        <w:rPr>
          <w:rFonts w:ascii="Times New Roman" w:eastAsia="Times New Roman" w:hAnsi="Times New Roman" w:cs="Times New Roman"/>
          <w:color w:val="000000"/>
          <w:spacing w:val="0"/>
          <w:w w:val="100"/>
          <w:position w:val="0"/>
          <w:sz w:val="18"/>
          <w:szCs w:val="18"/>
        </w:rPr>
        <w:t>2020-069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2020-071</w:t>
      </w:r>
      <w:r>
        <w:rPr>
          <w:color w:val="000000"/>
          <w:spacing w:val="0"/>
          <w:w w:val="100"/>
          <w:position w:val="0"/>
        </w:rPr>
        <w:t>）。</w:t>
      </w:r>
    </w:p>
    <w:p>
      <w:pPr>
        <w:pStyle w:val="Style24"/>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日，公司召开了第三届董事会第二十八次会议，审议通过了《关于终止重大资产重组相关事项的议案》等 与终止本次重大资产重组相关的议案，同意公司终止本次发行股份、可转换公司债券及支付现金购买资产并募集配套资金暨 关联交易事项并与本次重大资产重组交易对方签订终止协议，于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日披露了《关于终止重大资产重组相关事项的 公告》（公告编号：</w:t>
      </w:r>
      <w:r>
        <w:rPr>
          <w:rFonts w:ascii="Times New Roman" w:eastAsia="Times New Roman" w:hAnsi="Times New Roman" w:cs="Times New Roman"/>
          <w:color w:val="000000"/>
          <w:spacing w:val="0"/>
          <w:w w:val="100"/>
          <w:position w:val="0"/>
          <w:sz w:val="18"/>
          <w:szCs w:val="18"/>
        </w:rPr>
        <w:t xml:space="preserve">2020-081 </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根据相关规则，公司针对股票交易自查期间内相关机构或人员买卖股票情况进行了核查，于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日披露了《关于 终止重大资产重组事项相关内幕信息知情人自查期间买卖公司股票情况的自查报告》（公告编号：</w:t>
      </w:r>
      <w:r>
        <w:rPr>
          <w:rFonts w:ascii="Times New Roman" w:eastAsia="Times New Roman" w:hAnsi="Times New Roman" w:cs="Times New Roman"/>
          <w:color w:val="000000"/>
          <w:spacing w:val="0"/>
          <w:w w:val="100"/>
          <w:position w:val="0"/>
          <w:sz w:val="18"/>
          <w:szCs w:val="18"/>
        </w:rPr>
        <w:t>2020-083</w:t>
      </w:r>
      <w:r>
        <w:rPr>
          <w:color w:val="000000"/>
          <w:spacing w:val="0"/>
          <w:w w:val="100"/>
          <w:position w:val="0"/>
        </w:rPr>
        <w:t>）。</w:t>
      </w:r>
    </w:p>
    <w:tbl>
      <w:tblPr>
        <w:tblOverlap w:val="never"/>
        <w:jc w:val="center"/>
        <w:tblLayout w:type="fixed"/>
      </w:tblPr>
      <w:tblGrid>
        <w:gridCol w:w="1958"/>
        <w:gridCol w:w="2126"/>
        <w:gridCol w:w="5501"/>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重要事项概述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临时报告披露网站查询索引</w:t>
            </w:r>
          </w:p>
        </w:tc>
      </w:tr>
      <w:tr>
        <w:trPr>
          <w:trHeight w:val="6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报告期内筹划重大资产 重组事宜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《关于筹划重大资产重组事项停牌的公告》（公告编号：</w:t>
            </w:r>
            <w:r>
              <w:rPr>
                <w:color w:val="000000"/>
                <w:spacing w:val="0"/>
                <w:w w:val="100"/>
                <w:position w:val="0"/>
                <w:sz w:val="18"/>
                <w:szCs w:val="18"/>
              </w:rPr>
              <w:t xml:space="preserve">2020-051 </w:t>
            </w:r>
            <w:r>
              <w:rPr>
                <w:rFonts w:ascii="SimSun" w:eastAsia="SimSun" w:hAnsi="SimSun" w:cs="SimSun"/>
                <w:color w:val="000000"/>
                <w:spacing w:val="0"/>
                <w:w w:val="100"/>
                <w:position w:val="0"/>
                <w:sz w:val="17"/>
                <w:szCs w:val="17"/>
              </w:rPr>
              <w:t>）， 巨潮资讯网（</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《关于筹划重大资产重组事项进展的停牌进展公告》（公告编号：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2020-053</w:t>
            </w: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p>
        </w:tc>
      </w:tr>
      <w:tr>
        <w:trPr>
          <w:trHeight w:val="3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《关于筹划重大资产重组事项停牌前一个交易日公司前十大股东和前</w:t>
            </w:r>
          </w:p>
        </w:tc>
      </w:tr>
    </w:tbl>
    <w:p>
      <w:pPr>
        <w:widowControl w:val="0"/>
        <w:spacing w:line="1" w:lineRule="exact"/>
      </w:pPr>
      <w:r>
        <w:br w:type="page"/>
      </w:r>
    </w:p>
    <w:tbl>
      <w:tblPr>
        <w:tblOverlap w:val="never"/>
        <w:jc w:val="right"/>
        <w:tblLayout w:type="fixed"/>
      </w:tblPr>
      <w:tblGrid>
        <w:gridCol w:w="2131"/>
        <w:gridCol w:w="5501"/>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十大流通股股东持股情况的公告》(公告编号：</w:t>
            </w:r>
            <w:r>
              <w:rPr>
                <w:color w:val="000000"/>
                <w:spacing w:val="0"/>
                <w:w w:val="100"/>
                <w:position w:val="0"/>
                <w:sz w:val="18"/>
                <w:szCs w:val="18"/>
              </w:rPr>
              <w:t>2020-054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网 </w:t>
            </w:r>
            <w:r>
              <w:rPr>
                <w:rFonts w:ascii="SimSun" w:eastAsia="SimSun" w:hAnsi="SimSun" w:cs="SimSun"/>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《第三届董事会第二十六次会议决议公告》(公告编号：</w:t>
            </w:r>
            <w:r>
              <w:rPr>
                <w:color w:val="000000"/>
                <w:spacing w:val="0"/>
                <w:w w:val="100"/>
                <w:position w:val="0"/>
                <w:sz w:val="18"/>
                <w:szCs w:val="18"/>
              </w:rPr>
              <w:t>2020-056</w:t>
            </w:r>
            <w:r>
              <w:rPr>
                <w:rFonts w:ascii="SimSun" w:eastAsia="SimSun" w:hAnsi="SimSun" w:cs="SimSun"/>
                <w:color w:val="000000"/>
                <w:spacing w:val="0"/>
                <w:w w:val="100"/>
                <w:position w:val="0"/>
                <w:sz w:val="17"/>
                <w:szCs w:val="17"/>
              </w:rPr>
              <w:t>)， 巨潮资讯网(</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《第三届监事会第二十次会议决议公告》(公告编号：</w:t>
            </w:r>
            <w:r>
              <w:rPr>
                <w:color w:val="000000"/>
                <w:spacing w:val="0"/>
                <w:w w:val="100"/>
                <w:position w:val="0"/>
                <w:sz w:val="18"/>
                <w:szCs w:val="18"/>
              </w:rPr>
              <w:t>2020-057</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 潮资讯网(</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《关于暂不召开股东大会的公告》(公告编号：</w:t>
            </w:r>
            <w:r>
              <w:rPr>
                <w:color w:val="000000"/>
                <w:spacing w:val="0"/>
                <w:w w:val="100"/>
                <w:position w:val="0"/>
                <w:sz w:val="18"/>
                <w:szCs w:val="18"/>
              </w:rPr>
              <w:t>2020-058</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网 </w:t>
            </w:r>
            <w:r>
              <w:rPr>
                <w:rFonts w:ascii="SimSun" w:eastAsia="SimSun" w:hAnsi="SimSun" w:cs="SimSun"/>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《关于发行股份、可转换债券及支付现金购买资产并募集配套资金的 一般风险提示暨复牌公告》(公告编号：</w:t>
            </w:r>
            <w:r>
              <w:rPr>
                <w:color w:val="000000"/>
                <w:spacing w:val="0"/>
                <w:w w:val="100"/>
                <w:position w:val="0"/>
                <w:sz w:val="18"/>
                <w:szCs w:val="18"/>
              </w:rPr>
              <w:t>2020-059</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《珠海汇金科技股份有限公司发行股份、可转换公司债券及支付现金 购买资产并募集配套资金暨关联交易报告书(草案)》，巨潮资讯网</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《珠海汇金科技股份有限公司发行股份、可转换公司债券及支付现金 购买资产并募集配套资金暨关联交易报告书(草案)摘要》，巨潮资 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《关于延期回复深圳证券交易所重组问询函的公告》(公告编号：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2020-066</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《关于延期回复深圳证券交易所重组问询函的公告》(公告编号：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2020-067</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《关于重大资产重组事项的进展公告》(公告编号：</w:t>
            </w:r>
            <w:r>
              <w:rPr>
                <w:color w:val="000000"/>
                <w:spacing w:val="0"/>
                <w:w w:val="100"/>
                <w:position w:val="0"/>
                <w:sz w:val="18"/>
                <w:szCs w:val="18"/>
              </w:rPr>
              <w:t>2020-068</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资讯网(</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《关于延期回复深圳证券交易所重组问询函的公告》(公告编号：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2020-069</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《关于延期回复深圳证券交易所重组问询函的公告》(公告编号：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2020-071</w:t>
            </w: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《关于终止重大资产重组相关事项的公告》(公告编号：</w:t>
            </w:r>
            <w:r>
              <w:rPr>
                <w:color w:val="000000"/>
                <w:spacing w:val="0"/>
                <w:w w:val="100"/>
                <w:position w:val="0"/>
                <w:sz w:val="18"/>
                <w:szCs w:val="18"/>
              </w:rPr>
              <w:t>2020-081</w:t>
            </w:r>
            <w:r>
              <w:rPr>
                <w:rFonts w:ascii="SimSun" w:eastAsia="SimSun" w:hAnsi="SimSun" w:cs="SimSun"/>
                <w:color w:val="000000"/>
                <w:spacing w:val="0"/>
                <w:w w:val="100"/>
                <w:position w:val="0"/>
                <w:sz w:val="17"/>
                <w:szCs w:val="17"/>
              </w:rPr>
              <w:t>), 巨潮资讯网(</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9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《关于终止重大资产重组事项相关内幕信息知情人自查期间买卖公司 股票情况的自查报告》(公告编号：</w:t>
            </w:r>
            <w:r>
              <w:rPr>
                <w:color w:val="000000"/>
                <w:spacing w:val="0"/>
                <w:w w:val="100"/>
                <w:position w:val="0"/>
                <w:sz w:val="18"/>
                <w:szCs w:val="18"/>
              </w:rPr>
              <w:t>2020-083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十九、公司子公司重大事项</w:t>
      </w:r>
      <w:bookmarkEnd w:id="411"/>
      <w:bookmarkEnd w:id="412"/>
      <w:bookmarkEnd w:id="413"/>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414" w:name="bookmark414"/>
      <w:bookmarkStart w:id="415" w:name="bookmark415"/>
      <w:bookmarkStart w:id="416" w:name="bookmark416"/>
      <w:r>
        <w:rPr>
          <w:color w:val="000000"/>
          <w:spacing w:val="0"/>
          <w:w w:val="100"/>
          <w:position w:val="0"/>
        </w:rPr>
        <w:t>第六节股份变动及股东情况</w:t>
      </w:r>
      <w:bookmarkEnd w:id="414"/>
      <w:bookmarkEnd w:id="415"/>
      <w:bookmarkEnd w:id="416"/>
    </w:p>
    <w:p>
      <w:pPr>
        <w:pStyle w:val="Style22"/>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sz w:val="24"/>
          <w:szCs w:val="24"/>
        </w:rPr>
        <w:t>一</w:t>
      </w:r>
      <w:bookmarkEnd w:id="419"/>
      <w:r>
        <w:rPr>
          <w:color w:val="000000"/>
          <w:spacing w:val="0"/>
          <w:w w:val="100"/>
          <w:position w:val="0"/>
          <w:sz w:val="24"/>
          <w:szCs w:val="24"/>
        </w:rPr>
        <w:t>、股份变动情况</w:t>
      </w:r>
      <w:bookmarkEnd w:id="417"/>
      <w:bookmarkEnd w:id="418"/>
      <w:bookmarkEnd w:id="420"/>
    </w:p>
    <w:p>
      <w:pPr>
        <w:pStyle w:val="Style28"/>
        <w:keepNext/>
        <w:keepLines/>
        <w:widowControl w:val="0"/>
        <w:shd w:val="clear" w:color="auto" w:fill="auto"/>
        <w:bidi w:val="0"/>
        <w:spacing w:before="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、股份变动情况</w:t>
      </w:r>
      <w:bookmarkEnd w:id="421"/>
      <w:bookmarkEnd w:id="422"/>
      <w:bookmarkEnd w:id="4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119,282,3</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-1,286,16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-1,286,16</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117,996,1</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119,282,3</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-1,286,16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-1,286,16</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117,996,1</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119,282,3</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-1,286,16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-1,286,16</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117,996,1</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134,454,5</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134,454,5</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134,454,5</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134,454,5</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253,736,8</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-1,286,16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-1,286,16</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252,450,6</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240" w:line="314" w:lineRule="exact"/>
        <w:ind w:left="0" w:right="0"/>
        <w:jc w:val="left"/>
      </w:pPr>
      <w:r>
        <w:rPr>
          <w:color w:val="000000"/>
          <w:spacing w:val="0"/>
          <w:w w:val="100"/>
          <w:position w:val="0"/>
        </w:rPr>
        <w:t>报告期内，鉴于公司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年度业绩未达到《珠海汇金科技股份有限公司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年限制性股票激励计划》中规定的首次授予 部分第三个解除限售期及预留部分第二个解除限售期的解除限售条件，以及激励对象周晔因个人原因离职已不符合激励条 件，根据相关规定，公司回购注销相应部分限制性股票共计</w:t>
      </w:r>
      <w:r>
        <w:rPr>
          <w:rFonts w:ascii="Times New Roman" w:eastAsia="Times New Roman" w:hAnsi="Times New Roman" w:cs="Times New Roman"/>
          <w:color w:val="000000"/>
          <w:spacing w:val="0"/>
          <w:w w:val="100"/>
          <w:position w:val="0"/>
          <w:sz w:val="18"/>
          <w:szCs w:val="18"/>
        </w:rPr>
        <w:t>1,286,165</w:t>
      </w:r>
      <w:r>
        <w:rPr>
          <w:color w:val="000000"/>
          <w:spacing w:val="0"/>
          <w:w w:val="100"/>
          <w:position w:val="0"/>
        </w:rPr>
        <w:t>股。</w:t>
      </w:r>
    </w:p>
    <w:p>
      <w:pPr>
        <w:pStyle w:val="Style24"/>
        <w:keepNext w:val="0"/>
        <w:keepLines w:val="0"/>
        <w:widowControl w:val="0"/>
        <w:shd w:val="clear" w:color="auto" w:fill="auto"/>
        <w:bidi w:val="0"/>
        <w:spacing w:before="0" w:after="140" w:line="315" w:lineRule="exact"/>
        <w:ind w:left="0" w:right="0" w:firstLine="0"/>
        <w:jc w:val="both"/>
      </w:pPr>
      <w:r>
        <w:rPr>
          <w:color w:val="000000"/>
          <w:spacing w:val="0"/>
          <w:w w:val="100"/>
          <w:position w:val="0"/>
        </w:rPr>
        <w:t>股份变动的批准情况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日召开第三届董事会第二十四次会议和第三届监事会第十九次会议，审议通过了《关于调整限制性股 票激励计划回购价格并回购注销部分限制性股票的议案》，相关议案经公司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年第一次临时股东大会审议通过。鉴于公司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年度业绩未达到《珠海汇金科技股份有限公司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年限制性股票激励计划》中规定的首次授予部分第三个解除限售期及 预留部分第二个解除限售期的解除限售条件，以及激励对象周晔因个人原因离职已不符合激励条件，根据相关规定公司回购 注销相应部分限制性股票</w:t>
      </w:r>
      <w:r>
        <w:rPr>
          <w:rFonts w:ascii="Times New Roman" w:eastAsia="Times New Roman" w:hAnsi="Times New Roman" w:cs="Times New Roman"/>
          <w:color w:val="000000"/>
          <w:spacing w:val="0"/>
          <w:w w:val="100"/>
          <w:position w:val="0"/>
          <w:sz w:val="18"/>
          <w:szCs w:val="18"/>
        </w:rPr>
        <w:t>1,286,165</w:t>
      </w:r>
      <w:r>
        <w:rPr>
          <w:color w:val="000000"/>
          <w:spacing w:val="0"/>
          <w:w w:val="100"/>
          <w:position w:val="0"/>
        </w:rPr>
        <w:t>股，公司用于本次回购的资金为公司自有资金。公司独立董事发表了同意的独立意见，监 事会发表了核查意见。</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日在中国证券登记结算有限责任公司深圳分公司完成相关限制性股票的注销手续，披露了《关于部 分限制性股票回购注销完成的公告》。公司于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日披露了《关于完成工商变更登记的公告》。</w:t>
      </w:r>
    </w:p>
    <w:p>
      <w:pPr>
        <w:pStyle w:val="Style24"/>
        <w:keepNext w:val="0"/>
        <w:keepLines w:val="0"/>
        <w:widowControl w:val="0"/>
        <w:shd w:val="clear" w:color="auto" w:fill="auto"/>
        <w:bidi w:val="0"/>
        <w:spacing w:before="0" w:after="140" w:line="355" w:lineRule="exact"/>
        <w:ind w:left="0" w:right="0" w:firstLine="0"/>
        <w:jc w:val="both"/>
      </w:pPr>
      <w:r>
        <w:rPr>
          <w:color w:val="000000"/>
          <w:spacing w:val="0"/>
          <w:w w:val="100"/>
          <w:position w:val="0"/>
        </w:rPr>
        <w:t>股份变动的过户情况</w:t>
      </w:r>
    </w:p>
    <w:p>
      <w:pPr>
        <w:pStyle w:val="Style24"/>
        <w:keepNext w:val="0"/>
        <w:keepLines w:val="0"/>
        <w:widowControl w:val="0"/>
        <w:shd w:val="clear" w:color="auto" w:fill="auto"/>
        <w:bidi w:val="0"/>
        <w:spacing w:before="0" w:after="0" w:line="413"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355" w:lineRule="exact"/>
        <w:ind w:left="0" w:right="0"/>
        <w:jc w:val="left"/>
      </w:pPr>
      <w:r>
        <w:rPr>
          <w:color w:val="000000"/>
          <w:spacing w:val="0"/>
          <w:w w:val="100"/>
          <w:position w:val="0"/>
        </w:rPr>
        <w:t>上述股份变动，公司已按照深圳证券交易所及中国证券登记结算有限责任公司深圳分公司的要求，办理了相关业务。 股份回购的实施进展情况</w:t>
      </w:r>
    </w:p>
    <w:p>
      <w:pPr>
        <w:pStyle w:val="Style24"/>
        <w:keepNext w:val="0"/>
        <w:keepLines w:val="0"/>
        <w:widowControl w:val="0"/>
        <w:shd w:val="clear" w:color="auto" w:fill="auto"/>
        <w:bidi w:val="0"/>
        <w:spacing w:before="0" w:after="0" w:line="413"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55" w:lineRule="exact"/>
        <w:ind w:left="0" w:right="0" w:firstLine="0"/>
        <w:jc w:val="both"/>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0" w:line="413"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55"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0" w:line="413"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报告期内，公司总股本由</w:t>
      </w:r>
      <w:r>
        <w:rPr>
          <w:rFonts w:ascii="Times New Roman" w:eastAsia="Times New Roman" w:hAnsi="Times New Roman" w:cs="Times New Roman"/>
          <w:color w:val="000000"/>
          <w:spacing w:val="0"/>
          <w:w w:val="100"/>
          <w:position w:val="0"/>
          <w:sz w:val="18"/>
          <w:szCs w:val="18"/>
        </w:rPr>
        <w:t>253,736,848</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252,450,683</w:t>
      </w:r>
      <w:r>
        <w:rPr>
          <w:color w:val="000000"/>
          <w:spacing w:val="0"/>
          <w:w w:val="100"/>
          <w:position w:val="0"/>
        </w:rPr>
        <w:t>股，股份变动对公司最近一年和最近一期基本每股收益和稀释 每股收益、归属于公司普通股股东的每股净资产等财务指标的影响如下：报告期内公司基本每股收益、稀释每股收益均为</w:t>
      </w:r>
      <w:r>
        <w:rPr>
          <w:rFonts w:ascii="Times New Roman" w:eastAsia="Times New Roman" w:hAnsi="Times New Roman" w:cs="Times New Roman"/>
          <w:color w:val="000000"/>
          <w:spacing w:val="0"/>
          <w:w w:val="100"/>
          <w:position w:val="0"/>
          <w:sz w:val="18"/>
          <w:szCs w:val="18"/>
        </w:rPr>
        <w:t xml:space="preserve">0.07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股，比去年同期下降</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，归属于公司普通股股东的每股净资产为</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股，比去年同期下降</w:t>
      </w:r>
      <w:r>
        <w:rPr>
          <w:rFonts w:ascii="Times New Roman" w:eastAsia="Times New Roman" w:hAnsi="Times New Roman" w:cs="Times New Roman"/>
          <w:color w:val="000000"/>
          <w:spacing w:val="0"/>
          <w:w w:val="100"/>
          <w:position w:val="0"/>
          <w:sz w:val="18"/>
          <w:szCs w:val="18"/>
        </w:rPr>
        <w:t>0.38%</w:t>
      </w:r>
      <w:r>
        <w:rPr>
          <w:color w:val="000000"/>
          <w:spacing w:val="0"/>
          <w:w w:val="100"/>
          <w:position w:val="0"/>
        </w:rPr>
        <w:t>。</w:t>
      </w:r>
    </w:p>
    <w:p>
      <w:pPr>
        <w:pStyle w:val="Style24"/>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、限售股份变动情况</w:t>
      </w:r>
      <w:bookmarkEnd w:id="425"/>
      <w:bookmarkEnd w:id="426"/>
      <w:bookmarkEnd w:id="428"/>
    </w:p>
    <w:p>
      <w:pPr>
        <w:pStyle w:val="Style24"/>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72,313,168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按相关规定持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续锁定或解锁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45,623,035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45,623,035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按相关规定持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续锁定或解锁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股权激励限售 股</w:t>
            </w:r>
            <w:r>
              <w:rPr>
                <w:color w:val="000000"/>
                <w:spacing w:val="0"/>
                <w:w w:val="100"/>
                <w:position w:val="0"/>
                <w:sz w:val="18"/>
                <w:szCs w:val="18"/>
              </w:rPr>
              <w:t>71,920</w:t>
            </w:r>
            <w:r>
              <w:rPr>
                <w:rFonts w:ascii="SimSun" w:eastAsia="SimSun" w:hAnsi="SimSun" w:cs="SimSun"/>
                <w:color w:val="000000"/>
                <w:spacing w:val="0"/>
                <w:w w:val="100"/>
                <w:position w:val="0"/>
                <w:sz w:val="17"/>
                <w:szCs w:val="17"/>
              </w:rPr>
              <w:t>股已 回购注销</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牛俊伟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股权激励限售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股权激励限售 股</w:t>
            </w:r>
            <w:r>
              <w:rPr>
                <w:color w:val="000000"/>
                <w:spacing w:val="0"/>
                <w:w w:val="100"/>
                <w:position w:val="0"/>
                <w:sz w:val="18"/>
                <w:szCs w:val="18"/>
              </w:rPr>
              <w:t>59,934</w:t>
            </w:r>
            <w:r>
              <w:rPr>
                <w:rFonts w:ascii="SimSun" w:eastAsia="SimSun" w:hAnsi="SimSun" w:cs="SimSun"/>
                <w:color w:val="000000"/>
                <w:spacing w:val="0"/>
                <w:w w:val="100"/>
                <w:position w:val="0"/>
                <w:sz w:val="17"/>
                <w:szCs w:val="17"/>
              </w:rPr>
              <w:t>股已 回购注销</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其他股权激励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股权激励限售 股 </w:t>
            </w:r>
            <w:r>
              <w:rPr>
                <w:color w:val="000000"/>
                <w:spacing w:val="0"/>
                <w:w w:val="100"/>
                <w:position w:val="0"/>
                <w:sz w:val="18"/>
                <w:szCs w:val="18"/>
              </w:rPr>
              <w:t xml:space="preserve">1,154,311 </w:t>
            </w:r>
            <w:r>
              <w:rPr>
                <w:rFonts w:ascii="SimSun" w:eastAsia="SimSun" w:hAnsi="SimSun" w:cs="SimSun"/>
                <w:color w:val="000000"/>
                <w:spacing w:val="0"/>
                <w:w w:val="100"/>
                <w:position w:val="0"/>
                <w:sz w:val="17"/>
                <w:szCs w:val="17"/>
              </w:rPr>
              <w:t>股 已回购注销； 期末股权激励 限售股按股权 激励计划执行</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119,282,301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117,996,136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2"/>
        <w:keepNext/>
        <w:keepLines/>
        <w:widowControl w:val="0"/>
        <w:shd w:val="clear" w:color="auto" w:fill="auto"/>
        <w:tabs>
          <w:tab w:pos="517" w:val="left"/>
        </w:tabs>
        <w:bidi w:val="0"/>
        <w:spacing w:before="0" w:line="240" w:lineRule="auto"/>
        <w:ind w:left="0" w:right="0" w:firstLine="0"/>
        <w:jc w:val="both"/>
      </w:pPr>
      <w:bookmarkStart w:id="429" w:name="bookmark429"/>
      <w:bookmarkStart w:id="430" w:name="bookmark430"/>
      <w:bookmarkStart w:id="431" w:name="bookmark431"/>
      <w:bookmarkStart w:id="432" w:name="bookmark432"/>
      <w:r>
        <w:rPr>
          <w:color w:val="000000"/>
          <w:spacing w:val="0"/>
          <w:w w:val="100"/>
          <w:position w:val="0"/>
          <w:sz w:val="24"/>
          <w:szCs w:val="24"/>
        </w:rPr>
        <w:t>二</w:t>
      </w:r>
      <w:bookmarkEnd w:id="431"/>
      <w:r>
        <w:rPr>
          <w:color w:val="000000"/>
          <w:spacing w:val="0"/>
          <w:w w:val="100"/>
          <w:position w:val="0"/>
          <w:sz w:val="24"/>
          <w:szCs w:val="24"/>
        </w:rPr>
        <w:t>、</w:t>
        <w:tab/>
        <w:t>证券发行与上市情况</w:t>
      </w:r>
      <w:bookmarkEnd w:id="429"/>
      <w:bookmarkEnd w:id="430"/>
      <w:bookmarkEnd w:id="432"/>
    </w:p>
    <w:p>
      <w:pPr>
        <w:pStyle w:val="Style28"/>
        <w:keepNext/>
        <w:keepLines/>
        <w:widowControl w:val="0"/>
        <w:shd w:val="clear" w:color="auto" w:fill="auto"/>
        <w:tabs>
          <w:tab w:pos="384" w:val="left"/>
        </w:tabs>
        <w:bidi w:val="0"/>
        <w:spacing w:before="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w:t>
        <w:tab/>
        <w:t>报告期内证券发行（不含优先股）情况</w:t>
      </w:r>
      <w:bookmarkEnd w:id="433"/>
      <w:bookmarkEnd w:id="434"/>
      <w:bookmarkEnd w:id="436"/>
    </w:p>
    <w:p>
      <w:pPr>
        <w:pStyle w:val="Style24"/>
        <w:keepNext w:val="0"/>
        <w:keepLines w:val="0"/>
        <w:widowControl w:val="0"/>
        <w:shd w:val="clear" w:color="auto" w:fill="auto"/>
        <w:bidi w:val="0"/>
        <w:spacing w:before="0" w:after="280" w:line="35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84" w:val="left"/>
        </w:tabs>
        <w:bidi w:val="0"/>
        <w:spacing w:before="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w:t>
        <w:tab/>
        <w:t>公司股份总数及股东结构的变动、公司资产和负债结构的变动情况说明</w:t>
      </w:r>
      <w:bookmarkEnd w:id="437"/>
      <w:bookmarkEnd w:id="438"/>
      <w:bookmarkEnd w:id="440"/>
    </w:p>
    <w:p>
      <w:pPr>
        <w:pStyle w:val="Style24"/>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02" w:lineRule="exact"/>
        <w:ind w:left="0" w:right="0"/>
        <w:jc w:val="both"/>
      </w:pPr>
      <w:bookmarkStart w:id="441" w:name="bookmark441"/>
      <w:r>
        <w:rPr>
          <w:rFonts w:ascii="Times New Roman" w:eastAsia="Times New Roman" w:hAnsi="Times New Roman" w:cs="Times New Roman"/>
          <w:color w:val="000000"/>
          <w:spacing w:val="0"/>
          <w:w w:val="100"/>
          <w:position w:val="0"/>
          <w:sz w:val="18"/>
          <w:szCs w:val="18"/>
        </w:rPr>
        <w:t>1</w:t>
      </w:r>
      <w:bookmarkEnd w:id="44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日，公司披露了《关于部分限制性股票回购注销完成的公告》，完成对</w:t>
      </w:r>
      <w:r>
        <w:rPr>
          <w:rFonts w:ascii="Times New Roman" w:eastAsia="Times New Roman" w:hAnsi="Times New Roman" w:cs="Times New Roman"/>
          <w:color w:val="000000"/>
          <w:spacing w:val="0"/>
          <w:w w:val="100"/>
          <w:position w:val="0"/>
          <w:sz w:val="18"/>
          <w:szCs w:val="18"/>
        </w:rPr>
        <w:t>1,286,165</w:t>
      </w:r>
      <w:r>
        <w:rPr>
          <w:color w:val="000000"/>
          <w:spacing w:val="0"/>
          <w:w w:val="100"/>
          <w:position w:val="0"/>
        </w:rPr>
        <w:t>股限制性股票的回购注 销工作。本次回购注销完成后，公司总股本由</w:t>
      </w:r>
      <w:r>
        <w:rPr>
          <w:rFonts w:ascii="Times New Roman" w:eastAsia="Times New Roman" w:hAnsi="Times New Roman" w:cs="Times New Roman"/>
          <w:color w:val="000000"/>
          <w:spacing w:val="0"/>
          <w:w w:val="100"/>
          <w:position w:val="0"/>
          <w:sz w:val="18"/>
          <w:szCs w:val="18"/>
        </w:rPr>
        <w:t>253,736,848</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252,450,683</w:t>
      </w:r>
      <w:r>
        <w:rPr>
          <w:color w:val="000000"/>
          <w:spacing w:val="0"/>
          <w:w w:val="100"/>
          <w:position w:val="0"/>
        </w:rPr>
        <w:t>股。</w:t>
      </w:r>
    </w:p>
    <w:p>
      <w:pPr>
        <w:pStyle w:val="Style24"/>
        <w:keepNext w:val="0"/>
        <w:keepLines w:val="0"/>
        <w:widowControl w:val="0"/>
        <w:shd w:val="clear" w:color="auto" w:fill="auto"/>
        <w:tabs>
          <w:tab w:pos="654" w:val="left"/>
        </w:tabs>
        <w:bidi w:val="0"/>
        <w:spacing w:before="0" w:after="360" w:line="302" w:lineRule="exact"/>
        <w:ind w:left="0" w:right="0"/>
        <w:jc w:val="both"/>
      </w:pPr>
      <w:bookmarkStart w:id="442" w:name="bookmark442"/>
      <w:r>
        <w:rPr>
          <w:rFonts w:ascii="Times New Roman" w:eastAsia="Times New Roman" w:hAnsi="Times New Roman" w:cs="Times New Roman"/>
          <w:color w:val="000000"/>
          <w:spacing w:val="0"/>
          <w:w w:val="100"/>
          <w:position w:val="0"/>
          <w:sz w:val="18"/>
          <w:szCs w:val="18"/>
        </w:rPr>
        <w:t>2</w:t>
      </w:r>
      <w:bookmarkEnd w:id="442"/>
      <w:r>
        <w:rPr>
          <w:color w:val="000000"/>
          <w:spacing w:val="0"/>
          <w:w w:val="100"/>
          <w:position w:val="0"/>
        </w:rPr>
        <w:t>、</w:t>
        <w:tab/>
        <w:t>公司资产和负债结构未发生变动。</w:t>
      </w:r>
    </w:p>
    <w:p>
      <w:pPr>
        <w:pStyle w:val="Style28"/>
        <w:keepNext/>
        <w:keepLines/>
        <w:widowControl w:val="0"/>
        <w:shd w:val="clear" w:color="auto" w:fill="auto"/>
        <w:tabs>
          <w:tab w:pos="384" w:val="left"/>
        </w:tabs>
        <w:bidi w:val="0"/>
        <w:spacing w:before="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3</w:t>
      </w:r>
      <w:bookmarkEnd w:id="445"/>
      <w:r>
        <w:rPr>
          <w:color w:val="000000"/>
          <w:spacing w:val="0"/>
          <w:w w:val="100"/>
          <w:position w:val="0"/>
        </w:rPr>
        <w:t>、</w:t>
        <w:tab/>
        <w:t>现存的内部职工股情况</w:t>
      </w:r>
      <w:bookmarkEnd w:id="443"/>
      <w:bookmarkEnd w:id="444"/>
      <w:bookmarkEnd w:id="446"/>
    </w:p>
    <w:p>
      <w:pPr>
        <w:pStyle w:val="Style24"/>
        <w:keepNext w:val="0"/>
        <w:keepLines w:val="0"/>
        <w:widowControl w:val="0"/>
        <w:shd w:val="clear" w:color="auto" w:fill="auto"/>
        <w:bidi w:val="0"/>
        <w:spacing w:before="0" w:after="28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sz w:val="24"/>
          <w:szCs w:val="24"/>
        </w:rPr>
        <w:t>三</w:t>
      </w:r>
      <w:bookmarkEnd w:id="449"/>
      <w:r>
        <w:rPr>
          <w:color w:val="000000"/>
          <w:spacing w:val="0"/>
          <w:w w:val="100"/>
          <w:position w:val="0"/>
          <w:sz w:val="24"/>
          <w:szCs w:val="24"/>
        </w:rPr>
        <w:t>、</w:t>
        <w:tab/>
        <w:t>股东和实际控制人情况</w:t>
      </w:r>
      <w:bookmarkEnd w:id="447"/>
      <w:bookmarkEnd w:id="448"/>
      <w:bookmarkEnd w:id="450"/>
    </w:p>
    <w:p>
      <w:pPr>
        <w:pStyle w:val="Style28"/>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、公司股东数量及持股情况</w:t>
      </w:r>
      <w:bookmarkEnd w:id="451"/>
      <w:bookmarkEnd w:id="452"/>
      <w:bookmarkEnd w:id="45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21,683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年度报告披露日前上_ 月末表决权恢复的优先 股股东总数（如有）（参 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持有有限售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96,417,558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24,104,390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60,830,713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45,623,035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15,207,678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珠海瑞信投资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8,765,232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8,765,232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CHASE</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BANK,NATIO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NAL</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ASSOCIATIO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924,060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上海润多资产 管理有限公司 一润多多策略 </w:t>
            </w:r>
            <w:r>
              <w:rPr>
                <w:color w:val="000000"/>
                <w:spacing w:val="0"/>
                <w:w w:val="100"/>
                <w:position w:val="0"/>
                <w:sz w:val="18"/>
                <w:szCs w:val="18"/>
              </w:rPr>
              <w:t>2</w:t>
            </w:r>
            <w:r>
              <w:rPr>
                <w:rFonts w:ascii="SimSun" w:eastAsia="SimSun" w:hAnsi="SimSun" w:cs="SimSun"/>
                <w:color w:val="000000"/>
                <w:spacing w:val="0"/>
                <w:w w:val="100"/>
                <w:position w:val="0"/>
                <w:sz w:val="17"/>
                <w:szCs w:val="17"/>
              </w:rPr>
              <w:t>号私募证券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中信里昂资产 管理有限公司 一客户资金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610,237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610,237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胡茂文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李卫敏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公司控股股东、实际控制人陈喆女士持有珠海瑞信投资管理有限公司</w:t>
            </w:r>
            <w:r>
              <w:rPr>
                <w:color w:val="000000"/>
                <w:spacing w:val="0"/>
                <w:w w:val="100"/>
                <w:position w:val="0"/>
                <w:sz w:val="18"/>
                <w:szCs w:val="18"/>
              </w:rPr>
              <w:t>65.13%</w:t>
            </w:r>
            <w:r>
              <w:rPr>
                <w:rFonts w:ascii="SimSun" w:eastAsia="SimSun" w:hAnsi="SimSun" w:cs="SimSun"/>
                <w:color w:val="000000"/>
                <w:spacing w:val="0"/>
                <w:w w:val="100"/>
                <w:position w:val="0"/>
                <w:sz w:val="17"/>
                <w:szCs w:val="17"/>
              </w:rPr>
              <w:t>的股份，为珠 海瑞信投资管理有限公司的实际控制人。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24,104,390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24,104,390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15,207,678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珠海瑞信投资管理有限公司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8,765,232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8,765,232</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 CHASE</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BANK,NATIONAL</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ASSOCIATION</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924,060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924,060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上海润多资产管理有限公司一</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924,000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924,000</w:t>
            </w:r>
          </w:p>
        </w:tc>
      </w:tr>
    </w:tbl>
    <w:p>
      <w:pPr>
        <w:widowControl w:val="0"/>
        <w:spacing w:line="1" w:lineRule="exact"/>
      </w:pPr>
      <w:r>
        <w:br w:type="page"/>
      </w:r>
    </w:p>
    <w:tbl>
      <w:tblPr>
        <w:tblOverlap w:val="never"/>
        <w:jc w:val="center"/>
        <w:tblLayout w:type="fixed"/>
      </w:tblPr>
      <w:tblGrid>
        <w:gridCol w:w="2405"/>
        <w:gridCol w:w="5045"/>
        <w:gridCol w:w="1070"/>
        <w:gridCol w:w="106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润多多策略</w:t>
            </w:r>
            <w:r>
              <w:rPr>
                <w:color w:val="000000"/>
                <w:spacing w:val="0"/>
                <w:w w:val="100"/>
                <w:position w:val="0"/>
                <w:sz w:val="18"/>
                <w:szCs w:val="18"/>
              </w:rPr>
              <w:t>2</w:t>
            </w:r>
            <w:r>
              <w:rPr>
                <w:rFonts w:ascii="SimSun" w:eastAsia="SimSun" w:hAnsi="SimSun" w:cs="SimSun"/>
                <w:color w:val="000000"/>
                <w:spacing w:val="0"/>
                <w:w w:val="100"/>
                <w:position w:val="0"/>
                <w:sz w:val="17"/>
                <w:szCs w:val="17"/>
              </w:rPr>
              <w:t>号私募证券投资 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中信里昂资产管理有限公司一 客户资金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610,237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610,237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586,500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胡茂文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452,600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442,500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李卫敏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color w:val="000000"/>
                <w:spacing w:val="0"/>
                <w:w w:val="100"/>
                <w:position w:val="0"/>
              </w:rPr>
              <w:t>431,270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431,270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 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 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公司未知上述股东之间是否存在关联关系和一致行动的情形。</w:t>
            </w:r>
          </w:p>
        </w:tc>
      </w:tr>
      <w:tr>
        <w:trPr>
          <w:trHeight w:val="256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 明（如有）（参见注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274" w:val="left"/>
              </w:tabs>
              <w:bidi w:val="0"/>
              <w:spacing w:before="0" w:after="0" w:line="35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公司股东黄王除通过普通证券账户持有</w:t>
            </w:r>
            <w:r>
              <w:rPr>
                <w:color w:val="000000"/>
                <w:spacing w:val="0"/>
                <w:w w:val="100"/>
                <w:position w:val="0"/>
                <w:sz w:val="18"/>
                <w:szCs w:val="18"/>
              </w:rPr>
              <w:t>2,600</w:t>
            </w:r>
            <w:r>
              <w:rPr>
                <w:rFonts w:ascii="SimSun" w:eastAsia="SimSun" w:hAnsi="SimSun" w:cs="SimSun"/>
                <w:color w:val="000000"/>
                <w:spacing w:val="0"/>
                <w:w w:val="100"/>
                <w:position w:val="0"/>
                <w:sz w:val="17"/>
                <w:szCs w:val="17"/>
              </w:rPr>
              <w:t>股外，还通过广发证券股份有限公司 客户信用交易担保证券账户持有</w:t>
            </w:r>
            <w:r>
              <w:rPr>
                <w:color w:val="000000"/>
                <w:spacing w:val="0"/>
                <w:w w:val="100"/>
                <w:position w:val="0"/>
                <w:sz w:val="18"/>
                <w:szCs w:val="18"/>
              </w:rPr>
              <w:t>583,900</w:t>
            </w:r>
            <w:r>
              <w:rPr>
                <w:rFonts w:ascii="SimSun" w:eastAsia="SimSun" w:hAnsi="SimSun" w:cs="SimSun"/>
                <w:color w:val="000000"/>
                <w:spacing w:val="0"/>
                <w:w w:val="100"/>
                <w:position w:val="0"/>
                <w:sz w:val="17"/>
                <w:szCs w:val="17"/>
              </w:rPr>
              <w:t>股，合计持有</w:t>
            </w:r>
            <w:r>
              <w:rPr>
                <w:color w:val="000000"/>
                <w:spacing w:val="0"/>
                <w:w w:val="100"/>
                <w:position w:val="0"/>
                <w:sz w:val="18"/>
                <w:szCs w:val="18"/>
              </w:rPr>
              <w:t>586,500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83" w:val="left"/>
              </w:tabs>
              <w:bidi w:val="0"/>
              <w:spacing w:before="0" w:after="0" w:line="35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公司股东胡茂文通过国盛证券有限责任公司客户信用交易担保证券账户持有公司 股票</w:t>
            </w:r>
            <w:r>
              <w:rPr>
                <w:color w:val="000000"/>
                <w:spacing w:val="0"/>
                <w:w w:val="100"/>
                <w:position w:val="0"/>
                <w:sz w:val="18"/>
                <w:szCs w:val="18"/>
              </w:rPr>
              <w:t>452,600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74" w:val="left"/>
              </w:tabs>
              <w:bidi w:val="0"/>
              <w:spacing w:before="0" w:after="0" w:line="35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公司股东李卫敏除通过普通证券账户持有</w:t>
            </w:r>
            <w:r>
              <w:rPr>
                <w:color w:val="000000"/>
                <w:spacing w:val="0"/>
                <w:w w:val="100"/>
                <w:position w:val="0"/>
                <w:sz w:val="18"/>
                <w:szCs w:val="18"/>
              </w:rPr>
              <w:t>395,770</w:t>
            </w:r>
            <w:r>
              <w:rPr>
                <w:rFonts w:ascii="SimSun" w:eastAsia="SimSun" w:hAnsi="SimSun" w:cs="SimSun"/>
                <w:color w:val="000000"/>
                <w:spacing w:val="0"/>
                <w:w w:val="100"/>
                <w:position w:val="0"/>
                <w:sz w:val="17"/>
                <w:szCs w:val="17"/>
              </w:rPr>
              <w:t>股外，还通过上海证券有限责任 公司客户信用交易担保证券账户持有</w:t>
            </w:r>
            <w:r>
              <w:rPr>
                <w:color w:val="000000"/>
                <w:spacing w:val="0"/>
                <w:w w:val="100"/>
                <w:position w:val="0"/>
                <w:sz w:val="18"/>
                <w:szCs w:val="18"/>
              </w:rPr>
              <w:t>35,500</w:t>
            </w:r>
            <w:r>
              <w:rPr>
                <w:rFonts w:ascii="SimSun" w:eastAsia="SimSun" w:hAnsi="SimSun" w:cs="SimSun"/>
                <w:color w:val="000000"/>
                <w:spacing w:val="0"/>
                <w:w w:val="100"/>
                <w:position w:val="0"/>
                <w:sz w:val="17"/>
                <w:szCs w:val="17"/>
              </w:rPr>
              <w:t>股，合计持有</w:t>
            </w:r>
            <w:r>
              <w:rPr>
                <w:color w:val="000000"/>
                <w:spacing w:val="0"/>
                <w:w w:val="100"/>
                <w:position w:val="0"/>
                <w:sz w:val="18"/>
                <w:szCs w:val="18"/>
              </w:rPr>
              <w:t>431,270</w:t>
            </w:r>
            <w:r>
              <w:rPr>
                <w:rFonts w:ascii="SimSun" w:eastAsia="SimSun" w:hAnsi="SimSun" w:cs="SimSun"/>
                <w:color w:val="000000"/>
                <w:spacing w:val="0"/>
                <w:w w:val="100"/>
                <w:position w:val="0"/>
                <w:sz w:val="17"/>
                <w:szCs w:val="17"/>
              </w:rPr>
              <w:t>股。</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、公司控股股东情况</w:t>
      </w:r>
      <w:bookmarkEnd w:id="455"/>
      <w:bookmarkEnd w:id="456"/>
      <w:bookmarkEnd w:id="458"/>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控股股东性质：自然人控股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公司报告期控股股东未发生变更。</w:t>
      </w:r>
    </w:p>
    <w:p>
      <w:pPr>
        <w:pStyle w:val="Style28"/>
        <w:keepNext/>
        <w:keepLines/>
        <w:widowControl w:val="0"/>
        <w:shd w:val="clear" w:color="auto" w:fill="auto"/>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、公司实际控制人及其一致行动人</w:t>
      </w:r>
      <w:bookmarkEnd w:id="459"/>
      <w:bookmarkEnd w:id="460"/>
      <w:bookmarkEnd w:id="46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汇金科技董事长兼总经理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895600" cy="204216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2895600" cy="2042160"/>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4</w:t>
      </w:r>
      <w:bookmarkEnd w:id="46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3"/>
      <w:bookmarkEnd w:id="464"/>
      <w:bookmarkEnd w:id="46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5</w:t>
      </w:r>
      <w:bookmarkEnd w:id="469"/>
      <w:r>
        <w:rPr>
          <w:color w:val="000000"/>
          <w:spacing w:val="0"/>
          <w:w w:val="100"/>
          <w:position w:val="0"/>
        </w:rPr>
        <w:t>、</w:t>
        <w:tab/>
        <w:t>控股股东、实际控制人、重组方及其他承诺主体股份限制减持情况</w:t>
      </w:r>
      <w:bookmarkEnd w:id="467"/>
      <w:bookmarkEnd w:id="468"/>
      <w:bookmarkEnd w:id="470"/>
    </w:p>
    <w:p>
      <w:pPr>
        <w:pStyle w:val="Style24"/>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2704465</wp:posOffset>
                </wp:positionH>
                <wp:positionV relativeFrom="paragraph">
                  <wp:posOffset>0</wp:posOffset>
                </wp:positionV>
                <wp:extent cx="2170430" cy="243840"/>
                <wp:wrapTopAndBottom/>
                <wp:docPr id="22" name="Shape 2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255" w:name="bookmark255"/>
                            <w:bookmarkStart w:id="256" w:name="bookmark256"/>
                            <w:bookmarkStart w:id="257" w:name="bookmark257"/>
                            <w:r>
                              <w:rPr>
                                <w:color w:val="000000"/>
                                <w:spacing w:val="0"/>
                                <w:w w:val="100"/>
                                <w:position w:val="0"/>
                              </w:rPr>
                              <w:t>第七节优先股相关情况</w:t>
                            </w:r>
                            <w:bookmarkEnd w:id="255"/>
                            <w:bookmarkEnd w:id="256"/>
                            <w:bookmarkEnd w:id="257"/>
                          </w:p>
                        </w:txbxContent>
                      </wps:txbx>
                      <wps:bodyPr wrap="none" lIns="0" tIns="0" rIns="0" bIns="0">
                        <a:noAutoFit/>
                      </wps:bodyPr>
                    </wps:wsp>
                  </a:graphicData>
                </a:graphic>
              </wp:anchor>
            </w:drawing>
          </mc:Choice>
          <mc:Fallback>
            <w:pict>
              <v:shape id="_x0000_s1048" type="#_x0000_t202" style="position:absolute;margin-left:212.95000000000002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255" w:name="bookmark255"/>
                      <w:bookmarkStart w:id="256" w:name="bookmark256"/>
                      <w:bookmarkStart w:id="257" w:name="bookmark257"/>
                      <w:r>
                        <w:rPr>
                          <w:color w:val="000000"/>
                          <w:spacing w:val="0"/>
                          <w:w w:val="100"/>
                          <w:position w:val="0"/>
                        </w:rPr>
                        <w:t>第七节优先股相关情况</w:t>
                      </w:r>
                      <w:bookmarkEnd w:id="255"/>
                      <w:bookmarkEnd w:id="256"/>
                      <w:bookmarkEnd w:id="257"/>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9" w:right="1087" w:bottom="1470" w:left="1035"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580" w:after="560" w:line="240" w:lineRule="auto"/>
        <w:ind w:left="0" w:right="0" w:firstLine="0"/>
        <w:jc w:val="center"/>
      </w:pPr>
      <w:bookmarkStart w:id="471" w:name="bookmark471"/>
      <w:bookmarkStart w:id="472" w:name="bookmark472"/>
      <w:bookmarkStart w:id="473" w:name="bookmark473"/>
      <w:r>
        <w:rPr>
          <w:color w:val="000000"/>
          <w:spacing w:val="0"/>
          <w:w w:val="100"/>
          <w:position w:val="0"/>
        </w:rPr>
        <w:t>第八节可转换公司债券相关情况</w:t>
      </w:r>
      <w:bookmarkEnd w:id="471"/>
      <w:bookmarkEnd w:id="472"/>
      <w:bookmarkEnd w:id="473"/>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3"/>
        <w:keepNext/>
        <w:keepLines/>
        <w:widowControl w:val="0"/>
        <w:shd w:val="clear" w:color="auto" w:fill="auto"/>
        <w:bidi w:val="0"/>
        <w:spacing w:before="0" w:after="520" w:line="240" w:lineRule="auto"/>
        <w:ind w:left="0" w:right="0" w:firstLine="0"/>
        <w:jc w:val="center"/>
      </w:pPr>
      <w:bookmarkStart w:id="474" w:name="bookmark474"/>
      <w:bookmarkStart w:id="475" w:name="bookmark475"/>
      <w:bookmarkStart w:id="476" w:name="bookmark476"/>
      <w:r>
        <w:rPr>
          <w:color w:val="000000"/>
          <w:spacing w:val="0"/>
          <w:w w:val="100"/>
          <w:position w:val="0"/>
        </w:rPr>
        <w:t>第九节董事、监事、高级管理人员和员工情况</w:t>
      </w:r>
      <w:bookmarkEnd w:id="474"/>
      <w:bookmarkEnd w:id="475"/>
      <w:bookmarkEnd w:id="476"/>
    </w:p>
    <w:p>
      <w:pPr>
        <w:pStyle w:val="Style22"/>
        <w:keepNext/>
        <w:keepLines/>
        <w:widowControl w:val="0"/>
        <w:shd w:val="clear" w:color="auto" w:fill="auto"/>
        <w:bidi w:val="0"/>
        <w:spacing w:before="0" w:after="32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一</w:t>
      </w:r>
      <w:bookmarkEnd w:id="479"/>
      <w:r>
        <w:rPr>
          <w:color w:val="000000"/>
          <w:spacing w:val="0"/>
          <w:w w:val="100"/>
          <w:position w:val="0"/>
          <w:sz w:val="24"/>
          <w:szCs w:val="24"/>
        </w:rPr>
        <w:t>、董事、监事和高级管理人员持股变动</w:t>
      </w:r>
      <w:bookmarkEnd w:id="477"/>
      <w:bookmarkEnd w:id="478"/>
      <w:bookmarkEnd w:id="48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96,417,55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96,417,55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董事、副 董事长、 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60,830,71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60,830,71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牛俊伟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马德桃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于风政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杨大贺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田联房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陈家贤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杨贤帮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孙玉玲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157,585,8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-275,693</w:t>
            </w:r>
          </w:p>
          <w:p>
            <w:pPr>
              <w:pStyle w:val="Style2"/>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FF0000"/>
                <w:spacing w:val="0"/>
                <w:w w:val="100"/>
                <w:position w:val="0"/>
                <w:sz w:val="8"/>
                <w:szCs w:val="8"/>
              </w:rPr>
              <w:t>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157,310,1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注：注股份变动是由于实施限制性股票回购注销所致。</w:t>
      </w:r>
    </w:p>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二</w:t>
      </w:r>
      <w:bookmarkEnd w:id="483"/>
      <w:r>
        <w:rPr>
          <w:color w:val="000000"/>
          <w:spacing w:val="0"/>
          <w:w w:val="100"/>
          <w:position w:val="0"/>
          <w:sz w:val="24"/>
          <w:szCs w:val="24"/>
        </w:rPr>
        <w:t>、公司董事、监事、高级管理人员变动情况</w:t>
      </w:r>
      <w:bookmarkEnd w:id="481"/>
      <w:bookmarkEnd w:id="482"/>
      <w:bookmarkEnd w:id="484"/>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马德桃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年第二次临时股东大会 审议通过。</w:t>
            </w:r>
          </w:p>
        </w:tc>
      </w:tr>
    </w:tbl>
    <w:p>
      <w:pPr>
        <w:widowControl w:val="0"/>
        <w:spacing w:after="319" w:line="1" w:lineRule="exact"/>
      </w:pPr>
    </w:p>
    <w:p>
      <w:pPr>
        <w:pStyle w:val="Style22"/>
        <w:keepNext/>
        <w:keepLines/>
        <w:widowControl w:val="0"/>
        <w:shd w:val="clear" w:color="auto" w:fill="auto"/>
        <w:bidi w:val="0"/>
        <w:spacing w:before="0" w:after="24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三</w:t>
      </w:r>
      <w:bookmarkEnd w:id="487"/>
      <w:r>
        <w:rPr>
          <w:color w:val="000000"/>
          <w:spacing w:val="0"/>
          <w:w w:val="100"/>
          <w:position w:val="0"/>
          <w:sz w:val="24"/>
          <w:szCs w:val="24"/>
        </w:rPr>
        <w:t>、任职情况</w:t>
      </w:r>
      <w:bookmarkEnd w:id="485"/>
      <w:bookmarkEnd w:id="486"/>
      <w:bookmarkEnd w:id="488"/>
    </w:p>
    <w:p>
      <w:pPr>
        <w:pStyle w:val="Style24"/>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tabs>
          <w:tab w:pos="326" w:val="left"/>
        </w:tabs>
        <w:bidi w:val="0"/>
        <w:spacing w:before="0" w:after="0" w:line="360" w:lineRule="auto"/>
        <w:ind w:left="0" w:right="0" w:firstLine="0"/>
        <w:jc w:val="left"/>
      </w:pPr>
      <w:bookmarkStart w:id="489" w:name="bookmark489"/>
      <w:r>
        <w:rPr>
          <w:rFonts w:ascii="Times New Roman" w:eastAsia="Times New Roman" w:hAnsi="Times New Roman" w:cs="Times New Roman"/>
          <w:color w:val="000000"/>
          <w:spacing w:val="0"/>
          <w:w w:val="100"/>
          <w:position w:val="0"/>
          <w:sz w:val="18"/>
          <w:szCs w:val="18"/>
        </w:rPr>
        <w:t>1</w:t>
      </w:r>
      <w:bookmarkEnd w:id="489"/>
      <w:r>
        <w:rPr>
          <w:color w:val="000000"/>
          <w:spacing w:val="0"/>
          <w:w w:val="100"/>
          <w:position w:val="0"/>
        </w:rPr>
        <w:t>、</w:t>
        <w:tab/>
        <w:t>现任董事简历：</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陈喆女士： </w:t>
      </w:r>
      <w:r>
        <w:rPr>
          <w:rFonts w:ascii="Tahoma" w:eastAsia="Tahoma" w:hAnsi="Tahoma" w:cs="Tahoma"/>
          <w:color w:val="000000"/>
          <w:spacing w:val="0"/>
          <w:w w:val="100"/>
          <w:position w:val="0"/>
          <w:sz w:val="16"/>
          <w:szCs w:val="16"/>
        </w:rPr>
        <w:t>1963</w:t>
      </w:r>
      <w:r>
        <w:rPr>
          <w:color w:val="000000"/>
          <w:spacing w:val="0"/>
          <w:w w:val="100"/>
          <w:position w:val="0"/>
        </w:rPr>
        <w:t>年出生，中国国籍，无永久境外居留权，中共党员，本科学历。</w:t>
      </w:r>
      <w:r>
        <w:rPr>
          <w:rFonts w:ascii="Tahoma" w:eastAsia="Tahoma" w:hAnsi="Tahoma" w:cs="Tahoma"/>
          <w:color w:val="000000"/>
          <w:spacing w:val="0"/>
          <w:w w:val="100"/>
          <w:position w:val="0"/>
          <w:sz w:val="16"/>
          <w:szCs w:val="16"/>
        </w:rPr>
        <w:t>1985</w:t>
      </w:r>
      <w:r>
        <w:rPr>
          <w:color w:val="000000"/>
          <w:spacing w:val="0"/>
          <w:w w:val="100"/>
          <w:position w:val="0"/>
        </w:rPr>
        <w:t>年至</w:t>
      </w:r>
      <w:r>
        <w:rPr>
          <w:rFonts w:ascii="Tahoma" w:eastAsia="Tahoma" w:hAnsi="Tahoma" w:cs="Tahoma"/>
          <w:color w:val="000000"/>
          <w:spacing w:val="0"/>
          <w:w w:val="100"/>
          <w:position w:val="0"/>
          <w:sz w:val="16"/>
          <w:szCs w:val="16"/>
        </w:rPr>
        <w:t>1989</w:t>
      </w:r>
      <w:r>
        <w:rPr>
          <w:color w:val="000000"/>
          <w:spacing w:val="0"/>
          <w:w w:val="100"/>
          <w:position w:val="0"/>
        </w:rPr>
        <w:t>年，于青海省统计局经济 统计处任职；</w:t>
      </w:r>
      <w:r>
        <w:rPr>
          <w:rFonts w:ascii="Tahoma" w:eastAsia="Tahoma" w:hAnsi="Tahoma" w:cs="Tahoma"/>
          <w:color w:val="000000"/>
          <w:spacing w:val="0"/>
          <w:w w:val="100"/>
          <w:position w:val="0"/>
          <w:sz w:val="16"/>
          <w:szCs w:val="16"/>
        </w:rPr>
        <w:t>1989</w:t>
      </w:r>
      <w:r>
        <w:rPr>
          <w:color w:val="000000"/>
          <w:spacing w:val="0"/>
          <w:w w:val="100"/>
          <w:position w:val="0"/>
        </w:rPr>
        <w:t>年至</w:t>
      </w:r>
      <w:r>
        <w:rPr>
          <w:rFonts w:ascii="Tahoma" w:eastAsia="Tahoma" w:hAnsi="Tahoma" w:cs="Tahoma"/>
          <w:color w:val="000000"/>
          <w:spacing w:val="0"/>
          <w:w w:val="100"/>
          <w:position w:val="0"/>
          <w:sz w:val="16"/>
          <w:szCs w:val="16"/>
        </w:rPr>
        <w:t>1997</w:t>
      </w:r>
      <w:r>
        <w:rPr>
          <w:color w:val="000000"/>
          <w:spacing w:val="0"/>
          <w:w w:val="100"/>
          <w:position w:val="0"/>
        </w:rPr>
        <w:t>年，历任中国银行甘肃省分行人事处科员、副科长；</w:t>
      </w:r>
      <w:r>
        <w:rPr>
          <w:rFonts w:ascii="Tahoma" w:eastAsia="Tahoma" w:hAnsi="Tahoma" w:cs="Tahoma"/>
          <w:color w:val="000000"/>
          <w:spacing w:val="0"/>
          <w:w w:val="100"/>
          <w:position w:val="0"/>
          <w:sz w:val="16"/>
          <w:szCs w:val="16"/>
        </w:rPr>
        <w:t>1997</w:t>
      </w:r>
      <w:r>
        <w:rPr>
          <w:color w:val="000000"/>
          <w:spacing w:val="0"/>
          <w:w w:val="100"/>
          <w:position w:val="0"/>
        </w:rPr>
        <w:t>年至</w:t>
      </w:r>
      <w:r>
        <w:rPr>
          <w:rFonts w:ascii="Tahoma" w:eastAsia="Tahoma" w:hAnsi="Tahoma" w:cs="Tahoma"/>
          <w:color w:val="000000"/>
          <w:spacing w:val="0"/>
          <w:w w:val="100"/>
          <w:position w:val="0"/>
          <w:sz w:val="16"/>
          <w:szCs w:val="16"/>
        </w:rPr>
        <w:t>2003</w:t>
      </w:r>
      <w:r>
        <w:rPr>
          <w:color w:val="000000"/>
          <w:spacing w:val="0"/>
          <w:w w:val="100"/>
          <w:position w:val="0"/>
        </w:rPr>
        <w:t>年，历任中国银行广东省珠海 湾仔支行副行长、行长；</w:t>
      </w:r>
      <w:r>
        <w:rPr>
          <w:rFonts w:ascii="Tahoma" w:eastAsia="Tahoma" w:hAnsi="Tahoma" w:cs="Tahoma"/>
          <w:color w:val="000000"/>
          <w:spacing w:val="0"/>
          <w:w w:val="100"/>
          <w:position w:val="0"/>
          <w:sz w:val="16"/>
          <w:szCs w:val="16"/>
        </w:rPr>
        <w:t>2005</w:t>
      </w:r>
      <w:r>
        <w:rPr>
          <w:color w:val="000000"/>
          <w:spacing w:val="0"/>
          <w:w w:val="100"/>
          <w:position w:val="0"/>
        </w:rPr>
        <w:t>年创立本公司，任执行董事，</w:t>
      </w:r>
      <w:r>
        <w:rPr>
          <w:rFonts w:ascii="Tahoma" w:eastAsia="Tahoma" w:hAnsi="Tahoma" w:cs="Tahoma"/>
          <w:color w:val="000000"/>
          <w:spacing w:val="0"/>
          <w:w w:val="100"/>
          <w:position w:val="0"/>
          <w:sz w:val="16"/>
          <w:szCs w:val="16"/>
        </w:rPr>
        <w:t>2012</w:t>
      </w:r>
      <w:r>
        <w:rPr>
          <w:color w:val="000000"/>
          <w:spacing w:val="0"/>
          <w:w w:val="100"/>
          <w:position w:val="0"/>
        </w:rPr>
        <w:t>年</w:t>
      </w:r>
      <w:r>
        <w:rPr>
          <w:rFonts w:ascii="Tahoma" w:eastAsia="Tahoma" w:hAnsi="Tahoma" w:cs="Tahoma"/>
          <w:color w:val="000000"/>
          <w:spacing w:val="0"/>
          <w:w w:val="100"/>
          <w:position w:val="0"/>
          <w:sz w:val="16"/>
          <w:szCs w:val="16"/>
        </w:rPr>
        <w:t>5</w:t>
      </w:r>
      <w:r>
        <w:rPr>
          <w:color w:val="000000"/>
          <w:spacing w:val="0"/>
          <w:w w:val="100"/>
          <w:position w:val="0"/>
        </w:rPr>
        <w:t>月至今任董事长兼总经理。</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马铮先生：</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年出生，中国国籍，无永久境外居留权，中共党员，研究生学历。</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 xml:space="preserve">年，于空军某部服役； </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年，历任中国银行总行人力资源部副处长、处长、中国银行（香港）有限公司人力资源部助理总经理、副总经 理、俄罗斯中国银行监事等职务；现任本公司董事、副董事长、副总经理。</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马德桃先生，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工商管理硕士。曾就职于珠海双喜电器有限公司，担 任常务副总经理。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月加入公司，现负责公司客户服务、生产、质量、供应链等部门的统筹领导工作。</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牛俊伟女士： </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年出生，中国国籍，无永久境外居留权，本科学历。先后就职于浙江海正药业股份有限公司、深圳汉 捷研发咨询有限公司、珠海佳米科技有限公司；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年加入公司，现负责公司人力资源管理、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及流程管理、项目管理等部 门，统筹公司日常运营管理事务。</w:t>
      </w:r>
    </w:p>
    <w:p>
      <w:pPr>
        <w:pStyle w:val="Style24"/>
        <w:keepNext w:val="0"/>
        <w:keepLines w:val="0"/>
        <w:widowControl w:val="0"/>
        <w:shd w:val="clear" w:color="auto" w:fill="auto"/>
        <w:bidi w:val="0"/>
        <w:spacing w:before="0" w:after="0" w:line="315" w:lineRule="exact"/>
        <w:ind w:left="0" w:right="0"/>
        <w:jc w:val="left"/>
      </w:pPr>
      <w:r>
        <w:rPr>
          <w:color w:val="000000"/>
          <w:spacing w:val="0"/>
          <w:w w:val="100"/>
          <w:position w:val="0"/>
        </w:rPr>
        <w:t>于风政先生：</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年出生，中国国籍，无永久境外居留权，中共党员，法学博士。</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年，于长沙铁道兵学院、 解放军西安政治学院服役；</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年，历任北京师范大学讲师、副教授、教授、研究生院副院长等职务；</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年，历任北京师范大学珠海分校副校长、副书记，现任北京师范大学珠海分校法律与行政学院院长；</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年起，曾兼任珠海 市第六届、第七届人大常委会法律顾问、广东省法学教育研究会副会长、珠海市法学会副会长。</w:t>
      </w:r>
    </w:p>
    <w:p>
      <w:pPr>
        <w:pStyle w:val="Style24"/>
        <w:keepNext w:val="0"/>
        <w:keepLines w:val="0"/>
        <w:widowControl w:val="0"/>
        <w:shd w:val="clear" w:color="auto" w:fill="auto"/>
        <w:bidi w:val="0"/>
        <w:spacing w:before="0" w:after="0" w:line="315" w:lineRule="exact"/>
        <w:ind w:left="0" w:right="0"/>
        <w:jc w:val="left"/>
      </w:pPr>
      <w:r>
        <w:rPr>
          <w:color w:val="000000"/>
          <w:spacing w:val="0"/>
          <w:w w:val="100"/>
          <w:position w:val="0"/>
        </w:rPr>
        <w:t>杨大贺先生：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年出生，中国国籍，无永久境外居留权，大专学历，注册会计师。曾在深圳市会计师事务所、深圳华 鹏会计师事务所、中华财务咨询有限公司、北京立信会计师事务所有限公司、中勤万信会计师事务所（特殊普通合伙）从事 审计、企业管理咨询工作，曾任中华财务咨询公司高级经理、北京立信会计师事务所审计部副经理，现任中勤万信会计师事 务所（特殊普通合伙）审计部经理、贵州轮胎股份有限公司独立董事、广东凌霄泵业股份有限公司独立董事。</w:t>
      </w:r>
    </w:p>
    <w:p>
      <w:pPr>
        <w:pStyle w:val="Style24"/>
        <w:keepNext w:val="0"/>
        <w:keepLines w:val="0"/>
        <w:widowControl w:val="0"/>
        <w:shd w:val="clear" w:color="auto" w:fill="auto"/>
        <w:bidi w:val="0"/>
        <w:spacing w:before="0" w:after="100" w:line="315" w:lineRule="exact"/>
        <w:ind w:left="0" w:right="0"/>
        <w:jc w:val="left"/>
      </w:pPr>
      <w:r>
        <w:rPr>
          <w:color w:val="000000"/>
          <w:spacing w:val="0"/>
          <w:w w:val="100"/>
          <w:position w:val="0"/>
        </w:rPr>
        <w:t>田联房先生：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年出生，中国国籍，无永久境外居留权，中共党员，工学博士。</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月，于哈尔滨工业大学获得 博士学位；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年，华南理工大学电子信息学院博士后；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年，美国</w:t>
      </w:r>
      <w:r>
        <w:rPr>
          <w:rFonts w:ascii="Times New Roman" w:eastAsia="Times New Roman" w:hAnsi="Times New Roman" w:cs="Times New Roman"/>
          <w:color w:val="000000"/>
          <w:spacing w:val="0"/>
          <w:w w:val="100"/>
          <w:position w:val="0"/>
          <w:sz w:val="18"/>
          <w:szCs w:val="18"/>
        </w:rPr>
        <w:t xml:space="preserve">University of Californian at Riverside </w:t>
      </w:r>
      <w:r>
        <w:rPr>
          <w:color w:val="000000"/>
          <w:spacing w:val="0"/>
          <w:w w:val="100"/>
          <w:position w:val="0"/>
        </w:rPr>
        <w:t>访问学者</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年美国</w:t>
      </w:r>
      <w:r>
        <w:rPr>
          <w:rFonts w:ascii="Times New Roman" w:eastAsia="Times New Roman" w:hAnsi="Times New Roman" w:cs="Times New Roman"/>
          <w:color w:val="000000"/>
          <w:spacing w:val="0"/>
          <w:w w:val="100"/>
          <w:position w:val="0"/>
          <w:sz w:val="18"/>
          <w:szCs w:val="18"/>
        </w:rPr>
        <w:t>University of Pittsburgh</w:t>
      </w:r>
      <w:r>
        <w:rPr>
          <w:color w:val="000000"/>
          <w:spacing w:val="0"/>
          <w:w w:val="100"/>
          <w:position w:val="0"/>
        </w:rPr>
        <w:t>访问学者；</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年至今在华南理工大学任教，教育部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新世纪优秀人 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，教育部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自主系统与网络控制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重点实验室副主任，华南理工大学兴华人才工程学术团队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模式识别与智能系统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团队负 责人。</w:t>
      </w:r>
    </w:p>
    <w:p>
      <w:pPr>
        <w:pStyle w:val="Style24"/>
        <w:keepNext w:val="0"/>
        <w:keepLines w:val="0"/>
        <w:widowControl w:val="0"/>
        <w:shd w:val="clear" w:color="auto" w:fill="auto"/>
        <w:tabs>
          <w:tab w:pos="326" w:val="left"/>
        </w:tabs>
        <w:bidi w:val="0"/>
        <w:spacing w:before="0" w:after="0" w:line="360" w:lineRule="auto"/>
        <w:ind w:left="0" w:right="0" w:firstLine="0"/>
        <w:jc w:val="left"/>
      </w:pPr>
      <w:bookmarkStart w:id="490" w:name="bookmark490"/>
      <w:r>
        <w:rPr>
          <w:rFonts w:ascii="Times New Roman" w:eastAsia="Times New Roman" w:hAnsi="Times New Roman" w:cs="Times New Roman"/>
          <w:color w:val="000000"/>
          <w:spacing w:val="0"/>
          <w:w w:val="100"/>
          <w:position w:val="0"/>
          <w:sz w:val="18"/>
          <w:szCs w:val="18"/>
        </w:rPr>
        <w:t>2</w:t>
      </w:r>
      <w:bookmarkEnd w:id="490"/>
      <w:r>
        <w:rPr>
          <w:color w:val="000000"/>
          <w:spacing w:val="0"/>
          <w:w w:val="100"/>
          <w:position w:val="0"/>
        </w:rPr>
        <w:t>、</w:t>
        <w:tab/>
        <w:t>现任监事简历：</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何锋先生：</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年出生，中国国籍，无永久境外居留权，中共党员，本科学历。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 xml:space="preserve">年，于中国人民解放军某 </w:t>
      </w:r>
      <w:r>
        <w:rPr>
          <w:color w:val="000000"/>
          <w:spacing w:val="0"/>
          <w:w w:val="100"/>
          <w:position w:val="0"/>
        </w:rPr>
        <w:t>部服役；</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年，任珠海外经贸专修学院远程教育处副处长；</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年加入本公司，现任公司运营中心供应链部经理。</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陈家贤先生：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年出生，中国国籍，无永久境外居留权，大专学历。具有多年电力安全和金融安全领域从业经验以及 锁类结构研发经验，先后就职于珠海金电电源工业有限公司、长园共创电力安全技术股份有限公司、珠海优特电力科技股份 有限公司任结构工程师；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年加入公司，现任公司产品研发中心高级结构工程师。</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杨贤帮先生：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年出生，中国国籍，无境外永久居留权，本科学历。先后任职于武汉金牛经济发展有限公司、珠海金 力防水技术有限公司；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年加入公司，现任公司人资行政部总务主管。</w:t>
      </w:r>
    </w:p>
    <w:p>
      <w:pPr>
        <w:pStyle w:val="Style24"/>
        <w:keepNext w:val="0"/>
        <w:keepLines w:val="0"/>
        <w:widowControl w:val="0"/>
        <w:shd w:val="clear" w:color="auto" w:fill="auto"/>
        <w:bidi w:val="0"/>
        <w:spacing w:before="0" w:after="0" w:line="313" w:lineRule="exact"/>
        <w:ind w:left="0" w:right="0" w:firstLine="0"/>
        <w:jc w:val="left"/>
      </w:pPr>
      <w:bookmarkStart w:id="491" w:name="bookmark491"/>
      <w:r>
        <w:rPr>
          <w:rFonts w:ascii="Times New Roman" w:eastAsia="Times New Roman" w:hAnsi="Times New Roman" w:cs="Times New Roman"/>
          <w:color w:val="000000"/>
          <w:spacing w:val="0"/>
          <w:w w:val="100"/>
          <w:position w:val="0"/>
          <w:sz w:val="18"/>
          <w:szCs w:val="18"/>
        </w:rPr>
        <w:t>3</w:t>
      </w:r>
      <w:bookmarkEnd w:id="491"/>
      <w:r>
        <w:rPr>
          <w:color w:val="000000"/>
          <w:spacing w:val="0"/>
          <w:w w:val="100"/>
          <w:position w:val="0"/>
        </w:rPr>
        <w:t>、现任高级管理人员简历：</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陈喆女士、马铮先生的简历，参见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现任董事简历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p>
      <w:pPr>
        <w:pStyle w:val="Style24"/>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孙玉玲女士： </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年出生，中国国籍，无永久境外居留权，本科学历，中级会计师。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年，任西门子表计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有限公司会计主管；</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年，任珠海飞利浦有限公司财务经理；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w:t>
      </w:r>
      <w:r>
        <w:rPr>
          <w:color w:val="000000"/>
          <w:spacing w:val="0"/>
          <w:w w:val="100"/>
          <w:position w:val="0"/>
        </w:rPr>
        <w:t xml:space="preserve">任珠海魅族有限公司财务总监；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月加入公司，任公司财务总监、董事会秘书。</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在股东单位任职情况</w:t>
      </w:r>
    </w:p>
    <w:p>
      <w:pPr>
        <w:pStyle w:val="Style24"/>
        <w:keepNext w:val="0"/>
        <w:keepLines w:val="0"/>
        <w:widowControl w:val="0"/>
        <w:shd w:val="clear" w:color="auto" w:fill="auto"/>
        <w:bidi w:val="0"/>
        <w:spacing w:before="0" w:after="8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珠海瑞信投资管理有限公司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15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公司董事长兼总经理陈喆女士持有珠海瑞信投资管理有限公司</w:t>
            </w:r>
            <w:r>
              <w:rPr>
                <w:color w:val="000000"/>
                <w:spacing w:val="0"/>
                <w:w w:val="100"/>
                <w:position w:val="0"/>
                <w:sz w:val="18"/>
                <w:szCs w:val="18"/>
              </w:rPr>
              <w:t>65.13%</w:t>
            </w:r>
            <w:r>
              <w:rPr>
                <w:rFonts w:ascii="SimSun" w:eastAsia="SimSun" w:hAnsi="SimSun" w:cs="SimSun"/>
                <w:color w:val="000000"/>
                <w:spacing w:val="0"/>
                <w:w w:val="100"/>
                <w:position w:val="0"/>
                <w:sz w:val="17"/>
                <w:szCs w:val="17"/>
              </w:rPr>
              <w:t>的股份，为珠海瑞信投资管理有限</w:t>
            </w:r>
          </w:p>
          <w:p>
            <w:pPr>
              <w:pStyle w:val="Style2"/>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公司的实际控制人。</w:t>
            </w:r>
          </w:p>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珠海瑞信投资管理有限公司系公司员工持股平台。</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贵安新区贵金科技有限公司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杨贤帮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珠海高新区邦利贸易有限公司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于风政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北京师范大学珠海分校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法律与行政 学院院长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田联房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华南理工大学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杨大贺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中勤万信会计师事务所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杨大贺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贵州轮胎股份有限公司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杨大贺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广东凌霄泵业股份有限公司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4"/>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both"/>
      </w:pPr>
      <w:bookmarkStart w:id="492" w:name="bookmark492"/>
      <w:bookmarkStart w:id="493" w:name="bookmark493"/>
      <w:bookmarkStart w:id="494" w:name="bookmark494"/>
      <w:bookmarkStart w:id="495" w:name="bookmark495"/>
      <w:r>
        <w:rPr>
          <w:color w:val="000000"/>
          <w:spacing w:val="0"/>
          <w:w w:val="100"/>
          <w:position w:val="0"/>
          <w:sz w:val="24"/>
          <w:szCs w:val="24"/>
        </w:rPr>
        <w:t>四</w:t>
      </w:r>
      <w:bookmarkEnd w:id="494"/>
      <w:r>
        <w:rPr>
          <w:color w:val="000000"/>
          <w:spacing w:val="0"/>
          <w:w w:val="100"/>
          <w:position w:val="0"/>
          <w:sz w:val="24"/>
          <w:szCs w:val="24"/>
        </w:rPr>
        <w:t>、董事、监事、高级管理人员报酬情况</w:t>
      </w:r>
      <w:bookmarkEnd w:id="492"/>
      <w:bookmarkEnd w:id="493"/>
      <w:bookmarkEnd w:id="495"/>
    </w:p>
    <w:p>
      <w:pPr>
        <w:pStyle w:val="Style24"/>
        <w:keepNext w:val="0"/>
        <w:keepLines w:val="0"/>
        <w:widowControl w:val="0"/>
        <w:shd w:val="clear" w:color="auto" w:fill="auto"/>
        <w:bidi w:val="0"/>
        <w:spacing w:before="0" w:after="40" w:line="313" w:lineRule="exact"/>
        <w:ind w:left="0" w:right="0" w:firstLine="0"/>
        <w:jc w:val="both"/>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40" w:line="313" w:lineRule="exact"/>
        <w:ind w:left="0" w:right="0"/>
        <w:jc w:val="both"/>
      </w:pPr>
      <w:r>
        <w:rPr>
          <w:color w:val="000000"/>
          <w:spacing w:val="0"/>
          <w:w w:val="100"/>
          <w:position w:val="0"/>
        </w:rPr>
        <w:t>公司非独立董事、监事报酬由股东大会决定，高级管理人员报酬由董事会决定。在公司担任职务的非独立董事、监事、 高级管理人员报酬由公司支付，非独立董事、监事不另外支付津贴；独立董事及不在公司任职的非独立董事津贴根据股东大 会通过的决议进行支付。公司依据当年盈利水平及非独立董事、监事、高级管理人员的职责履行情况并结合年度绩效完成情 况综合确定报酬。公司高级管理人员基本工资已发放，年度绩效考核薪酬在董事会审议通过后按时发放；公司独立董事津贴 已发放。</w:t>
      </w:r>
    </w:p>
    <w:p>
      <w:pPr>
        <w:pStyle w:val="Style2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马铮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董事、副董事长、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牛俊伟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马德桃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于风政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杨大贺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田联房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何锋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陈家贤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杨贤帮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五</w:t>
      </w:r>
      <w:bookmarkEnd w:id="498"/>
      <w:r>
        <w:rPr>
          <w:color w:val="000000"/>
          <w:spacing w:val="0"/>
          <w:w w:val="100"/>
          <w:position w:val="0"/>
          <w:sz w:val="24"/>
          <w:szCs w:val="24"/>
        </w:rPr>
        <w:t>、公司员工情况</w:t>
      </w:r>
      <w:bookmarkEnd w:id="496"/>
      <w:bookmarkEnd w:id="497"/>
      <w:bookmarkEnd w:id="499"/>
    </w:p>
    <w:p>
      <w:pPr>
        <w:pStyle w:val="Style28"/>
        <w:keepNext/>
        <w:keepLines/>
        <w:widowControl w:val="0"/>
        <w:shd w:val="clear" w:color="auto" w:fill="auto"/>
        <w:bidi w:val="0"/>
        <w:spacing w:before="0" w:after="30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、员工数量、专业构成及教育程度</w:t>
      </w:r>
      <w:bookmarkEnd w:id="500"/>
      <w:bookmarkEnd w:id="501"/>
      <w:bookmarkEnd w:id="50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bl>
    <w:p>
      <w:pPr>
        <w:widowControl w:val="0"/>
        <w:spacing w:after="339" w:line="1" w:lineRule="exact"/>
      </w:pPr>
    </w:p>
    <w:p>
      <w:pPr>
        <w:pStyle w:val="Style28"/>
        <w:keepNext/>
        <w:keepLines/>
        <w:widowControl w:val="0"/>
        <w:shd w:val="clear" w:color="auto" w:fill="auto"/>
        <w:tabs>
          <w:tab w:pos="378" w:val="left"/>
        </w:tabs>
        <w:bidi w:val="0"/>
        <w:spacing w:before="0" w:after="260" w:line="240" w:lineRule="auto"/>
        <w:ind w:left="0" w:right="0" w:firstLine="0"/>
        <w:jc w:val="both"/>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w:t>
        <w:tab/>
        <w:t>薪酬政策</w:t>
      </w:r>
      <w:bookmarkEnd w:id="504"/>
      <w:bookmarkEnd w:id="505"/>
      <w:bookmarkEnd w:id="507"/>
    </w:p>
    <w:p>
      <w:pPr>
        <w:pStyle w:val="Style24"/>
        <w:keepNext w:val="0"/>
        <w:keepLines w:val="0"/>
        <w:widowControl w:val="0"/>
        <w:shd w:val="clear" w:color="auto" w:fill="auto"/>
        <w:bidi w:val="0"/>
        <w:spacing w:before="0" w:after="340" w:line="314" w:lineRule="exact"/>
        <w:ind w:left="0" w:right="0"/>
        <w:jc w:val="both"/>
      </w:pPr>
      <w:r>
        <w:rPr>
          <w:color w:val="000000"/>
          <w:spacing w:val="0"/>
          <w:w w:val="100"/>
          <w:position w:val="0"/>
        </w:rPr>
        <w:t>公司本着鼓励各级员工恪尽职守，以实现员工在薪酬分配上的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责任与利益一致、能力与价值一致、风险与回报一致、业 绩与收益一致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目标，且能为公司赢利与发展积极贡献的目的，在公司内部实行绩效考核管理，结合内部薪酬体系，实行以 责任、能力、绩效为核心计酬依据的薪酬制度。</w:t>
      </w:r>
    </w:p>
    <w:p>
      <w:pPr>
        <w:pStyle w:val="Style24"/>
        <w:keepNext w:val="0"/>
        <w:keepLines w:val="0"/>
        <w:widowControl w:val="0"/>
        <w:shd w:val="clear" w:color="auto" w:fill="auto"/>
        <w:bidi w:val="0"/>
        <w:spacing w:before="0" w:after="40" w:line="31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职工薪酬总额（计入成本部分）为</w:t>
      </w:r>
      <w:r>
        <w:rPr>
          <w:rFonts w:ascii="Times New Roman" w:eastAsia="Times New Roman" w:hAnsi="Times New Roman" w:cs="Times New Roman"/>
          <w:color w:val="000000"/>
          <w:spacing w:val="0"/>
          <w:w w:val="100"/>
          <w:position w:val="0"/>
          <w:sz w:val="18"/>
          <w:szCs w:val="18"/>
        </w:rPr>
        <w:t>5,056.33</w:t>
      </w:r>
      <w:r>
        <w:rPr>
          <w:color w:val="000000"/>
          <w:spacing w:val="0"/>
          <w:w w:val="100"/>
          <w:position w:val="0"/>
        </w:rPr>
        <w:t>万元，职工薪酬总额（计入成本部分）及占公司成本总额的比重为</w:t>
      </w:r>
      <w:r>
        <w:rPr>
          <w:rFonts w:ascii="Times New Roman" w:eastAsia="Times New Roman" w:hAnsi="Times New Roman" w:cs="Times New Roman"/>
          <w:color w:val="000000"/>
          <w:spacing w:val="0"/>
          <w:w w:val="100"/>
          <w:position w:val="0"/>
          <w:sz w:val="18"/>
          <w:szCs w:val="18"/>
        </w:rPr>
        <w:t>24.49%</w:t>
      </w:r>
      <w:r>
        <w:rPr>
          <w:color w:val="000000"/>
          <w:spacing w:val="0"/>
          <w:w w:val="100"/>
          <w:position w:val="0"/>
        </w:rPr>
        <w:t>； 职工薪酬总额（计入成本部分）较上年同期下降</w:t>
      </w:r>
      <w:r>
        <w:rPr>
          <w:rFonts w:ascii="Times New Roman" w:eastAsia="Times New Roman" w:hAnsi="Times New Roman" w:cs="Times New Roman"/>
          <w:color w:val="000000"/>
          <w:spacing w:val="0"/>
          <w:w w:val="100"/>
          <w:position w:val="0"/>
          <w:sz w:val="18"/>
          <w:szCs w:val="18"/>
        </w:rPr>
        <w:t>11.89%</w:t>
      </w:r>
      <w:r>
        <w:rPr>
          <w:color w:val="000000"/>
          <w:spacing w:val="0"/>
          <w:w w:val="100"/>
          <w:position w:val="0"/>
        </w:rPr>
        <w:t>，归属于母公司净利润对职工薪酬总额变化敏感度较高。</w:t>
      </w:r>
    </w:p>
    <w:p>
      <w:pPr>
        <w:pStyle w:val="Style24"/>
        <w:keepNext w:val="0"/>
        <w:keepLines w:val="0"/>
        <w:widowControl w:val="0"/>
        <w:shd w:val="clear" w:color="auto" w:fill="auto"/>
        <w:bidi w:val="0"/>
        <w:spacing w:before="0" w:after="38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年核心技术人员数量占公司人员数量比重为</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,职工薪酬（计入成本部分）占比</w:t>
      </w:r>
      <w:r>
        <w:rPr>
          <w:rFonts w:ascii="Times New Roman" w:eastAsia="Times New Roman" w:hAnsi="Times New Roman" w:cs="Times New Roman"/>
          <w:color w:val="000000"/>
          <w:spacing w:val="0"/>
          <w:w w:val="100"/>
          <w:position w:val="0"/>
          <w:sz w:val="18"/>
          <w:szCs w:val="18"/>
        </w:rPr>
        <w:t>19.18%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年核心技术人员 数量占公司人员数量比重为</w:t>
      </w:r>
      <w:r>
        <w:rPr>
          <w:rFonts w:ascii="Times New Roman" w:eastAsia="Times New Roman" w:hAnsi="Times New Roman" w:cs="Times New Roman"/>
          <w:color w:val="000000"/>
          <w:spacing w:val="0"/>
          <w:w w:val="100"/>
          <w:position w:val="0"/>
          <w:sz w:val="18"/>
          <w:szCs w:val="18"/>
        </w:rPr>
        <w:t>15.88%</w:t>
      </w:r>
      <w:r>
        <w:rPr>
          <w:color w:val="000000"/>
          <w:spacing w:val="0"/>
          <w:w w:val="100"/>
          <w:position w:val="0"/>
        </w:rPr>
        <w:t>，职工薪酬（计入成本部分）占比</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，变动较小。</w:t>
      </w:r>
    </w:p>
    <w:p>
      <w:pPr>
        <w:pStyle w:val="Style28"/>
        <w:keepNext/>
        <w:keepLines/>
        <w:widowControl w:val="0"/>
        <w:shd w:val="clear" w:color="auto" w:fill="auto"/>
        <w:tabs>
          <w:tab w:pos="378" w:val="left"/>
        </w:tabs>
        <w:bidi w:val="0"/>
        <w:spacing w:before="0" w:after="260" w:line="240"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培训计划</w:t>
      </w:r>
      <w:bookmarkEnd w:id="508"/>
      <w:bookmarkEnd w:id="509"/>
      <w:bookmarkEnd w:id="511"/>
    </w:p>
    <w:p>
      <w:pPr>
        <w:pStyle w:val="Style24"/>
        <w:keepNext w:val="0"/>
        <w:keepLines w:val="0"/>
        <w:widowControl w:val="0"/>
        <w:shd w:val="clear" w:color="auto" w:fill="auto"/>
        <w:bidi w:val="0"/>
        <w:spacing w:before="0" w:after="380" w:line="317" w:lineRule="exact"/>
        <w:ind w:left="0" w:right="0"/>
        <w:jc w:val="both"/>
      </w:pPr>
      <w:r>
        <w:rPr>
          <w:color w:val="000000"/>
          <w:spacing w:val="0"/>
          <w:w w:val="100"/>
          <w:position w:val="0"/>
        </w:rPr>
        <w:t>公司在完善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新员工入职培训''、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通用技能培训''、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管理技能培训''、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专业技能培训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w:t>
      </w:r>
      <w:r>
        <w:rPr>
          <w:color w:val="000000"/>
          <w:spacing w:val="0"/>
          <w:w w:val="100"/>
          <w:position w:val="0"/>
        </w:rPr>
        <w:t>同时，利用公司内外部平台资源， 重点加强中高层管理人员的管理能力提升和销售人员专业能力的持续改善，为实现公司年度战略目标提供有利保障。</w:t>
      </w:r>
    </w:p>
    <w:p>
      <w:pPr>
        <w:pStyle w:val="Style28"/>
        <w:keepNext/>
        <w:keepLines/>
        <w:widowControl w:val="0"/>
        <w:shd w:val="clear" w:color="auto" w:fill="auto"/>
        <w:tabs>
          <w:tab w:pos="378" w:val="left"/>
        </w:tabs>
        <w:bidi w:val="0"/>
        <w:spacing w:before="0" w:after="380" w:line="240" w:lineRule="auto"/>
        <w:ind w:left="0" w:right="0" w:firstLine="0"/>
        <w:jc w:val="both"/>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w:t>
        <w:tab/>
        <w:t>劳务外包情况</w:t>
      </w:r>
      <w:bookmarkEnd w:id="512"/>
      <w:bookmarkEnd w:id="513"/>
      <w:bookmarkEnd w:id="515"/>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1,322,431.00</w:t>
            </w:r>
          </w:p>
        </w:tc>
      </w:tr>
    </w:tbl>
    <w:p>
      <w:pPr>
        <w:sectPr>
          <w:footnotePr>
            <w:pos w:val="pageBottom"/>
            <w:numFmt w:val="decimal"/>
            <w:numRestart w:val="continuous"/>
          </w:footnotePr>
          <w:pgSz w:w="11900" w:h="16840"/>
          <w:pgMar w:top="1359" w:right="1061" w:bottom="1455" w:left="1061" w:header="0" w:footer="3" w:gutter="0"/>
          <w:cols w:space="720"/>
          <w:noEndnote/>
          <w:rtlGutter w:val="0"/>
          <w:docGrid w:linePitch="360"/>
        </w:sectPr>
      </w:pPr>
    </w:p>
    <w:p>
      <w:pPr>
        <w:pStyle w:val="Style13"/>
        <w:keepNext/>
        <w:keepLines/>
        <w:widowControl w:val="0"/>
        <w:shd w:val="clear" w:color="auto" w:fill="auto"/>
        <w:bidi w:val="0"/>
        <w:spacing w:before="520" w:after="560" w:line="240" w:lineRule="auto"/>
        <w:ind w:left="0" w:right="0" w:firstLine="0"/>
        <w:jc w:val="center"/>
      </w:pPr>
      <w:bookmarkStart w:id="516" w:name="bookmark516"/>
      <w:bookmarkStart w:id="517" w:name="bookmark517"/>
      <w:bookmarkStart w:id="518" w:name="bookmark518"/>
      <w:r>
        <w:rPr>
          <w:color w:val="000000"/>
          <w:spacing w:val="0"/>
          <w:w w:val="100"/>
          <w:position w:val="0"/>
        </w:rPr>
        <w:t>第十节公司治理</w:t>
      </w:r>
      <w:bookmarkEnd w:id="516"/>
      <w:bookmarkEnd w:id="517"/>
      <w:bookmarkEnd w:id="518"/>
    </w:p>
    <w:p>
      <w:pPr>
        <w:pStyle w:val="Style22"/>
        <w:keepNext/>
        <w:keepLines/>
        <w:widowControl w:val="0"/>
        <w:shd w:val="clear" w:color="auto" w:fill="auto"/>
        <w:bidi w:val="0"/>
        <w:spacing w:before="0" w:after="24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一</w:t>
      </w:r>
      <w:bookmarkEnd w:id="521"/>
      <w:r>
        <w:rPr>
          <w:color w:val="000000"/>
          <w:spacing w:val="0"/>
          <w:w w:val="100"/>
          <w:position w:val="0"/>
          <w:sz w:val="24"/>
          <w:szCs w:val="24"/>
        </w:rPr>
        <w:t>、公司治理的基本状况</w:t>
      </w:r>
      <w:bookmarkEnd w:id="519"/>
      <w:bookmarkEnd w:id="520"/>
      <w:bookmarkEnd w:id="522"/>
    </w:p>
    <w:p>
      <w:pPr>
        <w:pStyle w:val="Style24"/>
        <w:keepNext w:val="0"/>
        <w:keepLines w:val="0"/>
        <w:widowControl w:val="0"/>
        <w:shd w:val="clear" w:color="auto" w:fill="auto"/>
        <w:bidi w:val="0"/>
        <w:spacing w:before="0" w:after="0" w:line="311" w:lineRule="exact"/>
        <w:ind w:left="0" w:right="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《深圳证券交易所创业板上市公司规范运作指引》等法律法规的要求，确定了股东大会、董事会、监事会及经营管理层的分 层治理结构，不断完善法人治理结构，进一步提升公司的规范化程度。公司整体运作规范、独立性强、信息披露规范，实际 情况与中国证监会有关规范性文件要求不存在差异。</w:t>
      </w:r>
    </w:p>
    <w:p>
      <w:pPr>
        <w:pStyle w:val="Style24"/>
        <w:keepNext w:val="0"/>
        <w:keepLines w:val="0"/>
        <w:widowControl w:val="0"/>
        <w:shd w:val="clear" w:color="auto" w:fill="auto"/>
        <w:tabs>
          <w:tab w:pos="497" w:val="left"/>
        </w:tabs>
        <w:bidi w:val="0"/>
        <w:spacing w:before="0" w:after="0" w:line="311" w:lineRule="exact"/>
        <w:ind w:left="0" w:right="0" w:firstLine="0"/>
        <w:jc w:val="left"/>
      </w:pPr>
      <w:bookmarkStart w:id="523" w:name="bookmark523"/>
      <w:r>
        <w:rPr>
          <w:color w:val="000000"/>
          <w:spacing w:val="0"/>
          <w:w w:val="100"/>
          <w:position w:val="0"/>
        </w:rPr>
        <w:t>（</w:t>
      </w:r>
      <w:bookmarkEnd w:id="523"/>
      <w:r>
        <w:rPr>
          <w:color w:val="000000"/>
          <w:spacing w:val="0"/>
          <w:w w:val="100"/>
          <w:position w:val="0"/>
        </w:rPr>
        <w:t>一）</w:t>
        <w:tab/>
        <w:t>股东与股东大会</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股东大会是公司的最高权力机构，决定公司的经营方针和投资计划，审批董事会、监事会工作报告及公司的年度财务预 算、决算方案等重要事项。公司严格按照《公司法》、《上市公司股东大会规则》、《公司章程》以及深圳证券交易所的相 关规定和要求，规范股东大会的召集、召开和表决程序，尽可能为股东参加股东大会创造便利条件，充分行使股东的权利。 公司聘请专业律师见证股东大会，确保会议召集召开以及表决程序符合相关法律规定，维护全体股东的合法权益。报告期内， 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次临时股东大会，会议均由董事会召集召开。</w:t>
      </w:r>
    </w:p>
    <w:p>
      <w:pPr>
        <w:pStyle w:val="Style24"/>
        <w:keepNext w:val="0"/>
        <w:keepLines w:val="0"/>
        <w:widowControl w:val="0"/>
        <w:shd w:val="clear" w:color="auto" w:fill="auto"/>
        <w:tabs>
          <w:tab w:pos="497" w:val="left"/>
        </w:tabs>
        <w:bidi w:val="0"/>
        <w:spacing w:before="0" w:after="0" w:line="311" w:lineRule="exact"/>
        <w:ind w:left="0" w:right="0" w:firstLine="0"/>
        <w:jc w:val="left"/>
      </w:pPr>
      <w:bookmarkStart w:id="524" w:name="bookmark524"/>
      <w:r>
        <w:rPr>
          <w:color w:val="000000"/>
          <w:spacing w:val="0"/>
          <w:w w:val="100"/>
          <w:position w:val="0"/>
        </w:rPr>
        <w:t>（</w:t>
      </w:r>
      <w:bookmarkEnd w:id="524"/>
      <w:r>
        <w:rPr>
          <w:color w:val="000000"/>
          <w:spacing w:val="0"/>
          <w:w w:val="100"/>
          <w:position w:val="0"/>
        </w:rPr>
        <w:t>二）</w:t>
        <w:tab/>
        <w:t>公司与控股股东</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公司控股股东严格按照《上市公司治理准则》、《公司章程》等规定和要求，规范自身行为，能够依法行使其权利，并 承担相应义务。公司的控股股东为个人，不存在利用其控制地位损害公司和其他股东利益的行为，不存在控股股东占用公司 资金的现象，公司亦无为控股股东提供担保的情形。公司拥有独立完整的业务和自主经营能力，在业务、资产、人员、机构、 财务上独立于控股股东，公司董事会、监事会和相应部门能够正常运作，具有独立性。</w:t>
      </w:r>
    </w:p>
    <w:p>
      <w:pPr>
        <w:pStyle w:val="Style24"/>
        <w:keepNext w:val="0"/>
        <w:keepLines w:val="0"/>
        <w:widowControl w:val="0"/>
        <w:shd w:val="clear" w:color="auto" w:fill="auto"/>
        <w:tabs>
          <w:tab w:pos="497" w:val="left"/>
        </w:tabs>
        <w:bidi w:val="0"/>
        <w:spacing w:before="0" w:after="0" w:line="311" w:lineRule="exact"/>
        <w:ind w:left="0" w:right="0" w:firstLine="0"/>
        <w:jc w:val="left"/>
      </w:pPr>
      <w:bookmarkStart w:id="525" w:name="bookmark525"/>
      <w:r>
        <w:rPr>
          <w:color w:val="000000"/>
          <w:spacing w:val="0"/>
          <w:w w:val="100"/>
          <w:position w:val="0"/>
        </w:rPr>
        <w:t>（</w:t>
      </w:r>
      <w:bookmarkEnd w:id="525"/>
      <w:r>
        <w:rPr>
          <w:color w:val="000000"/>
          <w:spacing w:val="0"/>
          <w:w w:val="100"/>
          <w:position w:val="0"/>
        </w:rPr>
        <w:t>三）</w:t>
        <w:tab/>
        <w:t>董事与董事会</w:t>
      </w:r>
    </w:p>
    <w:p>
      <w:pPr>
        <w:pStyle w:val="Style24"/>
        <w:keepNext w:val="0"/>
        <w:keepLines w:val="0"/>
        <w:widowControl w:val="0"/>
        <w:shd w:val="clear" w:color="auto" w:fill="auto"/>
        <w:bidi w:val="0"/>
        <w:spacing w:before="0" w:after="0" w:line="311" w:lineRule="exact"/>
        <w:ind w:left="0" w:right="0"/>
        <w:jc w:val="left"/>
      </w:pPr>
      <w:r>
        <w:rPr>
          <w:color w:val="000000"/>
          <w:spacing w:val="0"/>
          <w:w w:val="100"/>
          <w:position w:val="0"/>
        </w:rPr>
        <w:t>公司董事会人数、构成及董事资格均符合法律法规和《公司章程》的规定。董事会均严格按照《公司法》、《公司章程》 及《董事会议事规则》的程序召集、召开。公司董事能够依据《董事会议事规则》、《独立董事工作制度》、《深圳证券交 易所创业板上市公司规范运作指引》等规定开展工作，出席董事会和股东大会，勤勉尽责的履行职责和义务，同时积极参加 相关培训，熟悉相关法律法规。报告期内，公司共召开董事会会议</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w:t>
      </w:r>
    </w:p>
    <w:p>
      <w:pPr>
        <w:pStyle w:val="Style24"/>
        <w:keepNext w:val="0"/>
        <w:keepLines w:val="0"/>
        <w:widowControl w:val="0"/>
        <w:shd w:val="clear" w:color="auto" w:fill="auto"/>
        <w:tabs>
          <w:tab w:pos="497" w:val="left"/>
        </w:tabs>
        <w:bidi w:val="0"/>
        <w:spacing w:before="0" w:after="0" w:line="311" w:lineRule="exact"/>
        <w:ind w:left="0" w:right="0" w:firstLine="0"/>
        <w:jc w:val="left"/>
      </w:pPr>
      <w:bookmarkStart w:id="526" w:name="bookmark526"/>
      <w:r>
        <w:rPr>
          <w:color w:val="000000"/>
          <w:spacing w:val="0"/>
          <w:w w:val="100"/>
          <w:position w:val="0"/>
        </w:rPr>
        <w:t>（</w:t>
      </w:r>
      <w:bookmarkEnd w:id="526"/>
      <w:r>
        <w:rPr>
          <w:color w:val="000000"/>
          <w:spacing w:val="0"/>
          <w:w w:val="100"/>
          <w:position w:val="0"/>
        </w:rPr>
        <w:t>四）</w:t>
        <w:tab/>
        <w:t>监事与监事会</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公司监事会严格按照《公司法》、《公司章程》和《监事会议事规则》的有关规定开展工作，监事的推荐、选举和产生 程序符合相关法律、法规要求。公司监事认真履行职责，对公司财务状况、重大事项的合法、合规性进行监督，维护公司及 股东的合法权益。报告期内，公司共召开监事会会议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w:t>
      </w:r>
    </w:p>
    <w:p>
      <w:pPr>
        <w:pStyle w:val="Style24"/>
        <w:keepNext w:val="0"/>
        <w:keepLines w:val="0"/>
        <w:widowControl w:val="0"/>
        <w:shd w:val="clear" w:color="auto" w:fill="auto"/>
        <w:tabs>
          <w:tab w:pos="497" w:val="left"/>
        </w:tabs>
        <w:bidi w:val="0"/>
        <w:spacing w:before="0" w:after="0" w:line="311" w:lineRule="exact"/>
        <w:ind w:left="0" w:right="0" w:firstLine="0"/>
        <w:jc w:val="left"/>
      </w:pPr>
      <w:bookmarkStart w:id="527" w:name="bookmark527"/>
      <w:r>
        <w:rPr>
          <w:color w:val="000000"/>
          <w:spacing w:val="0"/>
          <w:w w:val="100"/>
          <w:position w:val="0"/>
        </w:rPr>
        <w:t>（</w:t>
      </w:r>
      <w:bookmarkEnd w:id="527"/>
      <w:r>
        <w:rPr>
          <w:color w:val="000000"/>
          <w:spacing w:val="0"/>
          <w:w w:val="100"/>
          <w:position w:val="0"/>
        </w:rPr>
        <w:t>五）</w:t>
        <w:tab/>
        <w:t>关于信息披露与透明度</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报告期内，公司严格按照有关法律法规的要求，真实、准确、完整、及时地披露有关信息。公司指定董事会秘书负责信 息披露工作，证券事务代表协助董事会秘书开展工作，协调公司与投资者的关系，接待投资者来访，回答投资者咨询。公司 指定巨潮资讯网（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、《证券时报》、《中国证券报》、《证券日报》和《上海证券报》为公司信息披 露媒体，增进投资者对公司经营发展的了解，维护与投资者的良好关系。</w:t>
      </w:r>
    </w:p>
    <w:p>
      <w:pPr>
        <w:pStyle w:val="Style24"/>
        <w:keepNext w:val="0"/>
        <w:keepLines w:val="0"/>
        <w:widowControl w:val="0"/>
        <w:shd w:val="clear" w:color="auto" w:fill="auto"/>
        <w:tabs>
          <w:tab w:pos="497" w:val="left"/>
        </w:tabs>
        <w:bidi w:val="0"/>
        <w:spacing w:before="0" w:after="0" w:line="311" w:lineRule="exact"/>
        <w:ind w:left="0" w:right="0" w:firstLine="0"/>
        <w:jc w:val="left"/>
      </w:pPr>
      <w:bookmarkStart w:id="528" w:name="bookmark528"/>
      <w:r>
        <w:rPr>
          <w:color w:val="000000"/>
          <w:spacing w:val="0"/>
          <w:w w:val="100"/>
          <w:position w:val="0"/>
        </w:rPr>
        <w:t>（</w:t>
      </w:r>
      <w:bookmarkEnd w:id="528"/>
      <w:r>
        <w:rPr>
          <w:color w:val="000000"/>
          <w:spacing w:val="0"/>
          <w:w w:val="100"/>
          <w:position w:val="0"/>
        </w:rPr>
        <w:t>六）</w:t>
        <w:tab/>
        <w:t>关于相关利益者</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公司能够充分尊重和维护相关利益者的合法权益，实现股东、员工、社会等各方利益的协调平衡，共同推动公司持续、 健康的发展。</w:t>
      </w:r>
    </w:p>
    <w:p>
      <w:pPr>
        <w:pStyle w:val="Style24"/>
        <w:keepNext w:val="0"/>
        <w:keepLines w:val="0"/>
        <w:widowControl w:val="0"/>
        <w:shd w:val="clear" w:color="auto" w:fill="auto"/>
        <w:tabs>
          <w:tab w:pos="497" w:val="left"/>
        </w:tabs>
        <w:bidi w:val="0"/>
        <w:spacing w:before="0" w:after="0" w:line="311" w:lineRule="exact"/>
        <w:ind w:left="0" w:right="0" w:firstLine="0"/>
        <w:jc w:val="left"/>
      </w:pPr>
      <w:bookmarkStart w:id="529" w:name="bookmark529"/>
      <w:r>
        <w:rPr>
          <w:color w:val="000000"/>
          <w:spacing w:val="0"/>
          <w:w w:val="100"/>
          <w:position w:val="0"/>
        </w:rPr>
        <w:t>（</w:t>
      </w:r>
      <w:bookmarkEnd w:id="529"/>
      <w:r>
        <w:rPr>
          <w:color w:val="000000"/>
          <w:spacing w:val="0"/>
          <w:w w:val="100"/>
          <w:position w:val="0"/>
        </w:rPr>
        <w:t>七）</w:t>
        <w:tab/>
        <w:t>关于绩效评价与激励约束机制</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公司建立了系统的绩效评价与激励约束机制，对高级管理人员的聘任公开、透明，符合有关法律法规的要求；进一步建 立和完善对中高级管理人员和核心技术人员的长期激励和约束机制。</w:t>
      </w:r>
    </w:p>
    <w:p>
      <w:pPr>
        <w:pStyle w:val="Style24"/>
        <w:keepNext w:val="0"/>
        <w:keepLines w:val="0"/>
        <w:widowControl w:val="0"/>
        <w:shd w:val="clear" w:color="auto" w:fill="auto"/>
        <w:tabs>
          <w:tab w:pos="497" w:val="left"/>
        </w:tabs>
        <w:bidi w:val="0"/>
        <w:spacing w:before="0" w:after="0" w:line="311" w:lineRule="exact"/>
        <w:ind w:left="0" w:right="0" w:firstLine="0"/>
        <w:jc w:val="left"/>
      </w:pPr>
      <w:bookmarkStart w:id="530" w:name="bookmark530"/>
      <w:r>
        <w:rPr>
          <w:color w:val="000000"/>
          <w:spacing w:val="0"/>
          <w:w w:val="100"/>
          <w:position w:val="0"/>
        </w:rPr>
        <w:t>（</w:t>
      </w:r>
      <w:bookmarkEnd w:id="530"/>
      <w:r>
        <w:rPr>
          <w:color w:val="000000"/>
          <w:spacing w:val="0"/>
          <w:w w:val="100"/>
          <w:position w:val="0"/>
        </w:rPr>
        <w:t>八）</w:t>
        <w:tab/>
        <w:t>关于内控制度的建立与执行</w:t>
      </w:r>
    </w:p>
    <w:p>
      <w:pPr>
        <w:pStyle w:val="Style24"/>
        <w:keepNext w:val="0"/>
        <w:keepLines w:val="0"/>
        <w:widowControl w:val="0"/>
        <w:shd w:val="clear" w:color="auto" w:fill="auto"/>
        <w:bidi w:val="0"/>
        <w:spacing w:before="0" w:after="340" w:line="311" w:lineRule="exact"/>
        <w:ind w:left="0" w:right="0"/>
        <w:jc w:val="both"/>
      </w:pPr>
      <w:r>
        <w:rPr>
          <w:color w:val="000000"/>
          <w:spacing w:val="0"/>
          <w:w w:val="100"/>
          <w:position w:val="0"/>
        </w:rPr>
        <w:t xml:space="preserve">公司设立有审计监察部，能够独立行使审计监督权，按照《内部审计管理制度》依法检查公司会计帐目及相关资产，对 公司的资金运作、资产利用情况及其他运作情况进行分析评价，保证公司资产的真实和完整。通过内部审计工作的开展，达 </w:t>
      </w:r>
      <w:r>
        <w:rPr>
          <w:color w:val="000000"/>
          <w:spacing w:val="0"/>
          <w:w w:val="100"/>
          <w:position w:val="0"/>
        </w:rPr>
        <w:t>到规避公司经营风险、提高公司经济效益的目的。</w:t>
      </w:r>
    </w:p>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7" w:val="left"/>
        </w:tabs>
        <w:bidi w:val="0"/>
        <w:spacing w:before="0" w:after="260" w:line="240" w:lineRule="auto"/>
        <w:ind w:left="0" w:right="0" w:firstLine="0"/>
        <w:jc w:val="both"/>
      </w:pPr>
      <w:bookmarkStart w:id="531" w:name="bookmark531"/>
      <w:bookmarkStart w:id="532" w:name="bookmark532"/>
      <w:bookmarkStart w:id="533" w:name="bookmark533"/>
      <w:bookmarkStart w:id="534" w:name="bookmark534"/>
      <w:r>
        <w:rPr>
          <w:color w:val="000000"/>
          <w:spacing w:val="0"/>
          <w:w w:val="100"/>
          <w:position w:val="0"/>
          <w:sz w:val="24"/>
          <w:szCs w:val="24"/>
        </w:rPr>
        <w:t>二</w:t>
      </w:r>
      <w:bookmarkEnd w:id="533"/>
      <w:r>
        <w:rPr>
          <w:color w:val="000000"/>
          <w:spacing w:val="0"/>
          <w:w w:val="100"/>
          <w:position w:val="0"/>
          <w:sz w:val="24"/>
          <w:szCs w:val="24"/>
        </w:rPr>
        <w:t>、</w:t>
        <w:tab/>
        <w:t>公司相对于控股股东在业务、人员、资产、机构、财务等方面的独立情况</w:t>
      </w:r>
      <w:bookmarkEnd w:id="531"/>
      <w:bookmarkEnd w:id="532"/>
      <w:bookmarkEnd w:id="534"/>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公司控股股东、实际控制人为自然人，公司与控股股东在业务、人员、资产、机构、财务等方面相互独立。</w:t>
      </w:r>
    </w:p>
    <w:p>
      <w:pPr>
        <w:pStyle w:val="Style24"/>
        <w:keepNext w:val="0"/>
        <w:keepLines w:val="0"/>
        <w:widowControl w:val="0"/>
        <w:shd w:val="clear" w:color="auto" w:fill="auto"/>
        <w:tabs>
          <w:tab w:pos="531" w:val="left"/>
        </w:tabs>
        <w:bidi w:val="0"/>
        <w:spacing w:before="0" w:after="0" w:line="314" w:lineRule="exact"/>
        <w:ind w:left="0" w:right="0" w:firstLine="0"/>
        <w:jc w:val="both"/>
      </w:pPr>
      <w:bookmarkStart w:id="535" w:name="bookmark535"/>
      <w:r>
        <w:rPr>
          <w:color w:val="000000"/>
          <w:spacing w:val="0"/>
          <w:w w:val="100"/>
          <w:position w:val="0"/>
        </w:rPr>
        <w:t>（</w:t>
      </w:r>
      <w:bookmarkEnd w:id="535"/>
      <w:r>
        <w:rPr>
          <w:color w:val="000000"/>
          <w:spacing w:val="0"/>
          <w:w w:val="100"/>
          <w:position w:val="0"/>
        </w:rPr>
        <w:t>一）</w:t>
        <w:tab/>
        <w:t>业务独立</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公司具有独立的采购、生产、供应、开发、销售业务体系，能够独立支配和使用人、财、物等生产要素，顺利组织和实 施生产经营活动。公司在业务上与控股股东不存在同业竞争关系，在采购、生产和销售上不依赖于其他企业或个人，能够独 立有序地开展经营。</w:t>
      </w:r>
    </w:p>
    <w:p>
      <w:pPr>
        <w:pStyle w:val="Style24"/>
        <w:keepNext w:val="0"/>
        <w:keepLines w:val="0"/>
        <w:widowControl w:val="0"/>
        <w:shd w:val="clear" w:color="auto" w:fill="auto"/>
        <w:tabs>
          <w:tab w:pos="531" w:val="left"/>
        </w:tabs>
        <w:bidi w:val="0"/>
        <w:spacing w:before="0" w:after="0" w:line="314" w:lineRule="exact"/>
        <w:ind w:left="0" w:right="0" w:firstLine="0"/>
        <w:jc w:val="both"/>
      </w:pPr>
      <w:bookmarkStart w:id="536" w:name="bookmark536"/>
      <w:r>
        <w:rPr>
          <w:color w:val="000000"/>
          <w:spacing w:val="0"/>
          <w:w w:val="100"/>
          <w:position w:val="0"/>
        </w:rPr>
        <w:t>（</w:t>
      </w:r>
      <w:bookmarkEnd w:id="536"/>
      <w:r>
        <w:rPr>
          <w:color w:val="000000"/>
          <w:spacing w:val="0"/>
          <w:w w:val="100"/>
          <w:position w:val="0"/>
        </w:rPr>
        <w:t>二）</w:t>
        <w:tab/>
        <w:t>人员独立</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公司董事、监事及高级管理人员依合法程序选举或聘任，不在控股股东控制的其他企业中担任除董事、监事以外的其他 职务，不在控股股东控制的其他企业领薪；公司的财务人员独立，均不在控股股东控制的其他企业中兼职。</w:t>
      </w:r>
    </w:p>
    <w:p>
      <w:pPr>
        <w:pStyle w:val="Style24"/>
        <w:keepNext w:val="0"/>
        <w:keepLines w:val="0"/>
        <w:widowControl w:val="0"/>
        <w:shd w:val="clear" w:color="auto" w:fill="auto"/>
        <w:tabs>
          <w:tab w:pos="531" w:val="left"/>
        </w:tabs>
        <w:bidi w:val="0"/>
        <w:spacing w:before="0" w:after="0" w:line="314" w:lineRule="exact"/>
        <w:ind w:left="0" w:right="0" w:firstLine="0"/>
        <w:jc w:val="both"/>
      </w:pPr>
      <w:bookmarkStart w:id="537" w:name="bookmark537"/>
      <w:r>
        <w:rPr>
          <w:color w:val="000000"/>
          <w:spacing w:val="0"/>
          <w:w w:val="100"/>
          <w:position w:val="0"/>
        </w:rPr>
        <w:t>（</w:t>
      </w:r>
      <w:bookmarkEnd w:id="537"/>
      <w:r>
        <w:rPr>
          <w:color w:val="000000"/>
          <w:spacing w:val="0"/>
          <w:w w:val="100"/>
          <w:position w:val="0"/>
        </w:rPr>
        <w:t>三）</w:t>
        <w:tab/>
        <w:t>资产独立</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公司具备与生产经营有关的主要生产系统、辅助生产系统和配套设施，合法拥有与生产经营有关的土地、厂房、机器设 备以及商标、专利的所有权或者使用权，法人财产产权清晰，具有独立的原料采购和产品销售系统。</w:t>
      </w:r>
    </w:p>
    <w:p>
      <w:pPr>
        <w:pStyle w:val="Style24"/>
        <w:keepNext w:val="0"/>
        <w:keepLines w:val="0"/>
        <w:widowControl w:val="0"/>
        <w:shd w:val="clear" w:color="auto" w:fill="auto"/>
        <w:tabs>
          <w:tab w:pos="531" w:val="left"/>
        </w:tabs>
        <w:bidi w:val="0"/>
        <w:spacing w:before="0" w:after="0" w:line="314" w:lineRule="exact"/>
        <w:ind w:left="0" w:right="0" w:firstLine="0"/>
        <w:jc w:val="both"/>
      </w:pPr>
      <w:bookmarkStart w:id="538" w:name="bookmark538"/>
      <w:r>
        <w:rPr>
          <w:color w:val="000000"/>
          <w:spacing w:val="0"/>
          <w:w w:val="100"/>
          <w:position w:val="0"/>
        </w:rPr>
        <w:t>（</w:t>
      </w:r>
      <w:bookmarkEnd w:id="538"/>
      <w:r>
        <w:rPr>
          <w:color w:val="000000"/>
          <w:spacing w:val="0"/>
          <w:w w:val="100"/>
          <w:position w:val="0"/>
        </w:rPr>
        <w:t>四）</w:t>
        <w:tab/>
        <w:t>机构独立</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公司已建立健全内部经营管理机构、独立行使经营管理职权，与控股股东、实际控制人及其控制的其他企业间不存在机 构混同的情形。</w:t>
      </w:r>
    </w:p>
    <w:p>
      <w:pPr>
        <w:pStyle w:val="Style24"/>
        <w:keepNext w:val="0"/>
        <w:keepLines w:val="0"/>
        <w:widowControl w:val="0"/>
        <w:shd w:val="clear" w:color="auto" w:fill="auto"/>
        <w:tabs>
          <w:tab w:pos="531" w:val="left"/>
        </w:tabs>
        <w:bidi w:val="0"/>
        <w:spacing w:before="0" w:after="0" w:line="314" w:lineRule="exact"/>
        <w:ind w:left="0" w:right="0" w:firstLine="0"/>
        <w:jc w:val="both"/>
      </w:pPr>
      <w:bookmarkStart w:id="539" w:name="bookmark539"/>
      <w:r>
        <w:rPr>
          <w:color w:val="000000"/>
          <w:spacing w:val="0"/>
          <w:w w:val="100"/>
          <w:position w:val="0"/>
        </w:rPr>
        <w:t>（</w:t>
      </w:r>
      <w:bookmarkEnd w:id="539"/>
      <w:r>
        <w:rPr>
          <w:color w:val="000000"/>
          <w:spacing w:val="0"/>
          <w:w w:val="100"/>
          <w:position w:val="0"/>
        </w:rPr>
        <w:t>五）</w:t>
        <w:tab/>
        <w:t>财务独立</w:t>
      </w:r>
    </w:p>
    <w:p>
      <w:pPr>
        <w:pStyle w:val="Style24"/>
        <w:keepNext w:val="0"/>
        <w:keepLines w:val="0"/>
        <w:widowControl w:val="0"/>
        <w:shd w:val="clear" w:color="auto" w:fill="auto"/>
        <w:bidi w:val="0"/>
        <w:spacing w:before="0" w:after="340" w:line="314" w:lineRule="exact"/>
        <w:ind w:left="0" w:right="0"/>
        <w:jc w:val="both"/>
      </w:pPr>
      <w:r>
        <w:rPr>
          <w:color w:val="000000"/>
          <w:spacing w:val="0"/>
          <w:w w:val="100"/>
          <w:position w:val="0"/>
        </w:rPr>
        <w:t>公司设立了完整独立的财务部门，配备了独立的财务人员，建立了独立的财务核算体系，具有规范的财务会计制度。公 司独立开立银行账户、依法独立纳税，不存在与控股股东、实际控制人及其控制的其他企业共用银行账户的情况。</w:t>
      </w:r>
    </w:p>
    <w:p>
      <w:pPr>
        <w:pStyle w:val="Style22"/>
        <w:keepNext/>
        <w:keepLines/>
        <w:widowControl w:val="0"/>
        <w:shd w:val="clear" w:color="auto" w:fill="auto"/>
        <w:tabs>
          <w:tab w:pos="522" w:val="left"/>
        </w:tabs>
        <w:bidi w:val="0"/>
        <w:spacing w:before="0" w:after="340" w:line="240" w:lineRule="auto"/>
        <w:ind w:left="0" w:right="0" w:firstLine="0"/>
        <w:jc w:val="both"/>
      </w:pPr>
      <w:bookmarkStart w:id="540" w:name="bookmark540"/>
      <w:bookmarkStart w:id="541" w:name="bookmark541"/>
      <w:bookmarkStart w:id="542" w:name="bookmark542"/>
      <w:bookmarkStart w:id="543" w:name="bookmark543"/>
      <w:r>
        <w:rPr>
          <w:color w:val="000000"/>
          <w:spacing w:val="0"/>
          <w:w w:val="100"/>
          <w:position w:val="0"/>
          <w:sz w:val="24"/>
          <w:szCs w:val="24"/>
        </w:rPr>
        <w:t>三</w:t>
      </w:r>
      <w:bookmarkEnd w:id="542"/>
      <w:r>
        <w:rPr>
          <w:color w:val="000000"/>
          <w:spacing w:val="0"/>
          <w:w w:val="100"/>
          <w:position w:val="0"/>
          <w:sz w:val="24"/>
          <w:szCs w:val="24"/>
        </w:rPr>
        <w:t>、</w:t>
        <w:tab/>
        <w:t>同业竞争情况</w:t>
      </w:r>
      <w:bookmarkEnd w:id="540"/>
      <w:bookmarkEnd w:id="541"/>
      <w:bookmarkEnd w:id="543"/>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4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sz w:val="24"/>
          <w:szCs w:val="24"/>
        </w:rPr>
        <w:t>四</w:t>
      </w:r>
      <w:bookmarkEnd w:id="546"/>
      <w:r>
        <w:rPr>
          <w:color w:val="000000"/>
          <w:spacing w:val="0"/>
          <w:w w:val="100"/>
          <w:position w:val="0"/>
          <w:sz w:val="24"/>
          <w:szCs w:val="24"/>
        </w:rPr>
        <w:t>、</w:t>
        <w:tab/>
        <w:t>报告期内召开的年度股东大会和临时股东大会的有关情况</w:t>
      </w:r>
      <w:bookmarkEnd w:id="544"/>
      <w:bookmarkEnd w:id="545"/>
      <w:bookmarkEnd w:id="547"/>
    </w:p>
    <w:p>
      <w:pPr>
        <w:pStyle w:val="Style28"/>
        <w:keepNext/>
        <w:keepLines/>
        <w:widowControl w:val="0"/>
        <w:shd w:val="clear" w:color="auto" w:fill="auto"/>
        <w:bidi w:val="0"/>
        <w:spacing w:before="0" w:after="340" w:line="240" w:lineRule="auto"/>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、本报告期股东大会情况</w:t>
      </w:r>
      <w:bookmarkEnd w:id="548"/>
      <w:bookmarkEnd w:id="549"/>
      <w:bookmarkEnd w:id="55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 大会决议公告》（公 告编号：</w:t>
            </w:r>
            <w:r>
              <w:rPr>
                <w:color w:val="000000"/>
                <w:spacing w:val="0"/>
                <w:w w:val="100"/>
                <w:position w:val="0"/>
                <w:sz w:val="18"/>
                <w:szCs w:val="18"/>
              </w:rPr>
              <w:t>2020-035</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315"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www. cninfo .com.</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 时股东大会决议公</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告》(公告编号： </w:t>
            </w:r>
            <w:r>
              <w:rPr>
                <w:color w:val="000000"/>
                <w:spacing w:val="0"/>
                <w:w w:val="100"/>
                <w:position w:val="0"/>
                <w:sz w:val="18"/>
                <w:szCs w:val="18"/>
              </w:rPr>
              <w:t>2020-049</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 讯网</w:t>
            </w:r>
          </w:p>
          <w:p>
            <w:pPr>
              <w:pStyle w:val="Style2"/>
              <w:keepNext w:val="0"/>
              <w:keepLines w:val="0"/>
              <w:widowControl w:val="0"/>
              <w:shd w:val="clear" w:color="auto" w:fill="auto"/>
              <w:bidi w:val="0"/>
              <w:spacing w:before="0" w:after="100" w:line="310"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www. cninfo .com.</w:t>
            </w:r>
          </w:p>
          <w:p>
            <w:pPr>
              <w:pStyle w:val="Style2"/>
              <w:keepNext w:val="0"/>
              <w:keepLines w:val="0"/>
              <w:widowControl w:val="0"/>
              <w:shd w:val="clear" w:color="auto" w:fill="auto"/>
              <w:bidi w:val="0"/>
              <w:spacing w:before="0" w:after="60" w:line="360" w:lineRule="auto"/>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年第二次临 时股东大会决议公 告》(公告编号： </w:t>
            </w:r>
            <w:r>
              <w:rPr>
                <w:color w:val="000000"/>
                <w:spacing w:val="0"/>
                <w:w w:val="100"/>
                <w:position w:val="0"/>
                <w:sz w:val="18"/>
                <w:szCs w:val="18"/>
              </w:rPr>
              <w:t>2020-052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 讯网</w:t>
            </w:r>
          </w:p>
          <w:p>
            <w:pPr>
              <w:pStyle w:val="Style2"/>
              <w:keepNext w:val="0"/>
              <w:keepLines w:val="0"/>
              <w:widowControl w:val="0"/>
              <w:shd w:val="clear" w:color="auto" w:fill="auto"/>
              <w:bidi w:val="0"/>
              <w:spacing w:before="0" w:after="100" w:line="317"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www. cninfo .com.</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年第三次临 时股东大会决议公 告》(公告编号： </w:t>
            </w:r>
            <w:r>
              <w:rPr>
                <w:color w:val="000000"/>
                <w:spacing w:val="0"/>
                <w:w w:val="100"/>
                <w:position w:val="0"/>
                <w:sz w:val="18"/>
                <w:szCs w:val="18"/>
              </w:rPr>
              <w:t>2020-102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巨潮资 讯网</w:t>
            </w:r>
          </w:p>
          <w:p>
            <w:pPr>
              <w:pStyle w:val="Style2"/>
              <w:keepNext w:val="0"/>
              <w:keepLines w:val="0"/>
              <w:widowControl w:val="0"/>
              <w:shd w:val="clear" w:color="auto" w:fill="auto"/>
              <w:bidi w:val="0"/>
              <w:spacing w:before="0" w:after="100" w:line="317"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www. cninfo .com.</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、表决权恢复的优先股股东请求召开临时股东大会</w:t>
      </w:r>
      <w:bookmarkEnd w:id="552"/>
      <w:bookmarkEnd w:id="553"/>
      <w:bookmarkEnd w:id="555"/>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556" w:name="bookmark556"/>
      <w:bookmarkStart w:id="557" w:name="bookmark557"/>
      <w:bookmarkStart w:id="558" w:name="bookmark558"/>
      <w:bookmarkStart w:id="559" w:name="bookmark559"/>
      <w:r>
        <w:rPr>
          <w:color w:val="000000"/>
          <w:spacing w:val="0"/>
          <w:w w:val="100"/>
          <w:position w:val="0"/>
          <w:sz w:val="24"/>
          <w:szCs w:val="24"/>
        </w:rPr>
        <w:t>五</w:t>
      </w:r>
      <w:bookmarkEnd w:id="558"/>
      <w:r>
        <w:rPr>
          <w:color w:val="000000"/>
          <w:spacing w:val="0"/>
          <w:w w:val="100"/>
          <w:position w:val="0"/>
          <w:sz w:val="24"/>
          <w:szCs w:val="24"/>
        </w:rPr>
        <w:t>、报告期内独立董事履行职责的情况</w:t>
      </w:r>
      <w:bookmarkEnd w:id="556"/>
      <w:bookmarkEnd w:id="557"/>
      <w:bookmarkEnd w:id="559"/>
    </w:p>
    <w:p>
      <w:pPr>
        <w:pStyle w:val="Style28"/>
        <w:keepNext/>
        <w:keepLines/>
        <w:widowControl w:val="0"/>
        <w:shd w:val="clear" w:color="auto" w:fill="auto"/>
        <w:bidi w:val="0"/>
        <w:spacing w:before="0" w:after="320" w:line="240" w:lineRule="auto"/>
        <w:ind w:left="0" w:right="0" w:firstLine="0"/>
        <w:jc w:val="both"/>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、独立董事出席董事会及股东大会的情况</w:t>
      </w:r>
      <w:bookmarkEnd w:id="560"/>
      <w:bookmarkEnd w:id="561"/>
      <w:bookmarkEnd w:id="56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于风政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杨大贺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田联房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、独立董事对公司有关事项提出异议的情况</w:t>
      </w:r>
      <w:bookmarkEnd w:id="564"/>
      <w:bookmarkEnd w:id="565"/>
      <w:bookmarkEnd w:id="567"/>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独立董事对公司有关事项是否提出异议 </w:t>
      </w:r>
      <w:r>
        <w:rPr>
          <w:color w:val="000000"/>
          <w:spacing w:val="0"/>
          <w:w w:val="100"/>
          <w:position w:val="0"/>
        </w:rPr>
        <w:t>报告期内独立董事对公司有关事项未提出异议。</w:t>
      </w:r>
    </w:p>
    <w:p>
      <w:pPr>
        <w:pStyle w:val="Style28"/>
        <w:keepNext/>
        <w:keepLines/>
        <w:widowControl w:val="0"/>
        <w:shd w:val="clear" w:color="auto" w:fill="auto"/>
        <w:bidi w:val="0"/>
        <w:spacing w:before="0" w:after="24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3</w:t>
      </w:r>
      <w:bookmarkEnd w:id="570"/>
      <w:r>
        <w:rPr>
          <w:color w:val="000000"/>
          <w:spacing w:val="0"/>
          <w:w w:val="100"/>
          <w:position w:val="0"/>
        </w:rPr>
        <w:t>、独立董事履行职责的其他说明</w:t>
      </w:r>
      <w:bookmarkEnd w:id="568"/>
      <w:bookmarkEnd w:id="569"/>
      <w:bookmarkEnd w:id="571"/>
    </w:p>
    <w:p>
      <w:pPr>
        <w:pStyle w:val="Style24"/>
        <w:keepNext w:val="0"/>
        <w:keepLines w:val="0"/>
        <w:widowControl w:val="0"/>
        <w:shd w:val="clear" w:color="auto" w:fill="auto"/>
        <w:bidi w:val="0"/>
        <w:spacing w:before="0" w:after="100" w:line="311" w:lineRule="exact"/>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报告期内，公司独立董事严格按照有关法律法规和《公司章程》的规定，勤勉尽责、恪尽职守，对公司董事会审议的相 关事项发表了独立客观的意见，关注公司经营运作，积极有效地履行了独立董事的职责，提高了公司决策的科学性，为完善 公司监督机制，维护公司和股东的合法权益发挥了应有的作用。</w:t>
      </w:r>
    </w:p>
    <w:p>
      <w:pPr>
        <w:pStyle w:val="Style22"/>
        <w:keepNext/>
        <w:keepLines/>
        <w:widowControl w:val="0"/>
        <w:shd w:val="clear" w:color="auto" w:fill="auto"/>
        <w:tabs>
          <w:tab w:pos="517" w:val="left"/>
        </w:tabs>
        <w:bidi w:val="0"/>
        <w:spacing w:before="0" w:after="24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六</w:t>
      </w:r>
      <w:bookmarkEnd w:id="574"/>
      <w:r>
        <w:rPr>
          <w:color w:val="000000"/>
          <w:spacing w:val="0"/>
          <w:w w:val="100"/>
          <w:position w:val="0"/>
          <w:sz w:val="24"/>
          <w:szCs w:val="24"/>
        </w:rPr>
        <w:t>、</w:t>
        <w:tab/>
        <w:t>董事会下设专门委员会在报告期内履行职责情况</w:t>
      </w:r>
      <w:bookmarkEnd w:id="572"/>
      <w:bookmarkEnd w:id="573"/>
      <w:bookmarkEnd w:id="575"/>
    </w:p>
    <w:p>
      <w:pPr>
        <w:pStyle w:val="Style24"/>
        <w:keepNext w:val="0"/>
        <w:keepLines w:val="0"/>
        <w:widowControl w:val="0"/>
        <w:shd w:val="clear" w:color="auto" w:fill="auto"/>
        <w:bidi w:val="0"/>
        <w:spacing w:before="0" w:after="100" w:line="311" w:lineRule="exact"/>
        <w:ind w:left="0" w:right="0"/>
        <w:jc w:val="both"/>
      </w:pPr>
      <w:r>
        <w:rPr>
          <w:color w:val="000000"/>
          <w:spacing w:val="0"/>
          <w:w w:val="100"/>
          <w:position w:val="0"/>
        </w:rPr>
        <w:t>公司董事会下设审计委员会、薪酬与考核委员会、提名委员会和战略委员会四个专门委员会。报告期内，董事会各专门 委员会根据《公司章程》和各专门委员会实施细则的相关规定履行各项职责。</w:t>
      </w:r>
    </w:p>
    <w:p>
      <w:pPr>
        <w:pStyle w:val="Style24"/>
        <w:keepNext w:val="0"/>
        <w:keepLines w:val="0"/>
        <w:widowControl w:val="0"/>
        <w:shd w:val="clear" w:color="auto" w:fill="auto"/>
        <w:tabs>
          <w:tab w:pos="334" w:val="left"/>
        </w:tabs>
        <w:bidi w:val="0"/>
        <w:spacing w:before="0" w:after="0" w:line="360" w:lineRule="auto"/>
        <w:ind w:left="0" w:right="0" w:firstLine="0"/>
        <w:jc w:val="left"/>
      </w:pPr>
      <w:bookmarkStart w:id="576" w:name="bookmark576"/>
      <w:r>
        <w:rPr>
          <w:rFonts w:ascii="Times New Roman" w:eastAsia="Times New Roman" w:hAnsi="Times New Roman" w:cs="Times New Roman"/>
          <w:color w:val="000000"/>
          <w:spacing w:val="0"/>
          <w:w w:val="100"/>
          <w:position w:val="0"/>
          <w:sz w:val="18"/>
          <w:szCs w:val="18"/>
        </w:rPr>
        <w:t>1</w:t>
      </w:r>
      <w:bookmarkEnd w:id="576"/>
      <w:r>
        <w:rPr>
          <w:color w:val="000000"/>
          <w:spacing w:val="0"/>
          <w:w w:val="100"/>
          <w:position w:val="0"/>
        </w:rPr>
        <w:t>、</w:t>
        <w:tab/>
        <w:t>董事会审计委员会</w:t>
      </w:r>
    </w:p>
    <w:p>
      <w:pPr>
        <w:pStyle w:val="Style24"/>
        <w:keepNext w:val="0"/>
        <w:keepLines w:val="0"/>
        <w:widowControl w:val="0"/>
        <w:shd w:val="clear" w:color="auto" w:fill="auto"/>
        <w:bidi w:val="0"/>
        <w:spacing w:before="0" w:after="100" w:line="311" w:lineRule="exact"/>
        <w:ind w:left="0" w:right="0"/>
        <w:jc w:val="both"/>
      </w:pPr>
      <w:r>
        <w:rPr>
          <w:color w:val="000000"/>
          <w:spacing w:val="0"/>
          <w:w w:val="100"/>
          <w:position w:val="0"/>
        </w:rPr>
        <w:t>报告期内，审计委员会严格按照《董事会审计委员会实施细则》的规定行使职权，充分发挥了审核与监督作用，主要负 责公司财务监督和核查工作及外部审计机构的沟通、协调工作。报告期内审计委员会共召开了三次会议，重点对公司定期财 务报告、内部审计报告、内部控制报告进行核查。</w:t>
      </w:r>
    </w:p>
    <w:p>
      <w:pPr>
        <w:pStyle w:val="Style24"/>
        <w:keepNext w:val="0"/>
        <w:keepLines w:val="0"/>
        <w:widowControl w:val="0"/>
        <w:shd w:val="clear" w:color="auto" w:fill="auto"/>
        <w:tabs>
          <w:tab w:pos="354" w:val="left"/>
        </w:tabs>
        <w:bidi w:val="0"/>
        <w:spacing w:before="0" w:after="0" w:line="360" w:lineRule="auto"/>
        <w:ind w:left="0" w:right="0" w:firstLine="0"/>
        <w:jc w:val="left"/>
      </w:pPr>
      <w:bookmarkStart w:id="577" w:name="bookmark577"/>
      <w:r>
        <w:rPr>
          <w:rFonts w:ascii="Times New Roman" w:eastAsia="Times New Roman" w:hAnsi="Times New Roman" w:cs="Times New Roman"/>
          <w:color w:val="000000"/>
          <w:spacing w:val="0"/>
          <w:w w:val="100"/>
          <w:position w:val="0"/>
          <w:sz w:val="18"/>
          <w:szCs w:val="18"/>
        </w:rPr>
        <w:t>2</w:t>
      </w:r>
      <w:bookmarkEnd w:id="577"/>
      <w:r>
        <w:rPr>
          <w:color w:val="000000"/>
          <w:spacing w:val="0"/>
          <w:w w:val="100"/>
          <w:position w:val="0"/>
        </w:rPr>
        <w:t>、</w:t>
        <w:tab/>
        <w:t>董事会薪酬与考核委员会</w:t>
      </w:r>
    </w:p>
    <w:p>
      <w:pPr>
        <w:pStyle w:val="Style24"/>
        <w:keepNext w:val="0"/>
        <w:keepLines w:val="0"/>
        <w:widowControl w:val="0"/>
        <w:shd w:val="clear" w:color="auto" w:fill="auto"/>
        <w:bidi w:val="0"/>
        <w:spacing w:before="0" w:after="100" w:line="311" w:lineRule="exact"/>
        <w:ind w:left="0" w:right="0"/>
        <w:jc w:val="both"/>
      </w:pPr>
      <w:r>
        <w:rPr>
          <w:color w:val="000000"/>
          <w:spacing w:val="0"/>
          <w:w w:val="100"/>
          <w:position w:val="0"/>
        </w:rPr>
        <w:t>报告期内，薪酬与考核委员会严格按照《董事会薪酬与考核委员会实施细则》的规定行使职权，履行了审查公司董事、 监事、高级管理人员的履职情况、薪酬情况等相关事宜。报告期内薪酬与考核委员会召开了一次会议。</w:t>
      </w:r>
    </w:p>
    <w:p>
      <w:pPr>
        <w:pStyle w:val="Style24"/>
        <w:keepNext w:val="0"/>
        <w:keepLines w:val="0"/>
        <w:widowControl w:val="0"/>
        <w:shd w:val="clear" w:color="auto" w:fill="auto"/>
        <w:tabs>
          <w:tab w:pos="354" w:val="left"/>
        </w:tabs>
        <w:bidi w:val="0"/>
        <w:spacing w:before="0" w:after="0" w:line="360" w:lineRule="auto"/>
        <w:ind w:left="0" w:right="0" w:firstLine="0"/>
        <w:jc w:val="left"/>
      </w:pPr>
      <w:bookmarkStart w:id="578" w:name="bookmark578"/>
      <w:r>
        <w:rPr>
          <w:rFonts w:ascii="Times New Roman" w:eastAsia="Times New Roman" w:hAnsi="Times New Roman" w:cs="Times New Roman"/>
          <w:color w:val="000000"/>
          <w:spacing w:val="0"/>
          <w:w w:val="100"/>
          <w:position w:val="0"/>
          <w:sz w:val="18"/>
          <w:szCs w:val="18"/>
        </w:rPr>
        <w:t>3</w:t>
      </w:r>
      <w:bookmarkEnd w:id="578"/>
      <w:r>
        <w:rPr>
          <w:color w:val="000000"/>
          <w:spacing w:val="0"/>
          <w:w w:val="100"/>
          <w:position w:val="0"/>
        </w:rPr>
        <w:t>、</w:t>
        <w:tab/>
        <w:t>董事会提名委员会</w:t>
      </w:r>
    </w:p>
    <w:p>
      <w:pPr>
        <w:pStyle w:val="Style24"/>
        <w:keepNext w:val="0"/>
        <w:keepLines w:val="0"/>
        <w:widowControl w:val="0"/>
        <w:shd w:val="clear" w:color="auto" w:fill="auto"/>
        <w:bidi w:val="0"/>
        <w:spacing w:before="0" w:after="100" w:line="311" w:lineRule="exact"/>
        <w:ind w:left="0" w:right="0"/>
        <w:jc w:val="both"/>
      </w:pPr>
      <w:r>
        <w:rPr>
          <w:color w:val="000000"/>
          <w:spacing w:val="0"/>
          <w:w w:val="100"/>
          <w:position w:val="0"/>
        </w:rPr>
        <w:t>报告期内，提名委员会严格按照《董事会提名委员会实施细则》的规定行使职权，召开了一次会议，对公司董事选聘相 关事项进行任职资格审查，提出意见及建议。</w:t>
      </w:r>
    </w:p>
    <w:p>
      <w:pPr>
        <w:pStyle w:val="Style24"/>
        <w:keepNext w:val="0"/>
        <w:keepLines w:val="0"/>
        <w:widowControl w:val="0"/>
        <w:shd w:val="clear" w:color="auto" w:fill="auto"/>
        <w:tabs>
          <w:tab w:pos="354" w:val="left"/>
        </w:tabs>
        <w:bidi w:val="0"/>
        <w:spacing w:before="0" w:after="0" w:line="360" w:lineRule="auto"/>
        <w:ind w:left="0" w:right="0" w:firstLine="0"/>
        <w:jc w:val="left"/>
      </w:pPr>
      <w:bookmarkStart w:id="579" w:name="bookmark579"/>
      <w:r>
        <w:rPr>
          <w:rFonts w:ascii="Times New Roman" w:eastAsia="Times New Roman" w:hAnsi="Times New Roman" w:cs="Times New Roman"/>
          <w:color w:val="000000"/>
          <w:spacing w:val="0"/>
          <w:w w:val="100"/>
          <w:position w:val="0"/>
          <w:sz w:val="18"/>
          <w:szCs w:val="18"/>
        </w:rPr>
        <w:t>4</w:t>
      </w:r>
      <w:bookmarkEnd w:id="579"/>
      <w:r>
        <w:rPr>
          <w:color w:val="000000"/>
          <w:spacing w:val="0"/>
          <w:w w:val="100"/>
          <w:position w:val="0"/>
        </w:rPr>
        <w:t>、</w:t>
        <w:tab/>
        <w:t>董事会战略委员会</w:t>
      </w:r>
    </w:p>
    <w:p>
      <w:pPr>
        <w:pStyle w:val="Style24"/>
        <w:keepNext w:val="0"/>
        <w:keepLines w:val="0"/>
        <w:widowControl w:val="0"/>
        <w:shd w:val="clear" w:color="auto" w:fill="auto"/>
        <w:bidi w:val="0"/>
        <w:spacing w:before="0" w:after="380" w:line="311" w:lineRule="exact"/>
        <w:ind w:left="0" w:right="0"/>
        <w:jc w:val="both"/>
      </w:pPr>
      <w:r>
        <w:rPr>
          <w:color w:val="000000"/>
          <w:spacing w:val="0"/>
          <w:w w:val="100"/>
          <w:position w:val="0"/>
        </w:rPr>
        <w:t>报告期内，战略委员会严格按照《董事会战略委员会实施细则》的规定行使职权，积极开展相关工作，认真履行职责， 对公司长期发展战略规划进行研究并提出建议，报告期内战略委员会共召开两次会议。</w:t>
      </w:r>
    </w:p>
    <w:p>
      <w:pPr>
        <w:pStyle w:val="Style22"/>
        <w:keepNext/>
        <w:keepLines/>
        <w:widowControl w:val="0"/>
        <w:shd w:val="clear" w:color="auto" w:fill="auto"/>
        <w:tabs>
          <w:tab w:pos="522" w:val="left"/>
        </w:tabs>
        <w:bidi w:val="0"/>
        <w:spacing w:before="0" w:after="24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七</w:t>
      </w:r>
      <w:bookmarkEnd w:id="582"/>
      <w:r>
        <w:rPr>
          <w:color w:val="000000"/>
          <w:spacing w:val="0"/>
          <w:w w:val="100"/>
          <w:position w:val="0"/>
          <w:sz w:val="24"/>
          <w:szCs w:val="24"/>
        </w:rPr>
        <w:t>、</w:t>
        <w:tab/>
        <w:t>监事会工作情况</w:t>
      </w:r>
      <w:bookmarkEnd w:id="580"/>
      <w:bookmarkEnd w:id="581"/>
      <w:bookmarkEnd w:id="583"/>
    </w:p>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22"/>
        <w:keepNext/>
        <w:keepLines/>
        <w:widowControl w:val="0"/>
        <w:shd w:val="clear" w:color="auto" w:fill="auto"/>
        <w:tabs>
          <w:tab w:pos="522" w:val="left"/>
        </w:tabs>
        <w:bidi w:val="0"/>
        <w:spacing w:before="0" w:after="24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八</w:t>
      </w:r>
      <w:bookmarkEnd w:id="586"/>
      <w:r>
        <w:rPr>
          <w:color w:val="000000"/>
          <w:spacing w:val="0"/>
          <w:w w:val="100"/>
          <w:position w:val="0"/>
          <w:sz w:val="24"/>
          <w:szCs w:val="24"/>
        </w:rPr>
        <w:t>、</w:t>
        <w:tab/>
        <w:t>高级管理人员的考评及激励情况</w:t>
      </w:r>
      <w:bookmarkEnd w:id="584"/>
      <w:bookmarkEnd w:id="585"/>
      <w:bookmarkEnd w:id="587"/>
    </w:p>
    <w:p>
      <w:pPr>
        <w:pStyle w:val="Style24"/>
        <w:keepNext w:val="0"/>
        <w:keepLines w:val="0"/>
        <w:widowControl w:val="0"/>
        <w:shd w:val="clear" w:color="auto" w:fill="auto"/>
        <w:bidi w:val="0"/>
        <w:spacing w:before="0" w:after="240" w:line="312" w:lineRule="exact"/>
        <w:ind w:left="0" w:right="0"/>
        <w:jc w:val="both"/>
      </w:pPr>
      <w:r>
        <w:rPr>
          <w:color w:val="000000"/>
          <w:spacing w:val="0"/>
          <w:w w:val="100"/>
          <w:position w:val="0"/>
        </w:rPr>
        <w:t>公司建立了公正、合理、有效的高级管理人员绩效考核评价体系和激励约束机制，对高级管理人员的履职情况和工作业 绩进行年终考评，确定其年度薪酬总额，并将考核结果作为制定下一年度薪酬计划的参考依据，充分发挥和调动公司高级管 理人员的工作积极性。报告期内，公司高级管理人员能够按照《公司法》、《公司章程》及有关法律法规认真履行职责，较 好的完成了各项任务。</w:t>
      </w:r>
      <w:r>
        <w:br w:type="page"/>
      </w:r>
    </w:p>
    <w:p>
      <w:pPr>
        <w:pStyle w:val="Style22"/>
        <w:keepNext/>
        <w:keepLines/>
        <w:widowControl w:val="0"/>
        <w:shd w:val="clear" w:color="auto" w:fill="auto"/>
        <w:bidi w:val="0"/>
        <w:spacing w:before="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九</w:t>
      </w:r>
      <w:bookmarkEnd w:id="590"/>
      <w:r>
        <w:rPr>
          <w:color w:val="000000"/>
          <w:spacing w:val="0"/>
          <w:w w:val="100"/>
          <w:position w:val="0"/>
          <w:sz w:val="24"/>
          <w:szCs w:val="24"/>
        </w:rPr>
        <w:t>、内部控制评价报告</w:t>
      </w:r>
      <w:bookmarkEnd w:id="588"/>
      <w:bookmarkEnd w:id="589"/>
      <w:bookmarkEnd w:id="591"/>
    </w:p>
    <w:p>
      <w:pPr>
        <w:pStyle w:val="Style28"/>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、报告期内发现的内部控制重大缺陷的具体情况</w:t>
      </w:r>
      <w:bookmarkEnd w:id="592"/>
      <w:bookmarkEnd w:id="593"/>
      <w:bookmarkEnd w:id="59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、内控自我评价报告</w:t>
      </w:r>
      <w:bookmarkEnd w:id="596"/>
      <w:bookmarkEnd w:id="597"/>
      <w:bookmarkEnd w:id="599"/>
    </w:p>
    <w:tbl>
      <w:tblPr>
        <w:tblOverlap w:val="never"/>
        <w:jc w:val="center"/>
        <w:tblLayout w:type="fixed"/>
      </w:tblPr>
      <w:tblGrid>
        <w:gridCol w:w="3202"/>
        <w:gridCol w:w="3893"/>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74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numPr>
                <w:ilvl w:val="0"/>
                <w:numId w:val="13"/>
              </w:numPr>
              <w:shd w:val="clear" w:color="auto" w:fill="auto"/>
              <w:tabs>
                <w:tab w:pos="182" w:val="left"/>
              </w:tabs>
              <w:bidi w:val="0"/>
              <w:spacing w:before="0" w:after="140" w:line="317" w:lineRule="exact"/>
              <w:ind w:left="0" w:right="0" w:firstLine="0"/>
              <w:jc w:val="left"/>
              <w:rPr>
                <w:sz w:val="17"/>
                <w:szCs w:val="17"/>
              </w:rPr>
            </w:pPr>
            <w:r>
              <w:rPr>
                <w:rFonts w:ascii="SimSun" w:eastAsia="SimSun" w:hAnsi="SimSun" w:cs="SimSun"/>
                <w:color w:val="000000"/>
                <w:spacing w:val="0"/>
                <w:w w:val="100"/>
                <w:position w:val="0"/>
                <w:sz w:val="17"/>
                <w:szCs w:val="17"/>
              </w:rPr>
              <w:t>财务报告重大缺陷的定性标准：</w:t>
            </w:r>
          </w:p>
          <w:p>
            <w:pPr>
              <w:pStyle w:val="Style2"/>
              <w:keepNext w:val="0"/>
              <w:keepLines w:val="0"/>
              <w:widowControl w:val="0"/>
              <w:shd w:val="clear" w:color="auto" w:fill="auto"/>
              <w:tabs>
                <w:tab w:pos="326" w:val="left"/>
              </w:tabs>
              <w:bidi w:val="0"/>
              <w:spacing w:before="0" w:after="0" w:line="36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公司控制环境无效；</w:t>
            </w:r>
          </w:p>
          <w:p>
            <w:pPr>
              <w:pStyle w:val="Style2"/>
              <w:keepNext w:val="0"/>
              <w:keepLines w:val="0"/>
              <w:widowControl w:val="0"/>
              <w:shd w:val="clear" w:color="auto" w:fill="auto"/>
              <w:tabs>
                <w:tab w:pos="312" w:val="left"/>
              </w:tabs>
              <w:bidi w:val="0"/>
              <w:spacing w:before="0" w:after="0" w:line="317" w:lineRule="exact"/>
              <w:ind w:left="0" w:right="0" w:firstLine="0"/>
              <w:jc w:val="left"/>
              <w:rPr>
                <w:sz w:val="17"/>
                <w:szCs w:val="17"/>
              </w:rPr>
            </w:pPr>
            <w:r>
              <w:rPr>
                <w:color w:val="000000"/>
                <w:spacing w:val="0"/>
                <w:w w:val="100"/>
                <w:position w:val="0"/>
                <w:sz w:val="18"/>
                <w:szCs w:val="18"/>
              </w:rPr>
              <w:t>B</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公司董事、监事和高级管理人员的舞弊行为；</w:t>
            </w:r>
          </w:p>
          <w:p>
            <w:pPr>
              <w:pStyle w:val="Style2"/>
              <w:keepNext w:val="0"/>
              <w:keepLines w:val="0"/>
              <w:widowControl w:val="0"/>
              <w:shd w:val="clear" w:color="auto" w:fill="auto"/>
              <w:tabs>
                <w:tab w:pos="278" w:val="left"/>
              </w:tabs>
              <w:bidi w:val="0"/>
              <w:spacing w:before="0" w:after="0" w:line="317" w:lineRule="exact"/>
              <w:ind w:left="0" w:right="0" w:firstLine="0"/>
              <w:jc w:val="left"/>
              <w:rPr>
                <w:sz w:val="17"/>
                <w:szCs w:val="17"/>
              </w:rPr>
            </w:pPr>
            <w:r>
              <w:rPr>
                <w:color w:val="000000"/>
                <w:spacing w:val="0"/>
                <w:w w:val="100"/>
                <w:position w:val="0"/>
                <w:sz w:val="18"/>
                <w:szCs w:val="18"/>
              </w:rPr>
              <w:t>C</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公司更正已公布的财务报告，注册会计师发现 的却未被公司内部控制识别的当期财务报告中的 重大错报；</w:t>
            </w:r>
          </w:p>
          <w:p>
            <w:pPr>
              <w:pStyle w:val="Style2"/>
              <w:keepNext w:val="0"/>
              <w:keepLines w:val="0"/>
              <w:widowControl w:val="0"/>
              <w:shd w:val="clear" w:color="auto" w:fill="auto"/>
              <w:tabs>
                <w:tab w:pos="250" w:val="left"/>
              </w:tabs>
              <w:bidi w:val="0"/>
              <w:spacing w:before="0" w:after="0" w:line="322" w:lineRule="exact"/>
              <w:ind w:left="0" w:right="0" w:firstLine="0"/>
              <w:jc w:val="left"/>
              <w:rPr>
                <w:sz w:val="17"/>
                <w:szCs w:val="17"/>
              </w:rPr>
            </w:pPr>
            <w:r>
              <w:rPr>
                <w:color w:val="000000"/>
                <w:spacing w:val="0"/>
                <w:w w:val="100"/>
                <w:position w:val="0"/>
                <w:sz w:val="18"/>
                <w:szCs w:val="18"/>
              </w:rPr>
              <w:t>D</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审计委员会和审计部对公司的对外财务报告和 财务报告内部监督无效。</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出现上述情况之一，即可认定公司存在需要对外 披露的重大缺陷。</w:t>
            </w:r>
          </w:p>
          <w:p>
            <w:pPr>
              <w:pStyle w:val="Style2"/>
              <w:keepNext w:val="0"/>
              <w:keepLines w:val="0"/>
              <w:widowControl w:val="0"/>
              <w:numPr>
                <w:ilvl w:val="0"/>
                <w:numId w:val="13"/>
              </w:numPr>
              <w:shd w:val="clear" w:color="auto" w:fill="auto"/>
              <w:tabs>
                <w:tab w:pos="182" w:val="left"/>
              </w:tabs>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财务报告重要缺陷的定性标准：</w:t>
            </w:r>
          </w:p>
          <w:p>
            <w:pPr>
              <w:pStyle w:val="Style2"/>
              <w:keepNext w:val="0"/>
              <w:keepLines w:val="0"/>
              <w:widowControl w:val="0"/>
              <w:shd w:val="clear" w:color="auto" w:fill="auto"/>
              <w:tabs>
                <w:tab w:pos="312" w:val="left"/>
              </w:tabs>
              <w:bidi w:val="0"/>
              <w:spacing w:before="0" w:after="0" w:line="317" w:lineRule="exact"/>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未依照公认会计准则选择和应用会计政策；</w:t>
            </w:r>
          </w:p>
          <w:p>
            <w:pPr>
              <w:pStyle w:val="Style2"/>
              <w:keepNext w:val="0"/>
              <w:keepLines w:val="0"/>
              <w:widowControl w:val="0"/>
              <w:shd w:val="clear" w:color="auto" w:fill="auto"/>
              <w:tabs>
                <w:tab w:pos="312" w:val="left"/>
              </w:tabs>
              <w:bidi w:val="0"/>
              <w:spacing w:before="0" w:after="0" w:line="317" w:lineRule="exact"/>
              <w:ind w:left="0" w:right="0" w:firstLine="0"/>
              <w:jc w:val="left"/>
              <w:rPr>
                <w:sz w:val="17"/>
                <w:szCs w:val="17"/>
              </w:rPr>
            </w:pPr>
            <w:r>
              <w:rPr>
                <w:color w:val="000000"/>
                <w:spacing w:val="0"/>
                <w:w w:val="100"/>
                <w:position w:val="0"/>
                <w:sz w:val="18"/>
                <w:szCs w:val="18"/>
              </w:rPr>
              <w:t>B</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未建立反舞弊程序和控制措施；</w:t>
            </w:r>
          </w:p>
          <w:p>
            <w:pPr>
              <w:pStyle w:val="Style2"/>
              <w:keepNext w:val="0"/>
              <w:keepLines w:val="0"/>
              <w:widowControl w:val="0"/>
              <w:shd w:val="clear" w:color="auto" w:fill="auto"/>
              <w:tabs>
                <w:tab w:pos="240" w:val="left"/>
              </w:tabs>
              <w:bidi w:val="0"/>
              <w:spacing w:before="0" w:after="0" w:line="322" w:lineRule="exact"/>
              <w:ind w:left="0" w:right="0" w:firstLine="0"/>
              <w:jc w:val="left"/>
              <w:rPr>
                <w:sz w:val="17"/>
                <w:szCs w:val="17"/>
              </w:rPr>
            </w:pPr>
            <w:r>
              <w:rPr>
                <w:color w:val="000000"/>
                <w:spacing w:val="0"/>
                <w:w w:val="100"/>
                <w:position w:val="0"/>
                <w:sz w:val="18"/>
                <w:szCs w:val="18"/>
              </w:rPr>
              <w:t>C</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对于非常规或特殊交易的账务处理没有建立相 应的控制机制或没有相应的补偿性控制；</w:t>
            </w:r>
          </w:p>
          <w:p>
            <w:pPr>
              <w:pStyle w:val="Style2"/>
              <w:keepNext w:val="0"/>
              <w:keepLines w:val="0"/>
              <w:widowControl w:val="0"/>
              <w:shd w:val="clear" w:color="auto" w:fill="auto"/>
              <w:tabs>
                <w:tab w:pos="240" w:val="left"/>
              </w:tabs>
              <w:bidi w:val="0"/>
              <w:spacing w:before="0" w:after="0" w:line="317" w:lineRule="exact"/>
              <w:ind w:left="0" w:right="0" w:firstLine="0"/>
              <w:jc w:val="left"/>
              <w:rPr>
                <w:sz w:val="17"/>
                <w:szCs w:val="17"/>
              </w:rPr>
            </w:pPr>
            <w:r>
              <w:rPr>
                <w:color w:val="000000"/>
                <w:spacing w:val="0"/>
                <w:w w:val="100"/>
                <w:position w:val="0"/>
                <w:sz w:val="18"/>
                <w:szCs w:val="18"/>
              </w:rPr>
              <w:t>D</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对于期末财务报告过程的控制存在一项或多项 缺陷且不能合理保证编制的财务报表达到真实、 准确的目标。</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出现上述情况之一，即可认定公司存在需要对外 披露的重要缺陷。</w:t>
            </w:r>
          </w:p>
          <w:p>
            <w:pPr>
              <w:pStyle w:val="Style2"/>
              <w:keepNext w:val="0"/>
              <w:keepLines w:val="0"/>
              <w:widowControl w:val="0"/>
              <w:numPr>
                <w:ilvl w:val="0"/>
                <w:numId w:val="13"/>
              </w:numPr>
              <w:shd w:val="clear" w:color="auto" w:fill="auto"/>
              <w:tabs>
                <w:tab w:pos="182"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一般缺陷是指除上述重大缺陷、重大缺陷之外 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公司确定的非财务报告内部控 制缺陷评价的定性标准如下： 非财务报告缺陷认定主要以缺 陷对业务流程有效性的影响程 度、发生的可能性作判定。如 果缺陷发生的可能性高，难以 发现并更正，对工作效率或效 果有严重影响，或使之严重偏 离预期目标为重大缺陷；如果 缺陷发生的可能性较高，较容 易发现并更正，对工作效率或 效果有显著影响，或使之显著 偏离预期目标为重要缺陷；如 果缺陷发生的可能性较小，可 以马上发现并更正，对工作效 率或效果只造成轻微影响，或 使之偏离预期目标为一般缺 陷。</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5"/>
              </w:numPr>
              <w:shd w:val="clear" w:color="auto" w:fill="auto"/>
              <w:tabs>
                <w:tab w:pos="182" w:val="left"/>
              </w:tabs>
              <w:bidi w:val="0"/>
              <w:spacing w:before="0" w:after="60" w:line="302" w:lineRule="exact"/>
              <w:ind w:left="0" w:right="0" w:firstLine="0"/>
              <w:jc w:val="left"/>
              <w:rPr>
                <w:sz w:val="17"/>
                <w:szCs w:val="17"/>
              </w:rPr>
            </w:pPr>
            <w:r>
              <w:rPr>
                <w:rFonts w:ascii="SimSun" w:eastAsia="SimSun" w:hAnsi="SimSun" w:cs="SimSun"/>
                <w:color w:val="000000"/>
                <w:spacing w:val="0"/>
                <w:w w:val="100"/>
                <w:position w:val="0"/>
                <w:sz w:val="17"/>
                <w:szCs w:val="17"/>
              </w:rPr>
              <w:t>重大缺陷指考虑补偿性控制措施和实际偏差率 后，该缺陷总体影响水平高于营业收入的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p>
            <w:pPr>
              <w:pStyle w:val="Style2"/>
              <w:keepNext w:val="0"/>
              <w:keepLines w:val="0"/>
              <w:widowControl w:val="0"/>
              <w:numPr>
                <w:ilvl w:val="0"/>
                <w:numId w:val="15"/>
              </w:numPr>
              <w:shd w:val="clear" w:color="auto" w:fill="auto"/>
              <w:tabs>
                <w:tab w:pos="182" w:val="left"/>
              </w:tabs>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重要缺陷考虑补偿性控制措施和实际偏差率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已经对外正式披露并对公司定 期报告披露造成负面影响、企 业关键岗位人员流失严重、重</w:t>
            </w:r>
          </w:p>
        </w:tc>
      </w:tr>
    </w:tbl>
    <w:p>
      <w:pPr>
        <w:spacing w:lineRule="exact" w:line="1"/>
        <w:rPr>
          <w:sz w:val="2"/>
          <w:szCs w:val="2"/>
        </w:rPr>
      </w:pPr>
      <w:r>
        <w:br w:type="page"/>
      </w:r>
    </w:p>
    <w:tbl>
      <w:tblPr>
        <w:tblOverlap w:val="never"/>
        <w:jc w:val="center"/>
        <w:tblLayout w:type="fixed"/>
      </w:tblPr>
      <w:tblGrid>
        <w:gridCol w:w="3202"/>
        <w:gridCol w:w="3893"/>
        <w:gridCol w:w="2491"/>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后，该缺陷总体影响水平低于营业收入的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 但高于营业收入的</w:t>
            </w:r>
            <w:r>
              <w:rPr>
                <w:color w:val="000000"/>
                <w:spacing w:val="0"/>
                <w:w w:val="100"/>
                <w:position w:val="0"/>
                <w:sz w:val="18"/>
                <w:szCs w:val="18"/>
              </w:rPr>
              <w:t>0.1%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③一般缺陷考虑补偿性控制措施和实际偏差率 后，该缺陷总体影响水平低于营业收入的</w:t>
            </w:r>
            <w:r>
              <w:rPr>
                <w:color w:val="000000"/>
                <w:spacing w:val="0"/>
                <w:w w:val="100"/>
                <w:position w:val="0"/>
                <w:sz w:val="18"/>
                <w:szCs w:val="18"/>
              </w:rPr>
              <w:t>0.1%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大决策失误、重大安全事故、 受到国家政府部门处罚等，造 成直接财产损失或潜在负面影 响</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万元（含）以上为重大 缺陷；</w:t>
            </w:r>
            <w:r>
              <w:rPr>
                <w:color w:val="000000"/>
                <w:spacing w:val="0"/>
                <w:w w:val="100"/>
                <w:position w:val="0"/>
                <w:sz w:val="18"/>
                <w:szCs w:val="18"/>
              </w:rPr>
              <w:t>50</w:t>
            </w:r>
            <w:r>
              <w:rPr>
                <w:rFonts w:ascii="SimSun" w:eastAsia="SimSun" w:hAnsi="SimSun" w:cs="SimSun"/>
                <w:color w:val="000000"/>
                <w:spacing w:val="0"/>
                <w:w w:val="100"/>
                <w:position w:val="0"/>
                <w:sz w:val="17"/>
                <w:szCs w:val="17"/>
              </w:rPr>
              <w:t>万元（含）至</w:t>
            </w:r>
            <w:r>
              <w:rPr>
                <w:color w:val="000000"/>
                <w:spacing w:val="0"/>
                <w:w w:val="100"/>
                <w:position w:val="0"/>
                <w:sz w:val="18"/>
                <w:szCs w:val="18"/>
              </w:rPr>
              <w:t>500</w:t>
            </w:r>
            <w:r>
              <w:rPr>
                <w:rFonts w:ascii="SimSun" w:eastAsia="SimSun" w:hAnsi="SimSun" w:cs="SimSun"/>
                <w:color w:val="000000"/>
                <w:spacing w:val="0"/>
                <w:w w:val="100"/>
                <w:position w:val="0"/>
                <w:sz w:val="17"/>
                <w:szCs w:val="17"/>
              </w:rPr>
              <w:t>万 元为重要缺陷；</w:t>
            </w:r>
            <w:r>
              <w:rPr>
                <w:color w:val="000000"/>
                <w:spacing w:val="0"/>
                <w:w w:val="100"/>
                <w:position w:val="0"/>
                <w:sz w:val="18"/>
                <w:szCs w:val="18"/>
              </w:rPr>
              <w:t>50</w:t>
            </w:r>
            <w:r>
              <w:rPr>
                <w:rFonts w:ascii="SimSun" w:eastAsia="SimSun" w:hAnsi="SimSun" w:cs="SimSun"/>
                <w:color w:val="000000"/>
                <w:spacing w:val="0"/>
                <w:w w:val="100"/>
                <w:position w:val="0"/>
                <w:sz w:val="17"/>
                <w:szCs w:val="17"/>
              </w:rPr>
              <w:t>万元以下为 一般缺陷。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r>
        <w:rPr>
          <w:color w:val="000000"/>
          <w:spacing w:val="0"/>
          <w:w w:val="100"/>
          <w:position w:val="0"/>
          <w:sz w:val="24"/>
          <w:szCs w:val="24"/>
        </w:rPr>
        <w:t>十、内部控制审计报告或鉴证报告</w:t>
      </w:r>
      <w:bookmarkEnd w:id="600"/>
      <w:bookmarkEnd w:id="601"/>
      <w:bookmarkEnd w:id="602"/>
    </w:p>
    <w:p>
      <w:pPr>
        <w:pStyle w:val="Style33"/>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汇金科技于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日在所有重大方面有效地保持了按照《企业内部控制基本规范》建立的与财务报表相关的内 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t>
            </w:r>
            <w:r>
              <w:rPr>
                <w:color w:val="000000"/>
                <w:spacing w:val="0"/>
                <w:w w:val="100"/>
                <w:position w:val="0"/>
                <w:sz w:val="18"/>
                <w:szCs w:val="18"/>
              </w:rPr>
              <w:t xml:space="preserve">: </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00" w:line="346" w:lineRule="exact"/>
        <w:ind w:left="0" w:right="0" w:firstLine="0"/>
        <w:jc w:val="left"/>
        <w:sectPr>
          <w:footnotePr>
            <w:pos w:val="pageBottom"/>
            <w:numFmt w:val="decimal"/>
            <w:numRestart w:val="continuous"/>
          </w:footnotePr>
          <w:pgSz w:w="11900" w:h="16840"/>
          <w:pgMar w:top="1378" w:right="1079" w:bottom="1436" w:left="1048"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keepLines/>
        <w:widowControl w:val="0"/>
        <w:shd w:val="clear" w:color="auto" w:fill="auto"/>
        <w:bidi w:val="0"/>
        <w:spacing w:before="0" w:after="600" w:line="240" w:lineRule="auto"/>
        <w:ind w:left="0" w:right="0" w:firstLine="0"/>
        <w:jc w:val="center"/>
      </w:pPr>
      <w:bookmarkStart w:id="603" w:name="bookmark603"/>
      <w:bookmarkStart w:id="604" w:name="bookmark604"/>
      <w:bookmarkStart w:id="605" w:name="bookmark605"/>
      <w:r>
        <w:rPr>
          <w:color w:val="000000"/>
          <w:spacing w:val="0"/>
          <w:w w:val="100"/>
          <w:position w:val="0"/>
        </w:rPr>
        <w:t>第十一节公司债券相关情况</w:t>
      </w:r>
      <w:bookmarkEnd w:id="603"/>
      <w:bookmarkEnd w:id="604"/>
      <w:bookmarkEnd w:id="60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500" w:after="560" w:line="240" w:lineRule="auto"/>
        <w:ind w:left="0" w:right="0" w:firstLine="0"/>
        <w:jc w:val="center"/>
      </w:pPr>
      <w:bookmarkStart w:id="606" w:name="bookmark606"/>
      <w:bookmarkStart w:id="607" w:name="bookmark607"/>
      <w:bookmarkStart w:id="608" w:name="bookmark608"/>
      <w:r>
        <w:rPr>
          <w:color w:val="000000"/>
          <w:spacing w:val="0"/>
          <w:w w:val="100"/>
          <w:position w:val="0"/>
        </w:rPr>
        <w:t>第十二节财务报告</w:t>
      </w:r>
      <w:bookmarkEnd w:id="606"/>
      <w:bookmarkEnd w:id="607"/>
      <w:bookmarkEnd w:id="608"/>
    </w:p>
    <w:p>
      <w:pPr>
        <w:pStyle w:val="Style22"/>
        <w:keepNext/>
        <w:keepLines/>
        <w:widowControl w:val="0"/>
        <w:shd w:val="clear" w:color="auto" w:fill="auto"/>
        <w:bidi w:val="0"/>
        <w:spacing w:before="0" w:after="34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一</w:t>
      </w:r>
      <w:bookmarkEnd w:id="611"/>
      <w:r>
        <w:rPr>
          <w:color w:val="000000"/>
          <w:spacing w:val="0"/>
          <w:w w:val="100"/>
          <w:position w:val="0"/>
          <w:sz w:val="24"/>
          <w:szCs w:val="24"/>
        </w:rPr>
        <w:t>、审计报告</w:t>
      </w:r>
      <w:bookmarkEnd w:id="609"/>
      <w:bookmarkEnd w:id="610"/>
      <w:bookmarkEnd w:id="61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致同审字（</w:t>
            </w:r>
            <w:r>
              <w:rPr>
                <w:color w:val="000000"/>
                <w:spacing w:val="0"/>
                <w:w w:val="100"/>
                <w:position w:val="0"/>
                <w:sz w:val="18"/>
                <w:szCs w:val="18"/>
              </w:rPr>
              <w:t>2021</w:t>
            </w:r>
            <w:r>
              <w:rPr>
                <w:rFonts w:ascii="SimSun" w:eastAsia="SimSun" w:hAnsi="SimSun" w:cs="SimSun"/>
                <w:color w:val="000000"/>
                <w:spacing w:val="0"/>
                <w:w w:val="100"/>
                <w:position w:val="0"/>
                <w:sz w:val="17"/>
                <w:szCs w:val="17"/>
              </w:rPr>
              <w:t>）第</w:t>
            </w:r>
            <w:r>
              <w:rPr>
                <w:color w:val="000000"/>
                <w:spacing w:val="0"/>
                <w:w w:val="100"/>
                <w:position w:val="0"/>
                <w:sz w:val="18"/>
                <w:szCs w:val="18"/>
              </w:rPr>
              <w:t>442A012946</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王莹、胡静</w:t>
            </w:r>
          </w:p>
        </w:tc>
      </w:tr>
    </w:tbl>
    <w:p>
      <w:pPr>
        <w:pStyle w:val="Style3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39" w:line="1" w:lineRule="exact"/>
      </w:pP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珠海汇金科技股份有限公司全体股东：</w:t>
      </w:r>
    </w:p>
    <w:p>
      <w:pPr>
        <w:pStyle w:val="Style24"/>
        <w:keepNext w:val="0"/>
        <w:keepLines w:val="0"/>
        <w:widowControl w:val="0"/>
        <w:shd w:val="clear" w:color="auto" w:fill="auto"/>
        <w:bidi w:val="0"/>
        <w:spacing w:before="0" w:after="0" w:line="314" w:lineRule="exact"/>
        <w:ind w:left="0" w:right="0" w:firstLine="0"/>
        <w:jc w:val="left"/>
      </w:pPr>
      <w:bookmarkStart w:id="613" w:name="bookmark613"/>
      <w:r>
        <w:rPr>
          <w:color w:val="000000"/>
          <w:spacing w:val="0"/>
          <w:w w:val="100"/>
          <w:position w:val="0"/>
        </w:rPr>
        <w:t>一</w:t>
      </w:r>
      <w:bookmarkEnd w:id="613"/>
      <w:r>
        <w:rPr>
          <w:color w:val="000000"/>
          <w:spacing w:val="0"/>
          <w:w w:val="100"/>
          <w:position w:val="0"/>
        </w:rPr>
        <w:t>、审计意见</w:t>
      </w:r>
    </w:p>
    <w:p>
      <w:pPr>
        <w:pStyle w:val="Style2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我们审计了珠海汇金科技股份有限公司（以下简称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 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年度的合并及公司利润表、合并及公司现金流量表、合并及公司股东权益变动表以及相关财务报表附注。</w:t>
      </w:r>
    </w:p>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我们认为，后附的财务报表在所有重大方面按照企业会计准则的规定编制，公允反映了汇金科技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年度的合并及公司的经营成果和现金流量。</w:t>
      </w:r>
    </w:p>
    <w:p>
      <w:pPr>
        <w:pStyle w:val="Style24"/>
        <w:keepNext w:val="0"/>
        <w:keepLines w:val="0"/>
        <w:widowControl w:val="0"/>
        <w:shd w:val="clear" w:color="auto" w:fill="auto"/>
        <w:tabs>
          <w:tab w:pos="815" w:val="left"/>
        </w:tabs>
        <w:bidi w:val="0"/>
        <w:spacing w:before="0" w:after="0" w:line="314" w:lineRule="exact"/>
        <w:ind w:left="0" w:right="0" w:firstLine="380"/>
        <w:jc w:val="left"/>
      </w:pPr>
      <w:bookmarkStart w:id="614" w:name="bookmark614"/>
      <w:r>
        <w:rPr>
          <w:color w:val="000000"/>
          <w:spacing w:val="0"/>
          <w:w w:val="100"/>
          <w:position w:val="0"/>
        </w:rPr>
        <w:t>二</w:t>
      </w:r>
      <w:bookmarkEnd w:id="614"/>
      <w:r>
        <w:rPr>
          <w:color w:val="000000"/>
          <w:spacing w:val="0"/>
          <w:w w:val="100"/>
          <w:position w:val="0"/>
        </w:rPr>
        <w:t>、</w:t>
        <w:tab/>
        <w:t>形成审计意见的基础</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阐述了我们在这些准则下的责任。按照中国注册会计师职业道德守则，我们独立于汇金科技，并履行了职业道德方面的其他 责任。我们相信，我们获取的审计证据是充分、适当的，为发表审计意见提供了基础。</w:t>
      </w:r>
    </w:p>
    <w:p>
      <w:pPr>
        <w:pStyle w:val="Style24"/>
        <w:keepNext w:val="0"/>
        <w:keepLines w:val="0"/>
        <w:widowControl w:val="0"/>
        <w:shd w:val="clear" w:color="auto" w:fill="auto"/>
        <w:tabs>
          <w:tab w:pos="815" w:val="left"/>
        </w:tabs>
        <w:bidi w:val="0"/>
        <w:spacing w:before="0" w:after="0" w:line="314" w:lineRule="exact"/>
        <w:ind w:left="0" w:right="0" w:firstLine="380"/>
        <w:jc w:val="left"/>
      </w:pPr>
      <w:bookmarkStart w:id="615" w:name="bookmark615"/>
      <w:r>
        <w:rPr>
          <w:color w:val="000000"/>
          <w:spacing w:val="0"/>
          <w:w w:val="100"/>
          <w:position w:val="0"/>
        </w:rPr>
        <w:t>三</w:t>
      </w:r>
      <w:bookmarkEnd w:id="615"/>
      <w:r>
        <w:rPr>
          <w:color w:val="000000"/>
          <w:spacing w:val="0"/>
          <w:w w:val="100"/>
          <w:position w:val="0"/>
        </w:rPr>
        <w:t>、</w:t>
        <w:tab/>
        <w:t>关键审计事项</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（一）收入确认</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及五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4"/>
        <w:keepNext w:val="0"/>
        <w:keepLines w:val="0"/>
        <w:widowControl w:val="0"/>
        <w:shd w:val="clear" w:color="auto" w:fill="auto"/>
        <w:tabs>
          <w:tab w:pos="727" w:val="left"/>
        </w:tabs>
        <w:bidi w:val="0"/>
        <w:spacing w:before="0" w:after="0" w:line="360" w:lineRule="auto"/>
        <w:ind w:left="0" w:right="0" w:firstLine="380"/>
        <w:jc w:val="left"/>
      </w:pPr>
      <w:bookmarkStart w:id="616" w:name="bookmark616"/>
      <w:r>
        <w:rPr>
          <w:rFonts w:ascii="Times New Roman" w:eastAsia="Times New Roman" w:hAnsi="Times New Roman" w:cs="Times New Roman"/>
          <w:color w:val="000000"/>
          <w:spacing w:val="0"/>
          <w:w w:val="100"/>
          <w:position w:val="0"/>
          <w:sz w:val="18"/>
          <w:szCs w:val="18"/>
        </w:rPr>
        <w:t>1</w:t>
      </w:r>
      <w:bookmarkEnd w:id="616"/>
      <w:r>
        <w:rPr>
          <w:color w:val="000000"/>
          <w:spacing w:val="0"/>
          <w:w w:val="100"/>
          <w:position w:val="0"/>
        </w:rPr>
        <w:t>、</w:t>
        <w:tab/>
        <w:t>事项描述</w:t>
      </w:r>
    </w:p>
    <w:p>
      <w:pPr>
        <w:pStyle w:val="Style2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汇金科技的营业收入主要来自于金融安防产品的生产销售，通常在产品交付给购买方，或完成必要的安装、调试工作， 购买方验收通过后确认销售收入。汇金科技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年度合并财务报表中的营业收入为</w:t>
      </w:r>
      <w:r>
        <w:rPr>
          <w:rFonts w:ascii="Times New Roman" w:eastAsia="Times New Roman" w:hAnsi="Times New Roman" w:cs="Times New Roman"/>
          <w:color w:val="000000"/>
          <w:spacing w:val="0"/>
          <w:w w:val="100"/>
          <w:position w:val="0"/>
          <w:sz w:val="18"/>
          <w:szCs w:val="18"/>
        </w:rPr>
        <w:t>20,392.62</w:t>
      </w:r>
      <w:r>
        <w:rPr>
          <w:color w:val="000000"/>
          <w:spacing w:val="0"/>
          <w:w w:val="100"/>
          <w:position w:val="0"/>
        </w:rPr>
        <w:t>万元，较上年增加</w:t>
      </w:r>
      <w:r>
        <w:rPr>
          <w:rFonts w:ascii="Times New Roman" w:eastAsia="Times New Roman" w:hAnsi="Times New Roman" w:cs="Times New Roman"/>
          <w:color w:val="000000"/>
          <w:spacing w:val="0"/>
          <w:w w:val="100"/>
          <w:position w:val="0"/>
          <w:sz w:val="18"/>
          <w:szCs w:val="18"/>
        </w:rPr>
        <w:t>3.76%</w:t>
      </w:r>
      <w:r>
        <w:rPr>
          <w:color w:val="000000"/>
          <w:spacing w:val="0"/>
          <w:w w:val="100"/>
          <w:position w:val="0"/>
        </w:rPr>
        <w:t>。</w:t>
      </w:r>
    </w:p>
    <w:p>
      <w:pPr>
        <w:pStyle w:val="Style24"/>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由于营业收入对汇金科技财务报表存在重大影响，是汇金科技关键业绩指标之一，可能存在收入确认的相关风险。因此， 我们将收入确认识别为关键审计事项。</w:t>
      </w:r>
    </w:p>
    <w:p>
      <w:pPr>
        <w:pStyle w:val="Style24"/>
        <w:keepNext w:val="0"/>
        <w:keepLines w:val="0"/>
        <w:widowControl w:val="0"/>
        <w:shd w:val="clear" w:color="auto" w:fill="auto"/>
        <w:tabs>
          <w:tab w:pos="729" w:val="left"/>
        </w:tabs>
        <w:bidi w:val="0"/>
        <w:spacing w:before="0" w:after="0" w:line="360" w:lineRule="auto"/>
        <w:ind w:left="0" w:right="0" w:firstLine="380"/>
        <w:jc w:val="both"/>
      </w:pPr>
      <w:bookmarkStart w:id="617" w:name="bookmark617"/>
      <w:r>
        <w:rPr>
          <w:rFonts w:ascii="Times New Roman" w:eastAsia="Times New Roman" w:hAnsi="Times New Roman" w:cs="Times New Roman"/>
          <w:color w:val="000000"/>
          <w:spacing w:val="0"/>
          <w:w w:val="100"/>
          <w:position w:val="0"/>
          <w:sz w:val="18"/>
          <w:szCs w:val="18"/>
        </w:rPr>
        <w:t>2</w:t>
      </w:r>
      <w:bookmarkEnd w:id="617"/>
      <w:r>
        <w:rPr>
          <w:color w:val="000000"/>
          <w:spacing w:val="0"/>
          <w:w w:val="100"/>
          <w:position w:val="0"/>
        </w:rPr>
        <w:t>、</w:t>
        <w:tab/>
        <w:t>审计应对</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针对收入确认，我们主要实施了以下审计程序：</w:t>
      </w:r>
    </w:p>
    <w:p>
      <w:pPr>
        <w:pStyle w:val="Style24"/>
        <w:keepNext w:val="0"/>
        <w:keepLines w:val="0"/>
        <w:widowControl w:val="0"/>
        <w:shd w:val="clear" w:color="auto" w:fill="auto"/>
        <w:tabs>
          <w:tab w:pos="825" w:val="left"/>
        </w:tabs>
        <w:bidi w:val="0"/>
        <w:spacing w:before="0" w:after="0" w:line="326" w:lineRule="exact"/>
        <w:ind w:left="0" w:right="0" w:firstLine="380"/>
        <w:jc w:val="both"/>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了解及评估管理层与收入确认相关的内部控制的设计有效性，并测试关键控制运行的有效性；</w:t>
      </w:r>
    </w:p>
    <w:p>
      <w:pPr>
        <w:pStyle w:val="Style24"/>
        <w:keepNext w:val="0"/>
        <w:keepLines w:val="0"/>
        <w:widowControl w:val="0"/>
        <w:shd w:val="clear" w:color="auto" w:fill="auto"/>
        <w:tabs>
          <w:tab w:pos="901" w:val="left"/>
        </w:tabs>
        <w:bidi w:val="0"/>
        <w:spacing w:before="0" w:after="0" w:line="326" w:lineRule="exact"/>
        <w:ind w:left="0" w:right="0" w:firstLine="380"/>
        <w:jc w:val="both"/>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选取样本检查销售合同，识别与商品控制权转移相关的合同条款与条件，检查与产品交付、验收、结算及退货等 有关的单据，评价收入确认的会计政策是否符合企业会计准则的要求；</w:t>
      </w:r>
    </w:p>
    <w:p>
      <w:pPr>
        <w:pStyle w:val="Style24"/>
        <w:keepNext w:val="0"/>
        <w:keepLines w:val="0"/>
        <w:widowControl w:val="0"/>
        <w:shd w:val="clear" w:color="auto" w:fill="auto"/>
        <w:tabs>
          <w:tab w:pos="445" w:val="left"/>
        </w:tabs>
        <w:bidi w:val="0"/>
        <w:spacing w:before="0" w:after="0" w:line="326" w:lineRule="exact"/>
        <w:ind w:left="0" w:right="0" w:firstLine="38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抽样检查与收入确认相关的支持性文件，包括销售合同或订单、发货单、安装验收单等，评价收入确认是否符合 </w:t>
      </w:r>
      <w:r>
        <w:rPr>
          <w:color w:val="000000"/>
          <w:spacing w:val="0"/>
          <w:w w:val="100"/>
          <w:position w:val="0"/>
        </w:rPr>
        <w:t>公司收入确认的具体方法;</w:t>
      </w:r>
    </w:p>
    <w:p>
      <w:pPr>
        <w:pStyle w:val="Style24"/>
        <w:keepNext w:val="0"/>
        <w:keepLines w:val="0"/>
        <w:widowControl w:val="0"/>
        <w:numPr>
          <w:ilvl w:val="0"/>
          <w:numId w:val="17"/>
        </w:numPr>
        <w:shd w:val="clear" w:color="auto" w:fill="auto"/>
        <w:tabs>
          <w:tab w:pos="825" w:val="left"/>
        </w:tabs>
        <w:bidi w:val="0"/>
        <w:spacing w:before="0" w:after="40" w:line="312" w:lineRule="exact"/>
        <w:ind w:left="0" w:right="0" w:firstLine="380"/>
        <w:jc w:val="left"/>
      </w:pPr>
      <w:bookmarkStart w:id="621" w:name="bookmark621"/>
      <w:bookmarkEnd w:id="621"/>
      <w:r>
        <w:rPr>
          <w:color w:val="000000"/>
          <w:spacing w:val="0"/>
          <w:w w:val="100"/>
          <w:position w:val="0"/>
        </w:rPr>
        <w:t>对销售收入和毛利率等变动的合理性执行分析性程序；</w:t>
      </w:r>
    </w:p>
    <w:p>
      <w:pPr>
        <w:pStyle w:val="Style24"/>
        <w:keepNext w:val="0"/>
        <w:keepLines w:val="0"/>
        <w:widowControl w:val="0"/>
        <w:numPr>
          <w:ilvl w:val="0"/>
          <w:numId w:val="17"/>
        </w:numPr>
        <w:shd w:val="clear" w:color="auto" w:fill="auto"/>
        <w:tabs>
          <w:tab w:pos="825" w:val="left"/>
        </w:tabs>
        <w:bidi w:val="0"/>
        <w:spacing w:before="0" w:after="40" w:line="312" w:lineRule="exact"/>
        <w:ind w:left="0" w:right="0" w:firstLine="380"/>
        <w:jc w:val="left"/>
      </w:pPr>
      <w:bookmarkStart w:id="622" w:name="bookmark622"/>
      <w:bookmarkEnd w:id="622"/>
      <w:r>
        <w:rPr>
          <w:color w:val="000000"/>
          <w:spacing w:val="0"/>
          <w:w w:val="100"/>
          <w:position w:val="0"/>
        </w:rPr>
        <w:t>采用积极式函证方式对重大客户执行交易函证，复核函证信息是否准确，对未回函的客户实施替代性审计程序；</w:t>
      </w:r>
    </w:p>
    <w:p>
      <w:pPr>
        <w:pStyle w:val="Style24"/>
        <w:keepNext w:val="0"/>
        <w:keepLines w:val="0"/>
        <w:widowControl w:val="0"/>
        <w:numPr>
          <w:ilvl w:val="0"/>
          <w:numId w:val="17"/>
        </w:numPr>
        <w:shd w:val="clear" w:color="auto" w:fill="auto"/>
        <w:tabs>
          <w:tab w:pos="896" w:val="left"/>
        </w:tabs>
        <w:bidi w:val="0"/>
        <w:spacing w:before="0" w:after="40" w:line="326" w:lineRule="exact"/>
        <w:ind w:left="0" w:right="0" w:firstLine="380"/>
        <w:jc w:val="left"/>
      </w:pPr>
      <w:bookmarkStart w:id="623" w:name="bookmark623"/>
      <w:bookmarkEnd w:id="623"/>
      <w:r>
        <w:rPr>
          <w:color w:val="000000"/>
          <w:spacing w:val="0"/>
          <w:w w:val="100"/>
          <w:position w:val="0"/>
        </w:rPr>
        <w:t>从临近资产负债表日前后确认收入的记录中选取样本核对发货单、验收单等支持性文件，以评估收入是否被记录 于恰当的会计期间。</w:t>
      </w:r>
    </w:p>
    <w:p>
      <w:pPr>
        <w:pStyle w:val="Style24"/>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(二)应收账款的减值</w:t>
      </w:r>
    </w:p>
    <w:p>
      <w:pPr>
        <w:pStyle w:val="Style24"/>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及五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24"/>
        <w:keepNext w:val="0"/>
        <w:keepLines w:val="0"/>
        <w:widowControl w:val="0"/>
        <w:shd w:val="clear" w:color="auto" w:fill="auto"/>
        <w:tabs>
          <w:tab w:pos="733" w:val="left"/>
        </w:tabs>
        <w:bidi w:val="0"/>
        <w:spacing w:before="0" w:after="40" w:line="312" w:lineRule="exact"/>
        <w:ind w:left="0" w:right="0" w:firstLine="380"/>
        <w:jc w:val="left"/>
      </w:pPr>
      <w:bookmarkStart w:id="624" w:name="bookmark624"/>
      <w:r>
        <w:rPr>
          <w:rFonts w:ascii="Times New Roman" w:eastAsia="Times New Roman" w:hAnsi="Times New Roman" w:cs="Times New Roman"/>
          <w:color w:val="000000"/>
          <w:spacing w:val="0"/>
          <w:w w:val="100"/>
          <w:position w:val="0"/>
          <w:sz w:val="18"/>
          <w:szCs w:val="18"/>
        </w:rPr>
        <w:t>1</w:t>
      </w:r>
      <w:bookmarkEnd w:id="624"/>
      <w:r>
        <w:rPr>
          <w:color w:val="000000"/>
          <w:spacing w:val="0"/>
          <w:w w:val="100"/>
          <w:position w:val="0"/>
        </w:rPr>
        <w:t>、</w:t>
        <w:tab/>
        <w:t>事项描述</w:t>
      </w:r>
    </w:p>
    <w:p>
      <w:pPr>
        <w:pStyle w:val="Style24"/>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日止，汇金科技合并财务报表中应收账款账面余额为</w:t>
      </w:r>
      <w:r>
        <w:rPr>
          <w:rFonts w:ascii="Times New Roman" w:eastAsia="Times New Roman" w:hAnsi="Times New Roman" w:cs="Times New Roman"/>
          <w:color w:val="000000"/>
          <w:spacing w:val="0"/>
          <w:w w:val="100"/>
          <w:position w:val="0"/>
          <w:sz w:val="18"/>
          <w:szCs w:val="18"/>
        </w:rPr>
        <w:t>10,022.63</w:t>
      </w:r>
      <w:r>
        <w:rPr>
          <w:color w:val="000000"/>
          <w:spacing w:val="0"/>
          <w:w w:val="100"/>
          <w:position w:val="0"/>
        </w:rPr>
        <w:t xml:space="preserve">万元，已计提的坏账准备金额为 </w:t>
      </w:r>
      <w:r>
        <w:rPr>
          <w:rFonts w:ascii="Times New Roman" w:eastAsia="Times New Roman" w:hAnsi="Times New Roman" w:cs="Times New Roman"/>
          <w:color w:val="000000"/>
          <w:spacing w:val="0"/>
          <w:w w:val="100"/>
          <w:position w:val="0"/>
          <w:sz w:val="18"/>
          <w:szCs w:val="18"/>
        </w:rPr>
        <w:t>1,308.15</w:t>
      </w:r>
      <w:r>
        <w:rPr>
          <w:color w:val="000000"/>
          <w:spacing w:val="0"/>
          <w:w w:val="100"/>
          <w:position w:val="0"/>
        </w:rPr>
        <w:t>万元，账面价值为</w:t>
      </w:r>
      <w:r>
        <w:rPr>
          <w:rFonts w:ascii="Times New Roman" w:eastAsia="Times New Roman" w:hAnsi="Times New Roman" w:cs="Times New Roman"/>
          <w:color w:val="000000"/>
          <w:spacing w:val="0"/>
          <w:w w:val="100"/>
          <w:position w:val="0"/>
          <w:sz w:val="18"/>
          <w:szCs w:val="18"/>
        </w:rPr>
        <w:t>8,714.48</w:t>
      </w:r>
      <w:r>
        <w:rPr>
          <w:color w:val="000000"/>
          <w:spacing w:val="0"/>
          <w:w w:val="100"/>
          <w:position w:val="0"/>
        </w:rPr>
        <w:t>万元，占期末资产总额的</w:t>
      </w:r>
      <w:r>
        <w:rPr>
          <w:rFonts w:ascii="Times New Roman" w:eastAsia="Times New Roman" w:hAnsi="Times New Roman" w:cs="Times New Roman"/>
          <w:color w:val="000000"/>
          <w:spacing w:val="0"/>
          <w:w w:val="100"/>
          <w:position w:val="0"/>
          <w:sz w:val="18"/>
          <w:szCs w:val="18"/>
        </w:rPr>
        <w:t>11.51%</w:t>
      </w:r>
      <w:r>
        <w:rPr>
          <w:color w:val="000000"/>
          <w:spacing w:val="0"/>
          <w:w w:val="100"/>
          <w:position w:val="0"/>
        </w:rPr>
        <w:t>。</w:t>
      </w:r>
    </w:p>
    <w:p>
      <w:pPr>
        <w:pStyle w:val="Style24"/>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汇金科技管理层以预期信用损失为基础，对应收账款进行减值测试并确认坏账准备。</w:t>
      </w:r>
    </w:p>
    <w:p>
      <w:pPr>
        <w:pStyle w:val="Style24"/>
        <w:keepNext w:val="0"/>
        <w:keepLines w:val="0"/>
        <w:widowControl w:val="0"/>
        <w:shd w:val="clear" w:color="auto" w:fill="auto"/>
        <w:bidi w:val="0"/>
        <w:spacing w:before="0" w:after="40" w:line="317" w:lineRule="exact"/>
        <w:ind w:left="0" w:right="0" w:firstLine="380"/>
        <w:jc w:val="left"/>
      </w:pPr>
      <w:r>
        <w:rPr>
          <w:color w:val="000000"/>
          <w:spacing w:val="0"/>
          <w:w w:val="100"/>
          <w:position w:val="0"/>
        </w:rPr>
        <w:t>由于管理层在确定应收账款预计可收回金额并进行减值测试时需要运用重大会计估计和判断，且影响金额重大，因此我 们将应收账款的减值识别为关键审计事项。</w:t>
      </w:r>
    </w:p>
    <w:p>
      <w:pPr>
        <w:pStyle w:val="Style24"/>
        <w:keepNext w:val="0"/>
        <w:keepLines w:val="0"/>
        <w:widowControl w:val="0"/>
        <w:shd w:val="clear" w:color="auto" w:fill="auto"/>
        <w:tabs>
          <w:tab w:pos="734" w:val="left"/>
        </w:tabs>
        <w:bidi w:val="0"/>
        <w:spacing w:before="0" w:after="40" w:line="312" w:lineRule="exact"/>
        <w:ind w:left="0" w:right="0" w:firstLine="380"/>
        <w:jc w:val="left"/>
      </w:pPr>
      <w:bookmarkStart w:id="625" w:name="bookmark625"/>
      <w:r>
        <w:rPr>
          <w:rFonts w:ascii="Times New Roman" w:eastAsia="Times New Roman" w:hAnsi="Times New Roman" w:cs="Times New Roman"/>
          <w:color w:val="000000"/>
          <w:spacing w:val="0"/>
          <w:w w:val="100"/>
          <w:position w:val="0"/>
          <w:sz w:val="18"/>
          <w:szCs w:val="18"/>
        </w:rPr>
        <w:t>2</w:t>
      </w:r>
      <w:bookmarkEnd w:id="625"/>
      <w:r>
        <w:rPr>
          <w:color w:val="000000"/>
          <w:spacing w:val="0"/>
          <w:w w:val="100"/>
          <w:position w:val="0"/>
        </w:rPr>
        <w:t>、</w:t>
        <w:tab/>
        <w:t>审计应对</w:t>
      </w:r>
    </w:p>
    <w:p>
      <w:pPr>
        <w:pStyle w:val="Style24"/>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针对应收账款的减值，我们主要实施了以下审计程序：</w:t>
      </w:r>
    </w:p>
    <w:p>
      <w:pPr>
        <w:pStyle w:val="Style24"/>
        <w:keepNext w:val="0"/>
        <w:keepLines w:val="0"/>
        <w:widowControl w:val="0"/>
        <w:numPr>
          <w:ilvl w:val="0"/>
          <w:numId w:val="19"/>
        </w:numPr>
        <w:shd w:val="clear" w:color="auto" w:fill="auto"/>
        <w:tabs>
          <w:tab w:pos="825" w:val="left"/>
        </w:tabs>
        <w:bidi w:val="0"/>
        <w:spacing w:before="0" w:after="40" w:line="312" w:lineRule="exact"/>
        <w:ind w:left="0" w:right="0" w:firstLine="380"/>
        <w:jc w:val="left"/>
      </w:pPr>
      <w:bookmarkStart w:id="626" w:name="bookmark626"/>
      <w:bookmarkEnd w:id="626"/>
      <w:r>
        <w:rPr>
          <w:color w:val="000000"/>
          <w:spacing w:val="0"/>
          <w:w w:val="100"/>
          <w:position w:val="0"/>
        </w:rPr>
        <w:t>了解、评估和测试管理层与应收账预期信用损失相关的内部控制设计和运行的有效性；</w:t>
      </w:r>
    </w:p>
    <w:p>
      <w:pPr>
        <w:pStyle w:val="Style24"/>
        <w:keepNext w:val="0"/>
        <w:keepLines w:val="0"/>
        <w:widowControl w:val="0"/>
        <w:numPr>
          <w:ilvl w:val="0"/>
          <w:numId w:val="19"/>
        </w:numPr>
        <w:shd w:val="clear" w:color="auto" w:fill="auto"/>
        <w:tabs>
          <w:tab w:pos="825" w:val="left"/>
        </w:tabs>
        <w:bidi w:val="0"/>
        <w:spacing w:before="0" w:after="40" w:line="312" w:lineRule="exact"/>
        <w:ind w:left="0" w:right="0" w:firstLine="380"/>
        <w:jc w:val="left"/>
      </w:pPr>
      <w:bookmarkStart w:id="627" w:name="bookmark627"/>
      <w:bookmarkEnd w:id="627"/>
      <w:r>
        <w:rPr>
          <w:color w:val="000000"/>
          <w:spacing w:val="0"/>
          <w:w w:val="100"/>
          <w:position w:val="0"/>
        </w:rPr>
        <w:t>采用抽样方法，检查公司编制的应收账款账龄分析表的准确性；</w:t>
      </w:r>
    </w:p>
    <w:p>
      <w:pPr>
        <w:pStyle w:val="Style24"/>
        <w:keepNext w:val="0"/>
        <w:keepLines w:val="0"/>
        <w:widowControl w:val="0"/>
        <w:numPr>
          <w:ilvl w:val="0"/>
          <w:numId w:val="19"/>
        </w:numPr>
        <w:shd w:val="clear" w:color="auto" w:fill="auto"/>
        <w:tabs>
          <w:tab w:pos="901" w:val="left"/>
        </w:tabs>
        <w:bidi w:val="0"/>
        <w:spacing w:before="0" w:after="40" w:line="314" w:lineRule="exact"/>
        <w:ind w:left="0" w:right="0" w:firstLine="380"/>
        <w:jc w:val="left"/>
      </w:pPr>
      <w:bookmarkStart w:id="628" w:name="bookmark628"/>
      <w:bookmarkEnd w:id="628"/>
      <w:r>
        <w:rPr>
          <w:color w:val="000000"/>
          <w:spacing w:val="0"/>
          <w:w w:val="100"/>
          <w:position w:val="0"/>
        </w:rPr>
        <w:t>获取管理层确认预期损失率所依据的数据及相关资料，检查应收账款的账龄迁徙情况、客户信誉情况及经营情况、 历史坏账情况、预期信用损失判断等，并结合应收账款函证程序及期后回款情况的检查结果，评价应收账款预期信用损失率 的合理性及应收账款坏账准备计提的充分性；</w:t>
      </w:r>
    </w:p>
    <w:p>
      <w:pPr>
        <w:pStyle w:val="Style24"/>
        <w:keepNext w:val="0"/>
        <w:keepLines w:val="0"/>
        <w:widowControl w:val="0"/>
        <w:numPr>
          <w:ilvl w:val="0"/>
          <w:numId w:val="19"/>
        </w:numPr>
        <w:shd w:val="clear" w:color="auto" w:fill="auto"/>
        <w:tabs>
          <w:tab w:pos="825" w:val="left"/>
        </w:tabs>
        <w:bidi w:val="0"/>
        <w:spacing w:before="0" w:after="40" w:line="312" w:lineRule="exact"/>
        <w:ind w:left="0" w:right="0" w:firstLine="380"/>
        <w:jc w:val="both"/>
      </w:pPr>
      <w:bookmarkStart w:id="629" w:name="bookmark629"/>
      <w:bookmarkEnd w:id="629"/>
      <w:r>
        <w:rPr>
          <w:color w:val="000000"/>
          <w:spacing w:val="0"/>
          <w:w w:val="100"/>
          <w:position w:val="0"/>
        </w:rPr>
        <w:t>针对单项计提坏账准备的应收账款，检查管理层评估其可回收性的相关支持性证据。</w:t>
      </w:r>
    </w:p>
    <w:p>
      <w:pPr>
        <w:pStyle w:val="Style24"/>
        <w:keepNext w:val="0"/>
        <w:keepLines w:val="0"/>
        <w:widowControl w:val="0"/>
        <w:shd w:val="clear" w:color="auto" w:fill="auto"/>
        <w:tabs>
          <w:tab w:pos="801" w:val="left"/>
        </w:tabs>
        <w:bidi w:val="0"/>
        <w:spacing w:before="0" w:after="40" w:line="312" w:lineRule="exact"/>
        <w:ind w:left="0" w:right="0" w:firstLine="380"/>
        <w:jc w:val="both"/>
      </w:pPr>
      <w:bookmarkStart w:id="630" w:name="bookmark630"/>
      <w:r>
        <w:rPr>
          <w:color w:val="000000"/>
          <w:spacing w:val="0"/>
          <w:w w:val="100"/>
          <w:position w:val="0"/>
        </w:rPr>
        <w:t>四</w:t>
      </w:r>
      <w:bookmarkEnd w:id="630"/>
      <w:r>
        <w:rPr>
          <w:color w:val="000000"/>
          <w:spacing w:val="0"/>
          <w:w w:val="100"/>
          <w:position w:val="0"/>
        </w:rPr>
        <w:t>、</w:t>
        <w:tab/>
        <w:t>其他信息</w:t>
      </w:r>
    </w:p>
    <w:p>
      <w:pPr>
        <w:pStyle w:val="Style24"/>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汇金科技管理层对其他信息负责。其他信息包括汇金科技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 审计报告。</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4"/>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4"/>
        <w:keepNext w:val="0"/>
        <w:keepLines w:val="0"/>
        <w:widowControl w:val="0"/>
        <w:shd w:val="clear" w:color="auto" w:fill="auto"/>
        <w:tabs>
          <w:tab w:pos="815" w:val="left"/>
        </w:tabs>
        <w:bidi w:val="0"/>
        <w:spacing w:before="0" w:after="40" w:line="312" w:lineRule="exact"/>
        <w:ind w:left="0" w:right="0" w:firstLine="380"/>
        <w:jc w:val="both"/>
      </w:pPr>
      <w:bookmarkStart w:id="631" w:name="bookmark631"/>
      <w:r>
        <w:rPr>
          <w:color w:val="000000"/>
          <w:spacing w:val="0"/>
          <w:w w:val="100"/>
          <w:position w:val="0"/>
        </w:rPr>
        <w:t>五</w:t>
      </w:r>
      <w:bookmarkEnd w:id="631"/>
      <w:r>
        <w:rPr>
          <w:color w:val="000000"/>
          <w:spacing w:val="0"/>
          <w:w w:val="100"/>
          <w:position w:val="0"/>
        </w:rPr>
        <w:t>、</w:t>
        <w:tab/>
        <w:t>管理层和治理层对财务报表的责任</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汇金科技管理层负责按照企业会计准则的规定编制财务报表，使其实现公允反映，并设计、执行和维护必要的内部控制， 以使财务报表不存在由于舞弊或错误导致的重大错报。</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在编制财务报表时，管理层负责评估汇金科技的持续经营能力，披露与持续经营相关的事项(如适用)，并运用持续经 营假设，除非管理层计划清算汇金科技、终止运营或别无其他现实的选择。</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治理层负责监督汇金科技的财务报告过程。</w:t>
      </w:r>
    </w:p>
    <w:p>
      <w:pPr>
        <w:pStyle w:val="Style24"/>
        <w:keepNext w:val="0"/>
        <w:keepLines w:val="0"/>
        <w:widowControl w:val="0"/>
        <w:shd w:val="clear" w:color="auto" w:fill="auto"/>
        <w:tabs>
          <w:tab w:pos="815" w:val="left"/>
        </w:tabs>
        <w:bidi w:val="0"/>
        <w:spacing w:before="0" w:after="40" w:line="312" w:lineRule="exact"/>
        <w:ind w:left="0" w:right="0" w:firstLine="380"/>
        <w:jc w:val="both"/>
      </w:pPr>
      <w:bookmarkStart w:id="632" w:name="bookmark632"/>
      <w:r>
        <w:rPr>
          <w:color w:val="000000"/>
          <w:spacing w:val="0"/>
          <w:w w:val="100"/>
          <w:position w:val="0"/>
        </w:rPr>
        <w:t>六</w:t>
      </w:r>
      <w:bookmarkEnd w:id="632"/>
      <w:r>
        <w:rPr>
          <w:color w:val="000000"/>
          <w:spacing w:val="0"/>
          <w:w w:val="100"/>
          <w:position w:val="0"/>
        </w:rPr>
        <w:t>、</w:t>
        <w:tab/>
        <w:t>注册会计师对财务报表审计的责任</w:t>
      </w:r>
    </w:p>
    <w:p>
      <w:pPr>
        <w:pStyle w:val="Style24"/>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4"/>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numPr>
          <w:ilvl w:val="0"/>
          <w:numId w:val="21"/>
        </w:numPr>
        <w:shd w:val="clear" w:color="auto" w:fill="auto"/>
        <w:bidi w:val="0"/>
        <w:spacing w:before="0" w:after="0" w:line="312" w:lineRule="exact"/>
        <w:ind w:left="0" w:right="0" w:firstLine="380"/>
        <w:jc w:val="both"/>
      </w:pPr>
      <w:bookmarkStart w:id="633" w:name="bookmark633"/>
      <w:bookmarkEnd w:id="633"/>
      <w:r>
        <w:rPr>
          <w:color w:val="000000"/>
          <w:spacing w:val="0"/>
          <w:w w:val="100"/>
          <w:position w:val="0"/>
        </w:rPr>
        <w:t>识别和评估由于舞弊或错误导致的财务报表重大错报风险，设计和实施审计程序以应对这些风险，并获取充分、</w:t>
        <w:br w:type="page"/>
      </w:r>
      <w:r>
        <w:rPr>
          <w:color w:val="000000"/>
          <w:spacing w:val="0"/>
          <w:w w:val="100"/>
          <w:position w:val="0"/>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4"/>
        <w:keepNext w:val="0"/>
        <w:keepLines w:val="0"/>
        <w:widowControl w:val="0"/>
        <w:shd w:val="clear" w:color="auto" w:fill="auto"/>
        <w:tabs>
          <w:tab w:pos="805" w:val="left"/>
        </w:tabs>
        <w:bidi w:val="0"/>
        <w:spacing w:before="0" w:after="0" w:line="315" w:lineRule="exact"/>
        <w:ind w:left="0" w:right="0" w:firstLine="360"/>
        <w:jc w:val="both"/>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24"/>
        <w:keepNext w:val="0"/>
        <w:keepLines w:val="0"/>
        <w:widowControl w:val="0"/>
        <w:shd w:val="clear" w:color="auto" w:fill="auto"/>
        <w:tabs>
          <w:tab w:pos="805" w:val="left"/>
        </w:tabs>
        <w:bidi w:val="0"/>
        <w:spacing w:before="0" w:after="0" w:line="315" w:lineRule="exact"/>
        <w:ind w:left="0" w:right="0" w:firstLine="36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4"/>
        <w:keepNext w:val="0"/>
        <w:keepLines w:val="0"/>
        <w:widowControl w:val="0"/>
        <w:shd w:val="clear" w:color="auto" w:fill="auto"/>
        <w:tabs>
          <w:tab w:pos="901" w:val="left"/>
        </w:tabs>
        <w:bidi w:val="0"/>
        <w:spacing w:before="0" w:after="0" w:line="315" w:lineRule="exact"/>
        <w:ind w:left="0" w:right="0" w:firstLine="36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对管理层使用持续经营假设的恰当性得出结论。同时，根据获取的审计证据，就可能导致对汇金科技的持续经营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基于截至审计报告日可获得的信息。然而，未来的事项或情况可能导致汇金科技不能持续经营。</w:t>
      </w:r>
    </w:p>
    <w:p>
      <w:pPr>
        <w:pStyle w:val="Style24"/>
        <w:keepNext w:val="0"/>
        <w:keepLines w:val="0"/>
        <w:widowControl w:val="0"/>
        <w:shd w:val="clear" w:color="auto" w:fill="auto"/>
        <w:tabs>
          <w:tab w:pos="805" w:val="left"/>
        </w:tabs>
        <w:bidi w:val="0"/>
        <w:spacing w:before="0" w:after="0" w:line="315" w:lineRule="exact"/>
        <w:ind w:left="0" w:right="0" w:firstLine="360"/>
        <w:jc w:val="both"/>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24"/>
        <w:keepNext w:val="0"/>
        <w:keepLines w:val="0"/>
        <w:widowControl w:val="0"/>
        <w:shd w:val="clear" w:color="auto" w:fill="auto"/>
        <w:tabs>
          <w:tab w:pos="901" w:val="left"/>
        </w:tabs>
        <w:bidi w:val="0"/>
        <w:spacing w:before="0" w:after="0" w:line="326" w:lineRule="exact"/>
        <w:ind w:left="0" w:right="0" w:firstLine="36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就汇金科技中实体或业务活动的财务信息获取充分、适当的审计证据，以对财务报表发表意见。我们负责指导、 监督和执行集团审计，并对审计意见承担全部责任。</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4"/>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4"/>
        <w:keepNext w:val="0"/>
        <w:keepLines w:val="0"/>
        <w:widowControl w:val="0"/>
        <w:shd w:val="clear" w:color="auto" w:fill="auto"/>
        <w:bidi w:val="0"/>
        <w:spacing w:before="0" w:after="56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4"/>
        <w:keepNext w:val="0"/>
        <w:keepLines w:val="0"/>
        <w:widowControl w:val="0"/>
        <w:shd w:val="clear" w:color="auto" w:fill="auto"/>
        <w:bidi w:val="0"/>
        <w:spacing w:before="0" w:after="100" w:line="240" w:lineRule="auto"/>
        <w:ind w:left="1380" w:right="0" w:firstLine="0"/>
        <w:jc w:val="both"/>
      </w:pPr>
      <w:r>
        <mc:AlternateContent>
          <mc:Choice Requires="wps">
            <w:drawing>
              <wp:anchor distT="0" distB="0" distL="114300" distR="114300" simplePos="0" relativeHeight="125829380" behindDoc="0" locked="0" layoutInCell="1" allowOverlap="1">
                <wp:simplePos x="0" y="0"/>
                <wp:positionH relativeFrom="page">
                  <wp:posOffset>4254500</wp:posOffset>
                </wp:positionH>
                <wp:positionV relativeFrom="paragraph">
                  <wp:posOffset>12700</wp:posOffset>
                </wp:positionV>
                <wp:extent cx="816610" cy="347345"/>
                <wp:wrapSquare wrapText="left"/>
                <wp:docPr id="24" name="Shape 24"/>
                <a:graphic xmlns:a="http://schemas.openxmlformats.org/drawingml/2006/main">
                  <a:graphicData uri="http://schemas.microsoft.com/office/word/2010/wordprocessingShape">
                    <wps:wsp>
                      <wps:cNvSpPr txBox="1"/>
                      <wps:spPr>
                        <a:xfrm>
                          <a:ext cx="816610" cy="347345"/>
                        </a:xfrm>
                        <a:prstGeom prst="rect"/>
                        <a:noFill/>
                      </wps:spPr>
                      <wps:txbx>
                        <w:txbxContent>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中国注册会计师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（项目合伙人）</w:t>
                            </w:r>
                          </w:p>
                        </w:txbxContent>
                      </wps:txbx>
                      <wps:bodyPr lIns="0" tIns="0" rIns="0" bIns="0">
                        <a:noAutoFit/>
                      </wps:bodyPr>
                    </wps:wsp>
                  </a:graphicData>
                </a:graphic>
              </wp:anchor>
            </w:drawing>
          </mc:Choice>
          <mc:Fallback>
            <w:pict>
              <v:shape id="_x0000_s1050" type="#_x0000_t202" style="position:absolute;margin-left:335.pt;margin-top:1.pt;width:64.299999999999997pt;height:27.350000000000001pt;z-index:-125829373;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中国注册会计师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（项目合伙人）</w:t>
                      </w:r>
                    </w:p>
                  </w:txbxContent>
                </v:textbox>
                <w10:wrap type="square" side="left" anchorx="page"/>
              </v:shape>
            </w:pict>
          </mc:Fallback>
        </mc:AlternateContent>
      </w:r>
      <w:r>
        <w:rPr>
          <w:color w:val="000000"/>
          <w:spacing w:val="0"/>
          <w:w w:val="100"/>
          <w:position w:val="0"/>
        </w:rPr>
        <w:t>致同会计师事务所</w:t>
      </w:r>
    </w:p>
    <w:p>
      <w:pPr>
        <w:pStyle w:val="Style24"/>
        <w:keepNext w:val="0"/>
        <w:keepLines w:val="0"/>
        <w:widowControl w:val="0"/>
        <w:shd w:val="clear" w:color="auto" w:fill="auto"/>
        <w:bidi w:val="0"/>
        <w:spacing w:before="0" w:after="740" w:line="240" w:lineRule="auto"/>
        <w:ind w:left="1380" w:right="0" w:firstLine="0"/>
        <w:jc w:val="both"/>
      </w:pPr>
      <w:r>
        <w:rPr>
          <w:color w:val="000000"/>
          <w:spacing w:val="0"/>
          <w:w w:val="100"/>
          <w:position w:val="0"/>
        </w:rPr>
        <w:t>（特殊普通合伙）</w:t>
      </w:r>
    </w:p>
    <w:p>
      <w:pPr>
        <w:pStyle w:val="Style24"/>
        <w:keepNext w:val="0"/>
        <w:keepLines w:val="0"/>
        <w:widowControl w:val="0"/>
        <w:shd w:val="clear" w:color="auto" w:fill="auto"/>
        <w:bidi w:val="0"/>
        <w:spacing w:before="0" w:after="740" w:line="240" w:lineRule="auto"/>
        <w:ind w:left="5640" w:right="0" w:firstLine="0"/>
        <w:jc w:val="both"/>
      </w:pPr>
      <w:r>
        <w:rPr>
          <w:color w:val="000000"/>
          <w:spacing w:val="0"/>
          <w:w w:val="100"/>
          <w:position w:val="0"/>
        </w:rPr>
        <w:t>中国注册会计师</w:t>
      </w:r>
    </w:p>
    <w:p>
      <w:pPr>
        <w:pStyle w:val="Style24"/>
        <w:keepNext w:val="0"/>
        <w:keepLines w:val="0"/>
        <w:widowControl w:val="0"/>
        <w:shd w:val="clear" w:color="auto" w:fill="auto"/>
        <w:bidi w:val="0"/>
        <w:spacing w:before="0" w:after="800" w:line="240" w:lineRule="auto"/>
        <w:ind w:left="2280" w:right="0" w:firstLine="0"/>
        <w:jc w:val="both"/>
      </w:pPr>
      <w:r>
        <mc:AlternateContent>
          <mc:Choice Requires="wps">
            <w:drawing>
              <wp:anchor distT="0" distB="0" distL="114300" distR="114300" simplePos="0" relativeHeight="125829382" behindDoc="0" locked="0" layoutInCell="1" allowOverlap="1">
                <wp:simplePos x="0" y="0"/>
                <wp:positionH relativeFrom="page">
                  <wp:posOffset>1770380</wp:posOffset>
                </wp:positionH>
                <wp:positionV relativeFrom="paragraph">
                  <wp:posOffset>12700</wp:posOffset>
                </wp:positionV>
                <wp:extent cx="511810" cy="158750"/>
                <wp:wrapSquare wrapText="right"/>
                <wp:docPr id="26" name="Shape 26"/>
                <a:graphic xmlns:a="http://schemas.openxmlformats.org/drawingml/2006/main">
                  <a:graphicData uri="http://schemas.microsoft.com/office/word/2010/wordprocessingShape">
                    <wps:wsp>
                      <wps:cNvSpPr txBox="1"/>
                      <wps:spPr>
                        <a:xfrm>
                          <a:ext cx="511810" cy="1587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52" type="#_x0000_t202" style="position:absolute;margin-left:139.40000000000001pt;margin-top:1.pt;width:40.300000000000004pt;height:12.5pt;z-index:-125829371;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二一年四月二十五日</w:t>
      </w:r>
    </w:p>
    <w:p>
      <w:pPr>
        <w:pStyle w:val="Style22"/>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二</w:t>
      </w:r>
      <w:bookmarkEnd w:id="641"/>
      <w:r>
        <w:rPr>
          <w:color w:val="000000"/>
          <w:spacing w:val="0"/>
          <w:w w:val="100"/>
          <w:position w:val="0"/>
          <w:sz w:val="24"/>
          <w:szCs w:val="24"/>
        </w:rPr>
        <w:t>、财务报表</w:t>
      </w:r>
      <w:bookmarkEnd w:id="639"/>
      <w:bookmarkEnd w:id="640"/>
      <w:bookmarkEnd w:id="64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、合并资产负债表</w:t>
      </w:r>
      <w:bookmarkEnd w:id="643"/>
      <w:bookmarkEnd w:id="644"/>
      <w:bookmarkEnd w:id="646"/>
    </w:p>
    <w:p>
      <w:pPr>
        <w:pStyle w:val="Style24"/>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4" behindDoc="0" locked="0" layoutInCell="1" allowOverlap="1">
                <wp:simplePos x="0" y="0"/>
                <wp:positionH relativeFrom="page">
                  <wp:posOffset>6342380</wp:posOffset>
                </wp:positionH>
                <wp:positionV relativeFrom="paragraph">
                  <wp:posOffset>444500</wp:posOffset>
                </wp:positionV>
                <wp:extent cx="481330" cy="146050"/>
                <wp:wrapSquare wrapText="left"/>
                <wp:docPr id="28" name="Shape 28"/>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4" type="#_x0000_t202" style="position:absolute;margin-left:499.40000000000003pt;margin-top:35.pt;width:37.899999999999999pt;height:11.5pt;z-index:-125829369;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编制单位：珠海汇金科技股份有限公司</w:t>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framePr w:w="9586" w:h="816" w:hSpace="10" w:vSpace="634" w:wrap="notBeside" w:vAnchor="text" w:hAnchor="text" w:x="100" w:y="63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framePr w:w="9586" w:h="816" w:hSpace="10" w:vSpace="634" w:wrap="notBeside" w:vAnchor="text" w:hAnchor="text" w:x="100"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framePr w:w="9586" w:h="816" w:hSpace="10" w:vSpace="634" w:wrap="notBeside" w:vAnchor="text" w:hAnchor="text" w:x="100"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816" w:hSpace="10" w:vSpace="634" w:wrap="notBeside" w:vAnchor="text" w:hAnchor="text" w:x="100" w:y="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bottom w:val="single" w:sz="4"/>
            </w:tcBorders>
            <w:shd w:val="clear" w:color="auto" w:fill="D3D3D3"/>
            <w:vAlign w:val="top"/>
          </w:tcPr>
          <w:p>
            <w:pPr>
              <w:framePr w:w="9586" w:h="816" w:hSpace="10" w:vSpace="634" w:wrap="notBeside" w:vAnchor="text" w:hAnchor="text" w:x="100" w:y="635"/>
              <w:widowControl w:val="0"/>
              <w:rPr>
                <w:sz w:val="10"/>
                <w:szCs w:val="10"/>
              </w:rPr>
            </w:pPr>
          </w:p>
        </w:tc>
        <w:tc>
          <w:tcPr>
            <w:tcBorders>
              <w:top w:val="single" w:sz="4"/>
              <w:left w:val="single" w:sz="4"/>
              <w:bottom w:val="single" w:sz="4"/>
              <w:right w:val="single" w:sz="4"/>
            </w:tcBorders>
            <w:shd w:val="clear" w:color="auto" w:fill="D3D3D3"/>
            <w:vAlign w:val="top"/>
          </w:tcPr>
          <w:p>
            <w:pPr>
              <w:framePr w:w="9586" w:h="816" w:hSpace="10" w:vSpace="634" w:wrap="notBeside" w:vAnchor="text" w:hAnchor="text" w:x="100" w:y="635"/>
              <w:widowControl w:val="0"/>
              <w:rPr>
                <w:sz w:val="10"/>
                <w:szCs w:val="10"/>
              </w:rPr>
            </w:pPr>
          </w:p>
        </w:tc>
      </w:tr>
    </w:tbl>
    <w:p>
      <w:pPr>
        <w:pStyle w:val="Style33"/>
        <w:keepNext w:val="0"/>
        <w:keepLines w:val="0"/>
        <w:framePr w:w="5602" w:h="206" w:hSpace="89" w:wrap="notBeside" w:vAnchor="text" w:hAnchor="text" w:x="90"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82,900,839.71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120,155,171.52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178,245,931.50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110,262,498.63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11,860,933.60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6,685,218.00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87,144,787.42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122,217,512.98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2,233,170.37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2,555,661.33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1,956,642.52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2,981,037.99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46,812,828.40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44,827,334.31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23,191,780.58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111,019,857.84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434,346,914.10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520,704,292.60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9,873,096.10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10,894,340.97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297,739,460.09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236,397,336.85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9,796,697.08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10,636,880.90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352,552.45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766,718.00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3,805,556.69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3,467,898.13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1,140,910.00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322,708,272.41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262,787,584.85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757,055,186.51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783,491,877.45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55,247,402.22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81,263,309.89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3,473,216.25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6,343,496.90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12,670,688.17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10,170,201.74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2,306,742.47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1,697,526.59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1,577,225.51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10,791,140.40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441,903.01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824,654.60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265420" simplePos="0" relativeHeight="125829386" behindDoc="0" locked="0" layoutInCell="1" allowOverlap="1">
                <wp:simplePos x="0" y="0"/>
                <wp:positionH relativeFrom="page">
                  <wp:posOffset>724535</wp:posOffset>
                </wp:positionH>
                <wp:positionV relativeFrom="margin">
                  <wp:posOffset>8427720</wp:posOffset>
                </wp:positionV>
                <wp:extent cx="938530" cy="149225"/>
                <wp:wrapTopAndBottom/>
                <wp:docPr id="30" name="Shape 3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法定代表人：陈喆</w:t>
                            </w:r>
                          </w:p>
                        </w:txbxContent>
                      </wps:txbx>
                      <wps:bodyPr wrap="none" lIns="0" tIns="0" rIns="0" bIns="0">
                        <a:noAutoFit/>
                      </wps:bodyPr>
                    </wps:wsp>
                  </a:graphicData>
                </a:graphic>
              </wp:anchor>
            </w:drawing>
          </mc:Choice>
          <mc:Fallback>
            <w:pict>
              <v:shape id="_x0000_s1056" type="#_x0000_t202" style="position:absolute;margin-left:57.050000000000004pt;margin-top:663.60000000000002pt;width:73.900000000000006pt;height:11.75pt;z-index:-125829367;mso-wrap-distance-left:9.pt;mso-wrap-distance-top:11.pt;mso-wrap-distance-right:414.60000000000002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法定代表人：陈喆</w:t>
                      </w:r>
                    </w:p>
                  </w:txbxContent>
                </v:textbox>
                <w10:wrap type="topAndBottom" anchorx="page" anchory="margin"/>
              </v:shape>
            </w:pict>
          </mc:Fallback>
        </mc:AlternateContent>
      </w:r>
      <w:r>
        <mc:AlternateContent>
          <mc:Choice Requires="wps">
            <w:drawing>
              <wp:anchor distT="139700" distB="3175" distL="2235835" distR="2573655" simplePos="0" relativeHeight="125829388" behindDoc="0" locked="0" layoutInCell="1" allowOverlap="1">
                <wp:simplePos x="0" y="0"/>
                <wp:positionH relativeFrom="page">
                  <wp:posOffset>2846070</wp:posOffset>
                </wp:positionH>
                <wp:positionV relativeFrom="margin">
                  <wp:posOffset>8427720</wp:posOffset>
                </wp:positionV>
                <wp:extent cx="1508760" cy="146050"/>
                <wp:wrapTopAndBottom/>
                <wp:docPr id="32" name="Shape 3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主管会计工作负责人：孙玉玲</w:t>
                            </w:r>
                          </w:p>
                        </w:txbxContent>
                      </wps:txbx>
                      <wps:bodyPr wrap="none" lIns="0" tIns="0" rIns="0" bIns="0">
                        <a:noAutoFit/>
                      </wps:bodyPr>
                    </wps:wsp>
                  </a:graphicData>
                </a:graphic>
              </wp:anchor>
            </w:drawing>
          </mc:Choice>
          <mc:Fallback>
            <w:pict>
              <v:shape id="_x0000_s1058" type="#_x0000_t202" style="position:absolute;margin-left:224.09999999999999pt;margin-top:663.60000000000002pt;width:118.8pt;height:11.5pt;z-index:-125829365;mso-wrap-distance-left:176.05000000000001pt;mso-wrap-distance-top:11.pt;mso-wrap-distance-right:202.65000000000001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主管会计工作负责人：孙玉玲</w:t>
                      </w:r>
                    </w:p>
                  </w:txbxContent>
                </v:textbox>
                <w10:wrap type="topAndBottom" anchorx="page" anchory="margin"/>
              </v:shape>
            </w:pict>
          </mc:Fallback>
        </mc:AlternateContent>
      </w:r>
      <w:r>
        <mc:AlternateContent>
          <mc:Choice Requires="wps">
            <w:drawing>
              <wp:anchor distT="139700" distB="0" distL="4914900" distR="114300" simplePos="0" relativeHeight="125829390" behindDoc="0" locked="0" layoutInCell="1" allowOverlap="1">
                <wp:simplePos x="0" y="0"/>
                <wp:positionH relativeFrom="page">
                  <wp:posOffset>5525135</wp:posOffset>
                </wp:positionH>
                <wp:positionV relativeFrom="margin">
                  <wp:posOffset>8427720</wp:posOffset>
                </wp:positionV>
                <wp:extent cx="1289050" cy="149225"/>
                <wp:wrapTopAndBottom/>
                <wp:docPr id="34" name="Shape 34"/>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会计机构负责人：孙玉玲</w:t>
                            </w:r>
                          </w:p>
                        </w:txbxContent>
                      </wps:txbx>
                      <wps:bodyPr wrap="none" lIns="0" tIns="0" rIns="0" bIns="0">
                        <a:noAutoFit/>
                      </wps:bodyPr>
                    </wps:wsp>
                  </a:graphicData>
                </a:graphic>
              </wp:anchor>
            </w:drawing>
          </mc:Choice>
          <mc:Fallback>
            <w:pict>
              <v:shape id="_x0000_s1060" type="#_x0000_t202" style="position:absolute;margin-left:435.05000000000001pt;margin-top:663.60000000000002pt;width:101.5pt;height:11.75pt;z-index:-125829363;mso-wrap-distance-left:387.pt;mso-wrap-distance-top:11.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会计机构负责人：孙玉玲</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79,412,112.88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107,395,394.87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5,631,757.16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6,988,845.51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12,657,492.40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92,069,605.28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115,422,405.77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252,450,683.00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253,736,848.00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171,787,273.73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180,570,447.15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10,432,806.38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42,909,543.74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41,177,905.43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199,927,401.93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204,672,798.06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666,671,271.63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669,725,192.26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-1,685,690.40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-1,655,720.58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664,985,581.23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668,069,471.68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757,055,186.51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783,491,877.45</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bookmarkEnd w:id="649"/>
      <w:r>
        <w:rPr>
          <w:color w:val="000000"/>
          <w:spacing w:val="0"/>
          <w:w w:val="100"/>
          <w:position w:val="0"/>
        </w:rPr>
        <w:t>、母公司资产负债表</w:t>
      </w:r>
      <w:bookmarkEnd w:id="647"/>
      <w:bookmarkEnd w:id="648"/>
      <w:bookmarkEnd w:id="65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82,881,348.72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120,118,168.37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178,245,931.50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110,262,498.63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11,860,933.60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6,685,218.00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67,603,269.33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102,675,994.89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2,233,170.37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2,533,123.89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19,790,342.52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19,884,409.26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46,812,828.40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44,827,334.31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23,061,187.70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110,889,264.96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432,489,012.14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517,876,012.31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9,864,122.30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10,833,314.42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297,739,460.09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236,397,336.85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9,796,697.08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10,636,880.90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684,468.00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3,805,556.69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3,467,898.13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1,140,910.00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324,699,298.61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264,644,308.30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757,188,310.75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782,520,320.61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52,486,624.90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77,795,077.07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3,473,216.25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6,343,496.90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12,670,688.17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9,831,183.42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1,767,012.58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1,154,199.29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1,570,672.47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10,791,140.40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441,903.01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824,654.60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76,105,052.63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103,044,816.43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5,631,757.16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6,988,845.51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8,027,010.90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12,657,492.40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88,762,545.03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111,071,827.33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252,450,683.00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253,736,848.00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171,787,273.73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180,570,447.15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10,432,806.38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42,909,543.74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41,177,905.43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201,681,896.02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206,396,099.08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668,425,765.72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671,448,493.28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757,188,310.75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782,520,320.61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3</w:t>
      </w:r>
      <w:bookmarkEnd w:id="653"/>
      <w:r>
        <w:rPr>
          <w:color w:val="000000"/>
          <w:spacing w:val="0"/>
          <w:w w:val="100"/>
          <w:position w:val="0"/>
        </w:rPr>
        <w:t>、合并利润表</w:t>
      </w:r>
      <w:bookmarkEnd w:id="651"/>
      <w:bookmarkEnd w:id="652"/>
      <w:bookmarkEnd w:id="65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203,926,202.98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196,542,876.01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203,926,202.98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196,542,876.01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206,439,244.32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196,953,620.02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110,543,834.31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82,240,328.25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1,496,645.62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1,796,760.65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49,379,432.43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58,973,515.57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19,402,728.20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22,172,121.80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25,946,781.83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32,347,916.13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-577,022.38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400,766.51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625,100.81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17,829,532.98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13,051,989.08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5,271,854.55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9,370,379.80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245,931.50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262,498.63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1,044,918.32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-1,012,736.08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-3,311,465.24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-1,283,415.79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18,567,730.77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19,977,971.63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254,429.03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148,260.73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18,313,301.74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19,829,712.80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1,058,081.54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1,223,490.08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17,255,220.20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18,606,222.72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17,255,220.20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18,606,222.72</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17,285,190.02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20,118,329.09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-1,512,106.37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17,255,220.20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18,606,222.72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17,285,190.02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20,118,329.09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-1,512,106.37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4"/>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法定代表人：陈喆</w:t>
        <w:tab/>
        <w:t>主管会计工作负责人：孙玉玲</w:t>
        <w:tab/>
        <w:t>会计机构负责人：孙玉玲</w:t>
      </w:r>
    </w:p>
    <w:p>
      <w:pPr>
        <w:pStyle w:val="Style28"/>
        <w:keepNext/>
        <w:keepLines/>
        <w:widowControl w:val="0"/>
        <w:shd w:val="clear" w:color="auto" w:fill="auto"/>
        <w:bidi w:val="0"/>
        <w:spacing w:before="0" w:after="40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4</w:t>
      </w:r>
      <w:bookmarkEnd w:id="657"/>
      <w:r>
        <w:rPr>
          <w:color w:val="000000"/>
          <w:spacing w:val="0"/>
          <w:w w:val="100"/>
          <w:position w:val="0"/>
        </w:rPr>
        <w:t>、母公司利润表</w:t>
      </w:r>
      <w:bookmarkEnd w:id="655"/>
      <w:bookmarkEnd w:id="656"/>
      <w:bookmarkEnd w:id="65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203,926,202.98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196,542,876.01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110,543,834.31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82,240,328.25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1,486,730.02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1,796,760.65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49,259,953.20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58,424,254.43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19,530,586.23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21,792,841.33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25,946,781.83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32,347,916.13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-577,716.96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624,572.16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17,829,532.98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13,051,989.08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5,271,854.55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9,370,379.80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262,498.63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1,044,918.32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861,597.88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-3,311,465.24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-1,283,415.79</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18,570,143.66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22,781,541.78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195,679.03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148,260.73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18,374,464.63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22,633,282.95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1,058,081.54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941,128.86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17,316,383.09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21,692,154.09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17,316,383.09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21,692,154.09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17,316,383.09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21,692,154.09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5</w:t>
      </w:r>
      <w:bookmarkEnd w:id="661"/>
      <w:r>
        <w:rPr>
          <w:color w:val="000000"/>
          <w:spacing w:val="0"/>
          <w:w w:val="100"/>
          <w:position w:val="0"/>
        </w:rPr>
        <w:t>、合并现金流量表</w:t>
      </w:r>
      <w:bookmarkEnd w:id="659"/>
      <w:bookmarkEnd w:id="660"/>
      <w:bookmarkEnd w:id="66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263,846,971.36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237,338,868.61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14,314,687.38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10,867,883.89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7,507,798.75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6,189,374.62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285,669,457.49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254,396,127.12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126,288,522.98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53,329,685.15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49,902,819.53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70,633,390.35</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16,739,154.90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18,330,808.56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43,845,051.03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59,684,939.40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236,775,548.44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201,978,823.46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48,893,909.05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52,417,303.66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1,103,000,000.00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5,766,936.74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10,180,086.66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27,294.40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812,794,231.14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1,113,216,700.66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92,947,039.28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172,695,042.86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874,947,039.28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1,161,695,042.86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-62,152,808.14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-48,478,342.20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6,354,057.16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6,354,057.16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20,402,240.55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34,023,046.43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9,921,520.64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14,529,360.11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30,612,661.19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48,552,406.54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-24,258,604.03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-48,552,406.54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-37,519,664.93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-44,611,917.18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119,509,503.52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164,121,420.70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81,989,838.59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119,509,503.52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6</w:t>
      </w:r>
      <w:bookmarkEnd w:id="665"/>
      <w:r>
        <w:rPr>
          <w:color w:val="000000"/>
          <w:spacing w:val="0"/>
          <w:w w:val="100"/>
          <w:position w:val="0"/>
        </w:rPr>
        <w:t>、母公司现金流量表</w:t>
      </w:r>
      <w:bookmarkEnd w:id="663"/>
      <w:bookmarkEnd w:id="664"/>
      <w:bookmarkEnd w:id="6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263,846,971.36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237,338,868.61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14,314,687.38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10,867,883.89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7,502,445.30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6,150,245.97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285,664,104.04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254,356,998.47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125,581,067.48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53,329,685.15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49,739,611.33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69,804,792.42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16,729,239.30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18,330,808.56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44,702,764.72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60,438,438.80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236,752,682.83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201,903,724.93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48,911,421.21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52,453,273.54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5,766,936.74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10,180,086.66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27,294.40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812,794,231.14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1,113,216,700.66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92,947,039.28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172,695,042.86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989,000,000.00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874,947,039.28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1,161,695,042.86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-62,152,808.14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-48,478,342.20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6,354,057.16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6,354,057.16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20,402,240.55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34,023,046.43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9,921,520.64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14,529,360.11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30,612,661.19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48,552,406.54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-24,258,604.03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-48,552,406.54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-37,502,152.77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-44,575,947.30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119,472,500.37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164,048,447.67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81,970,347.60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119,472,500.37</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7</w:t>
      </w:r>
      <w:bookmarkEnd w:id="669"/>
      <w:r>
        <w:rPr>
          <w:color w:val="000000"/>
          <w:spacing w:val="0"/>
          <w:w w:val="100"/>
          <w:position w:val="0"/>
        </w:rPr>
        <w:t>、合并所有者权益变动表</w:t>
      </w:r>
      <w:bookmarkEnd w:id="667"/>
      <w:bookmarkEnd w:id="668"/>
      <w:bookmarkEnd w:id="67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36,84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669,72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36,84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41,177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2,798.</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669,72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5,192.</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6,165</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-8,783,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-29,96</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890.45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17,285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-29,96</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6,165</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-8,783,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6,165</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-8,635,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-147,8</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0,586.</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8,947.</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8,947.</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8,947.</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50,68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403,63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42,909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666,67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664,98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280,54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25,333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220,74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685,37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685,232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280,54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4,122.</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25,333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6,730.</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685,37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6,542.</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685,232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,928.26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6,744</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-99,97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3,675.</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0,298.</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3,932.</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20,118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0,872</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6,059.</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9,360.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-2,117,5</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71.02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0,872</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8,488.</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9,360.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-2,117,5</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2,261.</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3,046.</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3,046.</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3,046.</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7,616</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7,616.</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370,93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370,938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36,84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0,447.</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669,72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668,069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,471.68</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8</w:t>
      </w:r>
      <w:bookmarkEnd w:id="673"/>
      <w:r>
        <w:rPr>
          <w:color w:val="000000"/>
          <w:spacing w:val="0"/>
          <w:w w:val="100"/>
          <w:position w:val="0"/>
        </w:rPr>
        <w:t>、母公司所有者权益变动表</w:t>
      </w:r>
      <w:bookmarkEnd w:id="671"/>
      <w:bookmarkEnd w:id="672"/>
      <w:bookmarkEnd w:id="67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6,848.0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180,570,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10,432,8</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41,177,9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6,099.0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671,448,4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253,73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6,848.0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180,570,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10,432,8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41,177,9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206,39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6,099.0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671,448,4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-8,783,1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-10,029,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1,731,63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-3,022,727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17,316,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17,316,38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-8,783,1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-9,921,5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-147,817.7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-8,635,3</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-9,921,5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-147,817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-147,817.7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1,731,63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-20,298,94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1,731,63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-1,731,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-20,298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-20,298,94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划变动额结转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-107,654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107,654.9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252,45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0,683.0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171,787,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403,630.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42,909,5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668,425,7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170,41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0,104.</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280,544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25,333,1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220,896,2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685,526,01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170,41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0,104.</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280,544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25,333,1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220,896,2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685,526,01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41"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p>
            <w:pPr>
              <w:pStyle w:val="Style2"/>
              <w:keepNext w:val="0"/>
              <w:keepLines w:val="0"/>
              <w:widowControl w:val="0"/>
              <w:shd w:val="clear" w:color="auto" w:fill="auto"/>
              <w:bidi w:val="0"/>
              <w:spacing w:before="0" w:after="0" w:line="396"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83,326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-99,973,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-14,500,1</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-14,077,525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21,692,15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21,692,154.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-2,117,571.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-12,798,</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-2,117,5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-2,117,571.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-36,192,2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-34,023,046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-34,023,0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-34,023,046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,616.0</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-85,057,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,616.0</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-85,057,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-370,93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370,938.15</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253,73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6,848.</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180,570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206,396,0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671,448,49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bl>
    <w:p>
      <w:pPr>
        <w:widowControl w:val="0"/>
        <w:spacing w:after="279" w:line="1" w:lineRule="exact"/>
      </w:pPr>
    </w:p>
    <w:p>
      <w:pPr>
        <w:pStyle w:val="Style22"/>
        <w:keepNext/>
        <w:keepLines/>
        <w:widowControl w:val="0"/>
        <w:shd w:val="clear" w:color="auto" w:fill="auto"/>
        <w:tabs>
          <w:tab w:pos="522" w:val="left"/>
        </w:tabs>
        <w:bidi w:val="0"/>
        <w:spacing w:before="0" w:after="2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三</w:t>
      </w:r>
      <w:bookmarkEnd w:id="677"/>
      <w:r>
        <w:rPr>
          <w:color w:val="000000"/>
          <w:spacing w:val="0"/>
          <w:w w:val="100"/>
          <w:position w:val="0"/>
          <w:sz w:val="24"/>
          <w:szCs w:val="24"/>
        </w:rPr>
        <w:t>、</w:t>
        <w:tab/>
        <w:t>公司基本情况</w:t>
      </w:r>
      <w:bookmarkEnd w:id="675"/>
      <w:bookmarkEnd w:id="676"/>
      <w:bookmarkEnd w:id="678"/>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珠海汇金科技股份有限公司（以下简称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日由珠海汇金科技有限公司整体改制变更 成立，珠海汇金科技有限公司系由陈喆、马铮于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日出资设立。</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本公司境内发行的人民币普通股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日在深圳证券交易所上市。</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月回购注销部分限制性股票</w:t>
      </w:r>
      <w:r>
        <w:rPr>
          <w:rFonts w:ascii="Times New Roman" w:eastAsia="Times New Roman" w:hAnsi="Times New Roman" w:cs="Times New Roman"/>
          <w:color w:val="000000"/>
          <w:spacing w:val="0"/>
          <w:w w:val="100"/>
          <w:position w:val="0"/>
          <w:sz w:val="18"/>
          <w:szCs w:val="18"/>
        </w:rPr>
        <w:t>1,286,165</w:t>
      </w:r>
      <w:r>
        <w:rPr>
          <w:color w:val="000000"/>
          <w:spacing w:val="0"/>
          <w:w w:val="100"/>
          <w:position w:val="0"/>
        </w:rPr>
        <w:t>股。</w:t>
      </w:r>
    </w:p>
    <w:p>
      <w:pPr>
        <w:pStyle w:val="Style54"/>
        <w:keepNext w:val="0"/>
        <w:keepLines w:val="0"/>
        <w:widowControl w:val="0"/>
        <w:shd w:val="clear" w:color="auto" w:fill="auto"/>
        <w:bidi w:val="0"/>
        <w:spacing w:before="0" w:after="0"/>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日止，本公司注册资本为</w:t>
      </w:r>
      <w:r>
        <w:rPr>
          <w:color w:val="000000"/>
          <w:spacing w:val="0"/>
          <w:w w:val="100"/>
          <w:position w:val="0"/>
          <w:sz w:val="18"/>
          <w:szCs w:val="18"/>
        </w:rPr>
        <w:t>252,450,683.00</w:t>
      </w:r>
      <w:r>
        <w:rPr>
          <w:rFonts w:ascii="SimSun" w:eastAsia="SimSun" w:hAnsi="SimSun" w:cs="SimSun"/>
          <w:color w:val="000000"/>
          <w:spacing w:val="0"/>
          <w:w w:val="100"/>
          <w:position w:val="0"/>
          <w:sz w:val="17"/>
          <w:szCs w:val="17"/>
        </w:rPr>
        <w:t>元。</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本公司所属行业：软件和信息技术服务业。</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本公司经营范围：电子计算机软硬件、电子产品、安全防范技术产品、通信设备的设计、研发、生产、批发、零售及其 他商业批发零售（不含许可经营项目）；卡封锁、卡封片、卡封箱、卡封包及其识别系统的设计、研发、生产、批发、零售； 智能识别技术及设备、机器学习技术及设备的设计、研发、销售；集成电路设计、研发；智能移动终端的设计、研发、生产、 批发、零售；加密算法、加密体系及相关软硬件产品的设计、研发；电子工程及智能系统工程的设计、施工；信息、通信、 网络领域的技术咨询、技术服务、技术转让、技术开发；信息系统设计、集成、运行维护；电子设备安装，电子工程、智能 系统工程及安全技术防护工程的设计、施工及维护。</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本公司及子公司（以下简称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）主要产品：银行自助设备现金管理系统、银行现金流转内控系统、银行印章管理 系统、银行支付系统人脸语音识别及安全解决方案等。</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本公司注册地址：广东省珠海市软件园路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号会展中心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第三层。</w:t>
      </w:r>
    </w:p>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本财务报表及财务报表附注业经本公司第三届董事会第三十二次会议于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日批准。根据本公司章程，本财 务报表将提交股东大会审议。</w:t>
      </w:r>
    </w:p>
    <w:p>
      <w:pPr>
        <w:pStyle w:val="Style24"/>
        <w:keepNext w:val="0"/>
        <w:keepLines w:val="0"/>
        <w:widowControl w:val="0"/>
        <w:shd w:val="clear" w:color="auto" w:fill="auto"/>
        <w:bidi w:val="0"/>
        <w:spacing w:before="0" w:after="360" w:line="322"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户，详见本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附注九、在其他主体中的权益披露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keepLines/>
        <w:widowControl w:val="0"/>
        <w:shd w:val="clear" w:color="auto" w:fill="auto"/>
        <w:tabs>
          <w:tab w:pos="522" w:val="left"/>
        </w:tabs>
        <w:bidi w:val="0"/>
        <w:spacing w:before="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sz w:val="24"/>
          <w:szCs w:val="24"/>
        </w:rPr>
        <w:t>四</w:t>
      </w:r>
      <w:bookmarkEnd w:id="681"/>
      <w:r>
        <w:rPr>
          <w:color w:val="000000"/>
          <w:spacing w:val="0"/>
          <w:w w:val="100"/>
          <w:position w:val="0"/>
          <w:sz w:val="24"/>
          <w:szCs w:val="24"/>
        </w:rPr>
        <w:t>、</w:t>
        <w:tab/>
        <w:t>财务报表的编制基础</w:t>
      </w:r>
      <w:bookmarkEnd w:id="679"/>
      <w:bookmarkEnd w:id="680"/>
      <w:bookmarkEnd w:id="682"/>
    </w:p>
    <w:p>
      <w:pPr>
        <w:pStyle w:val="Style28"/>
        <w:keepNext/>
        <w:keepLines/>
        <w:widowControl w:val="0"/>
        <w:shd w:val="clear" w:color="auto" w:fill="auto"/>
        <w:tabs>
          <w:tab w:pos="413" w:val="left"/>
        </w:tabs>
        <w:bidi w:val="0"/>
        <w:spacing w:before="0" w:after="2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w:t>
        <w:tab/>
        <w:t>编制基础</w:t>
      </w:r>
      <w:bookmarkEnd w:id="683"/>
      <w:bookmarkEnd w:id="684"/>
      <w:bookmarkEnd w:id="686"/>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）编制。此外， 本集团还按照中国证监会《公开发行证券的公司信息披露编报规则第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 关财务信息。</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本财务报表以持续经营为基础列报。</w:t>
      </w:r>
    </w:p>
    <w:p>
      <w:pPr>
        <w:pStyle w:val="Style24"/>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本集团会计核算以权责发生制为基础。除某些金融工具外，本财务报表均以历史成本为计量基础。资产如果发生减值， 则按照相关规定计提相应的减值准备。</w:t>
      </w:r>
    </w:p>
    <w:p>
      <w:pPr>
        <w:pStyle w:val="Style28"/>
        <w:keepNext/>
        <w:keepLines/>
        <w:widowControl w:val="0"/>
        <w:shd w:val="clear" w:color="auto" w:fill="auto"/>
        <w:tabs>
          <w:tab w:pos="413" w:val="left"/>
        </w:tabs>
        <w:bidi w:val="0"/>
        <w:spacing w:before="0" w:after="2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w:t>
        <w:tab/>
        <w:t>持续经营</w:t>
      </w:r>
      <w:bookmarkEnd w:id="687"/>
      <w:bookmarkEnd w:id="688"/>
      <w:bookmarkEnd w:id="690"/>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2"/>
        <w:keepNext/>
        <w:keepLines/>
        <w:widowControl w:val="0"/>
        <w:shd w:val="clear" w:color="auto" w:fill="auto"/>
        <w:tabs>
          <w:tab w:pos="522" w:val="left"/>
        </w:tabs>
        <w:bidi w:val="0"/>
        <w:spacing w:before="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sz w:val="24"/>
          <w:szCs w:val="24"/>
        </w:rPr>
        <w:t>五</w:t>
      </w:r>
      <w:bookmarkEnd w:id="693"/>
      <w:r>
        <w:rPr>
          <w:color w:val="000000"/>
          <w:spacing w:val="0"/>
          <w:w w:val="100"/>
          <w:position w:val="0"/>
          <w:sz w:val="24"/>
          <w:szCs w:val="24"/>
        </w:rPr>
        <w:t>、</w:t>
        <w:tab/>
        <w:t>重要会计政策及会计估计</w:t>
      </w:r>
      <w:bookmarkEnd w:id="691"/>
      <w:bookmarkEnd w:id="692"/>
      <w:bookmarkEnd w:id="694"/>
    </w:p>
    <w:p>
      <w:pPr>
        <w:pStyle w:val="Style24"/>
        <w:keepNext w:val="0"/>
        <w:keepLines w:val="0"/>
        <w:widowControl w:val="0"/>
        <w:shd w:val="clear" w:color="auto" w:fill="auto"/>
        <w:bidi w:val="0"/>
        <w:spacing w:before="0" w:after="700" w:line="240" w:lineRule="auto"/>
        <w:ind w:left="0" w:right="0" w:firstLine="0"/>
        <w:jc w:val="left"/>
      </w:pPr>
      <w:r>
        <w:rPr>
          <w:color w:val="000000"/>
          <w:spacing w:val="0"/>
          <w:w w:val="100"/>
          <w:position w:val="0"/>
        </w:rPr>
        <w:t xml:space="preserve">具体会计政策和会计估计提示: </w:t>
      </w:r>
      <w:r>
        <w:rPr>
          <w:color w:val="000000"/>
          <w:spacing w:val="0"/>
          <w:w w:val="100"/>
          <w:position w:val="0"/>
        </w:rPr>
        <w:t>本集团会计核算以权责发生制为基础。除某些金融工具外，本财务报表均以历史成本为计量基础。资产如果发生减值，则按 照相关规定计提相应的减值准备。公司主要从事基于银行内控风险管理整体解决方案的相关应用产品研发、生产和销售。本 公司及各子公司根据实际生产经营特点，依据相关企业会计准则的规定，对收入确认等交易和事项制定了若干项具体会计政 策和会计估计，详见本附注五、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各项描述。关于管理层所作出的重大会计判断和估计的说明，请参阅附注五、</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其 他重要的会计政策和会计估计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359" w:val="left"/>
        </w:tabs>
        <w:bidi w:val="0"/>
        <w:spacing w:before="0" w:after="260" w:line="240" w:lineRule="auto"/>
        <w:ind w:left="0" w:right="0" w:firstLine="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w:t>
        <w:tab/>
        <w:t>遵循企业会计准则的声明</w:t>
      </w:r>
      <w:bookmarkEnd w:id="695"/>
      <w:bookmarkEnd w:id="696"/>
      <w:bookmarkEnd w:id="698"/>
    </w:p>
    <w:p>
      <w:pPr>
        <w:pStyle w:val="Style24"/>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本财务报表符合企业会计准则的要求，真实、完整地反映了本公司</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31</w:t>
      </w:r>
      <w:r>
        <w:rPr>
          <w:color w:val="000000"/>
          <w:spacing w:val="0"/>
          <w:w w:val="100"/>
          <w:position w:val="0"/>
        </w:rPr>
        <w:t>日的合并及公司财务状况以及</w:t>
      </w:r>
      <w:r>
        <w:rPr>
          <w:rFonts w:ascii="Tahoma" w:eastAsia="Tahoma" w:hAnsi="Tahoma" w:cs="Tahoma"/>
          <w:color w:val="000000"/>
          <w:spacing w:val="0"/>
          <w:w w:val="100"/>
          <w:position w:val="0"/>
          <w:sz w:val="16"/>
          <w:szCs w:val="16"/>
        </w:rPr>
        <w:t>2020</w:t>
      </w:r>
      <w:r>
        <w:rPr>
          <w:color w:val="000000"/>
          <w:spacing w:val="0"/>
          <w:w w:val="100"/>
          <w:position w:val="0"/>
        </w:rPr>
        <w:t>年的合并 及公司经营成果和合并及公司现金流量等有关信息。</w:t>
      </w:r>
    </w:p>
    <w:p>
      <w:pPr>
        <w:pStyle w:val="Style28"/>
        <w:keepNext/>
        <w:keepLines/>
        <w:widowControl w:val="0"/>
        <w:shd w:val="clear" w:color="auto" w:fill="auto"/>
        <w:tabs>
          <w:tab w:pos="368" w:val="left"/>
        </w:tabs>
        <w:bidi w:val="0"/>
        <w:spacing w:before="0" w:after="260" w:line="240" w:lineRule="auto"/>
        <w:ind w:left="0" w:right="0" w:firstLine="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w:t>
        <w:tab/>
        <w:t>会计期间</w:t>
      </w:r>
      <w:bookmarkEnd w:id="699"/>
      <w:bookmarkEnd w:id="700"/>
      <w:bookmarkEnd w:id="702"/>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本集团会计期间采用公历年度，即每年自</w:t>
      </w:r>
      <w:r>
        <w:rPr>
          <w:rFonts w:ascii="Tahoma" w:eastAsia="Tahoma" w:hAnsi="Tahoma" w:cs="Tahoma"/>
          <w:color w:val="000000"/>
          <w:spacing w:val="0"/>
          <w:w w:val="100"/>
          <w:position w:val="0"/>
          <w:sz w:val="16"/>
          <w:szCs w:val="16"/>
        </w:rPr>
        <w:t>1</w:t>
      </w:r>
      <w:r>
        <w:rPr>
          <w:color w:val="000000"/>
          <w:spacing w:val="0"/>
          <w:w w:val="100"/>
          <w:position w:val="0"/>
        </w:rPr>
        <w:t>月</w:t>
      </w:r>
      <w:r>
        <w:rPr>
          <w:rFonts w:ascii="Tahoma" w:eastAsia="Tahoma" w:hAnsi="Tahoma" w:cs="Tahoma"/>
          <w:color w:val="000000"/>
          <w:spacing w:val="0"/>
          <w:w w:val="100"/>
          <w:position w:val="0"/>
          <w:sz w:val="16"/>
          <w:szCs w:val="16"/>
        </w:rPr>
        <w:t>1</w:t>
      </w:r>
      <w:r>
        <w:rPr>
          <w:color w:val="000000"/>
          <w:spacing w:val="0"/>
          <w:w w:val="100"/>
          <w:position w:val="0"/>
        </w:rPr>
        <w:t>日起至</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31</w:t>
      </w:r>
      <w:r>
        <w:rPr>
          <w:color w:val="000000"/>
          <w:spacing w:val="0"/>
          <w:w w:val="100"/>
          <w:position w:val="0"/>
        </w:rPr>
        <w:t>日止。</w:t>
      </w:r>
    </w:p>
    <w:p>
      <w:pPr>
        <w:pStyle w:val="Style28"/>
        <w:keepNext/>
        <w:keepLines/>
        <w:widowControl w:val="0"/>
        <w:shd w:val="clear" w:color="auto" w:fill="auto"/>
        <w:tabs>
          <w:tab w:pos="368" w:val="left"/>
        </w:tabs>
        <w:bidi w:val="0"/>
        <w:spacing w:before="0" w:after="260" w:line="240" w:lineRule="auto"/>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3</w:t>
      </w:r>
      <w:bookmarkEnd w:id="705"/>
      <w:r>
        <w:rPr>
          <w:color w:val="000000"/>
          <w:spacing w:val="0"/>
          <w:w w:val="100"/>
          <w:position w:val="0"/>
        </w:rPr>
        <w:t>、</w:t>
        <w:tab/>
        <w:t>营业周期</w:t>
      </w:r>
      <w:bookmarkEnd w:id="703"/>
      <w:bookmarkEnd w:id="704"/>
      <w:bookmarkEnd w:id="706"/>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本集团的营业周期为</w:t>
      </w:r>
      <w:r>
        <w:rPr>
          <w:rFonts w:ascii="Tahoma" w:eastAsia="Tahoma" w:hAnsi="Tahoma" w:cs="Tahoma"/>
          <w:color w:val="000000"/>
          <w:spacing w:val="0"/>
          <w:w w:val="100"/>
          <w:position w:val="0"/>
          <w:sz w:val="16"/>
          <w:szCs w:val="16"/>
        </w:rPr>
        <w:t>12</w:t>
      </w:r>
      <w:r>
        <w:rPr>
          <w:color w:val="000000"/>
          <w:spacing w:val="0"/>
          <w:w w:val="100"/>
          <w:position w:val="0"/>
        </w:rPr>
        <w:t>个月。</w:t>
      </w:r>
    </w:p>
    <w:p>
      <w:pPr>
        <w:pStyle w:val="Style28"/>
        <w:keepNext/>
        <w:keepLines/>
        <w:widowControl w:val="0"/>
        <w:shd w:val="clear" w:color="auto" w:fill="auto"/>
        <w:tabs>
          <w:tab w:pos="368" w:val="left"/>
        </w:tabs>
        <w:bidi w:val="0"/>
        <w:spacing w:before="0" w:after="260" w:line="240" w:lineRule="auto"/>
        <w:ind w:left="0" w:right="0" w:firstLine="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4</w:t>
      </w:r>
      <w:bookmarkEnd w:id="709"/>
      <w:r>
        <w:rPr>
          <w:color w:val="000000"/>
          <w:spacing w:val="0"/>
          <w:w w:val="100"/>
          <w:position w:val="0"/>
        </w:rPr>
        <w:t>、</w:t>
        <w:tab/>
        <w:t>记账本位币</w:t>
      </w:r>
      <w:bookmarkEnd w:id="707"/>
      <w:bookmarkEnd w:id="708"/>
      <w:bookmarkEnd w:id="710"/>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本公司及境内子公司以人民币为记账本位币。本集团编制本财务报表时所采用的货币为人民币。</w:t>
      </w:r>
    </w:p>
    <w:p>
      <w:pPr>
        <w:pStyle w:val="Style28"/>
        <w:keepNext/>
        <w:keepLines/>
        <w:widowControl w:val="0"/>
        <w:shd w:val="clear" w:color="auto" w:fill="auto"/>
        <w:tabs>
          <w:tab w:pos="368" w:val="left"/>
        </w:tabs>
        <w:bidi w:val="0"/>
        <w:spacing w:before="0" w:after="26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5</w:t>
      </w:r>
      <w:bookmarkEnd w:id="713"/>
      <w:r>
        <w:rPr>
          <w:color w:val="000000"/>
          <w:spacing w:val="0"/>
          <w:w w:val="100"/>
          <w:position w:val="0"/>
        </w:rPr>
        <w:t>、</w:t>
        <w:tab/>
        <w:t>同一控制下和非同一控制下企业合并的会计处理方法</w:t>
      </w:r>
      <w:bookmarkEnd w:id="711"/>
      <w:bookmarkEnd w:id="712"/>
      <w:bookmarkEnd w:id="714"/>
    </w:p>
    <w:p>
      <w:pPr>
        <w:pStyle w:val="Style24"/>
        <w:keepNext w:val="0"/>
        <w:keepLines w:val="0"/>
        <w:widowControl w:val="0"/>
        <w:numPr>
          <w:ilvl w:val="0"/>
          <w:numId w:val="23"/>
        </w:numPr>
        <w:shd w:val="clear" w:color="auto" w:fill="auto"/>
        <w:tabs>
          <w:tab w:pos="435" w:val="left"/>
        </w:tabs>
        <w:bidi w:val="0"/>
        <w:spacing w:before="0" w:after="0" w:line="312" w:lineRule="exact"/>
        <w:ind w:left="0" w:right="0" w:firstLine="0"/>
        <w:jc w:val="both"/>
      </w:pPr>
      <w:bookmarkStart w:id="715" w:name="bookmark715"/>
      <w:bookmarkEnd w:id="715"/>
      <w:r>
        <w:rPr>
          <w:color w:val="000000"/>
          <w:spacing w:val="0"/>
          <w:w w:val="100"/>
          <w:position w:val="0"/>
        </w:rPr>
        <w:t>同一控制下的企业合并</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对于同一控制下的企业合并，合并方在合并中取得的被合并方的资产、负债，除因会计政策不同而进行的调整以外，按合并 日被合并方在最终控制方合并财务报表中的账面价值计量。合并对价的账面价值与合并中取得的净资产账面价值的差额调整 资本公积，资本公积不足冲减的，调整留存收益。</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通过多次交易分步实现同一控制下的企业合并</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在个别财务报表中，以合并日持股比例计算的合并日应享有被合并方净资产在最终控制方合并财务报表中的账面价值的份额 作为该项投资的初始投资成本；初始投资成本与合并前持有投资的账面价值加上合并日新支付对价的账面价值之和的差额， 调整资本公积，资本公积不足冲减的，调整留存收益。</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在合并财务报表中，合并方在合并中取得的被合并方的资产、负债，除因会计政策不同而进行的调整以外，按合并日在最终 控制方合并财务报表中的账面价值计量；合并前持有投资的账面价值加上合并日新支付对价的账面价值之和，与合并中取得 的净资产账面价值的差额，调整资本公积，资本公积不足冲减的，调整留存收益。合并方在取得被合并方控制权之前持有的 长期股权投资，在取得原股权之日与合并方与被合并方同处于同一方最终控制之日孰晚日起至合并日之间已确认有关损益、 其他综合收益和其他所有者权益变动，应分别冲减比较报表期间的期初留存收益或当期损益。</w:t>
      </w:r>
    </w:p>
    <w:p>
      <w:pPr>
        <w:pStyle w:val="Style24"/>
        <w:keepNext w:val="0"/>
        <w:keepLines w:val="0"/>
        <w:widowControl w:val="0"/>
        <w:numPr>
          <w:ilvl w:val="0"/>
          <w:numId w:val="23"/>
        </w:numPr>
        <w:shd w:val="clear" w:color="auto" w:fill="auto"/>
        <w:tabs>
          <w:tab w:pos="435" w:val="left"/>
        </w:tabs>
        <w:bidi w:val="0"/>
        <w:spacing w:before="0" w:after="0" w:line="312" w:lineRule="exact"/>
        <w:ind w:left="0" w:right="0" w:firstLine="0"/>
        <w:jc w:val="both"/>
      </w:pPr>
      <w:bookmarkStart w:id="716" w:name="bookmark716"/>
      <w:bookmarkEnd w:id="716"/>
      <w:r>
        <w:rPr>
          <w:color w:val="000000"/>
          <w:spacing w:val="0"/>
          <w:w w:val="100"/>
          <w:position w:val="0"/>
        </w:rPr>
        <w:t>非同一控制下的企业合并</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对于非同一控制下的企业合并，合并成本为购买日为取得对被购买方的控制权而付出的资产、发生或承担的负债以及发行的 权益性证券的公允价值。在购买日，取得的被购买方的资产、负债及或有负债按公允价值确认。</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对合并成本大于合并中取得的被购买方可辨认净资产公允价值份额的差额，确认为商誉，按成本扣除累计减值准备进行后续 计量；对合并成本小于合并中取得的被购买方可辨认净资产公允价值份额的差额，经复核后计入当期损益。</w:t>
      </w:r>
    </w:p>
    <w:p>
      <w:pPr>
        <w:pStyle w:val="Style24"/>
        <w:keepNext w:val="0"/>
        <w:keepLines w:val="0"/>
        <w:widowControl w:val="0"/>
        <w:shd w:val="clear" w:color="auto" w:fill="auto"/>
        <w:bidi w:val="0"/>
        <w:spacing w:before="0" w:after="260" w:line="312" w:lineRule="exact"/>
        <w:ind w:left="0" w:right="0" w:firstLine="0"/>
        <w:jc w:val="both"/>
      </w:pPr>
      <w:r>
        <w:rPr>
          <w:color w:val="000000"/>
          <w:spacing w:val="0"/>
          <w:w w:val="100"/>
          <w:position w:val="0"/>
        </w:rPr>
        <w:t>通过多次交易分步实现非同一控制下的企业合并</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在个别财务报表中，以购买日之前所持被购买方的股权投资的账面价值与购买日新增投资成本之和，作为该项投资的初始投 资成本。购买日之前持有的股权投资因采用权益法核算而确认的其他综合收益，购买日对这部分其他综合收益不作处理，在 处置该项投资时采用与被投资单位直接处置相关资产或负债相同的基础进行会计处理；因被投资方除净损益、其他综合收益 和利润分配以外的其他所有者权益变动而确认的所有者权益，在处置该项投资时转入处置期间的当期损益。购买日之前持有 的股权投资采用公允价值计量的，原计入其他综合收益的累计公允价值变动在改按成本法核算时转入当期损益。</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在合并财务报表中，合并成本为购买日支付的对价与购买日之前已经持有的被购买方的股权在购买日的公允价值之和。对于 购买日之前已经持有的被购买方的股权，按照该股权在购买日的公允价值进行重新计量，公允价值与其账面价值之间的差额 计入当期收益；购买日之前已经持有的被购买方的股权涉及其他综合收益、其他所有者权益变动转为购买日当期收益，由于 被投资方重新计量设定收益计划净负债或净资产变动而产生的其他综合收益除外。</w:t>
      </w:r>
    </w:p>
    <w:p>
      <w:pPr>
        <w:pStyle w:val="Style24"/>
        <w:keepNext w:val="0"/>
        <w:keepLines w:val="0"/>
        <w:widowControl w:val="0"/>
        <w:numPr>
          <w:ilvl w:val="0"/>
          <w:numId w:val="23"/>
        </w:numPr>
        <w:shd w:val="clear" w:color="auto" w:fill="auto"/>
        <w:bidi w:val="0"/>
        <w:spacing w:before="0" w:after="0" w:line="313" w:lineRule="exact"/>
        <w:ind w:left="0" w:right="0" w:firstLine="0"/>
        <w:jc w:val="both"/>
      </w:pPr>
      <w:bookmarkStart w:id="717" w:name="bookmark717"/>
      <w:bookmarkEnd w:id="717"/>
      <w:r>
        <w:rPr>
          <w:color w:val="000000"/>
          <w:spacing w:val="0"/>
          <w:w w:val="100"/>
          <w:position w:val="0"/>
        </w:rPr>
        <w:t>企业合并中有关交易费用的处理</w:t>
      </w:r>
    </w:p>
    <w:p>
      <w:pPr>
        <w:pStyle w:val="Style24"/>
        <w:keepNext w:val="0"/>
        <w:keepLines w:val="0"/>
        <w:widowControl w:val="0"/>
        <w:shd w:val="clear" w:color="auto" w:fill="auto"/>
        <w:bidi w:val="0"/>
        <w:spacing w:before="0" w:after="680" w:line="313" w:lineRule="exact"/>
        <w:ind w:left="0" w:right="0" w:firstLine="0"/>
        <w:jc w:val="both"/>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28"/>
        <w:keepNext/>
        <w:keepLines/>
        <w:widowControl w:val="0"/>
        <w:shd w:val="clear" w:color="auto" w:fill="auto"/>
        <w:bidi w:val="0"/>
        <w:spacing w:before="0" w:after="280" w:line="240"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6</w:t>
      </w:r>
      <w:bookmarkEnd w:id="720"/>
      <w:r>
        <w:rPr>
          <w:color w:val="000000"/>
          <w:spacing w:val="0"/>
          <w:w w:val="100"/>
          <w:position w:val="0"/>
        </w:rPr>
        <w:t>、合并财务报表的编制方法</w:t>
      </w:r>
      <w:bookmarkEnd w:id="718"/>
      <w:bookmarkEnd w:id="719"/>
      <w:bookmarkEnd w:id="721"/>
    </w:p>
    <w:p>
      <w:pPr>
        <w:pStyle w:val="Style24"/>
        <w:keepNext w:val="0"/>
        <w:keepLines w:val="0"/>
        <w:widowControl w:val="0"/>
        <w:numPr>
          <w:ilvl w:val="0"/>
          <w:numId w:val="25"/>
        </w:numPr>
        <w:shd w:val="clear" w:color="auto" w:fill="auto"/>
        <w:tabs>
          <w:tab w:pos="397" w:val="left"/>
        </w:tabs>
        <w:bidi w:val="0"/>
        <w:spacing w:before="0" w:after="0" w:line="313" w:lineRule="exact"/>
        <w:ind w:left="0" w:right="0" w:firstLine="0"/>
        <w:jc w:val="both"/>
      </w:pPr>
      <w:bookmarkStart w:id="722" w:name="bookmark722"/>
      <w:bookmarkEnd w:id="722"/>
      <w:r>
        <w:rPr>
          <w:color w:val="000000"/>
          <w:spacing w:val="0"/>
          <w:w w:val="100"/>
          <w:position w:val="0"/>
        </w:rPr>
        <w:t>合并范围</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合并财务报表的合并范围以控制为基础予以确定。控制，是指本公司拥有对被投资单位的权力，通过参与被投资单位的相关 活动而享有可变回报，并且有能力运用对被投资单位的权力影响其回报金额。子公司，是指被本公司控制的主体(含企业、 被投资单位中可分割的部分、结构化主体等)。</w:t>
      </w:r>
    </w:p>
    <w:p>
      <w:pPr>
        <w:pStyle w:val="Style24"/>
        <w:keepNext w:val="0"/>
        <w:keepLines w:val="0"/>
        <w:widowControl w:val="0"/>
        <w:numPr>
          <w:ilvl w:val="0"/>
          <w:numId w:val="25"/>
        </w:numPr>
        <w:shd w:val="clear" w:color="auto" w:fill="auto"/>
        <w:tabs>
          <w:tab w:pos="397" w:val="left"/>
        </w:tabs>
        <w:bidi w:val="0"/>
        <w:spacing w:before="0" w:after="0" w:line="313" w:lineRule="exact"/>
        <w:ind w:left="0" w:right="0" w:firstLine="0"/>
        <w:jc w:val="both"/>
      </w:pPr>
      <w:bookmarkStart w:id="723" w:name="bookmark723"/>
      <w:bookmarkEnd w:id="723"/>
      <w:r>
        <w:rPr>
          <w:color w:val="000000"/>
          <w:spacing w:val="0"/>
          <w:w w:val="100"/>
          <w:position w:val="0"/>
        </w:rPr>
        <w:t>合并财务报表的编制方法</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合并财务报表以本公司和子公司的财务报表为基础，根据其他有关资料，由本公司编制。在编制合并财务报表时，本公司和 子公司的会计政策和会计期间要求保持一致，公司间的重大交易和往来余额予以抵销。</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在报告期内因同一控制下企业合并增加的子公司以及业务，视同该子公司以及业务自同受最终控制方控制之日起纳入本公司 的合并范围，将其自同受最终控制方控制之日起的经营成果、现金流量分别纳入合并利润表、合并现金流量表中。</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在报告期内因非同一控制下企业合并增加的子公司以及业务，将该子公司以及业务自购买日至报告期末的收入、费用、利润 纳入合并利润表，将其现金流量纳入合并现金流量表。</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子公司的股东权益中不属于本公司所拥有的部分，作为少数股东权益在合并资产负债表中股东权益项下单独列示；子公司当 期净损益中属于少数股东权益的份额，在合并利润表中净利润项目下以“少数股东损益”项目列示。少数股东分担的子公司 的亏损超过了少数股东在该子公司期初所有者权益中所享有的份额，其余额仍冲减少数股东权益。</w:t>
      </w:r>
    </w:p>
    <w:p>
      <w:pPr>
        <w:pStyle w:val="Style24"/>
        <w:keepNext w:val="0"/>
        <w:keepLines w:val="0"/>
        <w:widowControl w:val="0"/>
        <w:numPr>
          <w:ilvl w:val="0"/>
          <w:numId w:val="25"/>
        </w:numPr>
        <w:shd w:val="clear" w:color="auto" w:fill="auto"/>
        <w:tabs>
          <w:tab w:pos="397" w:val="left"/>
        </w:tabs>
        <w:bidi w:val="0"/>
        <w:spacing w:before="0" w:after="0" w:line="313" w:lineRule="exact"/>
        <w:ind w:left="0" w:right="0" w:firstLine="0"/>
        <w:jc w:val="both"/>
      </w:pPr>
      <w:bookmarkStart w:id="724" w:name="bookmark724"/>
      <w:bookmarkEnd w:id="724"/>
      <w:r>
        <w:rPr>
          <w:color w:val="000000"/>
          <w:spacing w:val="0"/>
          <w:w w:val="100"/>
          <w:position w:val="0"/>
        </w:rPr>
        <w:t>购买子公司少数股东股权</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因购买少数股权新取得的长期股权投资成本与按照新增持股比例计算应享有子公司自购买日或合并日开始持续计算的净资 产份额之间的差额，以及在不丧失控制权的情况下因部分处置对子公司的股权投资而取得的处置价款与处置长期股权投资相 对应享有子公司自购买日或合并日开始持续计算的净资产份额之间的差额，均调整合并资产负债表中的资本公积，资本公积 不足冲减的，调整留存收益。</w:t>
      </w:r>
    </w:p>
    <w:p>
      <w:pPr>
        <w:pStyle w:val="Style24"/>
        <w:keepNext w:val="0"/>
        <w:keepLines w:val="0"/>
        <w:widowControl w:val="0"/>
        <w:numPr>
          <w:ilvl w:val="0"/>
          <w:numId w:val="25"/>
        </w:numPr>
        <w:shd w:val="clear" w:color="auto" w:fill="auto"/>
        <w:tabs>
          <w:tab w:pos="397" w:val="left"/>
        </w:tabs>
        <w:bidi w:val="0"/>
        <w:spacing w:before="0" w:after="0" w:line="313" w:lineRule="exact"/>
        <w:ind w:left="0" w:right="0" w:firstLine="0"/>
        <w:jc w:val="both"/>
      </w:pPr>
      <w:bookmarkStart w:id="725" w:name="bookmark725"/>
      <w:bookmarkEnd w:id="725"/>
      <w:r>
        <w:rPr>
          <w:color w:val="000000"/>
          <w:spacing w:val="0"/>
          <w:w w:val="100"/>
          <w:position w:val="0"/>
        </w:rPr>
        <w:t>丧失子公司控制权的处理</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因处置部分股权投资或其他原因丧失了对原有子公司控制权的，剩余股权按照其在丧失控制权日的公允价值进行重新计量； 处置股权取得的对价与剩余股权公允价值之和，减去按原持股比例计算应享有原有子公司自购买日开始持续计算的净资产账 面价值的份额与商誉之和，形成的差额计入丧失控制权当期的投资收益。</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与原有子公司的股权投资相关的其他综合收益等，在丧失控制权时转入当期损益，由于被投资方重新计量设定收益计划净负 债或净资产变动而产生的其他综合收益除外。</w:t>
      </w:r>
    </w:p>
    <w:p>
      <w:pPr>
        <w:pStyle w:val="Style24"/>
        <w:keepNext w:val="0"/>
        <w:keepLines w:val="0"/>
        <w:widowControl w:val="0"/>
        <w:numPr>
          <w:ilvl w:val="0"/>
          <w:numId w:val="25"/>
        </w:numPr>
        <w:shd w:val="clear" w:color="auto" w:fill="auto"/>
        <w:tabs>
          <w:tab w:pos="397" w:val="left"/>
        </w:tabs>
        <w:bidi w:val="0"/>
        <w:spacing w:before="0" w:after="0" w:line="313" w:lineRule="exact"/>
        <w:ind w:left="0" w:right="0" w:firstLine="0"/>
        <w:jc w:val="both"/>
      </w:pPr>
      <w:bookmarkStart w:id="726" w:name="bookmark726"/>
      <w:bookmarkEnd w:id="726"/>
      <w:r>
        <w:rPr>
          <w:color w:val="000000"/>
          <w:spacing w:val="0"/>
          <w:w w:val="100"/>
          <w:position w:val="0"/>
        </w:rPr>
        <w:t>分步处置股权直至丧失控制权的处理</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通过多次交易分步处置股权直至丧失控制权的各项交易的条款、条件以及经济影响符合以下一种或多种情况的，本公司将多 次交易事项作为一揽子交易进行会计处理：</w:t>
      </w:r>
    </w:p>
    <w:p>
      <w:pPr>
        <w:pStyle w:val="Style24"/>
        <w:keepNext w:val="0"/>
        <w:keepLines w:val="0"/>
        <w:widowControl w:val="0"/>
        <w:numPr>
          <w:ilvl w:val="0"/>
          <w:numId w:val="27"/>
        </w:numPr>
        <w:shd w:val="clear" w:color="auto" w:fill="auto"/>
        <w:tabs>
          <w:tab w:pos="373" w:val="left"/>
        </w:tabs>
        <w:bidi w:val="0"/>
        <w:spacing w:before="0" w:after="0" w:line="312" w:lineRule="exact"/>
        <w:ind w:left="0" w:right="0" w:firstLine="0"/>
        <w:jc w:val="both"/>
      </w:pPr>
      <w:bookmarkStart w:id="727" w:name="bookmark727"/>
      <w:bookmarkEnd w:id="727"/>
      <w:r>
        <w:rPr>
          <w:color w:val="000000"/>
          <w:spacing w:val="0"/>
          <w:w w:val="100"/>
          <w:position w:val="0"/>
        </w:rPr>
        <w:t>这些交易是同时或者在考虑了彼此影响的情况下订立的；</w:t>
      </w:r>
    </w:p>
    <w:p>
      <w:pPr>
        <w:pStyle w:val="Style24"/>
        <w:keepNext w:val="0"/>
        <w:keepLines w:val="0"/>
        <w:widowControl w:val="0"/>
        <w:numPr>
          <w:ilvl w:val="0"/>
          <w:numId w:val="27"/>
        </w:numPr>
        <w:shd w:val="clear" w:color="auto" w:fill="auto"/>
        <w:tabs>
          <w:tab w:pos="373" w:val="left"/>
        </w:tabs>
        <w:bidi w:val="0"/>
        <w:spacing w:before="0" w:after="0" w:line="312" w:lineRule="exact"/>
        <w:ind w:left="0" w:right="0" w:firstLine="0"/>
        <w:jc w:val="both"/>
      </w:pPr>
      <w:bookmarkStart w:id="728" w:name="bookmark728"/>
      <w:bookmarkEnd w:id="728"/>
      <w:r>
        <w:rPr>
          <w:color w:val="000000"/>
          <w:spacing w:val="0"/>
          <w:w w:val="100"/>
          <w:position w:val="0"/>
        </w:rPr>
        <w:t>这些交易整体才能达成一项完整的商业结果；</w:t>
      </w:r>
    </w:p>
    <w:p>
      <w:pPr>
        <w:pStyle w:val="Style24"/>
        <w:keepNext w:val="0"/>
        <w:keepLines w:val="0"/>
        <w:widowControl w:val="0"/>
        <w:numPr>
          <w:ilvl w:val="0"/>
          <w:numId w:val="27"/>
        </w:numPr>
        <w:shd w:val="clear" w:color="auto" w:fill="auto"/>
        <w:tabs>
          <w:tab w:pos="373" w:val="left"/>
        </w:tabs>
        <w:bidi w:val="0"/>
        <w:spacing w:before="0" w:after="0" w:line="312" w:lineRule="exact"/>
        <w:ind w:left="0" w:right="0" w:firstLine="0"/>
        <w:jc w:val="both"/>
      </w:pPr>
      <w:bookmarkStart w:id="729" w:name="bookmark729"/>
      <w:bookmarkEnd w:id="729"/>
      <w:r>
        <w:rPr>
          <w:color w:val="000000"/>
          <w:spacing w:val="0"/>
          <w:w w:val="100"/>
          <w:position w:val="0"/>
        </w:rPr>
        <w:t>一项交易的发生取决于其他至少一项交易的发生；</w:t>
      </w:r>
    </w:p>
    <w:p>
      <w:pPr>
        <w:pStyle w:val="Style24"/>
        <w:keepNext w:val="0"/>
        <w:keepLines w:val="0"/>
        <w:widowControl w:val="0"/>
        <w:numPr>
          <w:ilvl w:val="0"/>
          <w:numId w:val="27"/>
        </w:numPr>
        <w:shd w:val="clear" w:color="auto" w:fill="auto"/>
        <w:tabs>
          <w:tab w:pos="373" w:val="left"/>
        </w:tabs>
        <w:bidi w:val="0"/>
        <w:spacing w:before="0" w:after="0" w:line="312" w:lineRule="exact"/>
        <w:ind w:left="0" w:right="0" w:firstLine="0"/>
        <w:jc w:val="both"/>
      </w:pPr>
      <w:bookmarkStart w:id="730" w:name="bookmark730"/>
      <w:bookmarkEnd w:id="730"/>
      <w:r>
        <w:rPr>
          <w:color w:val="000000"/>
          <w:spacing w:val="0"/>
          <w:w w:val="100"/>
          <w:position w:val="0"/>
        </w:rPr>
        <w:t>一项交易单独看是不经济的，但是和其他交易一并考虑时是经济的。</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在个别财务报表中，分步处置股权直至丧失控制权的各项交易不属于“一揽子交易”的，结转每一次处置股权相对应的长期 股权投资的账面价值，所得价款与处置长期股权投资账面价值之间的差额计入当期投资收益；属于“一揽子交易”的，在丧 失控制权之前每一次处置价款与所处置的股权对应的长期股权投资账面价值之间的差额，先确认为其他综合收益，到丧失控 制权时再一并转入丧失控制权的当期损益。</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在合并财务报表中，分步处置股权直至丧失控制权时，剩余股权的计量以及有关处置股权损益的核算比照前述“丧失子公司 控制权的处理”。在丧失控制权之前每一次处置价款与处置投资对应的享有该子公司自购买日开始持续计算的净资产账面价 值份额之间的差额，分别进行如下处理：</w:t>
      </w:r>
    </w:p>
    <w:p>
      <w:pPr>
        <w:pStyle w:val="Style24"/>
        <w:keepNext w:val="0"/>
        <w:keepLines w:val="0"/>
        <w:widowControl w:val="0"/>
        <w:numPr>
          <w:ilvl w:val="0"/>
          <w:numId w:val="29"/>
        </w:numPr>
        <w:shd w:val="clear" w:color="auto" w:fill="auto"/>
        <w:tabs>
          <w:tab w:pos="373" w:val="left"/>
        </w:tabs>
        <w:bidi w:val="0"/>
        <w:spacing w:before="0" w:after="0" w:line="312" w:lineRule="exact"/>
        <w:ind w:left="0" w:right="0" w:firstLine="0"/>
        <w:jc w:val="both"/>
      </w:pPr>
      <w:bookmarkStart w:id="731" w:name="bookmark731"/>
      <w:bookmarkEnd w:id="731"/>
      <w:r>
        <w:rPr>
          <w:color w:val="000000"/>
          <w:spacing w:val="0"/>
          <w:w w:val="100"/>
          <w:position w:val="0"/>
        </w:rPr>
        <w:t>属于“一揽子交易”的，确认为其他综合收益。在丧失控制权时一并转入丧失控制权当期的损益。</w:t>
      </w:r>
    </w:p>
    <w:p>
      <w:pPr>
        <w:pStyle w:val="Style24"/>
        <w:keepNext w:val="0"/>
        <w:keepLines w:val="0"/>
        <w:widowControl w:val="0"/>
        <w:numPr>
          <w:ilvl w:val="0"/>
          <w:numId w:val="29"/>
        </w:numPr>
        <w:shd w:val="clear" w:color="auto" w:fill="auto"/>
        <w:tabs>
          <w:tab w:pos="373" w:val="left"/>
        </w:tabs>
        <w:bidi w:val="0"/>
        <w:spacing w:before="0" w:after="400" w:line="312" w:lineRule="exact"/>
        <w:ind w:left="0" w:right="0" w:firstLine="0"/>
        <w:jc w:val="both"/>
      </w:pPr>
      <w:bookmarkStart w:id="732" w:name="bookmark732"/>
      <w:bookmarkEnd w:id="732"/>
      <w:r>
        <w:rPr>
          <w:color w:val="000000"/>
          <w:spacing w:val="0"/>
          <w:w w:val="100"/>
          <w:position w:val="0"/>
        </w:rPr>
        <w:t>不属于“一揽子交易”的，作为权益性交易计入资本公积。在丧失控制权时不得转入丧失控制权当期的损益。</w:t>
      </w:r>
    </w:p>
    <w:p>
      <w:pPr>
        <w:pStyle w:val="Style28"/>
        <w:keepNext/>
        <w:keepLines/>
        <w:widowControl w:val="0"/>
        <w:shd w:val="clear" w:color="auto" w:fill="auto"/>
        <w:tabs>
          <w:tab w:pos="373" w:val="left"/>
        </w:tabs>
        <w:bidi w:val="0"/>
        <w:spacing w:before="0" w:after="260" w:line="24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7</w:t>
      </w:r>
      <w:bookmarkEnd w:id="735"/>
      <w:r>
        <w:rPr>
          <w:color w:val="000000"/>
          <w:spacing w:val="0"/>
          <w:w w:val="100"/>
          <w:position w:val="0"/>
        </w:rPr>
        <w:t>、</w:t>
        <w:tab/>
        <w:t>合营安排分类及共同经营会计处理方法</w:t>
      </w:r>
      <w:bookmarkEnd w:id="733"/>
      <w:bookmarkEnd w:id="734"/>
      <w:bookmarkEnd w:id="736"/>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合营安排，是指一项由两个或两个以上的参与方共同控制的安排。本集团合营安排分为共同经营和合营企业。</w:t>
      </w:r>
    </w:p>
    <w:p>
      <w:pPr>
        <w:pStyle w:val="Style24"/>
        <w:keepNext w:val="0"/>
        <w:keepLines w:val="0"/>
        <w:widowControl w:val="0"/>
        <w:numPr>
          <w:ilvl w:val="0"/>
          <w:numId w:val="31"/>
        </w:numPr>
        <w:shd w:val="clear" w:color="auto" w:fill="auto"/>
        <w:tabs>
          <w:tab w:pos="445" w:val="left"/>
        </w:tabs>
        <w:bidi w:val="0"/>
        <w:spacing w:before="0" w:after="0" w:line="312" w:lineRule="exact"/>
        <w:ind w:left="0" w:right="0" w:firstLine="0"/>
        <w:jc w:val="both"/>
      </w:pPr>
      <w:bookmarkStart w:id="737" w:name="bookmark737"/>
      <w:bookmarkEnd w:id="737"/>
      <w:r>
        <w:rPr>
          <w:color w:val="000000"/>
          <w:spacing w:val="0"/>
          <w:w w:val="100"/>
          <w:position w:val="0"/>
        </w:rPr>
        <w:t>共同经营</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共同经营是指本集团享有该安排相关资产且承担该安排相关负债的合营安排。</w:t>
      </w:r>
    </w:p>
    <w:p>
      <w:pPr>
        <w:pStyle w:val="Style24"/>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本集团确认与共同经营中利益份额相关的下列项目，并按照相关企业会计准则的规定进行会计处理：</w:t>
      </w:r>
    </w:p>
    <w:p>
      <w:pPr>
        <w:pStyle w:val="Style24"/>
        <w:keepNext w:val="0"/>
        <w:keepLines w:val="0"/>
        <w:widowControl w:val="0"/>
        <w:shd w:val="clear" w:color="auto" w:fill="auto"/>
        <w:tabs>
          <w:tab w:pos="354" w:val="left"/>
        </w:tabs>
        <w:bidi w:val="0"/>
        <w:spacing w:before="0" w:after="0" w:line="389" w:lineRule="auto"/>
        <w:ind w:left="0" w:right="0" w:firstLine="0"/>
        <w:jc w:val="both"/>
      </w:pPr>
      <w:bookmarkStart w:id="738" w:name="bookmark738"/>
      <w:r>
        <w:rPr>
          <w:rFonts w:ascii="Tahoma" w:eastAsia="Tahoma" w:hAnsi="Tahoma" w:cs="Tahoma"/>
          <w:color w:val="000000"/>
          <w:spacing w:val="0"/>
          <w:w w:val="100"/>
          <w:position w:val="0"/>
          <w:sz w:val="16"/>
          <w:szCs w:val="16"/>
        </w:rPr>
        <w:t>A</w:t>
      </w:r>
      <w:bookmarkEnd w:id="738"/>
      <w:r>
        <w:rPr>
          <w:color w:val="000000"/>
          <w:spacing w:val="0"/>
          <w:w w:val="100"/>
          <w:position w:val="0"/>
        </w:rPr>
        <w:t>、</w:t>
        <w:tab/>
      </w:r>
      <w:r>
        <w:rPr>
          <w:color w:val="000000"/>
          <w:spacing w:val="0"/>
          <w:w w:val="100"/>
          <w:position w:val="0"/>
        </w:rPr>
        <w:t>确认单独所持有的资产，以及按其份额确认共同持有的资产；</w:t>
      </w:r>
    </w:p>
    <w:p>
      <w:pPr>
        <w:pStyle w:val="Style24"/>
        <w:keepNext w:val="0"/>
        <w:keepLines w:val="0"/>
        <w:widowControl w:val="0"/>
        <w:shd w:val="clear" w:color="auto" w:fill="auto"/>
        <w:tabs>
          <w:tab w:pos="354" w:val="left"/>
        </w:tabs>
        <w:bidi w:val="0"/>
        <w:spacing w:before="0" w:after="0" w:line="389" w:lineRule="auto"/>
        <w:ind w:left="0" w:right="0" w:firstLine="0"/>
        <w:jc w:val="both"/>
      </w:pPr>
      <w:bookmarkStart w:id="739" w:name="bookmark739"/>
      <w:r>
        <w:rPr>
          <w:rFonts w:ascii="Tahoma" w:eastAsia="Tahoma" w:hAnsi="Tahoma" w:cs="Tahoma"/>
          <w:color w:val="000000"/>
          <w:spacing w:val="0"/>
          <w:w w:val="100"/>
          <w:position w:val="0"/>
          <w:sz w:val="16"/>
          <w:szCs w:val="16"/>
        </w:rPr>
        <w:t>B</w:t>
      </w:r>
      <w:bookmarkEnd w:id="739"/>
      <w:r>
        <w:rPr>
          <w:color w:val="000000"/>
          <w:spacing w:val="0"/>
          <w:w w:val="100"/>
          <w:position w:val="0"/>
        </w:rPr>
        <w:t>、</w:t>
        <w:tab/>
      </w:r>
      <w:r>
        <w:rPr>
          <w:color w:val="000000"/>
          <w:spacing w:val="0"/>
          <w:w w:val="100"/>
          <w:position w:val="0"/>
        </w:rPr>
        <w:t>确认单独所承担的负债，以及按其份额确认共同承担的负债；</w:t>
      </w:r>
    </w:p>
    <w:p>
      <w:pPr>
        <w:pStyle w:val="Style24"/>
        <w:keepNext w:val="0"/>
        <w:keepLines w:val="0"/>
        <w:widowControl w:val="0"/>
        <w:shd w:val="clear" w:color="auto" w:fill="auto"/>
        <w:tabs>
          <w:tab w:pos="354" w:val="left"/>
        </w:tabs>
        <w:bidi w:val="0"/>
        <w:spacing w:before="0" w:after="0" w:line="389" w:lineRule="auto"/>
        <w:ind w:left="0" w:right="0" w:firstLine="0"/>
        <w:jc w:val="both"/>
      </w:pPr>
      <w:bookmarkStart w:id="740" w:name="bookmark740"/>
      <w:r>
        <w:rPr>
          <w:rFonts w:ascii="Tahoma" w:eastAsia="Tahoma" w:hAnsi="Tahoma" w:cs="Tahoma"/>
          <w:color w:val="000000"/>
          <w:spacing w:val="0"/>
          <w:w w:val="100"/>
          <w:position w:val="0"/>
          <w:sz w:val="16"/>
          <w:szCs w:val="16"/>
        </w:rPr>
        <w:t>C</w:t>
      </w:r>
      <w:bookmarkEnd w:id="740"/>
      <w:r>
        <w:rPr>
          <w:color w:val="000000"/>
          <w:spacing w:val="0"/>
          <w:w w:val="100"/>
          <w:position w:val="0"/>
        </w:rPr>
        <w:t>、</w:t>
        <w:tab/>
      </w:r>
      <w:r>
        <w:rPr>
          <w:color w:val="000000"/>
          <w:spacing w:val="0"/>
          <w:w w:val="100"/>
          <w:position w:val="0"/>
        </w:rPr>
        <w:t>确认出售其享有的共同经营产出份额所产生的收入；</w:t>
      </w:r>
    </w:p>
    <w:p>
      <w:pPr>
        <w:pStyle w:val="Style24"/>
        <w:keepNext w:val="0"/>
        <w:keepLines w:val="0"/>
        <w:widowControl w:val="0"/>
        <w:shd w:val="clear" w:color="auto" w:fill="auto"/>
        <w:tabs>
          <w:tab w:pos="354" w:val="left"/>
        </w:tabs>
        <w:bidi w:val="0"/>
        <w:spacing w:before="0" w:after="0" w:line="389" w:lineRule="auto"/>
        <w:ind w:left="0" w:right="0" w:firstLine="0"/>
        <w:jc w:val="both"/>
      </w:pPr>
      <w:bookmarkStart w:id="741" w:name="bookmark741"/>
      <w:r>
        <w:rPr>
          <w:rFonts w:ascii="Tahoma" w:eastAsia="Tahoma" w:hAnsi="Tahoma" w:cs="Tahoma"/>
          <w:color w:val="000000"/>
          <w:spacing w:val="0"/>
          <w:w w:val="100"/>
          <w:position w:val="0"/>
          <w:sz w:val="16"/>
          <w:szCs w:val="16"/>
        </w:rPr>
        <w:t>D</w:t>
      </w:r>
      <w:bookmarkEnd w:id="741"/>
      <w:r>
        <w:rPr>
          <w:color w:val="000000"/>
          <w:spacing w:val="0"/>
          <w:w w:val="100"/>
          <w:position w:val="0"/>
        </w:rPr>
        <w:t>、</w:t>
        <w:tab/>
      </w:r>
      <w:r>
        <w:rPr>
          <w:color w:val="000000"/>
          <w:spacing w:val="0"/>
          <w:w w:val="100"/>
          <w:position w:val="0"/>
        </w:rPr>
        <w:t>按其份额确认共同经营因出售产出所产生的收入；</w:t>
      </w:r>
    </w:p>
    <w:p>
      <w:pPr>
        <w:pStyle w:val="Style24"/>
        <w:keepNext w:val="0"/>
        <w:keepLines w:val="0"/>
        <w:widowControl w:val="0"/>
        <w:shd w:val="clear" w:color="auto" w:fill="auto"/>
        <w:tabs>
          <w:tab w:pos="354" w:val="left"/>
        </w:tabs>
        <w:bidi w:val="0"/>
        <w:spacing w:before="0" w:after="0" w:line="389" w:lineRule="auto"/>
        <w:ind w:left="0" w:right="0" w:firstLine="0"/>
        <w:jc w:val="both"/>
      </w:pPr>
      <w:bookmarkStart w:id="742" w:name="bookmark742"/>
      <w:r>
        <w:rPr>
          <w:rFonts w:ascii="Tahoma" w:eastAsia="Tahoma" w:hAnsi="Tahoma" w:cs="Tahoma"/>
          <w:color w:val="000000"/>
          <w:spacing w:val="0"/>
          <w:w w:val="100"/>
          <w:position w:val="0"/>
          <w:sz w:val="16"/>
          <w:szCs w:val="16"/>
        </w:rPr>
        <w:t>E</w:t>
      </w:r>
      <w:bookmarkEnd w:id="742"/>
      <w:r>
        <w:rPr>
          <w:color w:val="000000"/>
          <w:spacing w:val="0"/>
          <w:w w:val="100"/>
          <w:position w:val="0"/>
        </w:rPr>
        <w:t>、</w:t>
        <w:tab/>
      </w:r>
      <w:r>
        <w:rPr>
          <w:color w:val="000000"/>
          <w:spacing w:val="0"/>
          <w:w w:val="100"/>
          <w:position w:val="0"/>
        </w:rPr>
        <w:t>确认单独所发生的费用，以及按其份额确认共同经营发生的费用。</w:t>
      </w:r>
    </w:p>
    <w:p>
      <w:pPr>
        <w:pStyle w:val="Style24"/>
        <w:keepNext w:val="0"/>
        <w:keepLines w:val="0"/>
        <w:widowControl w:val="0"/>
        <w:numPr>
          <w:ilvl w:val="0"/>
          <w:numId w:val="31"/>
        </w:numPr>
        <w:shd w:val="clear" w:color="auto" w:fill="auto"/>
        <w:tabs>
          <w:tab w:pos="445" w:val="left"/>
        </w:tabs>
        <w:bidi w:val="0"/>
        <w:spacing w:before="0" w:after="0" w:line="389" w:lineRule="auto"/>
        <w:ind w:left="0" w:right="0" w:firstLine="0"/>
        <w:jc w:val="both"/>
      </w:pPr>
      <w:bookmarkStart w:id="743" w:name="bookmark743"/>
      <w:bookmarkEnd w:id="743"/>
      <w:r>
        <w:rPr>
          <w:color w:val="000000"/>
          <w:spacing w:val="0"/>
          <w:w w:val="100"/>
          <w:position w:val="0"/>
        </w:rPr>
        <w:t>合营企业</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合营企业是指本集团仅对该安排的净资产享有权利的合营安排。</w:t>
      </w:r>
    </w:p>
    <w:p>
      <w:pPr>
        <w:pStyle w:val="Style24"/>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本集团按照长期股权投资有关权益法核算的规定对合营企业的投资进行会计处理。</w:t>
      </w:r>
    </w:p>
    <w:p>
      <w:pPr>
        <w:pStyle w:val="Style28"/>
        <w:keepNext/>
        <w:keepLines/>
        <w:widowControl w:val="0"/>
        <w:shd w:val="clear" w:color="auto" w:fill="auto"/>
        <w:tabs>
          <w:tab w:pos="378" w:val="left"/>
        </w:tabs>
        <w:bidi w:val="0"/>
        <w:spacing w:before="0" w:after="26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8</w:t>
      </w:r>
      <w:bookmarkEnd w:id="746"/>
      <w:r>
        <w:rPr>
          <w:color w:val="000000"/>
          <w:spacing w:val="0"/>
          <w:w w:val="100"/>
          <w:position w:val="0"/>
        </w:rPr>
        <w:t>、</w:t>
        <w:tab/>
        <w:t>现金及现金等价物的确定标准</w:t>
      </w:r>
      <w:bookmarkEnd w:id="744"/>
      <w:bookmarkEnd w:id="745"/>
      <w:bookmarkEnd w:id="747"/>
    </w:p>
    <w:p>
      <w:pPr>
        <w:pStyle w:val="Style24"/>
        <w:keepNext w:val="0"/>
        <w:keepLines w:val="0"/>
        <w:widowControl w:val="0"/>
        <w:shd w:val="clear" w:color="auto" w:fill="auto"/>
        <w:bidi w:val="0"/>
        <w:spacing w:before="0" w:after="400" w:line="312" w:lineRule="exact"/>
        <w:ind w:left="0" w:right="0" w:firstLine="0"/>
        <w:jc w:val="both"/>
      </w:pPr>
      <w:r>
        <w:rPr>
          <w:color w:val="000000"/>
          <w:spacing w:val="0"/>
          <w:w w:val="100"/>
          <w:position w:val="0"/>
        </w:rPr>
        <w:t>现金是指库存现金以及可以随时用于支付的存款。现金等价物，是指本集团持有的期限短、流动性强、易于转换为已知金额 现金、价值变动风险很小的投资。</w:t>
      </w:r>
    </w:p>
    <w:p>
      <w:pPr>
        <w:pStyle w:val="Style28"/>
        <w:keepNext/>
        <w:keepLines/>
        <w:widowControl w:val="0"/>
        <w:shd w:val="clear" w:color="auto" w:fill="auto"/>
        <w:tabs>
          <w:tab w:pos="378" w:val="left"/>
        </w:tabs>
        <w:bidi w:val="0"/>
        <w:spacing w:before="0" w:after="26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9</w:t>
      </w:r>
      <w:bookmarkEnd w:id="750"/>
      <w:r>
        <w:rPr>
          <w:color w:val="000000"/>
          <w:spacing w:val="0"/>
          <w:w w:val="100"/>
          <w:position w:val="0"/>
        </w:rPr>
        <w:t>、</w:t>
        <w:tab/>
        <w:t>外币业务和外币报表折算</w:t>
      </w:r>
      <w:bookmarkEnd w:id="748"/>
      <w:bookmarkEnd w:id="749"/>
      <w:bookmarkEnd w:id="751"/>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本集团发生外币业务，按交易发生日的即期汇率折算为记账本位币金额。</w:t>
      </w:r>
    </w:p>
    <w:p>
      <w:pPr>
        <w:pStyle w:val="Style24"/>
        <w:keepNext w:val="0"/>
        <w:keepLines w:val="0"/>
        <w:widowControl w:val="0"/>
        <w:shd w:val="clear" w:color="auto" w:fill="auto"/>
        <w:bidi w:val="0"/>
        <w:spacing w:before="0" w:after="400" w:line="310" w:lineRule="exact"/>
        <w:ind w:left="0" w:right="0" w:firstLine="0"/>
        <w:jc w:val="both"/>
      </w:pPr>
      <w:r>
        <w:rPr>
          <w:color w:val="000000"/>
          <w:spacing w:val="0"/>
          <w:w w:val="100"/>
          <w:position w:val="0"/>
        </w:rPr>
        <w:t>资产负债表日，对外币货币性项目，采用资产负债表日即期汇率折算。因资产负债表日即期汇率与初始确认时或者前一资产 负债表日即期汇率不同而产生的汇兑差额，计入当期损益；对以历史成本计量的外币非货币性项目，仍采用交易发生日的即 期汇率折算；对以公允价值计量的外币非货币性项目，采用公允价值确定日的即期汇率折算，折算后的记账本位币金额与原 记账本位币金额的差额，计入当期损益。</w:t>
      </w:r>
    </w:p>
    <w:p>
      <w:pPr>
        <w:pStyle w:val="Style28"/>
        <w:keepNext/>
        <w:keepLines/>
        <w:widowControl w:val="0"/>
        <w:shd w:val="clear" w:color="auto" w:fill="auto"/>
        <w:tabs>
          <w:tab w:pos="474" w:val="left"/>
        </w:tabs>
        <w:bidi w:val="0"/>
        <w:spacing w:before="0" w:after="40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52"/>
      <w:bookmarkEnd w:id="753"/>
      <w:bookmarkEnd w:id="755"/>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金融工具是指形成一方的金融资产，并形成其他方的金融负债或权益工具的合同。</w:t>
      </w:r>
    </w:p>
    <w:p>
      <w:pPr>
        <w:pStyle w:val="Style24"/>
        <w:keepNext w:val="0"/>
        <w:keepLines w:val="0"/>
        <w:widowControl w:val="0"/>
        <w:shd w:val="clear" w:color="auto" w:fill="auto"/>
        <w:tabs>
          <w:tab w:pos="445" w:val="left"/>
        </w:tabs>
        <w:bidi w:val="0"/>
        <w:spacing w:before="0" w:after="0" w:line="313" w:lineRule="exact"/>
        <w:ind w:left="0" w:right="0" w:firstLine="0"/>
        <w:jc w:val="left"/>
      </w:pPr>
      <w:bookmarkStart w:id="756" w:name="bookmark756"/>
      <w:r>
        <w:rPr>
          <w:rFonts w:ascii="Tahoma" w:eastAsia="Tahoma" w:hAnsi="Tahoma" w:cs="Tahoma"/>
          <w:color w:val="000000"/>
          <w:spacing w:val="0"/>
          <w:w w:val="100"/>
          <w:position w:val="0"/>
          <w:sz w:val="16"/>
          <w:szCs w:val="16"/>
        </w:rPr>
        <w:t>（</w:t>
      </w:r>
      <w:bookmarkEnd w:id="756"/>
      <w:r>
        <w:rPr>
          <w:rFonts w:ascii="Tahoma" w:eastAsia="Tahoma" w:hAnsi="Tahoma" w:cs="Tahoma"/>
          <w:color w:val="000000"/>
          <w:spacing w:val="0"/>
          <w:w w:val="100"/>
          <w:position w:val="0"/>
          <w:sz w:val="16"/>
          <w:szCs w:val="16"/>
        </w:rPr>
        <w:t>1）</w:t>
        <w:tab/>
      </w:r>
      <w:r>
        <w:rPr>
          <w:color w:val="000000"/>
          <w:spacing w:val="0"/>
          <w:w w:val="100"/>
          <w:position w:val="0"/>
        </w:rPr>
        <w:t>金融工具的确认和终止确认</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本集团于成为金融工具合同的一方时确认一项金融资产或金融负债。</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金融资产满足下列条件之一的，终止确认：</w:t>
      </w:r>
    </w:p>
    <w:p>
      <w:pPr>
        <w:pStyle w:val="Style24"/>
        <w:keepNext w:val="0"/>
        <w:keepLines w:val="0"/>
        <w:widowControl w:val="0"/>
        <w:numPr>
          <w:ilvl w:val="0"/>
          <w:numId w:val="33"/>
        </w:numPr>
        <w:shd w:val="clear" w:color="auto" w:fill="auto"/>
        <w:tabs>
          <w:tab w:pos="373" w:val="left"/>
        </w:tabs>
        <w:bidi w:val="0"/>
        <w:spacing w:before="0" w:after="0" w:line="313" w:lineRule="exact"/>
        <w:ind w:left="0" w:right="0" w:firstLine="0"/>
        <w:jc w:val="left"/>
      </w:pPr>
      <w:bookmarkStart w:id="757" w:name="bookmark757"/>
      <w:bookmarkEnd w:id="757"/>
      <w:r>
        <w:rPr>
          <w:color w:val="000000"/>
          <w:spacing w:val="0"/>
          <w:w w:val="100"/>
          <w:position w:val="0"/>
        </w:rPr>
        <w:t>收取该金融资产现金流量的合同权利终止；</w:t>
      </w:r>
    </w:p>
    <w:p>
      <w:pPr>
        <w:pStyle w:val="Style24"/>
        <w:keepNext w:val="0"/>
        <w:keepLines w:val="0"/>
        <w:widowControl w:val="0"/>
        <w:numPr>
          <w:ilvl w:val="0"/>
          <w:numId w:val="33"/>
        </w:numPr>
        <w:shd w:val="clear" w:color="auto" w:fill="auto"/>
        <w:tabs>
          <w:tab w:pos="373" w:val="left"/>
        </w:tabs>
        <w:bidi w:val="0"/>
        <w:spacing w:before="0" w:after="0" w:line="313" w:lineRule="exact"/>
        <w:ind w:left="0" w:right="0" w:firstLine="0"/>
        <w:jc w:val="left"/>
      </w:pPr>
      <w:bookmarkStart w:id="758" w:name="bookmark758"/>
      <w:bookmarkEnd w:id="758"/>
      <w:r>
        <w:rPr>
          <w:color w:val="000000"/>
          <w:spacing w:val="0"/>
          <w:w w:val="100"/>
          <w:position w:val="0"/>
        </w:rPr>
        <w:t>该金融资产已转移，且符合下述金融资产转移的终止确认条件。</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金融负债的现时义务全部或部分已经解除的，终止确认该金融负债或其一部分。本集团（债务人）与债权人之间签订协议， 以承担新金融负债方式替换现存金融负债，且新金融负债与现存金融负债的合同条款实质上不同的，终止确认现存金融负债， 并同时确认新金融负债。</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以常规方式买卖金融资产，按交易日进行会计确认和终止确认。</w:t>
      </w:r>
    </w:p>
    <w:p>
      <w:pPr>
        <w:pStyle w:val="Style24"/>
        <w:keepNext w:val="0"/>
        <w:keepLines w:val="0"/>
        <w:widowControl w:val="0"/>
        <w:shd w:val="clear" w:color="auto" w:fill="auto"/>
        <w:tabs>
          <w:tab w:pos="445" w:val="left"/>
        </w:tabs>
        <w:bidi w:val="0"/>
        <w:spacing w:before="0" w:after="0" w:line="313" w:lineRule="exact"/>
        <w:ind w:left="0" w:right="0" w:firstLine="0"/>
        <w:jc w:val="left"/>
      </w:pPr>
      <w:bookmarkStart w:id="759" w:name="bookmark759"/>
      <w:r>
        <w:rPr>
          <w:color w:val="000000"/>
          <w:spacing w:val="0"/>
          <w:w w:val="100"/>
          <w:position w:val="0"/>
          <w:sz w:val="20"/>
          <w:szCs w:val="20"/>
        </w:rPr>
        <w:t>（</w:t>
      </w:r>
      <w:bookmarkEnd w:id="759"/>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金融资产分类和计量</w:t>
      </w:r>
    </w:p>
    <w:p>
      <w:pPr>
        <w:pStyle w:val="Style24"/>
        <w:keepNext w:val="0"/>
        <w:keepLines w:val="0"/>
        <w:widowControl w:val="0"/>
        <w:shd w:val="clear" w:color="auto" w:fill="auto"/>
        <w:bidi w:val="0"/>
        <w:spacing w:before="0" w:after="60" w:line="313" w:lineRule="exact"/>
        <w:ind w:left="0" w:right="0" w:firstLine="0"/>
        <w:jc w:val="left"/>
      </w:pPr>
      <w:r>
        <w:rPr>
          <w:color w:val="000000"/>
          <w:spacing w:val="0"/>
          <w:w w:val="100"/>
          <w:position w:val="0"/>
        </w:rPr>
        <w:t>本集团在初始确认时根据管理金融资产的业务模式和金融资产的合同现金流量特征，将金融资产分为以下三类：以摊余成本 计量的金融资产、以公允价值计量且其变动计入其他综合收益的金融资产、以公允价值计量且其变动计入当期损益的金融资 产。</w:t>
      </w:r>
    </w:p>
    <w:p>
      <w:pPr>
        <w:pStyle w:val="Style15"/>
        <w:keepNext w:val="0"/>
        <w:keepLines w:val="0"/>
        <w:widowControl w:val="0"/>
        <w:shd w:val="clear" w:color="auto" w:fill="auto"/>
        <w:bidi w:val="0"/>
        <w:spacing w:before="0" w:after="160" w:line="240" w:lineRule="auto"/>
        <w:ind w:left="0" w:right="0" w:firstLine="0"/>
        <w:jc w:val="left"/>
        <w:rPr>
          <w:sz w:val="24"/>
          <w:szCs w:val="24"/>
        </w:rPr>
      </w:pPr>
      <w:r>
        <w:rPr>
          <w:color w:val="000000"/>
          <w:spacing w:val="0"/>
          <w:w w:val="100"/>
          <w:position w:val="0"/>
          <w:sz w:val="24"/>
          <w:szCs w:val="24"/>
        </w:rPr>
        <w:t>以摊余成本计量的金融资产</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本集团将同时符合下列条件且未被指定为以公允价值计量且其变动计入当期损益的金融资产，分类为以摊余成本计量的金融 资产：</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本集团管理该金融资产的业务模式是以收取合同现金流量为目标；</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该金融资产的合同条款规定，在特定日期产生的现金流量，仅为对本金和以未偿付本金金额为基础的利息的支付。</w:t>
      </w:r>
    </w:p>
    <w:p>
      <w:pPr>
        <w:pStyle w:val="Style24"/>
        <w:keepNext w:val="0"/>
        <w:keepLines w:val="0"/>
        <w:widowControl w:val="0"/>
        <w:shd w:val="clear" w:color="auto" w:fill="auto"/>
        <w:bidi w:val="0"/>
        <w:spacing w:before="0" w:after="60" w:line="312" w:lineRule="exact"/>
        <w:ind w:left="0" w:right="0" w:firstLine="0"/>
        <w:jc w:val="left"/>
      </w:pPr>
      <w:r>
        <w:rPr>
          <w:color w:val="000000"/>
          <w:spacing w:val="0"/>
          <w:w w:val="100"/>
          <w:position w:val="0"/>
        </w:rPr>
        <w:t>初始确认后，对于该类金融资产采用实际利率法以摊余成本计量。以摊余成本计量且不属于任何套期关系的一部分的金融资 产所产生的利得或损失，在终止确认、按照实际利率法摊销或确认减值时，计入当期损益。</w:t>
      </w:r>
    </w:p>
    <w:p>
      <w:pPr>
        <w:pStyle w:val="Style15"/>
        <w:keepNext w:val="0"/>
        <w:keepLines w:val="0"/>
        <w:widowControl w:val="0"/>
        <w:shd w:val="clear" w:color="auto" w:fill="auto"/>
        <w:bidi w:val="0"/>
        <w:spacing w:before="0" w:after="160" w:line="240" w:lineRule="auto"/>
        <w:ind w:left="0" w:right="0" w:firstLine="0"/>
        <w:jc w:val="left"/>
        <w:rPr>
          <w:sz w:val="24"/>
          <w:szCs w:val="24"/>
        </w:rPr>
      </w:pPr>
      <w:r>
        <w:rPr>
          <w:color w:val="000000"/>
          <w:spacing w:val="0"/>
          <w:w w:val="100"/>
          <w:position w:val="0"/>
          <w:sz w:val="24"/>
          <w:szCs w:val="24"/>
        </w:rPr>
        <w:t>以公允价值计量且其变动计入其他综合收益的金融资产</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本集团将同时符合下列条件且未被指定为以公允价值计量且其变动计入当期损益的金融资产，分类为以公允价值计量且其变 动计入其他综合收益的金融资产：</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本集团管理该金融资产的业务模式既以收取合同现金流量为目标又以出售该金融资产为目标；</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该金融资产的合同条款规定，在特定日期产生的现金流量，仅为对本金和以未偿付本金金额为基础的利息的支付。</w:t>
      </w:r>
    </w:p>
    <w:p>
      <w:pPr>
        <w:pStyle w:val="Style24"/>
        <w:keepNext w:val="0"/>
        <w:keepLines w:val="0"/>
        <w:widowControl w:val="0"/>
        <w:shd w:val="clear" w:color="auto" w:fill="auto"/>
        <w:bidi w:val="0"/>
        <w:spacing w:before="0" w:after="60" w:line="315" w:lineRule="exact"/>
        <w:ind w:left="0" w:right="0" w:firstLine="0"/>
        <w:jc w:val="left"/>
      </w:pPr>
      <w:r>
        <w:rPr>
          <w:color w:val="000000"/>
          <w:spacing w:val="0"/>
          <w:w w:val="100"/>
          <w:position w:val="0"/>
        </w:rPr>
        <w:t>初始确认后，对于该类金融资产以公允价值进行后续计量。采用实际利率法计算的利息、减值损失或利得及汇兑损益计入当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15"/>
        <w:keepNext w:val="0"/>
        <w:keepLines w:val="0"/>
        <w:widowControl w:val="0"/>
        <w:shd w:val="clear" w:color="auto" w:fill="auto"/>
        <w:bidi w:val="0"/>
        <w:spacing w:before="0" w:after="160" w:line="240" w:lineRule="auto"/>
        <w:ind w:left="0" w:right="0" w:firstLine="0"/>
        <w:jc w:val="left"/>
        <w:rPr>
          <w:sz w:val="24"/>
          <w:szCs w:val="24"/>
        </w:rPr>
      </w:pPr>
      <w:r>
        <w:rPr>
          <w:color w:val="000000"/>
          <w:spacing w:val="0"/>
          <w:w w:val="100"/>
          <w:position w:val="0"/>
          <w:sz w:val="24"/>
          <w:szCs w:val="24"/>
        </w:rPr>
        <w:t>以公允价值计量且其变动计入当期损益的金融资产</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除上述以摊余成本计量和以公允价值计量且其变动计入其他综合收益的金融资产外，本集团将其余所有的金融资产分类为以 公允价值计量且其变动计入当期损益的金融资产。在初始确认时，为消除或显著减少会计错配，本集团将部分本应以摊余成 本计量或以公允价值计量且其变动计入其他综合收益的金融资产不可撤销地指定为以公允价值计量且其变动计入当期损益 的金融资产。</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初始确认后，对于该类金融资产以公允价值进行后续计量，产生的利得或损失（包括利息和股利收入）计入当期损益，除非 该金融资产属于套期关系的一部分。</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管理金融资产的业务模式，是指本集团如何管理金融资产以产生现金流量。业务模式决定本集团所管理金融资产现金流量的 来源是收取合同现金流量、出售金融资产还是两者兼有。本集团以客观事实为依据、以关键管理人员决定的对金融资产进行 管理的特定业务目标为基础，确定管理金融资产的业务模式。</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本集团对金融资产的合同现金流量特征进行评估，以确定相关金融资产在特定日期产生的合同现金流量是否仅为对本金和以 未偿付本金金额为基础的利息的支付。其中，本金是指金融资产在初始确认时的公允价值；利息包括对货币时间价值、与特 定时期未偿付本金金额相关的信用风险、以及其他基本借贷风险、成本和利润的对价。此外，本集团对可能导致金融资</w:t>
      </w:r>
      <w:r>
        <w:rPr>
          <w:color w:val="000000"/>
          <w:spacing w:val="0"/>
          <w:w w:val="100"/>
          <w:position w:val="0"/>
          <w:sz w:val="24"/>
          <w:szCs w:val="24"/>
        </w:rPr>
        <w:t xml:space="preserve">产 </w:t>
      </w:r>
      <w:r>
        <w:rPr>
          <w:color w:val="000000"/>
          <w:spacing w:val="0"/>
          <w:w w:val="100"/>
          <w:position w:val="0"/>
        </w:rPr>
        <w:t xml:space="preserve">合同现金流量的时间分布或金额发生变更的合同条款进行评估，以确定其是否满足上述合同现金流量特征的要求。 </w:t>
      </w:r>
      <w:r>
        <w:rPr>
          <w:color w:val="000000"/>
          <w:spacing w:val="0"/>
          <w:w w:val="100"/>
          <w:position w:val="0"/>
        </w:rPr>
        <w:t>仅在本集团改变管理金融资产的业务模式时，所有受影响的相关金融资产在业务模式发生变更后的首个报告期间的第一天进 行重分类，否则金融资产在初始确认后不得进行重分类。</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金融资产在初始确认时以公允价值计量。对于以公允价值计量且其变动计入当期损益的金融资产，相关交易费用直接计入当 期损益；对于其他类别的金融资产，相关交易费用计入初始确认金额。因销售产品或提供劳务而产生的、未包含或不考虑重 大融资成分的应收账款，本集团按照预期有权收取的对价金额作为初始确认金额。</w:t>
      </w:r>
    </w:p>
    <w:p>
      <w:pPr>
        <w:pStyle w:val="Style24"/>
        <w:keepNext w:val="0"/>
        <w:keepLines w:val="0"/>
        <w:widowControl w:val="0"/>
        <w:shd w:val="clear" w:color="auto" w:fill="auto"/>
        <w:tabs>
          <w:tab w:pos="445" w:val="left"/>
        </w:tabs>
        <w:bidi w:val="0"/>
        <w:spacing w:before="0" w:after="0" w:line="313" w:lineRule="exact"/>
        <w:ind w:left="0" w:right="0" w:firstLine="0"/>
        <w:jc w:val="both"/>
      </w:pPr>
      <w:bookmarkStart w:id="760" w:name="bookmark760"/>
      <w:r>
        <w:rPr>
          <w:color w:val="000000"/>
          <w:spacing w:val="0"/>
          <w:w w:val="100"/>
          <w:position w:val="0"/>
          <w:sz w:val="20"/>
          <w:szCs w:val="20"/>
        </w:rPr>
        <w:t>（</w:t>
      </w:r>
      <w:bookmarkEnd w:id="760"/>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金融负债分类和计量</w:t>
      </w:r>
    </w:p>
    <w:p>
      <w:pPr>
        <w:pStyle w:val="Style24"/>
        <w:keepNext w:val="0"/>
        <w:keepLines w:val="0"/>
        <w:widowControl w:val="0"/>
        <w:shd w:val="clear" w:color="auto" w:fill="auto"/>
        <w:bidi w:val="0"/>
        <w:spacing w:before="0" w:after="60" w:line="313" w:lineRule="exact"/>
        <w:ind w:left="0" w:right="0" w:firstLine="0"/>
        <w:jc w:val="both"/>
      </w:pPr>
      <w:r>
        <w:rPr>
          <w:color w:val="000000"/>
          <w:spacing w:val="0"/>
          <w:w w:val="100"/>
          <w:position w:val="0"/>
        </w:rPr>
        <w:t>本集团的金融负债于初始确认时分类为：以公允价值计量且其变动计入当期损益的金融负债、以摊余成本计量的金融负债。 对于未划分为以公允价值计量且其变动计入当期损益的金融负债的，相关交易费用计入其初始确认金额。</w:t>
      </w:r>
    </w:p>
    <w:p>
      <w:pPr>
        <w:pStyle w:val="Style15"/>
        <w:keepNext w:val="0"/>
        <w:keepLines w:val="0"/>
        <w:widowControl w:val="0"/>
        <w:shd w:val="clear" w:color="auto" w:fill="auto"/>
        <w:bidi w:val="0"/>
        <w:spacing w:before="0" w:after="160" w:line="240" w:lineRule="auto"/>
        <w:ind w:left="0" w:right="0" w:firstLine="0"/>
        <w:jc w:val="both"/>
        <w:rPr>
          <w:sz w:val="24"/>
          <w:szCs w:val="24"/>
        </w:rPr>
      </w:pPr>
      <w:r>
        <w:rPr>
          <w:color w:val="000000"/>
          <w:spacing w:val="0"/>
          <w:w w:val="100"/>
          <w:position w:val="0"/>
          <w:sz w:val="24"/>
          <w:szCs w:val="24"/>
        </w:rPr>
        <w:t>以公允价值计量且其变动计入当期损益的金融负债</w:t>
      </w:r>
    </w:p>
    <w:p>
      <w:pPr>
        <w:pStyle w:val="Style24"/>
        <w:keepNext w:val="0"/>
        <w:keepLines w:val="0"/>
        <w:widowControl w:val="0"/>
        <w:shd w:val="clear" w:color="auto" w:fill="auto"/>
        <w:bidi w:val="0"/>
        <w:spacing w:before="0" w:after="60" w:line="312" w:lineRule="exact"/>
        <w:ind w:left="0" w:right="0" w:firstLine="0"/>
        <w:jc w:val="both"/>
      </w:pPr>
      <w:r>
        <w:rPr>
          <w:color w:val="000000"/>
          <w:spacing w:val="0"/>
          <w:w w:val="100"/>
          <w:position w:val="0"/>
        </w:rPr>
        <w:t>以公允价值计量且其变动计入当期损益的金融负债，包括交易性金融负债和初始确认时指定为以公允价值计量且其变动计入 当期损益的金融负债。对于此类金融负债，按照公允价值进行后续计量，公允价值变动形成的利得或损失以及与该等金融负 债相关的股利和利息支出计入当期损益。</w:t>
      </w:r>
    </w:p>
    <w:p>
      <w:pPr>
        <w:pStyle w:val="Style15"/>
        <w:keepNext w:val="0"/>
        <w:keepLines w:val="0"/>
        <w:widowControl w:val="0"/>
        <w:shd w:val="clear" w:color="auto" w:fill="auto"/>
        <w:bidi w:val="0"/>
        <w:spacing w:before="0" w:after="160" w:line="240" w:lineRule="auto"/>
        <w:ind w:left="0" w:right="0" w:firstLine="0"/>
        <w:jc w:val="both"/>
        <w:rPr>
          <w:sz w:val="24"/>
          <w:szCs w:val="24"/>
        </w:rPr>
      </w:pPr>
      <w:r>
        <w:rPr>
          <w:color w:val="000000"/>
          <w:spacing w:val="0"/>
          <w:w w:val="100"/>
          <w:position w:val="0"/>
          <w:sz w:val="24"/>
          <w:szCs w:val="24"/>
        </w:rPr>
        <w:t>以摊余成本计量的金融负债</w:t>
      </w:r>
    </w:p>
    <w:p>
      <w:pPr>
        <w:pStyle w:val="Style24"/>
        <w:keepNext w:val="0"/>
        <w:keepLines w:val="0"/>
        <w:widowControl w:val="0"/>
        <w:shd w:val="clear" w:color="auto" w:fill="auto"/>
        <w:bidi w:val="0"/>
        <w:spacing w:before="0" w:after="60" w:line="314" w:lineRule="exact"/>
        <w:ind w:left="0" w:right="0" w:firstLine="0"/>
        <w:jc w:val="both"/>
      </w:pPr>
      <w:r>
        <w:rPr>
          <w:color w:val="000000"/>
          <w:spacing w:val="0"/>
          <w:w w:val="100"/>
          <w:position w:val="0"/>
        </w:rPr>
        <w:t>其他金融负债采用实际利率法，按摊余成本进行后续计量，终止确认或摊销产生的利得或损失计入当期损益。</w:t>
      </w:r>
    </w:p>
    <w:p>
      <w:pPr>
        <w:pStyle w:val="Style15"/>
        <w:keepNext w:val="0"/>
        <w:keepLines w:val="0"/>
        <w:widowControl w:val="0"/>
        <w:shd w:val="clear" w:color="auto" w:fill="auto"/>
        <w:bidi w:val="0"/>
        <w:spacing w:before="0" w:after="160" w:line="240" w:lineRule="auto"/>
        <w:ind w:left="0" w:right="0" w:firstLine="0"/>
        <w:jc w:val="both"/>
        <w:rPr>
          <w:sz w:val="24"/>
          <w:szCs w:val="24"/>
        </w:rPr>
      </w:pPr>
      <w:r>
        <w:rPr>
          <w:color w:val="000000"/>
          <w:spacing w:val="0"/>
          <w:w w:val="100"/>
          <w:position w:val="0"/>
          <w:sz w:val="24"/>
          <w:szCs w:val="24"/>
        </w:rPr>
        <w:t>金融负债与权益工具的区分</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金融负债，是指符合下列条件之一的负债：</w:t>
      </w:r>
    </w:p>
    <w:p>
      <w:pPr>
        <w:pStyle w:val="Style24"/>
        <w:keepNext w:val="0"/>
        <w:keepLines w:val="0"/>
        <w:widowControl w:val="0"/>
        <w:numPr>
          <w:ilvl w:val="0"/>
          <w:numId w:val="35"/>
        </w:numPr>
        <w:shd w:val="clear" w:color="auto" w:fill="auto"/>
        <w:tabs>
          <w:tab w:pos="373" w:val="left"/>
        </w:tabs>
        <w:bidi w:val="0"/>
        <w:spacing w:before="0" w:after="0" w:line="314" w:lineRule="exact"/>
        <w:ind w:left="0" w:right="0" w:firstLine="0"/>
        <w:jc w:val="both"/>
      </w:pPr>
      <w:bookmarkStart w:id="761" w:name="bookmark761"/>
      <w:bookmarkEnd w:id="761"/>
      <w:r>
        <w:rPr>
          <w:color w:val="000000"/>
          <w:spacing w:val="0"/>
          <w:w w:val="100"/>
          <w:position w:val="0"/>
        </w:rPr>
        <w:t>向其他方交付现金或其他金融资产的合同义务。</w:t>
      </w:r>
    </w:p>
    <w:p>
      <w:pPr>
        <w:pStyle w:val="Style24"/>
        <w:keepNext w:val="0"/>
        <w:keepLines w:val="0"/>
        <w:widowControl w:val="0"/>
        <w:numPr>
          <w:ilvl w:val="0"/>
          <w:numId w:val="35"/>
        </w:numPr>
        <w:shd w:val="clear" w:color="auto" w:fill="auto"/>
        <w:tabs>
          <w:tab w:pos="373" w:val="left"/>
        </w:tabs>
        <w:bidi w:val="0"/>
        <w:spacing w:before="0" w:after="0" w:line="314" w:lineRule="exact"/>
        <w:ind w:left="0" w:right="0" w:firstLine="0"/>
        <w:jc w:val="both"/>
      </w:pPr>
      <w:bookmarkStart w:id="762" w:name="bookmark762"/>
      <w:bookmarkEnd w:id="762"/>
      <w:r>
        <w:rPr>
          <w:color w:val="000000"/>
          <w:spacing w:val="0"/>
          <w:w w:val="100"/>
          <w:position w:val="0"/>
        </w:rPr>
        <w:t>在潜在不利条件下，与其他方交换金融资产或金融负债的合同义务。</w:t>
      </w:r>
    </w:p>
    <w:p>
      <w:pPr>
        <w:pStyle w:val="Style24"/>
        <w:keepNext w:val="0"/>
        <w:keepLines w:val="0"/>
        <w:widowControl w:val="0"/>
        <w:numPr>
          <w:ilvl w:val="0"/>
          <w:numId w:val="35"/>
        </w:numPr>
        <w:shd w:val="clear" w:color="auto" w:fill="auto"/>
        <w:tabs>
          <w:tab w:pos="373" w:val="left"/>
        </w:tabs>
        <w:bidi w:val="0"/>
        <w:spacing w:before="0" w:after="0" w:line="314" w:lineRule="exact"/>
        <w:ind w:left="0" w:right="0" w:firstLine="0"/>
        <w:jc w:val="both"/>
      </w:pPr>
      <w:bookmarkStart w:id="763" w:name="bookmark763"/>
      <w:bookmarkEnd w:id="763"/>
      <w:r>
        <w:rPr>
          <w:color w:val="000000"/>
          <w:spacing w:val="0"/>
          <w:w w:val="100"/>
          <w:position w:val="0"/>
        </w:rPr>
        <w:t>将来须用或可用企业自身权益工具进行结算的非衍生工具合同，且企业根据该合同将交付可变数量的自身权益工具。</w:t>
      </w:r>
    </w:p>
    <w:p>
      <w:pPr>
        <w:pStyle w:val="Style24"/>
        <w:keepNext w:val="0"/>
        <w:keepLines w:val="0"/>
        <w:widowControl w:val="0"/>
        <w:numPr>
          <w:ilvl w:val="0"/>
          <w:numId w:val="35"/>
        </w:numPr>
        <w:shd w:val="clear" w:color="auto" w:fill="auto"/>
        <w:tabs>
          <w:tab w:pos="373" w:val="left"/>
        </w:tabs>
        <w:bidi w:val="0"/>
        <w:spacing w:before="0" w:after="0" w:line="314" w:lineRule="exact"/>
        <w:ind w:left="0" w:right="0" w:firstLine="0"/>
        <w:jc w:val="both"/>
      </w:pPr>
      <w:bookmarkStart w:id="764" w:name="bookmark764"/>
      <w:bookmarkEnd w:id="764"/>
      <w:r>
        <w:rPr>
          <w:color w:val="000000"/>
          <w:spacing w:val="0"/>
          <w:w w:val="100"/>
          <w:position w:val="0"/>
        </w:rPr>
        <w:t>将来须用或可用企业自身权益工具进行结算的衍生工具合同，但以固定数量的自身权益工具交换固定金额的现金或其他金 融资产的衍生工具合同除外。</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权益工具，是指能证明拥有某个企业在扣除所有负债后的资产中剩余权益的合同。</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如果本集团不能无条件地避免以交付现金或其他金融资产来履行一项合同义务，则该合同义务符合金融负债的定义。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如果一项金融工具须用或可用本集团自身权益工具进行结算，需要考虑用于结算该工具的本集团自身权益工具，是作为现金 或其他金融资产的替代品，还是为了使该工具持有方享有在发行方扣除所有负债后的资产中的剩余权益。如果是前者，该工 具是本集团的金融负债；如果是后者，该工具是本集团的权益工具。</w:t>
      </w:r>
    </w:p>
    <w:p>
      <w:pPr>
        <w:pStyle w:val="Style24"/>
        <w:keepNext w:val="0"/>
        <w:keepLines w:val="0"/>
        <w:widowControl w:val="0"/>
        <w:shd w:val="clear" w:color="auto" w:fill="auto"/>
        <w:tabs>
          <w:tab w:pos="445" w:val="left"/>
        </w:tabs>
        <w:bidi w:val="0"/>
        <w:spacing w:before="0" w:after="0" w:line="314" w:lineRule="exact"/>
        <w:ind w:left="0" w:right="0" w:firstLine="0"/>
        <w:jc w:val="both"/>
      </w:pPr>
      <w:bookmarkStart w:id="765" w:name="bookmark765"/>
      <w:r>
        <w:rPr>
          <w:color w:val="000000"/>
          <w:spacing w:val="0"/>
          <w:w w:val="100"/>
          <w:position w:val="0"/>
          <w:sz w:val="20"/>
          <w:szCs w:val="20"/>
        </w:rPr>
        <w:t>（</w:t>
      </w:r>
      <w:bookmarkEnd w:id="765"/>
      <w:r>
        <w:rPr>
          <w:rFonts w:ascii="Tahoma" w:eastAsia="Tahoma" w:hAnsi="Tahoma" w:cs="Tahoma"/>
          <w:color w:val="000000"/>
          <w:spacing w:val="0"/>
          <w:w w:val="100"/>
          <w:position w:val="0"/>
          <w:sz w:val="16"/>
          <w:szCs w:val="16"/>
        </w:rPr>
        <w:t>4</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金融工具的公允价值</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本集团以公允价值计量相关资产或负债，假定出售资产或者转移负债的有序交易在相关资产或负债的主要市场进行；不存在 主要市场的，本集团假定该交易在相关资产或负债的最有利市场进行。主要市场（或最有利市场）是本集团在计量日能够进 入的交易市场。本集团采用市场参与者在对该资产或负债定价时为实现其经济利益最大化所使用的假设。</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存在活跃市场的金融资产或金融负债，本集团采用活跃市场中的报价确定其公允价值。金融工具不存在活跃市场的，本集团 采用估值技术确定其公允价值。</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以公允价值计量非金融资产的，考虑市场参与者将该资产用于最佳用途产生经济利益的能力，或者将该资产出售给能够用于 最佳用途的其他市场参与者产生经济利益的能力。</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本集团采用在当前情况下适用并且有足够可利用数据和其他信息支持的估值技术，优先使用相关可观察输入值，只有在可观 察输入值无法取得或取得不切实可行的情况下，才使用不可观察输入值。</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在财务报表中以公允价值计量或披露的资产和负债，根据对公允价值计量整体而言具有重要意义的最低层次输入值，确定所 属的公允价值层次：第一层次输入值，是在计量日能够取得的相同资产或负债在活跃市场上未经调整的报价；第二层次输入 值，是除第一层次输入值外相关资产或负债直接或间接可观察的输入值；第三层次输入值，是相关资产或负债的不可观察输 入值。</w:t>
      </w:r>
    </w:p>
    <w:p>
      <w:pPr>
        <w:pStyle w:val="Style24"/>
        <w:keepNext w:val="0"/>
        <w:keepLines w:val="0"/>
        <w:widowControl w:val="0"/>
        <w:shd w:val="clear" w:color="auto" w:fill="auto"/>
        <w:bidi w:val="0"/>
        <w:spacing w:before="0" w:after="100" w:line="314" w:lineRule="exact"/>
        <w:ind w:left="0" w:right="0" w:firstLine="0"/>
        <w:jc w:val="both"/>
      </w:pPr>
      <w:r>
        <w:rPr>
          <w:color w:val="000000"/>
          <w:spacing w:val="0"/>
          <w:w w:val="100"/>
          <w:position w:val="0"/>
        </w:rPr>
        <w:t xml:space="preserve">每个资产负债表日，本集团对在财务报表中确认的持续以公允价值计量的资产和负债进行重新评估，以确定是否在公允价值 </w:t>
      </w:r>
      <w:r>
        <w:rPr>
          <w:color w:val="000000"/>
          <w:spacing w:val="0"/>
          <w:w w:val="100"/>
          <w:position w:val="0"/>
        </w:rPr>
        <w:t>计量层次之间发生转换。</w:t>
      </w:r>
    </w:p>
    <w:p>
      <w:pPr>
        <w:pStyle w:val="Style24"/>
        <w:keepNext w:val="0"/>
        <w:keepLines w:val="0"/>
        <w:widowControl w:val="0"/>
        <w:shd w:val="clear" w:color="auto" w:fill="auto"/>
        <w:bidi w:val="0"/>
        <w:spacing w:before="0" w:after="0"/>
        <w:ind w:left="0" w:right="0" w:firstLine="0"/>
        <w:jc w:val="both"/>
      </w:pPr>
      <w:bookmarkStart w:id="766" w:name="bookmark766"/>
      <w:r>
        <w:rPr>
          <w:rFonts w:ascii="Tahoma" w:eastAsia="Tahoma" w:hAnsi="Tahoma" w:cs="Tahoma"/>
          <w:color w:val="000000"/>
          <w:spacing w:val="0"/>
          <w:w w:val="100"/>
          <w:position w:val="0"/>
          <w:sz w:val="16"/>
          <w:szCs w:val="16"/>
        </w:rPr>
        <w:t>（</w:t>
      </w:r>
      <w:bookmarkEnd w:id="766"/>
      <w:r>
        <w:rPr>
          <w:rFonts w:ascii="Tahoma" w:eastAsia="Tahoma" w:hAnsi="Tahoma" w:cs="Tahoma"/>
          <w:color w:val="000000"/>
          <w:spacing w:val="0"/>
          <w:w w:val="100"/>
          <w:position w:val="0"/>
          <w:sz w:val="16"/>
          <w:szCs w:val="16"/>
        </w:rPr>
        <w:t>5）</w:t>
      </w:r>
      <w:r>
        <w:rPr>
          <w:color w:val="000000"/>
          <w:spacing w:val="0"/>
          <w:w w:val="100"/>
          <w:position w:val="0"/>
        </w:rPr>
        <w:t>金融资产减值</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本集团以预期信用损失为基础，对下列项目进行减值会计处理并确认损失准备：</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以摊余成本计量的金融资产；</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以公允价值计量且其变动计入其他综合收益的应收款项和债权投资；</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《企业会计准则第</w:t>
      </w:r>
      <w:r>
        <w:rPr>
          <w:rFonts w:ascii="Tahoma" w:eastAsia="Tahoma" w:hAnsi="Tahoma" w:cs="Tahoma"/>
          <w:color w:val="000000"/>
          <w:spacing w:val="0"/>
          <w:w w:val="100"/>
          <w:position w:val="0"/>
          <w:sz w:val="16"/>
          <w:szCs w:val="16"/>
        </w:rPr>
        <w:t>14</w:t>
      </w:r>
      <w:r>
        <w:rPr>
          <w:color w:val="000000"/>
          <w:spacing w:val="0"/>
          <w:w w:val="100"/>
          <w:position w:val="0"/>
        </w:rPr>
        <w:t>号一一收入》定义的合同资产；</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租赁应收款；</w:t>
      </w:r>
    </w:p>
    <w:p>
      <w:pPr>
        <w:pStyle w:val="Style24"/>
        <w:keepNext w:val="0"/>
        <w:keepLines w:val="0"/>
        <w:widowControl w:val="0"/>
        <w:shd w:val="clear" w:color="auto" w:fill="auto"/>
        <w:bidi w:val="0"/>
        <w:spacing w:before="0" w:after="100" w:line="317" w:lineRule="exact"/>
        <w:ind w:left="0" w:right="0" w:firstLine="0"/>
        <w:jc w:val="both"/>
      </w:pPr>
      <w:r>
        <w:rPr>
          <w:color w:val="000000"/>
          <w:spacing w:val="0"/>
          <w:w w:val="100"/>
          <w:position w:val="0"/>
        </w:rPr>
        <w:t>财务担保合同（以公允价值计量且其变动计入当期损益、金融资产转移不符合终止确认条件或继续涉入被转移金融资产所形 成的除外）。</w:t>
      </w:r>
    </w:p>
    <w:p>
      <w:pPr>
        <w:pStyle w:val="Style15"/>
        <w:keepNext w:val="0"/>
        <w:keepLines w:val="0"/>
        <w:widowControl w:val="0"/>
        <w:shd w:val="clear" w:color="auto" w:fill="auto"/>
        <w:bidi w:val="0"/>
        <w:spacing w:before="0" w:after="160" w:line="240" w:lineRule="auto"/>
        <w:ind w:left="0" w:right="0" w:firstLine="0"/>
        <w:jc w:val="both"/>
        <w:rPr>
          <w:sz w:val="24"/>
          <w:szCs w:val="24"/>
        </w:rPr>
      </w:pPr>
      <w:r>
        <w:rPr>
          <w:color w:val="000000"/>
          <w:spacing w:val="0"/>
          <w:w w:val="100"/>
          <w:position w:val="0"/>
          <w:sz w:val="24"/>
          <w:szCs w:val="24"/>
        </w:rPr>
        <w:t>预期信用损失的计量</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预期信用损失，是指以发生违约的风险为权重的金融工具信用损失的加权平均值。信用损失，是指本集团按照原实际利率折 现的、根据合同应收的所有合同现金流量与预期收取的所有现金流量之间的差额，即全部现金短缺的现值。</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本集团对于处于不同阶段的金融工具的预期信用损失分别进行计量。金融工具自初始确认后信用风险未显著增加的，处于第 一阶段，本集团按照未来</w:t>
      </w:r>
      <w:r>
        <w:rPr>
          <w:rFonts w:ascii="Tahoma" w:eastAsia="Tahoma" w:hAnsi="Tahoma" w:cs="Tahoma"/>
          <w:color w:val="000000"/>
          <w:spacing w:val="0"/>
          <w:w w:val="100"/>
          <w:position w:val="0"/>
          <w:sz w:val="16"/>
          <w:szCs w:val="16"/>
        </w:rPr>
        <w:t>12</w:t>
      </w:r>
      <w:r>
        <w:rPr>
          <w:color w:val="000000"/>
          <w:spacing w:val="0"/>
          <w:w w:val="100"/>
          <w:position w:val="0"/>
        </w:rPr>
        <w:t>个月内的预期信用损失计量损失准备；金融工具自初始确认后信用风险已显著增加但尚未发生信 用减值的，处于第二阶段，本集团按照该工具整个存续期的预期信用损失计量损失准备；金融工具自初始确认后已经发生信 用减值的，处于第三阶段，本集团按照该工具整个存续期的预期信用损失计量损失准备。</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对于在资产负债表日具有较低信用风险的金融工具，本集团假设其信用风险自初始确认后并未显著增加，按照未来</w:t>
      </w:r>
      <w:r>
        <w:rPr>
          <w:rFonts w:ascii="Tahoma" w:eastAsia="Tahoma" w:hAnsi="Tahoma" w:cs="Tahoma"/>
          <w:color w:val="000000"/>
          <w:spacing w:val="0"/>
          <w:w w:val="100"/>
          <w:position w:val="0"/>
          <w:sz w:val="16"/>
          <w:szCs w:val="16"/>
        </w:rPr>
        <w:t>12</w:t>
      </w:r>
      <w:r>
        <w:rPr>
          <w:color w:val="000000"/>
          <w:spacing w:val="0"/>
          <w:w w:val="100"/>
          <w:position w:val="0"/>
        </w:rPr>
        <w:t>个月内 的预期信用损失计量损失准备。</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整个存续期预期信用损失，是指因金融工具整个预计存续期内所有可能发生的违约事件而导致的预期信用损失。未来</w:t>
      </w:r>
      <w:r>
        <w:rPr>
          <w:rFonts w:ascii="Tahoma" w:eastAsia="Tahoma" w:hAnsi="Tahoma" w:cs="Tahoma"/>
          <w:color w:val="000000"/>
          <w:spacing w:val="0"/>
          <w:w w:val="100"/>
          <w:position w:val="0"/>
          <w:sz w:val="16"/>
          <w:szCs w:val="16"/>
        </w:rPr>
        <w:t>12</w:t>
      </w:r>
      <w:r>
        <w:rPr>
          <w:color w:val="000000"/>
          <w:spacing w:val="0"/>
          <w:w w:val="100"/>
          <w:position w:val="0"/>
        </w:rPr>
        <w:t>个月 内预期信用损失，是指因资产负债表日后</w:t>
      </w:r>
      <w:r>
        <w:rPr>
          <w:rFonts w:ascii="Tahoma" w:eastAsia="Tahoma" w:hAnsi="Tahoma" w:cs="Tahoma"/>
          <w:color w:val="000000"/>
          <w:spacing w:val="0"/>
          <w:w w:val="100"/>
          <w:position w:val="0"/>
          <w:sz w:val="16"/>
          <w:szCs w:val="16"/>
        </w:rPr>
        <w:t>12</w:t>
      </w:r>
      <w:r>
        <w:rPr>
          <w:color w:val="000000"/>
          <w:spacing w:val="0"/>
          <w:w w:val="100"/>
          <w:position w:val="0"/>
        </w:rPr>
        <w:t>个月内（若金融工具的预计存续期少于</w:t>
      </w:r>
      <w:r>
        <w:rPr>
          <w:rFonts w:ascii="Tahoma" w:eastAsia="Tahoma" w:hAnsi="Tahoma" w:cs="Tahoma"/>
          <w:color w:val="000000"/>
          <w:spacing w:val="0"/>
          <w:w w:val="100"/>
          <w:position w:val="0"/>
          <w:sz w:val="16"/>
          <w:szCs w:val="16"/>
        </w:rPr>
        <w:t>12</w:t>
      </w:r>
      <w:r>
        <w:rPr>
          <w:color w:val="000000"/>
          <w:spacing w:val="0"/>
          <w:w w:val="100"/>
          <w:position w:val="0"/>
        </w:rPr>
        <w:t>个月，则为预计存续期）可能发生的金 融工具违约事件而导致的预期信用损失，是整个存续期预期信用损失的一部分。</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在计量预期信用损失时，本集团需考虑的最长期限为企业面临信用风险的最长合同期限（包括考虑续约选择权）。</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本集团对于处于第一阶段和第二阶段、以及较低信用风险的金融工具，按照其未扣除减值准备的账面余额和实际利率计算利 息收入。对于处于第三阶段的金融工具，按照其账面余额减已计提减值准备后的摊余成本和实际利率计算利息收入。</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对于应收票据、应收账款、合同资产，无论是否存在重大融资成分，本集团始终按照相当于整个存续期内预期信用损失的金 额计量其损失准备。</w:t>
      </w:r>
    </w:p>
    <w:p>
      <w:pPr>
        <w:pStyle w:val="Style24"/>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当单项金融资产无法以合理成本评估预期信用损失的信息时，本集团依据信用风险特征对应收票据和应收账款划分组合，在 组合基础上计算预期信用损失，确定组合的依据如下：</w:t>
      </w:r>
    </w:p>
    <w:p>
      <w:pPr>
        <w:pStyle w:val="Style24"/>
        <w:keepNext w:val="0"/>
        <w:keepLines w:val="0"/>
        <w:widowControl w:val="0"/>
        <w:shd w:val="clear" w:color="auto" w:fill="auto"/>
        <w:tabs>
          <w:tab w:pos="354" w:val="left"/>
        </w:tabs>
        <w:bidi w:val="0"/>
        <w:spacing w:before="0" w:after="0"/>
        <w:ind w:left="0" w:right="0" w:firstLine="0"/>
        <w:jc w:val="both"/>
      </w:pPr>
      <w:bookmarkStart w:id="767" w:name="bookmark767"/>
      <w:r>
        <w:rPr>
          <w:rFonts w:ascii="Tahoma" w:eastAsia="Tahoma" w:hAnsi="Tahoma" w:cs="Tahoma"/>
          <w:color w:val="000000"/>
          <w:spacing w:val="0"/>
          <w:w w:val="100"/>
          <w:position w:val="0"/>
          <w:sz w:val="16"/>
          <w:szCs w:val="16"/>
        </w:rPr>
        <w:t>A</w:t>
      </w:r>
      <w:bookmarkEnd w:id="767"/>
      <w:r>
        <w:rPr>
          <w:color w:val="000000"/>
          <w:spacing w:val="0"/>
          <w:w w:val="100"/>
          <w:position w:val="0"/>
        </w:rPr>
        <w:t>、</w:t>
        <w:tab/>
      </w:r>
      <w:r>
        <w:rPr>
          <w:color w:val="000000"/>
          <w:spacing w:val="0"/>
          <w:w w:val="100"/>
          <w:position w:val="0"/>
        </w:rPr>
        <w:t>应收票据</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应收票据组合</w:t>
      </w:r>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color w:val="000000"/>
          <w:spacing w:val="0"/>
          <w:w w:val="100"/>
          <w:position w:val="0"/>
        </w:rPr>
        <w:t>银行承兑汇票</w:t>
      </w:r>
    </w:p>
    <w:p>
      <w:pPr>
        <w:pStyle w:val="Style24"/>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应收票据组合</w:t>
      </w:r>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color w:val="000000"/>
          <w:spacing w:val="0"/>
          <w:w w:val="100"/>
          <w:position w:val="0"/>
        </w:rPr>
        <w:t>商业承兑汇票</w:t>
      </w:r>
    </w:p>
    <w:p>
      <w:pPr>
        <w:pStyle w:val="Style24"/>
        <w:keepNext w:val="0"/>
        <w:keepLines w:val="0"/>
        <w:widowControl w:val="0"/>
        <w:shd w:val="clear" w:color="auto" w:fill="auto"/>
        <w:tabs>
          <w:tab w:pos="354" w:val="left"/>
        </w:tabs>
        <w:bidi w:val="0"/>
        <w:spacing w:before="0" w:after="0"/>
        <w:ind w:left="0" w:right="0" w:firstLine="0"/>
        <w:jc w:val="both"/>
      </w:pPr>
      <w:bookmarkStart w:id="768" w:name="bookmark768"/>
      <w:r>
        <w:rPr>
          <w:rFonts w:ascii="Tahoma" w:eastAsia="Tahoma" w:hAnsi="Tahoma" w:cs="Tahoma"/>
          <w:color w:val="000000"/>
          <w:spacing w:val="0"/>
          <w:w w:val="100"/>
          <w:position w:val="0"/>
          <w:sz w:val="16"/>
          <w:szCs w:val="16"/>
        </w:rPr>
        <w:t>B</w:t>
      </w:r>
      <w:bookmarkEnd w:id="768"/>
      <w:r>
        <w:rPr>
          <w:color w:val="000000"/>
          <w:spacing w:val="0"/>
          <w:w w:val="100"/>
          <w:position w:val="0"/>
        </w:rPr>
        <w:t>、</w:t>
        <w:tab/>
      </w:r>
      <w:r>
        <w:rPr>
          <w:color w:val="000000"/>
          <w:spacing w:val="0"/>
          <w:w w:val="100"/>
          <w:position w:val="0"/>
        </w:rPr>
        <w:t>应收账款</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应收账款组合</w:t>
      </w:r>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color w:val="000000"/>
          <w:spacing w:val="0"/>
          <w:w w:val="100"/>
          <w:position w:val="0"/>
        </w:rPr>
        <w:t>应收货款</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应收账款组合</w:t>
      </w:r>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color w:val="000000"/>
          <w:spacing w:val="0"/>
          <w:w w:val="100"/>
          <w:position w:val="0"/>
        </w:rPr>
        <w:t>应收客户质保金</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对于划分为组合的应收票据、合同资产，本集团参考历史信用损失经验，结合当前状况以及对未来经济状况的预测，通过违 约风险敞口和整个存续期预期信用损失率，计算预期信用损失。</w:t>
      </w:r>
    </w:p>
    <w:p>
      <w:pPr>
        <w:pStyle w:val="Style24"/>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对于划分为组合的应收账款，本集团参考历史信用损失经验，结合当前状况以及对未来经济状况的预测，编制应收账款账龄 /逾期天数与整个存续期预期信用损失率对照表，计算预期信用损失。</w:t>
      </w:r>
    </w:p>
    <w:p>
      <w:pPr>
        <w:pStyle w:val="Style15"/>
        <w:keepNext w:val="0"/>
        <w:keepLines w:val="0"/>
        <w:widowControl w:val="0"/>
        <w:shd w:val="clear" w:color="auto" w:fill="auto"/>
        <w:bidi w:val="0"/>
        <w:spacing w:before="0" w:after="160" w:line="240" w:lineRule="auto"/>
        <w:ind w:left="0" w:right="0" w:firstLine="0"/>
        <w:jc w:val="both"/>
        <w:rPr>
          <w:sz w:val="24"/>
          <w:szCs w:val="24"/>
        </w:rPr>
      </w:pPr>
      <w:r>
        <w:rPr>
          <w:color w:val="000000"/>
          <w:spacing w:val="0"/>
          <w:w w:val="100"/>
          <w:position w:val="0"/>
          <w:sz w:val="24"/>
          <w:szCs w:val="24"/>
        </w:rPr>
        <w:t>其他应收款</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本集团依据信用风险特征将其他应收款划分为若干组合，在组合基础上计算预期信用损失，确定组合的依据如下：</w:t>
      </w:r>
    </w:p>
    <w:p>
      <w:pPr>
        <w:pStyle w:val="Style24"/>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其他应收款组合</w:t>
      </w:r>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color w:val="000000"/>
          <w:spacing w:val="0"/>
          <w:w w:val="100"/>
          <w:position w:val="0"/>
        </w:rPr>
        <w:t>应收押金和保证金</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color w:val="000000"/>
          <w:spacing w:val="0"/>
          <w:w w:val="100"/>
          <w:position w:val="0"/>
        </w:rPr>
        <w:t>应收员工备用金和代垫款</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color w:val="000000"/>
          <w:spacing w:val="0"/>
          <w:w w:val="100"/>
          <w:position w:val="0"/>
        </w:rPr>
        <w:t>应收关联方款项</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rFonts w:ascii="Tahoma" w:eastAsia="Tahoma" w:hAnsi="Tahoma" w:cs="Tahoma"/>
          <w:color w:val="000000"/>
          <w:spacing w:val="0"/>
          <w:w w:val="100"/>
          <w:position w:val="0"/>
          <w:sz w:val="16"/>
          <w:szCs w:val="16"/>
        </w:rPr>
        <w:t>4</w:t>
      </w:r>
      <w:r>
        <w:rPr>
          <w:color w:val="000000"/>
          <w:spacing w:val="0"/>
          <w:w w:val="100"/>
          <w:position w:val="0"/>
          <w:sz w:val="20"/>
          <w:szCs w:val="20"/>
        </w:rPr>
        <w:t>：</w:t>
      </w:r>
      <w:r>
        <w:rPr>
          <w:color w:val="000000"/>
          <w:spacing w:val="0"/>
          <w:w w:val="100"/>
          <w:position w:val="0"/>
        </w:rPr>
        <w:t>应收其他款项</w:t>
      </w:r>
    </w:p>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shd w:val="clear" w:color="auto" w:fill="FFFFFF"/>
        </w:rPr>
        <w:t>对划分为组合的其他应收款，本集团通过违约风险敞口和未来</w:t>
      </w:r>
      <w:r>
        <w:rPr>
          <w:rFonts w:ascii="Tahoma" w:eastAsia="Tahoma" w:hAnsi="Tahoma" w:cs="Tahoma"/>
          <w:color w:val="000000"/>
          <w:spacing w:val="0"/>
          <w:w w:val="100"/>
          <w:position w:val="0"/>
          <w:sz w:val="16"/>
          <w:szCs w:val="16"/>
          <w:shd w:val="clear" w:color="auto" w:fill="FFFFFF"/>
        </w:rPr>
        <w:t>12</w:t>
      </w:r>
      <w:r>
        <w:rPr>
          <w:color w:val="000000"/>
          <w:spacing w:val="0"/>
          <w:w w:val="100"/>
          <w:position w:val="0"/>
          <w:shd w:val="clear" w:color="auto" w:fill="FFFFFF"/>
        </w:rPr>
        <w:t>个月内或整个存续期预期信用损失率，计算预期信用损失。</w:t>
      </w:r>
    </w:p>
    <w:p>
      <w:pPr>
        <w:pStyle w:val="Style15"/>
        <w:keepNext w:val="0"/>
        <w:keepLines w:val="0"/>
        <w:widowControl w:val="0"/>
        <w:shd w:val="clear" w:color="auto" w:fill="auto"/>
        <w:bidi w:val="0"/>
        <w:spacing w:before="0" w:after="160" w:line="350" w:lineRule="exact"/>
        <w:ind w:left="0" w:right="0" w:firstLine="0"/>
        <w:jc w:val="both"/>
        <w:rPr>
          <w:sz w:val="24"/>
          <w:szCs w:val="24"/>
        </w:rPr>
      </w:pPr>
      <w:r>
        <w:rPr>
          <w:color w:val="000000"/>
          <w:spacing w:val="0"/>
          <w:w w:val="100"/>
          <w:position w:val="0"/>
          <w:sz w:val="24"/>
          <w:szCs w:val="24"/>
        </w:rPr>
        <w:t>债权投资、其他债权投资</w:t>
      </w:r>
    </w:p>
    <w:p>
      <w:pPr>
        <w:pStyle w:val="Style24"/>
        <w:keepNext w:val="0"/>
        <w:keepLines w:val="0"/>
        <w:widowControl w:val="0"/>
        <w:shd w:val="clear" w:color="auto" w:fill="auto"/>
        <w:bidi w:val="0"/>
        <w:spacing w:before="0" w:after="60" w:line="317" w:lineRule="exact"/>
        <w:ind w:left="0" w:right="0" w:firstLine="0"/>
        <w:jc w:val="both"/>
      </w:pPr>
      <w:r>
        <w:rPr>
          <w:color w:val="000000"/>
          <w:spacing w:val="0"/>
          <w:w w:val="100"/>
          <w:position w:val="0"/>
        </w:rPr>
        <w:t>对于债权投资和其他债权投资，本集团按照投资的性质，根据交易对手和风险敞口的各种类型，通过违约风险敞口和未来</w:t>
      </w:r>
      <w:r>
        <w:rPr>
          <w:rFonts w:ascii="Tahoma" w:eastAsia="Tahoma" w:hAnsi="Tahoma" w:cs="Tahoma"/>
          <w:color w:val="000000"/>
          <w:spacing w:val="0"/>
          <w:w w:val="100"/>
          <w:position w:val="0"/>
          <w:sz w:val="16"/>
          <w:szCs w:val="16"/>
        </w:rPr>
        <w:t xml:space="preserve">12 </w:t>
      </w:r>
      <w:r>
        <w:rPr>
          <w:color w:val="000000"/>
          <w:spacing w:val="0"/>
          <w:w w:val="100"/>
          <w:position w:val="0"/>
        </w:rPr>
        <w:t>个月内或整个存续期预期信用损失率，计算预期信用损失。</w:t>
      </w:r>
    </w:p>
    <w:p>
      <w:pPr>
        <w:pStyle w:val="Style15"/>
        <w:keepNext w:val="0"/>
        <w:keepLines w:val="0"/>
        <w:widowControl w:val="0"/>
        <w:shd w:val="clear" w:color="auto" w:fill="auto"/>
        <w:bidi w:val="0"/>
        <w:spacing w:before="0" w:after="160" w:line="240" w:lineRule="auto"/>
        <w:ind w:left="0" w:right="0" w:firstLine="0"/>
        <w:jc w:val="both"/>
        <w:rPr>
          <w:sz w:val="24"/>
          <w:szCs w:val="24"/>
        </w:rPr>
      </w:pPr>
      <w:r>
        <w:rPr>
          <w:color w:val="000000"/>
          <w:spacing w:val="0"/>
          <w:w w:val="100"/>
          <w:position w:val="0"/>
          <w:sz w:val="24"/>
          <w:szCs w:val="24"/>
        </w:rPr>
        <w:t>信用风险显著增加的评估</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本集团通过比较金融工具在资产负债表日发生违约的风险与在初始确认日发生违约的风险，以确定金融工具预计存续期内发 生违约风险的相对变化，以评估金融工具的信用风险自初始确认后是否已显著增加。</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在确定信用风险自初始确认后是否显著增加时,本集团考虑无须付出不必要的额外成本或努力即可获得的合理且有依据的信 息，包括前瞻性信息。本集团考虑的信息包括：</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债务人未能按合同到期日支付本金和利息的情况；</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已发生的或预期的金融工具的外部或内部信用评级（如有）的严重恶化； 已发生的或预期的债务人经营成果的严重恶化；</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现存的或预期的技术、市场、经济或法律环境变化，并将对债务人对本集团的还款能力产生重大不利影响。</w:t>
      </w:r>
    </w:p>
    <w:p>
      <w:pPr>
        <w:pStyle w:val="Style24"/>
        <w:keepNext w:val="0"/>
        <w:keepLines w:val="0"/>
        <w:widowControl w:val="0"/>
        <w:shd w:val="clear" w:color="auto" w:fill="auto"/>
        <w:bidi w:val="0"/>
        <w:spacing w:before="0" w:after="60" w:line="311" w:lineRule="exact"/>
        <w:ind w:left="0" w:right="0" w:firstLine="0"/>
        <w:jc w:val="both"/>
      </w:pPr>
      <w:r>
        <w:rPr>
          <w:color w:val="000000"/>
          <w:spacing w:val="0"/>
          <w:w w:val="100"/>
          <w:position w:val="0"/>
        </w:rPr>
        <w:t>根据金融工具的性质，本集团以单项金融工具或金融工具组合为基础评估信用风险是否显著增加。以金融工具组合为基础进 行评估时，本集团可基于共同信用风险特征对金融工具进行分类，例如逾期信息和信用风险评级。</w:t>
      </w:r>
    </w:p>
    <w:p>
      <w:pPr>
        <w:pStyle w:val="Style15"/>
        <w:keepNext w:val="0"/>
        <w:keepLines w:val="0"/>
        <w:widowControl w:val="0"/>
        <w:shd w:val="clear" w:color="auto" w:fill="auto"/>
        <w:bidi w:val="0"/>
        <w:spacing w:before="0" w:after="160" w:line="240" w:lineRule="auto"/>
        <w:ind w:left="0" w:right="0" w:firstLine="0"/>
        <w:jc w:val="both"/>
        <w:rPr>
          <w:sz w:val="24"/>
          <w:szCs w:val="24"/>
        </w:rPr>
      </w:pPr>
      <w:r>
        <w:rPr>
          <w:color w:val="000000"/>
          <w:spacing w:val="0"/>
          <w:w w:val="100"/>
          <w:position w:val="0"/>
          <w:sz w:val="24"/>
          <w:szCs w:val="24"/>
        </w:rPr>
        <w:t>已发生信用减值的金融资产</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本集团在资产负债表日评估以摊余成本计量的金融资产和以公允价值计量且其变动计入其他综合收益的债权投资是否已发 生信用减值。当对金融资产预期未来现金流量具有不利影响的一项或多项事件发生时，该金融资产成为已发生信用减值的金 融资产。金融资产已发生信用减值的证据包括下列可观察信息：</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发行方或债务人发生重大财务困难；</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债务人违反合同，如偿付利息或本金违约或逾期等；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本集团出于与债务人财务困难有关的经济或合同考虑，给予债务人在任何其他情况下都不会做出的让步； 债务人很可能破产或进行其他财务重组；</w:t>
      </w:r>
    </w:p>
    <w:p>
      <w:pPr>
        <w:pStyle w:val="Style24"/>
        <w:keepNext w:val="0"/>
        <w:keepLines w:val="0"/>
        <w:widowControl w:val="0"/>
        <w:shd w:val="clear" w:color="auto" w:fill="auto"/>
        <w:bidi w:val="0"/>
        <w:spacing w:before="0" w:after="60" w:line="314" w:lineRule="exact"/>
        <w:ind w:left="0" w:right="0" w:firstLine="0"/>
        <w:jc w:val="both"/>
      </w:pPr>
      <w:r>
        <w:rPr>
          <w:color w:val="000000"/>
          <w:spacing w:val="0"/>
          <w:w w:val="100"/>
          <w:position w:val="0"/>
        </w:rPr>
        <w:t>发行方或债务人财务困难导致该金融资产的活跃市场消失。</w:t>
      </w:r>
    </w:p>
    <w:p>
      <w:pPr>
        <w:pStyle w:val="Style15"/>
        <w:keepNext w:val="0"/>
        <w:keepLines w:val="0"/>
        <w:widowControl w:val="0"/>
        <w:shd w:val="clear" w:color="auto" w:fill="auto"/>
        <w:bidi w:val="0"/>
        <w:spacing w:before="0" w:after="160" w:line="240" w:lineRule="auto"/>
        <w:ind w:left="0" w:right="0" w:firstLine="0"/>
        <w:jc w:val="both"/>
        <w:rPr>
          <w:sz w:val="24"/>
          <w:szCs w:val="24"/>
        </w:rPr>
      </w:pPr>
      <w:r>
        <w:rPr>
          <w:color w:val="000000"/>
          <w:spacing w:val="0"/>
          <w:w w:val="100"/>
          <w:position w:val="0"/>
          <w:sz w:val="24"/>
          <w:szCs w:val="24"/>
        </w:rPr>
        <w:t>预期信用损失准备的列报</w:t>
      </w:r>
    </w:p>
    <w:p>
      <w:pPr>
        <w:pStyle w:val="Style24"/>
        <w:keepNext w:val="0"/>
        <w:keepLines w:val="0"/>
        <w:widowControl w:val="0"/>
        <w:shd w:val="clear" w:color="auto" w:fill="auto"/>
        <w:bidi w:val="0"/>
        <w:spacing w:before="0" w:after="60" w:line="312" w:lineRule="exact"/>
        <w:ind w:left="0" w:right="0" w:firstLine="0"/>
        <w:jc w:val="both"/>
      </w:pPr>
      <w:r>
        <w:rPr>
          <w:color w:val="000000"/>
          <w:spacing w:val="0"/>
          <w:w w:val="100"/>
          <w:position w:val="0"/>
        </w:rPr>
        <w:t>为反映金融工具的信用风险自初始确认后的变化，本集团在每个资产负债表日重新计量预期信用损失，由此形成的损失准备 的增加或转回金额，应当作为减值损失或利得计入当期损益。对于以摊余成本计量的金融资产，损失准备抵减该金融资产在 资产负债表中列示的账面价值；对于以公允价值计量且其变动计入其他综合收益的债权投资，本集团在其他综合收益中确认 其损失准备，不抵减该金融资产的账面价值。</w:t>
      </w:r>
    </w:p>
    <w:p>
      <w:pPr>
        <w:pStyle w:val="Style15"/>
        <w:keepNext w:val="0"/>
        <w:keepLines w:val="0"/>
        <w:widowControl w:val="0"/>
        <w:shd w:val="clear" w:color="auto" w:fill="auto"/>
        <w:bidi w:val="0"/>
        <w:spacing w:before="0" w:after="160" w:line="240" w:lineRule="auto"/>
        <w:ind w:left="0" w:right="0" w:firstLine="0"/>
        <w:jc w:val="both"/>
        <w:rPr>
          <w:sz w:val="24"/>
          <w:szCs w:val="24"/>
        </w:rPr>
      </w:pPr>
      <w:r>
        <w:rPr>
          <w:color w:val="000000"/>
          <w:spacing w:val="0"/>
          <w:w w:val="100"/>
          <w:position w:val="0"/>
          <w:sz w:val="24"/>
          <w:szCs w:val="24"/>
        </w:rPr>
        <w:t>核销</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如果本集团不再合理预期金融资产合同现金流量能够全部或部分收回，则直接减记该金融资产的账面余额。这种减记构成相 关金融资产的终止确认。这种情况通常发生在本集团确定债务人没有资产或收入来源可产生足够的现金流量以偿还将被减记 的金额。但是，按照本集团收回到期款项的程序，被减记的金融资产仍可能受到执行活动的影响。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已减记的金融资产以后又收回的，作为减值损失的转回计入收回当期的损益。</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sz w:val="20"/>
          <w:szCs w:val="20"/>
        </w:rPr>
        <w:t>（</w:t>
      </w:r>
      <w:r>
        <w:rPr>
          <w:rFonts w:ascii="Tahoma" w:eastAsia="Tahoma" w:hAnsi="Tahoma" w:cs="Tahoma"/>
          <w:color w:val="000000"/>
          <w:spacing w:val="0"/>
          <w:w w:val="100"/>
          <w:position w:val="0"/>
          <w:sz w:val="16"/>
          <w:szCs w:val="16"/>
        </w:rPr>
        <w:t>7</w:t>
      </w:r>
      <w:r>
        <w:rPr>
          <w:color w:val="000000"/>
          <w:spacing w:val="0"/>
          <w:w w:val="100"/>
          <w:position w:val="0"/>
          <w:sz w:val="20"/>
          <w:szCs w:val="20"/>
        </w:rPr>
        <w:t>）</w:t>
      </w:r>
      <w:r>
        <w:rPr>
          <w:color w:val="000000"/>
          <w:spacing w:val="0"/>
          <w:w w:val="100"/>
          <w:position w:val="0"/>
        </w:rPr>
        <w:t>金融资产转移</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24"/>
        <w:keepNext w:val="0"/>
        <w:keepLines w:val="0"/>
        <w:widowControl w:val="0"/>
        <w:shd w:val="clear" w:color="auto" w:fill="auto"/>
        <w:bidi w:val="0"/>
        <w:spacing w:before="0" w:after="60" w:line="312" w:lineRule="exact"/>
        <w:ind w:left="0" w:right="0" w:firstLine="0"/>
        <w:jc w:val="both"/>
      </w:pPr>
      <w:r>
        <w:rPr>
          <w:color w:val="000000"/>
          <w:spacing w:val="0"/>
          <w:w w:val="100"/>
          <w:position w:val="0"/>
        </w:rPr>
        <w:t>本集团已将金融资产所有权上几乎所有的风险和报酬转移给转入方的，终止确认该金融资产；保留了金融资产所有权上几乎 所有的风险和报酬的，不终止确认该金融资产。</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本集团既没有转移也没有保留金融资产所有权上几乎所有的风险和报酬的，分别下列情况处理:放弃了对该金融资产控制的， 终止确认该金融资产并确认产生的资产和负债；未放弃对该金融资产控制的，按照其继续涉入所转移金融资产的程度确认有 关金融资产，并相应确认有关负债。</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w:t>
      </w:r>
      <w:r>
        <w:rPr>
          <w:rFonts w:ascii="Tahoma" w:eastAsia="Tahoma" w:hAnsi="Tahoma" w:cs="Tahoma"/>
          <w:color w:val="000000"/>
          <w:spacing w:val="0"/>
          <w:w w:val="100"/>
          <w:position w:val="0"/>
          <w:sz w:val="16"/>
          <w:szCs w:val="16"/>
        </w:rPr>
        <w:t>8</w:t>
      </w:r>
      <w:r>
        <w:rPr>
          <w:color w:val="000000"/>
          <w:spacing w:val="0"/>
          <w:w w:val="100"/>
          <w:position w:val="0"/>
          <w:sz w:val="20"/>
          <w:szCs w:val="20"/>
        </w:rPr>
        <w:t>）</w:t>
      </w:r>
      <w:r>
        <w:rPr>
          <w:color w:val="000000"/>
          <w:spacing w:val="0"/>
          <w:w w:val="100"/>
          <w:position w:val="0"/>
        </w:rPr>
        <w:t>金融资产和金融负债的抵销</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当本集团具有抵销已确认金融资产和金融负债的法定权利，且目前可执行该种法定权利，同时本集团计划以净额结算或同时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28"/>
        <w:keepNext/>
        <w:keepLines/>
        <w:widowControl w:val="0"/>
        <w:shd w:val="clear" w:color="auto" w:fill="auto"/>
        <w:tabs>
          <w:tab w:pos="474" w:val="left"/>
        </w:tabs>
        <w:bidi w:val="0"/>
        <w:spacing w:before="0" w:after="38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69"/>
      <w:bookmarkEnd w:id="770"/>
      <w:bookmarkEnd w:id="772"/>
    </w:p>
    <w:p>
      <w:pPr>
        <w:pStyle w:val="Style28"/>
        <w:keepNext/>
        <w:keepLines/>
        <w:widowControl w:val="0"/>
        <w:shd w:val="clear" w:color="auto" w:fill="auto"/>
        <w:tabs>
          <w:tab w:pos="474" w:val="left"/>
        </w:tabs>
        <w:bidi w:val="0"/>
        <w:spacing w:before="0" w:after="38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73"/>
      <w:bookmarkEnd w:id="774"/>
      <w:bookmarkEnd w:id="776"/>
    </w:p>
    <w:p>
      <w:pPr>
        <w:pStyle w:val="Style28"/>
        <w:keepNext/>
        <w:keepLines/>
        <w:widowControl w:val="0"/>
        <w:shd w:val="clear" w:color="auto" w:fill="auto"/>
        <w:tabs>
          <w:tab w:pos="474" w:val="left"/>
        </w:tabs>
        <w:bidi w:val="0"/>
        <w:spacing w:before="0" w:after="3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77"/>
      <w:bookmarkEnd w:id="778"/>
      <w:bookmarkEnd w:id="780"/>
    </w:p>
    <w:p>
      <w:pPr>
        <w:pStyle w:val="Style28"/>
        <w:keepNext/>
        <w:keepLines/>
        <w:widowControl w:val="0"/>
        <w:shd w:val="clear" w:color="auto" w:fill="auto"/>
        <w:tabs>
          <w:tab w:pos="474" w:val="left"/>
        </w:tabs>
        <w:bidi w:val="0"/>
        <w:spacing w:before="0" w:after="2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81"/>
      <w:bookmarkEnd w:id="782"/>
      <w:bookmarkEnd w:id="784"/>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其他应收款的预期信用损失的确定方法及会计处理方法</w:t>
      </w:r>
    </w:p>
    <w:p>
      <w:pPr>
        <w:pStyle w:val="Style28"/>
        <w:keepNext/>
        <w:keepLines/>
        <w:widowControl w:val="0"/>
        <w:shd w:val="clear" w:color="auto" w:fill="auto"/>
        <w:tabs>
          <w:tab w:pos="474" w:val="left"/>
        </w:tabs>
        <w:bidi w:val="0"/>
        <w:spacing w:before="0" w:after="2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85"/>
      <w:bookmarkEnd w:id="786"/>
      <w:bookmarkEnd w:id="788"/>
    </w:p>
    <w:p>
      <w:pPr>
        <w:pStyle w:val="Style24"/>
        <w:keepNext w:val="0"/>
        <w:keepLines w:val="0"/>
        <w:widowControl w:val="0"/>
        <w:shd w:val="clear" w:color="auto" w:fill="auto"/>
        <w:tabs>
          <w:tab w:pos="445" w:val="left"/>
        </w:tabs>
        <w:bidi w:val="0"/>
        <w:spacing w:before="0" w:after="0" w:line="312" w:lineRule="exact"/>
        <w:ind w:left="0" w:right="0" w:firstLine="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本集团存货分为分为原材料、委托加工物资、在产品及库存商品、发出商品等。</w:t>
      </w:r>
    </w:p>
    <w:p>
      <w:pPr>
        <w:pStyle w:val="Style24"/>
        <w:keepNext w:val="0"/>
        <w:keepLines w:val="0"/>
        <w:widowControl w:val="0"/>
        <w:shd w:val="clear" w:color="auto" w:fill="auto"/>
        <w:tabs>
          <w:tab w:pos="445" w:val="left"/>
        </w:tabs>
        <w:bidi w:val="0"/>
        <w:spacing w:before="0" w:after="0" w:line="312" w:lineRule="exact"/>
        <w:ind w:left="0" w:right="0" w:firstLine="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本集团存货取得时按实际成本计价。原材料、库存商品等发出时采用加权平均法计价。</w:t>
      </w:r>
    </w:p>
    <w:p>
      <w:pPr>
        <w:pStyle w:val="Style24"/>
        <w:keepNext w:val="0"/>
        <w:keepLines w:val="0"/>
        <w:widowControl w:val="0"/>
        <w:shd w:val="clear" w:color="auto" w:fill="auto"/>
        <w:tabs>
          <w:tab w:pos="445" w:val="left"/>
        </w:tabs>
        <w:bidi w:val="0"/>
        <w:spacing w:before="0" w:after="0" w:line="312" w:lineRule="exact"/>
        <w:ind w:left="0" w:right="0" w:firstLine="0"/>
        <w:jc w:val="left"/>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存货可变现净值的确定依据及存货跌价准备的计提方法</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存货可变现净值是按存货的估计售价减去至完工时估计将要发生的成本、估计的销售费用以及相关税费后的金额。在确定存 货的可变现净值时，以取得的确凿证据为基础，同时考虑持有存货的目的以及资产负债表日后事项的影响。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资产负债表日，存货成本高于其可变现净值的，计提存货跌价准备。本集团通常按照单个存货项目计提存货跌价准备，资产 负债表日，以前减记存货价值的影响因素已经消失的，存货跌价准备在原已计提的金额内转回。</w:t>
      </w:r>
    </w:p>
    <w:p>
      <w:pPr>
        <w:pStyle w:val="Style24"/>
        <w:keepNext w:val="0"/>
        <w:keepLines w:val="0"/>
        <w:widowControl w:val="0"/>
        <w:shd w:val="clear" w:color="auto" w:fill="auto"/>
        <w:tabs>
          <w:tab w:pos="445" w:val="left"/>
        </w:tabs>
        <w:bidi w:val="0"/>
        <w:spacing w:before="0" w:after="0" w:line="312" w:lineRule="exact"/>
        <w:ind w:left="0" w:right="0" w:firstLine="0"/>
        <w:jc w:val="left"/>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本集团存货盘存制度采用永续盘存制。</w:t>
      </w:r>
    </w:p>
    <w:p>
      <w:pPr>
        <w:pStyle w:val="Style28"/>
        <w:keepNext/>
        <w:keepLines/>
        <w:widowControl w:val="0"/>
        <w:shd w:val="clear" w:color="auto" w:fill="auto"/>
        <w:tabs>
          <w:tab w:pos="474"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93"/>
      <w:bookmarkEnd w:id="794"/>
      <w:bookmarkEnd w:id="796"/>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合同成本包括为取得合同发生的增量成本及合同履约成本。为取得合同发生的增量成本是指本集团不取得合同就不会发生的 成本（如销售佣金等）。该成本预期能够收回的，本集团将其作为合同取得成本确认为一项资产。本集团为取得合同发生的、 除预期能够收回的增量成本之外的其他支出于发生时计入当期损益。</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为履行合同发生的成本，不属于存货等其他企业会计准则规范范围且同时满足下列条件的，本集团将其作为合同履约成本确 认为一项资产：</w:t>
      </w:r>
    </w:p>
    <w:p>
      <w:pPr>
        <w:pStyle w:val="Style24"/>
        <w:keepNext w:val="0"/>
        <w:keepLines w:val="0"/>
        <w:widowControl w:val="0"/>
        <w:numPr>
          <w:ilvl w:val="0"/>
          <w:numId w:val="37"/>
        </w:numPr>
        <w:shd w:val="clear" w:color="auto" w:fill="auto"/>
        <w:tabs>
          <w:tab w:pos="373" w:val="left"/>
        </w:tabs>
        <w:bidi w:val="0"/>
        <w:spacing w:before="0" w:after="0" w:line="336" w:lineRule="exact"/>
        <w:ind w:left="0" w:right="0" w:firstLine="0"/>
        <w:jc w:val="left"/>
      </w:pPr>
      <w:bookmarkStart w:id="797" w:name="bookmark797"/>
      <w:bookmarkEnd w:id="797"/>
      <w:r>
        <w:rPr>
          <w:color w:val="000000"/>
          <w:spacing w:val="0"/>
          <w:w w:val="100"/>
          <w:position w:val="0"/>
        </w:rPr>
        <w:t>该成本与一份当前或预期取得的合同直接相关，包括直接人工、直接材料、制造费用（或类似费用）、明确由客户承担的 成本以及仅因该合同而发生的其他成本；</w:t>
      </w:r>
    </w:p>
    <w:p>
      <w:pPr>
        <w:pStyle w:val="Style24"/>
        <w:keepNext w:val="0"/>
        <w:keepLines w:val="0"/>
        <w:widowControl w:val="0"/>
        <w:numPr>
          <w:ilvl w:val="0"/>
          <w:numId w:val="37"/>
        </w:numPr>
        <w:shd w:val="clear" w:color="auto" w:fill="auto"/>
        <w:tabs>
          <w:tab w:pos="373" w:val="left"/>
        </w:tabs>
        <w:bidi w:val="0"/>
        <w:spacing w:before="0" w:after="0" w:line="312" w:lineRule="exact"/>
        <w:ind w:left="0" w:right="0" w:firstLine="0"/>
        <w:jc w:val="left"/>
      </w:pPr>
      <w:bookmarkStart w:id="798" w:name="bookmark798"/>
      <w:bookmarkEnd w:id="798"/>
      <w:r>
        <w:rPr>
          <w:color w:val="000000"/>
          <w:spacing w:val="0"/>
          <w:w w:val="100"/>
          <w:position w:val="0"/>
        </w:rPr>
        <w:t>该成本增加了本集团未来用于履行履约义务的资源；</w:t>
      </w:r>
    </w:p>
    <w:p>
      <w:pPr>
        <w:pStyle w:val="Style24"/>
        <w:keepNext w:val="0"/>
        <w:keepLines w:val="0"/>
        <w:widowControl w:val="0"/>
        <w:numPr>
          <w:ilvl w:val="0"/>
          <w:numId w:val="37"/>
        </w:numPr>
        <w:shd w:val="clear" w:color="auto" w:fill="auto"/>
        <w:tabs>
          <w:tab w:pos="373" w:val="left"/>
        </w:tabs>
        <w:bidi w:val="0"/>
        <w:spacing w:before="0" w:after="0" w:line="312" w:lineRule="exact"/>
        <w:ind w:left="0" w:right="0" w:firstLine="0"/>
        <w:jc w:val="left"/>
      </w:pPr>
      <w:bookmarkStart w:id="799" w:name="bookmark799"/>
      <w:bookmarkEnd w:id="799"/>
      <w:r>
        <w:rPr>
          <w:color w:val="000000"/>
          <w:spacing w:val="0"/>
          <w:w w:val="100"/>
          <w:position w:val="0"/>
        </w:rPr>
        <w:t>该成本预期能够收回。</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）采用与该资产相关的商品或服务 </w:t>
      </w:r>
      <w:r>
        <w:rPr>
          <w:color w:val="000000"/>
          <w:spacing w:val="0"/>
          <w:w w:val="100"/>
          <w:position w:val="0"/>
        </w:rPr>
        <w:t>收入确认相同的基础进行摊销，计入当期损益。</w:t>
      </w:r>
    </w:p>
    <w:p>
      <w:pPr>
        <w:pStyle w:val="Style28"/>
        <w:keepNext/>
        <w:keepLines/>
        <w:widowControl w:val="0"/>
        <w:shd w:val="clear" w:color="auto" w:fill="auto"/>
        <w:tabs>
          <w:tab w:pos="459" w:val="left"/>
        </w:tabs>
        <w:bidi w:val="0"/>
        <w:spacing w:before="0" w:after="26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00"/>
      <w:bookmarkEnd w:id="801"/>
      <w:bookmarkEnd w:id="803"/>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当与合同成本有关的资产的账面价值高于下列两项的差额时，本集团对超出部分计提减值准备，并确认为资产减值损失：</w:t>
      </w:r>
    </w:p>
    <w:p>
      <w:pPr>
        <w:pStyle w:val="Style24"/>
        <w:keepNext w:val="0"/>
        <w:keepLines w:val="0"/>
        <w:widowControl w:val="0"/>
        <w:numPr>
          <w:ilvl w:val="0"/>
          <w:numId w:val="39"/>
        </w:numPr>
        <w:shd w:val="clear" w:color="auto" w:fill="auto"/>
        <w:tabs>
          <w:tab w:pos="358" w:val="left"/>
        </w:tabs>
        <w:bidi w:val="0"/>
        <w:spacing w:before="0" w:after="0" w:line="314" w:lineRule="exact"/>
        <w:ind w:left="0" w:right="0" w:firstLine="0"/>
        <w:jc w:val="both"/>
      </w:pPr>
      <w:bookmarkStart w:id="804" w:name="bookmark804"/>
      <w:bookmarkEnd w:id="804"/>
      <w:r>
        <w:rPr>
          <w:color w:val="000000"/>
          <w:spacing w:val="0"/>
          <w:w w:val="100"/>
          <w:position w:val="0"/>
        </w:rPr>
        <w:t>本集团因转让与该资产相关的商品或服务预期能够取得的剩余对价；</w:t>
      </w:r>
    </w:p>
    <w:p>
      <w:pPr>
        <w:pStyle w:val="Style24"/>
        <w:keepNext w:val="0"/>
        <w:keepLines w:val="0"/>
        <w:widowControl w:val="0"/>
        <w:numPr>
          <w:ilvl w:val="0"/>
          <w:numId w:val="39"/>
        </w:numPr>
        <w:shd w:val="clear" w:color="auto" w:fill="auto"/>
        <w:tabs>
          <w:tab w:pos="358" w:val="left"/>
        </w:tabs>
        <w:bidi w:val="0"/>
        <w:spacing w:before="0" w:after="0" w:line="314" w:lineRule="exact"/>
        <w:ind w:left="0" w:right="0" w:firstLine="0"/>
        <w:jc w:val="both"/>
      </w:pPr>
      <w:bookmarkStart w:id="805" w:name="bookmark805"/>
      <w:bookmarkEnd w:id="805"/>
      <w:r>
        <w:rPr>
          <w:color w:val="000000"/>
          <w:spacing w:val="0"/>
          <w:w w:val="100"/>
          <w:position w:val="0"/>
        </w:rPr>
        <w:t>为转让该相关商品或服务估计将要发生的成本。</w:t>
      </w:r>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项目中列示，初始确认时摊销 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项目中列示。确认为资产的合同取得成本，初始确认时摊销期限不 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 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8"/>
        <w:keepNext/>
        <w:keepLines/>
        <w:widowControl w:val="0"/>
        <w:shd w:val="clear" w:color="auto" w:fill="auto"/>
        <w:tabs>
          <w:tab w:pos="459" w:val="left"/>
        </w:tabs>
        <w:bidi w:val="0"/>
        <w:spacing w:before="0" w:after="380" w:line="24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06"/>
      <w:bookmarkEnd w:id="807"/>
      <w:bookmarkEnd w:id="809"/>
    </w:p>
    <w:p>
      <w:pPr>
        <w:pStyle w:val="Style28"/>
        <w:keepNext/>
        <w:keepLines/>
        <w:widowControl w:val="0"/>
        <w:shd w:val="clear" w:color="auto" w:fill="auto"/>
        <w:tabs>
          <w:tab w:pos="459" w:val="left"/>
        </w:tabs>
        <w:bidi w:val="0"/>
        <w:spacing w:before="0" w:after="380" w:line="24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10"/>
      <w:bookmarkEnd w:id="811"/>
      <w:bookmarkEnd w:id="813"/>
    </w:p>
    <w:p>
      <w:pPr>
        <w:pStyle w:val="Style28"/>
        <w:keepNext/>
        <w:keepLines/>
        <w:widowControl w:val="0"/>
        <w:shd w:val="clear" w:color="auto" w:fill="auto"/>
        <w:tabs>
          <w:tab w:pos="468" w:val="left"/>
        </w:tabs>
        <w:bidi w:val="0"/>
        <w:spacing w:before="0" w:after="380" w:line="24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2</w:t>
      </w:r>
      <w:bookmarkEnd w:id="81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14"/>
      <w:bookmarkEnd w:id="815"/>
      <w:bookmarkEnd w:id="817"/>
    </w:p>
    <w:p>
      <w:pPr>
        <w:pStyle w:val="Style28"/>
        <w:keepNext/>
        <w:keepLines/>
        <w:widowControl w:val="0"/>
        <w:shd w:val="clear" w:color="auto" w:fill="auto"/>
        <w:tabs>
          <w:tab w:pos="468" w:val="left"/>
        </w:tabs>
        <w:bidi w:val="0"/>
        <w:spacing w:before="0" w:after="38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18"/>
      <w:bookmarkEnd w:id="819"/>
      <w:bookmarkEnd w:id="821"/>
    </w:p>
    <w:p>
      <w:pPr>
        <w:pStyle w:val="Style28"/>
        <w:keepNext/>
        <w:keepLines/>
        <w:widowControl w:val="0"/>
        <w:shd w:val="clear" w:color="auto" w:fill="auto"/>
        <w:tabs>
          <w:tab w:pos="468" w:val="left"/>
        </w:tabs>
        <w:bidi w:val="0"/>
        <w:spacing w:before="0" w:after="26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22"/>
      <w:bookmarkEnd w:id="823"/>
      <w:bookmarkEnd w:id="825"/>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长期股权投资包括对子公司、合营企业和联营企业的权益性投资。本集团能够对被投资单位施加重大影响的，为本集团的联 营企业。</w:t>
      </w:r>
    </w:p>
    <w:p>
      <w:pPr>
        <w:pStyle w:val="Style24"/>
        <w:keepNext w:val="0"/>
        <w:keepLines w:val="0"/>
        <w:widowControl w:val="0"/>
        <w:shd w:val="clear" w:color="auto" w:fill="auto"/>
        <w:tabs>
          <w:tab w:pos="430" w:val="left"/>
        </w:tabs>
        <w:bidi w:val="0"/>
        <w:spacing w:before="0" w:after="0" w:line="312" w:lineRule="exact"/>
        <w:ind w:left="0" w:right="0" w:firstLine="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初始投资成本确定</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形成企业合并的长期股权投资：同一控制下企业合并取得的长期股权投资，在合并日按照取得被合并方所有者权益在最终控 制方合并财务报表中的账面价值份额作为投资成本；非同一控制下企业合并取得的长期股权投资，按照合并成本作为长期股 权投资的投资成本。</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对于其他方式取得的长期股权投资：支付现金取得的长期股权投资，按照实际支付的购买价款作为初始投资成本；发行权益 性证券取得的长期股权投资，以发行权益性证券的公允价值作为初始投资成本。</w:t>
      </w:r>
    </w:p>
    <w:p>
      <w:pPr>
        <w:pStyle w:val="Style24"/>
        <w:keepNext w:val="0"/>
        <w:keepLines w:val="0"/>
        <w:widowControl w:val="0"/>
        <w:shd w:val="clear" w:color="auto" w:fill="auto"/>
        <w:tabs>
          <w:tab w:pos="430" w:val="left"/>
        </w:tabs>
        <w:bidi w:val="0"/>
        <w:spacing w:before="0" w:after="0" w:line="312" w:lineRule="exact"/>
        <w:ind w:left="0" w:right="0" w:firstLine="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对子公司的投资，采用成本法核算，除非投资符合持有待售的条件；对联营企业和合营企业的投资，采用权益法核算。 采用成本法核算的长期股权投资，除取得投资时实际支付的价款或对价中包含的已宣告但尚未发放的现金股利或利润外，被 投资单位宣告分派的现金股利或利润，确认为投资收益计入当期损益。</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采用权益法核算的长期股权投资，初始投资成本大于投资时应享有被投资单位可辨认净资产公允价值份额的，不调整长期股 权投资的投资成本；初始投资成本小于投资时应享有被投资单位可辨认净资产公允价值份额的，对长期股权投资的账面价值 进行调整，差额计入投资当期的损益。</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权投资的账面价值；被投资单位除净损益、其他综合收益和利润分配以外所有者权益的其他变动，调整长期股权投资的账面 价值并计入资本公积（其他资本公积）。在确认应享有被投资单位净损益的份额时，以取得投资时被投资单位各项可辨认资 产等的公允价值为基础，并按照本集团的会计政策及会计期间，对被投资单位的净利润进行调整后确认。</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因追加投资等原因能够对被投资单位施加重大影响或实施共同控制但不构成控制的，在转换日，按照原股权的公允价值加上 新增投资成本之和，作为改按权益法核算的初始投资成本。原股权于转换日的公允价值与账面价值之间的差额，以及原计入 其他综合收益的累计公允价值变动转入改按权益法核算的当期损益。</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因处置部分股权投资等原因丧失了对被投资单位的共同控制或重大影响的,处置后的剩余股权在丧失共同控制或重大影响之 日改按《企业会计准则第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金融工具确认和计量》进行会计处理，公允价值与账面价值之间的差额计入当期损益。原股 权投资因采用权益法核算而确认的其他综合收益，在终止采用权益法核算时采用与被投资单位直接处置相关资产或负债相同 的基础进行会计处理；原股权投资相关的其他所有者权益变动转入当期损益。</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因处置部分股权投资等原因丧失了对被投资单位的控制的，处置后的剩余股权能够对被投资单位实施共同控制或施加重大影 响的，改按权益法核算，并对该剩余股权视同自取得时即采用权益法核算进行调整；处置后的剩余股权不能对被投资单位实 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金融工具确认和计量》的有关规定进行会计处理，其在丧失控 制之日的公允价值与账面价值之间的差额计入当期损益。</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因其他投资方增资而导致本公司持股比例下降、从而丧失控制权但能对被投资单位实施共同控制或施加重大影响的，按照新 的持股比例确认本公司应享有的被投资单位因增资扩股而增加净资产的份额，与应结转持股比例下降部分所对应的长期股权 投资原账面价值之间的差额计入当期损益；然后，按照新的持股比例视同自取得投资时即采用权益法核算进行调整。</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本集团与联营企业及合营企业之间发生的未实现内部交易损益按照持股比例计算归属于本集团的部分,在抵销基础上确认投 资损益。但本集团与被投资单位发生的未实现内部交易损失，属于所转让资产减值损失的，不予以抵销。</w:t>
      </w:r>
    </w:p>
    <w:p>
      <w:pPr>
        <w:pStyle w:val="Style24"/>
        <w:keepNext w:val="0"/>
        <w:keepLines w:val="0"/>
        <w:widowControl w:val="0"/>
        <w:shd w:val="clear" w:color="auto" w:fill="auto"/>
        <w:tabs>
          <w:tab w:pos="393" w:val="left"/>
        </w:tabs>
        <w:bidi w:val="0"/>
        <w:spacing w:before="0" w:after="0" w:line="311" w:lineRule="exact"/>
        <w:ind w:left="0" w:right="0" w:firstLine="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确定对被投资单位具有共同控制、重大影响的依据</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能决策。在判断是否存在共同控制时，首先判断是否由所有参与方或参与方组合集体控制该安排，其次再判断该安排相关活 动的决策是否必须经过这些集体控制该安排的参与方一致同意。如果所有参与方或一组参与方必须一致行动才能决定某项安 排的相关活动，则认为所有参与方或一组参与方集体控制该安排；如果存在两个或两个以上的参与方组合能够集体控制某项 安排的，不构成共同控制。判断是否存在共同控制时，不考虑享有的保护性权利。</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重大影响，是指投资方对被投资单位的财务和经营政策有参与决策的权力，但并不能够控制或者与其他方一起共同控制这些 政策的制定。在确定能否对被投资单位施加重大影响时，考虑投资方直接或间接持有被投资单位的表决权股份以及投资方及 其他方持有的当期可执行潜在表决权在假定转换为对被投资方单位的股权后产生的影响，包括被投资单位发行的当期可转换 的认股权证、股份期权及可转换公司债券等的影响。</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的表决权股份时，一般认为对被投资单位具 有重大影响，除非有明确证据表明该种情况下不能参与被投资单位的生产经营决策，不形成重大影响；本集团拥有被投资单 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（不含）以下的表决权股份时，一般不认为对被投资单位具有重大影响，除非有明确证据表明该种情况下能够参与被 投资单位的生产经营决策，形成重大影响。</w:t>
      </w:r>
    </w:p>
    <w:p>
      <w:pPr>
        <w:pStyle w:val="Style24"/>
        <w:keepNext w:val="0"/>
        <w:keepLines w:val="0"/>
        <w:widowControl w:val="0"/>
        <w:shd w:val="clear" w:color="auto" w:fill="auto"/>
        <w:tabs>
          <w:tab w:pos="393" w:val="left"/>
        </w:tabs>
        <w:bidi w:val="0"/>
        <w:spacing w:before="0" w:after="0" w:line="311" w:lineRule="exact"/>
        <w:ind w:left="0" w:right="0" w:firstLine="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减值测试方法及减值准备计提方法</w:t>
      </w:r>
    </w:p>
    <w:p>
      <w:pPr>
        <w:pStyle w:val="Style24"/>
        <w:keepNext w:val="0"/>
        <w:keepLines w:val="0"/>
        <w:widowControl w:val="0"/>
        <w:shd w:val="clear" w:color="auto" w:fill="auto"/>
        <w:bidi w:val="0"/>
        <w:spacing w:before="0" w:after="400" w:line="311" w:lineRule="exact"/>
        <w:ind w:left="0" w:right="0" w:firstLine="0"/>
        <w:jc w:val="both"/>
      </w:pPr>
      <w:r>
        <w:rPr>
          <w:color w:val="000000"/>
          <w:spacing w:val="0"/>
          <w:w w:val="100"/>
          <w:position w:val="0"/>
        </w:rPr>
        <w:t>对子公司、联营企业及合营企业的投资，计提资产减值的方法见附注三、</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28"/>
        <w:keepNext/>
        <w:keepLines/>
        <w:widowControl w:val="0"/>
        <w:shd w:val="clear" w:color="auto" w:fill="auto"/>
        <w:tabs>
          <w:tab w:pos="431" w:val="left"/>
        </w:tabs>
        <w:bidi w:val="0"/>
        <w:spacing w:before="0" w:after="260" w:line="240"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30"/>
      <w:bookmarkEnd w:id="831"/>
      <w:bookmarkEnd w:id="833"/>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400" w:line="311" w:lineRule="exact"/>
        <w:ind w:left="0" w:right="0" w:firstLine="0"/>
        <w:jc w:val="both"/>
      </w:pPr>
      <w:r>
        <w:rPr>
          <w:color w:val="000000"/>
          <w:spacing w:val="0"/>
          <w:w w:val="100"/>
          <w:position w:val="0"/>
        </w:rPr>
        <w:t>不适用</w:t>
      </w:r>
    </w:p>
    <w:p>
      <w:pPr>
        <w:pStyle w:val="Style28"/>
        <w:keepNext/>
        <w:keepLines/>
        <w:widowControl w:val="0"/>
        <w:shd w:val="clear" w:color="auto" w:fill="auto"/>
        <w:tabs>
          <w:tab w:pos="431" w:val="left"/>
        </w:tabs>
        <w:bidi w:val="0"/>
        <w:spacing w:before="0" w:after="400" w:line="240" w:lineRule="auto"/>
        <w:ind w:left="0" w:right="0" w:firstLine="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34"/>
      <w:bookmarkEnd w:id="835"/>
      <w:bookmarkEnd w:id="837"/>
    </w:p>
    <w:p>
      <w:pPr>
        <w:pStyle w:val="Style36"/>
        <w:keepNext/>
        <w:keepLines/>
        <w:widowControl w:val="0"/>
        <w:shd w:val="clear" w:color="auto" w:fill="auto"/>
        <w:bidi w:val="0"/>
        <w:spacing w:before="0" w:after="260" w:line="240" w:lineRule="auto"/>
        <w:ind w:left="0" w:right="0" w:firstLine="0"/>
        <w:jc w:val="both"/>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8"/>
      <w:bookmarkEnd w:id="839"/>
      <w:bookmarkEnd w:id="841"/>
    </w:p>
    <w:p>
      <w:pPr>
        <w:pStyle w:val="Style24"/>
        <w:keepNext w:val="0"/>
        <w:keepLines w:val="0"/>
        <w:widowControl w:val="0"/>
        <w:shd w:val="clear" w:color="auto" w:fill="auto"/>
        <w:bidi w:val="0"/>
        <w:spacing w:before="0" w:after="140" w:line="310" w:lineRule="exact"/>
        <w:ind w:left="0" w:right="0" w:firstLine="0"/>
        <w:jc w:val="both"/>
      </w:pPr>
      <w:r>
        <w:rPr>
          <w:color w:val="000000"/>
          <w:spacing w:val="0"/>
          <w:w w:val="100"/>
          <w:position w:val="0"/>
        </w:rPr>
        <w:t>本集团固定资产是指为生产商品、提供劳务、出租或经营管理而持有的，使用寿命超过一个会计年度的有形资产。与该固定 资产有关的经济利益很可能流入企业，并且该固定资产的成本能够可靠地计量时，固定资产才能予以确认。本集团固定资产 按照取得时的实际成本进行初始计量。</w:t>
      </w:r>
    </w:p>
    <w:p>
      <w:pPr>
        <w:pStyle w:val="Style36"/>
        <w:keepNext/>
        <w:keepLines/>
        <w:widowControl w:val="0"/>
        <w:shd w:val="clear" w:color="auto" w:fill="auto"/>
        <w:bidi w:val="0"/>
        <w:spacing w:before="0" w:after="340" w:line="240" w:lineRule="auto"/>
        <w:ind w:left="0" w:right="0" w:firstLine="14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42"/>
      <w:bookmarkEnd w:id="843"/>
      <w:bookmarkEnd w:id="845"/>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w:t>
            </w: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本集团采用年限平均法计提折旧。固定资产自达到预定可使用状态时开始计提折旧，终止确认时或划分为持有待售非流动资 产时停止计提折旧。在不考虑减值准备的情况下，</w:t>
      </w:r>
    </w:p>
    <w:p>
      <w:pPr>
        <w:pStyle w:val="Style24"/>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按固定资产类别、预计使用寿命和预计残值。其中，已计提减值准备的固定资产，还应扣除已计提的固定资产减值准备累计 金额计算确定折旧率。无形资产计提资产减值方法见附注五、</w:t>
      </w:r>
      <w:r>
        <w:rPr>
          <w:rFonts w:ascii="Tahoma" w:eastAsia="Tahoma" w:hAnsi="Tahoma" w:cs="Tahoma"/>
          <w:color w:val="000000"/>
          <w:spacing w:val="0"/>
          <w:w w:val="100"/>
          <w:position w:val="0"/>
          <w:sz w:val="16"/>
          <w:szCs w:val="16"/>
        </w:rPr>
        <w:t>31</w:t>
      </w:r>
      <w:r>
        <w:rPr>
          <w:color w:val="000000"/>
          <w:spacing w:val="0"/>
          <w:w w:val="100"/>
          <w:position w:val="0"/>
        </w:rPr>
        <w:t>。</w:t>
      </w:r>
    </w:p>
    <w:p>
      <w:pPr>
        <w:pStyle w:val="Style36"/>
        <w:keepNext/>
        <w:keepLines/>
        <w:widowControl w:val="0"/>
        <w:shd w:val="clear" w:color="auto" w:fill="auto"/>
        <w:bidi w:val="0"/>
        <w:spacing w:before="0" w:after="280" w:line="240" w:lineRule="auto"/>
        <w:ind w:left="0" w:right="0" w:firstLine="0"/>
        <w:jc w:val="both"/>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6"/>
      <w:bookmarkEnd w:id="847"/>
      <w:bookmarkEnd w:id="849"/>
    </w:p>
    <w:p>
      <w:pPr>
        <w:pStyle w:val="Style24"/>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当本集团租入的固定资产符合下列一项或数项标准时，确认为融资租入固定资产：①在租赁期届满时，租赁资产的所有权转 移给本集团。②本集团有购买租赁资产的选择权，所订立的购买价款预计将远低于行使选择权时租赁资产的公允价值，因而 在租赁开始日就可以合理确定本集团将会行使这种选择权。③即使资产的所有权不转移，但租赁期占租赁资产使用寿命的大 部分。④本集团在租赁开始日的最低租赁付款额现值，几乎相当于租赁开始日租赁资产公允价值。⑤租赁资产性质特殊，如 果不作较大改造，只有本集团才能使用。融资租赁租入的固定资产，按租赁开始日租赁资产公允价值与最低租赁付款额的现 值两者中较低者，作为入账价值。最低租赁付款额作为长期应付款的入账价值，其差额作为未确认融资费用。在租赁谈判和 签订租赁合同过程中发生的，可归属于租赁项目的手续费、律师费、差旅费、印花税等初始直接费用，计入租入资产价值。 未确认融资费用在租赁期内各个期间采用实际利率法进行分摊。融资租入的固定资产采用与自有固定资产一致的政策计提租 赁资产折旧。能够合理确定租赁期届满时将会取得租赁资产所有权的，在租赁资产尚可使用年限内计提折旧；无法合理确定 租赁期届满时能够取得租赁资产所有权的，在租赁期与租赁资产尚可使用年限两者中较短的期间内计提折旧。（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）每年年度 终了，本集团对固定资产的使用寿命、预计净残值和折旧方法进行复核。使用寿命预计数与原先估计数有差异的，调整固定 资产使用寿命；预计净残值预计数与原先估计数有差异的，调整预计净残值。（</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）大修理费用本集团对固定资产进行定期检 查发生的大修理费用，有确凿证据表明符合固定资产确认条件的部分，计入固定资产成本，不符合固定资产确认条件的计入 当期损益。固定资产在定期大修理间隔期间，照提折旧。</w:t>
      </w:r>
    </w:p>
    <w:p>
      <w:pPr>
        <w:pStyle w:val="Style28"/>
        <w:keepNext/>
        <w:keepLines/>
        <w:widowControl w:val="0"/>
        <w:shd w:val="clear" w:color="auto" w:fill="auto"/>
        <w:tabs>
          <w:tab w:pos="428" w:val="left"/>
        </w:tabs>
        <w:bidi w:val="0"/>
        <w:spacing w:before="0" w:after="280" w:line="240"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50"/>
      <w:bookmarkEnd w:id="851"/>
      <w:bookmarkEnd w:id="853"/>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本集团在建工程成本按实际工程支出确定，包括在建期间发生的各项必要工程支出、工程达到预定可使用状态前的应予资本 化的借款费用以及其他相关费用等。</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在建工程在达到预定可使用状态时转入固定资产。</w:t>
      </w:r>
    </w:p>
    <w:p>
      <w:pPr>
        <w:pStyle w:val="Style24"/>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在建工程计提资产减值方法见附注三、</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28"/>
        <w:keepNext/>
        <w:keepLines/>
        <w:widowControl w:val="0"/>
        <w:shd w:val="clear" w:color="auto" w:fill="auto"/>
        <w:tabs>
          <w:tab w:pos="428" w:val="left"/>
        </w:tabs>
        <w:bidi w:val="0"/>
        <w:spacing w:before="0" w:after="28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54"/>
      <w:bookmarkEnd w:id="855"/>
      <w:bookmarkEnd w:id="857"/>
    </w:p>
    <w:p>
      <w:pPr>
        <w:pStyle w:val="Style24"/>
        <w:keepNext w:val="0"/>
        <w:keepLines w:val="0"/>
        <w:widowControl w:val="0"/>
        <w:shd w:val="clear" w:color="auto" w:fill="auto"/>
        <w:bidi w:val="0"/>
        <w:spacing w:before="0" w:after="0" w:line="312" w:lineRule="exact"/>
        <w:ind w:left="0" w:right="0" w:firstLine="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）借款费用资本化的确认原则</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本集团发生的借款费用，可直接归属于符合资本化条件的资产的购建或者生产的，予以资本化，计入相关资产成本；其他借 款费用，在发生时根据其发生额确认为费用，计入当期损益。借款费用同时满足下列条件的，开始资本化：</w:t>
      </w:r>
    </w:p>
    <w:p>
      <w:pPr>
        <w:pStyle w:val="Style24"/>
        <w:keepNext w:val="0"/>
        <w:keepLines w:val="0"/>
        <w:widowControl w:val="0"/>
        <w:numPr>
          <w:ilvl w:val="0"/>
          <w:numId w:val="41"/>
        </w:numPr>
        <w:shd w:val="clear" w:color="auto" w:fill="auto"/>
        <w:bidi w:val="0"/>
        <w:spacing w:before="0" w:after="280" w:line="317" w:lineRule="exact"/>
        <w:ind w:left="0" w:right="0" w:firstLine="0"/>
        <w:jc w:val="both"/>
      </w:pPr>
      <w:bookmarkStart w:id="859" w:name="bookmark859"/>
      <w:bookmarkEnd w:id="859"/>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24"/>
        <w:keepNext w:val="0"/>
        <w:keepLines w:val="0"/>
        <w:widowControl w:val="0"/>
        <w:numPr>
          <w:ilvl w:val="0"/>
          <w:numId w:val="41"/>
        </w:numPr>
        <w:shd w:val="clear" w:color="auto" w:fill="auto"/>
        <w:tabs>
          <w:tab w:pos="373" w:val="left"/>
        </w:tabs>
        <w:bidi w:val="0"/>
        <w:spacing w:before="0" w:after="0" w:line="312" w:lineRule="exact"/>
        <w:ind w:left="0" w:right="0" w:firstLine="0"/>
        <w:jc w:val="left"/>
      </w:pPr>
      <w:bookmarkStart w:id="860" w:name="bookmark860"/>
      <w:bookmarkEnd w:id="860"/>
      <w:r>
        <w:rPr>
          <w:color w:val="000000"/>
          <w:spacing w:val="0"/>
          <w:w w:val="100"/>
          <w:position w:val="0"/>
        </w:rPr>
        <w:t>借款费用已经发生；</w:t>
      </w:r>
    </w:p>
    <w:p>
      <w:pPr>
        <w:pStyle w:val="Style24"/>
        <w:keepNext w:val="0"/>
        <w:keepLines w:val="0"/>
        <w:widowControl w:val="0"/>
        <w:numPr>
          <w:ilvl w:val="0"/>
          <w:numId w:val="41"/>
        </w:numPr>
        <w:shd w:val="clear" w:color="auto" w:fill="auto"/>
        <w:tabs>
          <w:tab w:pos="373" w:val="left"/>
        </w:tabs>
        <w:bidi w:val="0"/>
        <w:spacing w:before="0" w:after="0" w:line="312" w:lineRule="exact"/>
        <w:ind w:left="0" w:right="0" w:firstLine="0"/>
        <w:jc w:val="left"/>
      </w:pPr>
      <w:bookmarkStart w:id="861" w:name="bookmark861"/>
      <w:bookmarkEnd w:id="861"/>
      <w:r>
        <w:rPr>
          <w:color w:val="000000"/>
          <w:spacing w:val="0"/>
          <w:w w:val="100"/>
          <w:position w:val="0"/>
        </w:rPr>
        <w:t>为使资产达到预定可使用或者可销售状态所必要的购建或者生产活动已经开始。</w:t>
      </w:r>
    </w:p>
    <w:p>
      <w:pPr>
        <w:pStyle w:val="Style24"/>
        <w:keepNext w:val="0"/>
        <w:keepLines w:val="0"/>
        <w:widowControl w:val="0"/>
        <w:shd w:val="clear" w:color="auto" w:fill="auto"/>
        <w:tabs>
          <w:tab w:pos="445" w:val="left"/>
        </w:tabs>
        <w:bidi w:val="0"/>
        <w:spacing w:before="0" w:after="0" w:line="312" w:lineRule="exact"/>
        <w:ind w:left="0" w:right="0" w:firstLine="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本集团购建或者生产符合资本化条件的资产达到预定可使用或者可销售状态时，借款费用停止资本化。在符合资本化条件的 资产达到预定可使用或者可销售状态之后所发生的借款费用，在发生时根据其发生额确认为费用，计入当期损益。</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个月的，暂停借款费用的资本化；正 常中断期间的借款费用继续资本化。</w:t>
      </w:r>
    </w:p>
    <w:p>
      <w:pPr>
        <w:pStyle w:val="Style24"/>
        <w:keepNext w:val="0"/>
        <w:keepLines w:val="0"/>
        <w:widowControl w:val="0"/>
        <w:shd w:val="clear" w:color="auto" w:fill="auto"/>
        <w:tabs>
          <w:tab w:pos="445" w:val="left"/>
        </w:tabs>
        <w:bidi w:val="0"/>
        <w:spacing w:before="0" w:after="0" w:line="312" w:lineRule="exact"/>
        <w:ind w:left="0" w:right="0" w:firstLine="0"/>
        <w:jc w:val="left"/>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借款费用资本化率以及资本化金额的计算方法</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资本化期间内，外币专门借款的汇兑差额全部予以资本化；外币一般借款的汇兑差额计入当期损益。</w:t>
      </w:r>
    </w:p>
    <w:p>
      <w:pPr>
        <w:pStyle w:val="Style28"/>
        <w:keepNext/>
        <w:keepLines/>
        <w:widowControl w:val="0"/>
        <w:shd w:val="clear" w:color="auto" w:fill="auto"/>
        <w:tabs>
          <w:tab w:pos="483" w:val="left"/>
        </w:tabs>
        <w:bidi w:val="0"/>
        <w:spacing w:before="0" w:after="3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64"/>
      <w:bookmarkEnd w:id="865"/>
      <w:bookmarkEnd w:id="867"/>
    </w:p>
    <w:p>
      <w:pPr>
        <w:pStyle w:val="Style28"/>
        <w:keepNext/>
        <w:keepLines/>
        <w:widowControl w:val="0"/>
        <w:shd w:val="clear" w:color="auto" w:fill="auto"/>
        <w:tabs>
          <w:tab w:pos="483" w:val="left"/>
        </w:tabs>
        <w:bidi w:val="0"/>
        <w:spacing w:before="0" w:after="38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68"/>
      <w:bookmarkEnd w:id="869"/>
      <w:bookmarkEnd w:id="871"/>
    </w:p>
    <w:p>
      <w:pPr>
        <w:pStyle w:val="Style28"/>
        <w:keepNext/>
        <w:keepLines/>
        <w:widowControl w:val="0"/>
        <w:shd w:val="clear" w:color="auto" w:fill="auto"/>
        <w:tabs>
          <w:tab w:pos="483" w:val="left"/>
        </w:tabs>
        <w:bidi w:val="0"/>
        <w:spacing w:before="0" w:after="3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72"/>
      <w:bookmarkEnd w:id="873"/>
      <w:bookmarkEnd w:id="875"/>
    </w:p>
    <w:p>
      <w:pPr>
        <w:pStyle w:val="Style28"/>
        <w:keepNext/>
        <w:keepLines/>
        <w:widowControl w:val="0"/>
        <w:shd w:val="clear" w:color="auto" w:fill="auto"/>
        <w:tabs>
          <w:tab w:pos="483" w:val="left"/>
        </w:tabs>
        <w:bidi w:val="0"/>
        <w:spacing w:before="0" w:after="38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3</w:t>
      </w:r>
      <w:bookmarkEnd w:id="87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76"/>
      <w:bookmarkEnd w:id="877"/>
      <w:bookmarkEnd w:id="879"/>
    </w:p>
    <w:p>
      <w:pPr>
        <w:pStyle w:val="Style36"/>
        <w:keepNext/>
        <w:keepLines/>
        <w:widowControl w:val="0"/>
        <w:shd w:val="clear" w:color="auto" w:fill="auto"/>
        <w:bidi w:val="0"/>
        <w:spacing w:before="0" w:after="28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0"/>
      <w:bookmarkEnd w:id="881"/>
      <w:bookmarkEnd w:id="883"/>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本集团无形资产包括土地使用权、软件使用权等。</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无形资产按照成本进行初始计量，并于取得无形资产时分析判断其使用寿命。使用寿命为有限的，自无形资产可供使用时起, 采用能反映与该资产有关的经济利益的预期实现方式的摊销方法，在预计使用年限内摊销；无法可靠确定预期实现方式的， 采用直线法摊销；使用寿命不确定的无形资产，不作摊销。</w:t>
      </w:r>
    </w:p>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使用寿命有限的无形资产摊销方法如下：</w:t>
      </w:r>
    </w:p>
    <w:tbl>
      <w:tblPr>
        <w:tblOverlap w:val="never"/>
        <w:jc w:val="center"/>
        <w:tblLayout w:type="fixed"/>
      </w:tblPr>
      <w:tblGrid>
        <w:gridCol w:w="2270"/>
        <w:gridCol w:w="2270"/>
        <w:gridCol w:w="2266"/>
        <w:gridCol w:w="228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b/>
                <w:bCs/>
                <w:color w:val="000000"/>
                <w:spacing w:val="0"/>
                <w:w w:val="100"/>
                <w:position w:val="0"/>
                <w:sz w:val="17"/>
                <w:szCs w:val="17"/>
              </w:rPr>
              <w:t>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摊销方法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备注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直线法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本集团于每年年度终了，对使用寿命有限的无形资产的使用寿命及摊销方法进行复核，与以前估计不同的，调整原先估计数, 并按会计估计变更处理。</w:t>
      </w:r>
    </w:p>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资产负债表日预计某项无形资产已经不能给企业带来未来经济利益的，将该项无形资产的账面价值全部转入当期损益。 无形资产计提资产减值方法见附注五、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36"/>
        <w:keepNext/>
        <w:keepLines/>
        <w:widowControl w:val="0"/>
        <w:shd w:val="clear" w:color="auto" w:fill="auto"/>
        <w:bidi w:val="0"/>
        <w:spacing w:before="0" w:after="28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4"/>
      <w:bookmarkEnd w:id="885"/>
      <w:bookmarkEnd w:id="887"/>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本集团将内部研究开发项目的支出，区分为研究阶段支出和开发阶段支出。</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研究阶段的支出，于发生时计入当期损益。</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 xml:space="preserve">开发阶段的支出，同时满足下列条件的，才能予以资本化，即：完成该无形资产以使其能够使用或出售在技术上具有可行性; 具有完成该无形资产并使用或出售的意图；无形资产产生经济利益的方式，包括能够证明运用该无形资产生产的产品存在市 </w:t>
      </w:r>
      <w:r>
        <w:rPr>
          <w:color w:val="000000"/>
          <w:spacing w:val="0"/>
          <w:w w:val="100"/>
          <w:position w:val="0"/>
        </w:rPr>
        <w:t>场或无形资产自身存在市场，无形资产将在内部使用的，能够证明其有用性；有足够的技术、财务资源和其他资源支持，以 完成该无形资产的开发，并有能力使用或出售该无形资产；归属于该无形资产开发阶段的支出能够可靠地计量。不满足上述 条件的开发支出计入当期损益。</w:t>
      </w:r>
    </w:p>
    <w:p>
      <w:pPr>
        <w:pStyle w:val="Style28"/>
        <w:keepNext/>
        <w:keepLines/>
        <w:widowControl w:val="0"/>
        <w:shd w:val="clear" w:color="auto" w:fill="auto"/>
        <w:tabs>
          <w:tab w:pos="468" w:val="left"/>
        </w:tabs>
        <w:bidi w:val="0"/>
        <w:spacing w:before="0" w:after="26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3</w:t>
      </w:r>
      <w:bookmarkEnd w:id="890"/>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88"/>
      <w:bookmarkEnd w:id="889"/>
      <w:bookmarkEnd w:id="891"/>
    </w:p>
    <w:p>
      <w:pPr>
        <w:pStyle w:val="Style24"/>
        <w:keepNext w:val="0"/>
        <w:keepLines w:val="0"/>
        <w:widowControl w:val="0"/>
        <w:shd w:val="clear" w:color="auto" w:fill="auto"/>
        <w:bidi w:val="0"/>
        <w:spacing w:before="0" w:after="40" w:line="307" w:lineRule="exact"/>
        <w:ind w:left="0" w:right="0" w:firstLine="0"/>
        <w:jc w:val="both"/>
      </w:pPr>
      <w:r>
        <w:rPr>
          <w:color w:val="000000"/>
          <w:spacing w:val="0"/>
          <w:w w:val="100"/>
          <w:position w:val="0"/>
        </w:rPr>
        <w:t>对子公司、联营企业和合营企业的长期股权投资、固定资产、在建工程、无形资产等（存货、按公允价值模式计量的投资性 房地产、递延所得税资产、金融资产除外）的资产减值，按以下方法确定：</w:t>
      </w:r>
    </w:p>
    <w:p>
      <w:pPr>
        <w:pStyle w:val="Style24"/>
        <w:keepNext w:val="0"/>
        <w:keepLines w:val="0"/>
        <w:widowControl w:val="0"/>
        <w:shd w:val="clear" w:color="auto" w:fill="auto"/>
        <w:bidi w:val="0"/>
        <w:spacing w:before="0" w:after="40" w:line="314" w:lineRule="exact"/>
        <w:ind w:left="0" w:right="0" w:firstLine="0"/>
        <w:jc w:val="both"/>
      </w:pPr>
      <w:r>
        <w:rPr>
          <w:color w:val="000000"/>
          <w:spacing w:val="0"/>
          <w:w w:val="100"/>
          <w:position w:val="0"/>
        </w:rPr>
        <w:t>于资产负债表日判断资产是否存在可能发生减值的迹象，存在减值迹象的，本集团将估计其可收回金额，进行减值测试。对 因企业合并所形成的商誉、使用寿命不确定的无形资产和尚未达到可使用状态的无形资产无论是否存在减值迹象，每年都进 行减值测试。</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可收回金额根据资产的公允价值减去处置费用后的净额与资产预计未来现金流量的现值两者之间较高者确定。本集团以单项 资产为基础估计其可收回金额；难以对单项资产的可收回金额进行估计的，以该资产所属的资产组为基础确定资产组的可收 回金额。资产组的认定，以资产组产生的主要现金流入是否独立于其他资产或者资产组的现金流入为依据。</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当资产或资产组的可收回金额低于其账面价值时，本集团将其账面价值减记至可收回金额，减记的金额计入当期损益，同时 计提相应的资产减值准备。</w:t>
      </w:r>
    </w:p>
    <w:p>
      <w:pPr>
        <w:pStyle w:val="Style24"/>
        <w:keepNext w:val="0"/>
        <w:keepLines w:val="0"/>
        <w:widowControl w:val="0"/>
        <w:shd w:val="clear" w:color="auto" w:fill="auto"/>
        <w:bidi w:val="0"/>
        <w:spacing w:before="0" w:after="40" w:line="310" w:lineRule="exact"/>
        <w:ind w:left="0" w:right="0" w:firstLine="0"/>
        <w:jc w:val="both"/>
      </w:pPr>
      <w:r>
        <w:rPr>
          <w:color w:val="000000"/>
          <w:spacing w:val="0"/>
          <w:w w:val="100"/>
          <w:position w:val="0"/>
        </w:rPr>
        <w:t>就商誉的减值测试而言，对于因企业合并形成的商誉的账面价值，自购买日起按照合理的方法分摊至相关的资产组；难以分 摊至相关的资产组的，将其分摊至相关的资产组组合。相关的资产组或资产组组合，是能够从企业合并的协同效应中受益的 资产组或者资产组组合，且不大于本集团确定的报告分部。</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减值测试时，如与商誉相关的资产组或者资产组组合存在减值迹象的，首先对不包含商誉的资产组或者资产组组合进行减值 测试，计算可收回金额，确认相应的减值损失。然后对包含商誉的资产组或者资产组组合进行减值测试，比较其账面价值与 可收回金额，如可收回金额低于账面价值的，确认商誉的减值损失。</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资产减值损失一经确认，在以后会计期间不再转回。</w:t>
      </w:r>
    </w:p>
    <w:p>
      <w:pPr>
        <w:pStyle w:val="Style28"/>
        <w:keepNext/>
        <w:keepLines/>
        <w:widowControl w:val="0"/>
        <w:shd w:val="clear" w:color="auto" w:fill="auto"/>
        <w:tabs>
          <w:tab w:pos="468" w:val="left"/>
        </w:tabs>
        <w:bidi w:val="0"/>
        <w:spacing w:before="0" w:after="26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3</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92"/>
      <w:bookmarkEnd w:id="893"/>
      <w:bookmarkEnd w:id="895"/>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本集团发生的长期待摊费用按实际成本计价,并按预计受益期限平均摊销。对不能使以后会计期间受益的长期待摊费用项目， 其摊余价值全部计入当期损益。</w:t>
      </w:r>
    </w:p>
    <w:p>
      <w:pPr>
        <w:pStyle w:val="Style28"/>
        <w:keepNext/>
        <w:keepLines/>
        <w:widowControl w:val="0"/>
        <w:shd w:val="clear" w:color="auto" w:fill="auto"/>
        <w:tabs>
          <w:tab w:pos="468" w:val="left"/>
        </w:tabs>
        <w:bidi w:val="0"/>
        <w:spacing w:before="0" w:after="38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3</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96"/>
      <w:bookmarkEnd w:id="897"/>
      <w:bookmarkEnd w:id="899"/>
    </w:p>
    <w:p>
      <w:pPr>
        <w:pStyle w:val="Style28"/>
        <w:keepNext/>
        <w:keepLines/>
        <w:widowControl w:val="0"/>
        <w:shd w:val="clear" w:color="auto" w:fill="auto"/>
        <w:tabs>
          <w:tab w:pos="468" w:val="left"/>
        </w:tabs>
        <w:bidi w:val="0"/>
        <w:spacing w:before="0" w:after="380" w:line="24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3</w:t>
      </w:r>
      <w:bookmarkEnd w:id="90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00"/>
      <w:bookmarkEnd w:id="901"/>
      <w:bookmarkEnd w:id="903"/>
    </w:p>
    <w:p>
      <w:pPr>
        <w:pStyle w:val="Style36"/>
        <w:keepNext/>
        <w:keepLines/>
        <w:widowControl w:val="0"/>
        <w:shd w:val="clear" w:color="auto" w:fill="auto"/>
        <w:tabs>
          <w:tab w:pos="478" w:val="left"/>
        </w:tabs>
        <w:bidi w:val="0"/>
        <w:spacing w:before="0" w:after="260" w:line="240" w:lineRule="auto"/>
        <w:ind w:left="0" w:right="0" w:firstLine="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4"/>
      <w:bookmarkEnd w:id="905"/>
      <w:bookmarkEnd w:id="907"/>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本集团在职工提供服务的会计期间，将实际发生的职工工资、奖金、按规定的基准和比例为职工缴纳的医疗保险费、工伤保 险费和生育保险费等社会保险费和住房公积金，确认为负债，并计入当期损益或相关资产成本。如果该负债预期在职工提供 相关服务的年度报告期结束后十二个月内不能完全支付，且财务影响重大的，则该负债将以折现后的金额计量。</w:t>
      </w:r>
    </w:p>
    <w:p>
      <w:pPr>
        <w:pStyle w:val="Style36"/>
        <w:keepNext/>
        <w:keepLines/>
        <w:widowControl w:val="0"/>
        <w:shd w:val="clear" w:color="auto" w:fill="auto"/>
        <w:tabs>
          <w:tab w:pos="478" w:val="left"/>
        </w:tabs>
        <w:bidi w:val="0"/>
        <w:spacing w:before="0" w:after="260" w:line="240" w:lineRule="auto"/>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8"/>
      <w:bookmarkEnd w:id="909"/>
      <w:bookmarkEnd w:id="911"/>
    </w:p>
    <w:p>
      <w:pPr>
        <w:pStyle w:val="Style24"/>
        <w:keepNext w:val="0"/>
        <w:keepLines w:val="0"/>
        <w:widowControl w:val="0"/>
        <w:shd w:val="clear" w:color="auto" w:fill="auto"/>
        <w:bidi w:val="0"/>
        <w:spacing w:before="0" w:after="40" w:line="322" w:lineRule="exact"/>
        <w:ind w:left="0" w:right="0" w:firstLine="0"/>
        <w:jc w:val="both"/>
      </w:pPr>
      <w:r>
        <w:rPr>
          <w:color w:val="000000"/>
          <w:spacing w:val="0"/>
          <w:w w:val="100"/>
          <w:position w:val="0"/>
        </w:rPr>
        <w:t>离职后福利计划包括设定提存计划和设定受益计划。其中，设定提存计划，是指向独立的基金缴存固定费用后，企业不再承 担进一步支付义务的离职后福利计划；设定受益计划，是指除设定提存计划以外的离职后福利计划。</w:t>
      </w:r>
    </w:p>
    <w:p>
      <w:pPr>
        <w:pStyle w:val="Style24"/>
        <w:keepNext w:val="0"/>
        <w:keepLines w:val="0"/>
        <w:widowControl w:val="0"/>
        <w:shd w:val="clear" w:color="auto" w:fill="auto"/>
        <w:bidi w:val="0"/>
        <w:spacing w:before="0" w:after="260" w:line="312" w:lineRule="exact"/>
        <w:ind w:left="0" w:right="0" w:firstLine="0"/>
        <w:jc w:val="both"/>
      </w:pPr>
      <w:r>
        <w:rPr>
          <w:color w:val="000000"/>
          <w:spacing w:val="0"/>
          <w:w w:val="100"/>
          <w:position w:val="0"/>
        </w:rPr>
        <w:t>设定提存计划</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设定提存计划包括基本养老保险、失业保险等。</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在职工提供服务的会计期间，根据设定提存计划计算的应缴存金额确认为负债，并计入当期损益或相关资产成本。</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设定受益计划</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对于设定受益计划，在年度资产负债表日由独立精算师进行精算估值，以预期累积福利单位法确定提供福利的成本。本集团 设定受益计划导致的职工薪酬成本包括下列组成部分：</w:t>
      </w:r>
    </w:p>
    <w:p>
      <w:pPr>
        <w:pStyle w:val="Style24"/>
        <w:keepNext w:val="0"/>
        <w:keepLines w:val="0"/>
        <w:widowControl w:val="0"/>
        <w:numPr>
          <w:ilvl w:val="0"/>
          <w:numId w:val="43"/>
        </w:numPr>
        <w:shd w:val="clear" w:color="auto" w:fill="auto"/>
        <w:tabs>
          <w:tab w:pos="367" w:val="left"/>
        </w:tabs>
        <w:bidi w:val="0"/>
        <w:spacing w:before="0" w:after="40" w:line="312" w:lineRule="exact"/>
        <w:ind w:left="0" w:right="0" w:firstLine="0"/>
        <w:jc w:val="both"/>
      </w:pPr>
      <w:bookmarkStart w:id="912" w:name="bookmark912"/>
      <w:bookmarkEnd w:id="912"/>
      <w:r>
        <w:rPr>
          <w:color w:val="000000"/>
          <w:spacing w:val="0"/>
          <w:w w:val="100"/>
          <w:position w:val="0"/>
        </w:rPr>
        <w:t>服务成本，包括当期服务成本、过去服务成本和结算利得或损失。其中，当期服务成本，是指职工当期提供服务所导致的 设定受益计划义务现值的增加额；过去服务成本，是指设定受益计划修改所导致的与以前期间职工服务相关的设定受益计划 义务现值的增加或减少。</w:t>
      </w:r>
    </w:p>
    <w:p>
      <w:pPr>
        <w:pStyle w:val="Style24"/>
        <w:keepNext w:val="0"/>
        <w:keepLines w:val="0"/>
        <w:widowControl w:val="0"/>
        <w:numPr>
          <w:ilvl w:val="0"/>
          <w:numId w:val="43"/>
        </w:numPr>
        <w:shd w:val="clear" w:color="auto" w:fill="auto"/>
        <w:tabs>
          <w:tab w:pos="367" w:val="left"/>
        </w:tabs>
        <w:bidi w:val="0"/>
        <w:spacing w:before="0" w:after="40" w:line="302" w:lineRule="exact"/>
        <w:ind w:left="0" w:right="0" w:firstLine="0"/>
        <w:jc w:val="both"/>
      </w:pPr>
      <w:bookmarkStart w:id="913" w:name="bookmark913"/>
      <w:bookmarkEnd w:id="913"/>
      <w:r>
        <w:rPr>
          <w:color w:val="000000"/>
          <w:spacing w:val="0"/>
          <w:w w:val="100"/>
          <w:position w:val="0"/>
        </w:rPr>
        <w:t>设定受益计划净负债或净资产的利息净额，包括计划资产的利息收益、设定受益计划义务的利息费用以及资产上限影响的 利息。</w:t>
      </w:r>
    </w:p>
    <w:p>
      <w:pPr>
        <w:pStyle w:val="Style24"/>
        <w:keepNext w:val="0"/>
        <w:keepLines w:val="0"/>
        <w:widowControl w:val="0"/>
        <w:numPr>
          <w:ilvl w:val="0"/>
          <w:numId w:val="43"/>
        </w:numPr>
        <w:shd w:val="clear" w:color="auto" w:fill="auto"/>
        <w:tabs>
          <w:tab w:pos="367" w:val="left"/>
        </w:tabs>
        <w:bidi w:val="0"/>
        <w:spacing w:before="0" w:after="40" w:line="312" w:lineRule="exact"/>
        <w:ind w:left="0" w:right="0" w:firstLine="0"/>
        <w:jc w:val="both"/>
      </w:pPr>
      <w:bookmarkStart w:id="914" w:name="bookmark914"/>
      <w:bookmarkEnd w:id="914"/>
      <w:r>
        <w:rPr>
          <w:color w:val="000000"/>
          <w:spacing w:val="0"/>
          <w:w w:val="100"/>
          <w:position w:val="0"/>
        </w:rPr>
        <w:t>重新计量设定受益计划净负债或净资产所产生的变动。</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除非其他会计准则要求或允许职工福利成本计入资产成本，本集团将上述第①和②项计入当期损益；第③项计入其他综合收 益且不会在后续会计期间转回至损益，在原设定受益计划终止时在权益范围内将原计入其他综合收益的部分全部结转至未分 配利润。</w:t>
      </w:r>
    </w:p>
    <w:p>
      <w:pPr>
        <w:pStyle w:val="Style36"/>
        <w:keepNext/>
        <w:keepLines/>
        <w:widowControl w:val="0"/>
        <w:numPr>
          <w:ilvl w:val="0"/>
          <w:numId w:val="31"/>
        </w:numPr>
        <w:shd w:val="clear" w:color="auto" w:fill="auto"/>
        <w:tabs>
          <w:tab w:pos="487" w:val="left"/>
        </w:tabs>
        <w:bidi w:val="0"/>
        <w:spacing w:before="0" w:after="280" w:line="240" w:lineRule="auto"/>
        <w:ind w:left="0" w:right="0" w:firstLine="0"/>
        <w:jc w:val="both"/>
      </w:pPr>
      <w:bookmarkStart w:id="915" w:name="bookmark915"/>
      <w:bookmarkStart w:id="916" w:name="bookmark916"/>
      <w:bookmarkStart w:id="917" w:name="bookmark917"/>
      <w:bookmarkStart w:id="918" w:name="bookmark918"/>
      <w:bookmarkEnd w:id="917"/>
      <w:r>
        <w:rPr>
          <w:color w:val="000000"/>
          <w:spacing w:val="0"/>
          <w:w w:val="100"/>
          <w:position w:val="0"/>
        </w:rPr>
        <w:t>辞退福利的会计处理方法</w:t>
      </w:r>
      <w:bookmarkEnd w:id="915"/>
      <w:bookmarkEnd w:id="916"/>
      <w:bookmarkEnd w:id="918"/>
    </w:p>
    <w:p>
      <w:pPr>
        <w:pStyle w:val="Style24"/>
        <w:keepNext w:val="0"/>
        <w:keepLines w:val="0"/>
        <w:widowControl w:val="0"/>
        <w:shd w:val="clear" w:color="auto" w:fill="auto"/>
        <w:bidi w:val="0"/>
        <w:spacing w:before="0" w:after="380" w:line="324" w:lineRule="exact"/>
        <w:ind w:left="0" w:right="0" w:firstLine="0"/>
        <w:jc w:val="both"/>
      </w:pPr>
      <w:r>
        <w:rPr>
          <w:color w:val="000000"/>
          <w:spacing w:val="0"/>
          <w:w w:val="100"/>
          <w:position w:val="0"/>
        </w:rPr>
        <w:t>本集团向职工提供辞退福利的，在下列两者孰早日确认辞退福利产生的职工薪酬负债，并计入当期损益：本集团不能单方面 撤回因解除劳动关系计划或裁减建议所提供的辞退福利时；本集团确认与涉及支付辞退福利的重组相关的成本或费用时。 实行职工内部退休计划的，在正式退休日之前的经济补偿，属于辞退福利，自职工停止提供服务日至正常退休日期间，拟支 付的内退职工工资和缴纳的社会保险费等一次性计入当期损益。正式退休日期之后的经济补偿(如正常养老退休金)，按照 离职后福利处理。</w:t>
      </w:r>
    </w:p>
    <w:p>
      <w:pPr>
        <w:pStyle w:val="Style36"/>
        <w:keepNext/>
        <w:keepLines/>
        <w:widowControl w:val="0"/>
        <w:numPr>
          <w:ilvl w:val="0"/>
          <w:numId w:val="31"/>
        </w:numPr>
        <w:shd w:val="clear" w:color="auto" w:fill="auto"/>
        <w:tabs>
          <w:tab w:pos="487" w:val="left"/>
        </w:tabs>
        <w:bidi w:val="0"/>
        <w:spacing w:before="0" w:after="280" w:line="240" w:lineRule="auto"/>
        <w:ind w:left="0" w:right="0" w:firstLine="0"/>
        <w:jc w:val="both"/>
      </w:pPr>
      <w:bookmarkStart w:id="919" w:name="bookmark919"/>
      <w:bookmarkStart w:id="920" w:name="bookmark920"/>
      <w:bookmarkStart w:id="921" w:name="bookmark921"/>
      <w:bookmarkStart w:id="922" w:name="bookmark922"/>
      <w:bookmarkEnd w:id="921"/>
      <w:r>
        <w:rPr>
          <w:color w:val="000000"/>
          <w:spacing w:val="0"/>
          <w:w w:val="100"/>
          <w:position w:val="0"/>
        </w:rPr>
        <w:t>其他长期职工福利的会计处理方法</w:t>
      </w:r>
      <w:bookmarkEnd w:id="919"/>
      <w:bookmarkEnd w:id="920"/>
      <w:bookmarkEnd w:id="922"/>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本集团向职工提供的其他长期职工福利，符合设定提存计划条件的，按照上述关于设定提存计划的有关规定进行处理。符合 设定受益计划的，按照上述关于设定受益计划的有关规定进行处理，但相关职工薪酬成本中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重新计量设定受益计划净负债 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部分计入当期损益或相关资产成本。</w:t>
      </w:r>
    </w:p>
    <w:p>
      <w:pPr>
        <w:pStyle w:val="Style28"/>
        <w:keepNext/>
        <w:keepLines/>
        <w:widowControl w:val="0"/>
        <w:shd w:val="clear" w:color="auto" w:fill="auto"/>
        <w:tabs>
          <w:tab w:pos="478" w:val="left"/>
        </w:tabs>
        <w:bidi w:val="0"/>
        <w:spacing w:before="0" w:after="380" w:line="240"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w:t>
      </w:r>
      <w:bookmarkEnd w:id="92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23"/>
      <w:bookmarkEnd w:id="924"/>
      <w:bookmarkEnd w:id="926"/>
    </w:p>
    <w:p>
      <w:pPr>
        <w:pStyle w:val="Style28"/>
        <w:keepNext/>
        <w:keepLines/>
        <w:widowControl w:val="0"/>
        <w:shd w:val="clear" w:color="auto" w:fill="auto"/>
        <w:tabs>
          <w:tab w:pos="478" w:val="left"/>
        </w:tabs>
        <w:bidi w:val="0"/>
        <w:spacing w:before="0" w:after="280" w:line="240"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27"/>
      <w:bookmarkEnd w:id="928"/>
      <w:bookmarkEnd w:id="930"/>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如果与或有事项相关的义务同时符合以下条件，本集团将其确认为预计负债：</w:t>
      </w:r>
    </w:p>
    <w:p>
      <w:pPr>
        <w:pStyle w:val="Style24"/>
        <w:keepNext w:val="0"/>
        <w:keepLines w:val="0"/>
        <w:widowControl w:val="0"/>
        <w:numPr>
          <w:ilvl w:val="0"/>
          <w:numId w:val="45"/>
        </w:numPr>
        <w:shd w:val="clear" w:color="auto" w:fill="auto"/>
        <w:tabs>
          <w:tab w:pos="439" w:val="left"/>
        </w:tabs>
        <w:bidi w:val="0"/>
        <w:spacing w:before="0" w:after="40" w:line="312" w:lineRule="exact"/>
        <w:ind w:left="0" w:right="0" w:firstLine="0"/>
        <w:jc w:val="both"/>
      </w:pPr>
      <w:bookmarkStart w:id="931" w:name="bookmark931"/>
      <w:bookmarkEnd w:id="931"/>
      <w:r>
        <w:rPr>
          <w:color w:val="000000"/>
          <w:spacing w:val="0"/>
          <w:w w:val="100"/>
          <w:position w:val="0"/>
        </w:rPr>
        <w:t>该义务是本集团承担的现时义务；</w:t>
      </w:r>
    </w:p>
    <w:p>
      <w:pPr>
        <w:pStyle w:val="Style24"/>
        <w:keepNext w:val="0"/>
        <w:keepLines w:val="0"/>
        <w:widowControl w:val="0"/>
        <w:numPr>
          <w:ilvl w:val="0"/>
          <w:numId w:val="45"/>
        </w:numPr>
        <w:shd w:val="clear" w:color="auto" w:fill="auto"/>
        <w:tabs>
          <w:tab w:pos="439" w:val="left"/>
        </w:tabs>
        <w:bidi w:val="0"/>
        <w:spacing w:before="0" w:after="40" w:line="312" w:lineRule="exact"/>
        <w:ind w:left="0" w:right="0" w:firstLine="0"/>
        <w:jc w:val="both"/>
      </w:pPr>
      <w:bookmarkStart w:id="932" w:name="bookmark932"/>
      <w:bookmarkEnd w:id="932"/>
      <w:r>
        <w:rPr>
          <w:color w:val="000000"/>
          <w:spacing w:val="0"/>
          <w:w w:val="100"/>
          <w:position w:val="0"/>
        </w:rPr>
        <w:t>该义务的履行很可能导致经济利益流出本集团；</w:t>
      </w:r>
    </w:p>
    <w:p>
      <w:pPr>
        <w:pStyle w:val="Style24"/>
        <w:keepNext w:val="0"/>
        <w:keepLines w:val="0"/>
        <w:widowControl w:val="0"/>
        <w:numPr>
          <w:ilvl w:val="0"/>
          <w:numId w:val="45"/>
        </w:numPr>
        <w:shd w:val="clear" w:color="auto" w:fill="auto"/>
        <w:tabs>
          <w:tab w:pos="439" w:val="left"/>
        </w:tabs>
        <w:bidi w:val="0"/>
        <w:spacing w:before="0" w:after="40" w:line="312" w:lineRule="exact"/>
        <w:ind w:left="0" w:right="0" w:firstLine="0"/>
        <w:jc w:val="both"/>
      </w:pPr>
      <w:bookmarkStart w:id="933" w:name="bookmark933"/>
      <w:bookmarkEnd w:id="933"/>
      <w:r>
        <w:rPr>
          <w:color w:val="000000"/>
          <w:spacing w:val="0"/>
          <w:w w:val="100"/>
          <w:position w:val="0"/>
        </w:rPr>
        <w:t>该义务的金额能够可靠地计量。</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预计负债按照履行相关现时义务所需支出的最佳估计数进行初始计量，并综合考虑与或有事项有关的风险、不确定性和货币 时间价值等因素。货币时间价值影响重大的，通过对相关未来现金流出进行折现后确定最佳估计数。本集团于资产负债表日 对预计负债的账面价值进行复核，并对账面价值进行调整以反映当前最佳估计数。</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如果清偿已确认预计负债所需支出全部或部分预期由第三方或其他方补偿，则补偿金额只能在基本确定能收到时，作为资产 单独确认。确认的补偿金额不超过所确认负债的账面价值。</w:t>
      </w:r>
    </w:p>
    <w:p>
      <w:pPr>
        <w:pStyle w:val="Style28"/>
        <w:keepNext/>
        <w:keepLines/>
        <w:widowControl w:val="0"/>
        <w:shd w:val="clear" w:color="auto" w:fill="auto"/>
        <w:bidi w:val="0"/>
        <w:spacing w:before="0" w:after="280" w:line="24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934"/>
      <w:bookmarkEnd w:id="935"/>
      <w:bookmarkEnd w:id="937"/>
    </w:p>
    <w:p>
      <w:pPr>
        <w:pStyle w:val="Style24"/>
        <w:keepNext w:val="0"/>
        <w:keepLines w:val="0"/>
        <w:widowControl w:val="0"/>
        <w:numPr>
          <w:ilvl w:val="0"/>
          <w:numId w:val="47"/>
        </w:numPr>
        <w:shd w:val="clear" w:color="auto" w:fill="auto"/>
        <w:tabs>
          <w:tab w:pos="391" w:val="left"/>
        </w:tabs>
        <w:bidi w:val="0"/>
        <w:spacing w:before="0" w:after="0" w:line="313" w:lineRule="exact"/>
        <w:ind w:left="0" w:right="0" w:firstLine="0"/>
        <w:jc w:val="both"/>
      </w:pPr>
      <w:bookmarkStart w:id="938" w:name="bookmark938"/>
      <w:bookmarkEnd w:id="938"/>
      <w:r>
        <w:rPr>
          <w:color w:val="000000"/>
          <w:spacing w:val="0"/>
          <w:w w:val="100"/>
          <w:position w:val="0"/>
        </w:rPr>
        <w:t>股份支付的种类</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本集团股份支付分为以权益结算的股份支付和以现金结算的股份支付。</w:t>
      </w:r>
    </w:p>
    <w:p>
      <w:pPr>
        <w:pStyle w:val="Style24"/>
        <w:keepNext w:val="0"/>
        <w:keepLines w:val="0"/>
        <w:widowControl w:val="0"/>
        <w:numPr>
          <w:ilvl w:val="0"/>
          <w:numId w:val="47"/>
        </w:numPr>
        <w:shd w:val="clear" w:color="auto" w:fill="auto"/>
        <w:tabs>
          <w:tab w:pos="391" w:val="left"/>
        </w:tabs>
        <w:bidi w:val="0"/>
        <w:spacing w:before="0" w:after="0" w:line="313" w:lineRule="exact"/>
        <w:ind w:left="0" w:right="0" w:firstLine="0"/>
        <w:jc w:val="both"/>
      </w:pPr>
      <w:bookmarkStart w:id="939" w:name="bookmark939"/>
      <w:bookmarkEnd w:id="939"/>
      <w:r>
        <w:rPr>
          <w:color w:val="000000"/>
          <w:spacing w:val="0"/>
          <w:w w:val="100"/>
          <w:position w:val="0"/>
        </w:rPr>
        <w:t>权益工具公允价值的确定方法</w:t>
      </w:r>
    </w:p>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本集团对于授予的存在活跃市场的期权等权益工具，按照活跃市场中的报价确定其公允价值。对于授予的不存在活跃市场的 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期 权的有效期；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24"/>
        <w:keepNext w:val="0"/>
        <w:keepLines w:val="0"/>
        <w:widowControl w:val="0"/>
        <w:numPr>
          <w:ilvl w:val="0"/>
          <w:numId w:val="47"/>
        </w:numPr>
        <w:shd w:val="clear" w:color="auto" w:fill="auto"/>
        <w:tabs>
          <w:tab w:pos="391" w:val="left"/>
        </w:tabs>
        <w:bidi w:val="0"/>
        <w:spacing w:before="0" w:after="0" w:line="313" w:lineRule="exact"/>
        <w:ind w:left="0" w:right="0" w:firstLine="0"/>
        <w:jc w:val="both"/>
      </w:pPr>
      <w:bookmarkStart w:id="940" w:name="bookmark940"/>
      <w:bookmarkEnd w:id="940"/>
      <w:r>
        <w:rPr>
          <w:color w:val="000000"/>
          <w:spacing w:val="0"/>
          <w:w w:val="100"/>
          <w:position w:val="0"/>
        </w:rPr>
        <w:t>确认可行权权益工具最佳估计的依据</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等待期内每个资产负债表日，本集团根据最新取得的可行权职工人数变动等后续信息作出最佳估计，修正预计可行权的权益 工具数量。在可行权日，最终预计可行权权益工具的数量应当与实际可行权数量一致。</w:t>
      </w:r>
    </w:p>
    <w:p>
      <w:pPr>
        <w:pStyle w:val="Style24"/>
        <w:keepNext w:val="0"/>
        <w:keepLines w:val="0"/>
        <w:widowControl w:val="0"/>
        <w:numPr>
          <w:ilvl w:val="0"/>
          <w:numId w:val="47"/>
        </w:numPr>
        <w:shd w:val="clear" w:color="auto" w:fill="auto"/>
        <w:tabs>
          <w:tab w:pos="391" w:val="left"/>
        </w:tabs>
        <w:bidi w:val="0"/>
        <w:spacing w:before="0" w:after="0" w:line="313" w:lineRule="exact"/>
        <w:ind w:left="0" w:right="0" w:firstLine="0"/>
        <w:jc w:val="both"/>
      </w:pPr>
      <w:bookmarkStart w:id="941" w:name="bookmark941"/>
      <w:bookmarkEnd w:id="941"/>
      <w:r>
        <w:rPr>
          <w:color w:val="000000"/>
          <w:spacing w:val="0"/>
          <w:w w:val="100"/>
          <w:position w:val="0"/>
        </w:rPr>
        <w:t>实施、修改、终止股份支付计划的相关会计处理</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以权益结算的股份支付，按授予职工权益工具的公允价值计量。授予后立即可行权的，在授予日按照权益工具的公允价值计 入相关成本或费用，相应增加资本公积。在完成等待期内的服务或达到规定业绩条件才可行权的，在等待期内的每个资产负 债表日，以对可行权权益工具数量的最佳估计为基础，按照权益工具授予日的公允价值，将当期取得的服务计入相关成本或 费用和资本公积。在可行权日之后不再对已确认的相关成本或费用和所有者权益总额进行调整。</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以现金结算的股份支付，按照本集团承担的以股份或其他权益工具为基础计算确定的负债的公允价值计量。授予后立即可行 权的，在授予日以本集团承担负债的公允价值计入相关成本或费用，相应增加负债。在完成等待期内的服务或达到规定业绩 条件以后才可行权的以现金结算的股份支付，在等待期内的每个资产负债表日，以对可行权情况的最佳估计为基础，按照本 集团承担负债的公允价值金额，将当期取得的服务计入成本或费用和相应的负债。在相关负债结算前的每个资产负债表日以 及结算日，对负债的公允价值重新计量，其变动计入当期损益。</w:t>
      </w:r>
    </w:p>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本集团对股份支付计划进行修改时，若修改增加了所授予权益工具的公允价值，按照权益工具公允价值的增加相应地确认取 得服务的增加；若修改增加了所授予权益工具的数量，则将增加的权益工具的公允价值相应地确认为取得服务的增加。权益 工具公允价值的增加是指修改前后的权益工具在修改日的公允价值之间的差额。若修改减少了股份支付公允价值总额或采用 了其他不利于职工的方式修改股份支付计划的条款和条件，则仍继续对取得的服务进行会计处理，视同该变更从未发生，除 非本集团取消了部分或全部已授予的权益工具。</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在等待期内，如果取消了授予的权益工具(因未满足可行权条件的非市场条件而被取消的除外)，本集团对取消所授予的权 益性工具作为加速行权处理，将剩余等待期内应确认的金额立即计入当期损益，同时确认资本公积。职工或其他方能够选择 满足非可行权条件但在等待期内未满足的，本集团将其作为授予权益工具的取消处理。</w:t>
      </w:r>
    </w:p>
    <w:p>
      <w:pPr>
        <w:pStyle w:val="Style24"/>
        <w:keepNext w:val="0"/>
        <w:keepLines w:val="0"/>
        <w:widowControl w:val="0"/>
        <w:numPr>
          <w:ilvl w:val="0"/>
          <w:numId w:val="47"/>
        </w:numPr>
        <w:shd w:val="clear" w:color="auto" w:fill="auto"/>
        <w:tabs>
          <w:tab w:pos="477" w:val="left"/>
        </w:tabs>
        <w:bidi w:val="0"/>
        <w:spacing w:before="0" w:after="0" w:line="312" w:lineRule="exact"/>
        <w:ind w:left="0" w:right="0" w:firstLine="0"/>
        <w:jc w:val="both"/>
      </w:pPr>
      <w:bookmarkStart w:id="942" w:name="bookmark942"/>
      <w:bookmarkEnd w:id="942"/>
      <w:r>
        <w:rPr>
          <w:color w:val="000000"/>
          <w:spacing w:val="0"/>
          <w:w w:val="100"/>
          <w:position w:val="0"/>
        </w:rPr>
        <w:t>回购股份</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本公司回购的股份在注销或者转让之前，作为库存股管理，回购股份的全部支出转作库存股成本。股份回购中支付的对价和 交易费用减少所有者权益，回购、转让或注销本公司股份时，不确认利得或损失。</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转让库存股，按实际收到的金额与库存股账面金额的差额，计入资本公积，资本公积不足冲减的，冲减盈余公积和未分配利 润。注销库存股，按股票面值和注销股数减少股本，按注销库存股的账面余额与面值的差额，冲减资本公积，资本公积不足 冲减的，冲减盈余公积和未分配利润。</w:t>
      </w:r>
    </w:p>
    <w:p>
      <w:pPr>
        <w:pStyle w:val="Style24"/>
        <w:keepNext w:val="0"/>
        <w:keepLines w:val="0"/>
        <w:widowControl w:val="0"/>
        <w:numPr>
          <w:ilvl w:val="0"/>
          <w:numId w:val="47"/>
        </w:numPr>
        <w:shd w:val="clear" w:color="auto" w:fill="auto"/>
        <w:tabs>
          <w:tab w:pos="477" w:val="left"/>
        </w:tabs>
        <w:bidi w:val="0"/>
        <w:spacing w:before="0" w:after="0" w:line="314" w:lineRule="exact"/>
        <w:ind w:left="0" w:right="0" w:firstLine="0"/>
        <w:jc w:val="both"/>
      </w:pPr>
      <w:bookmarkStart w:id="943" w:name="bookmark943"/>
      <w:bookmarkEnd w:id="943"/>
      <w:r>
        <w:rPr>
          <w:color w:val="000000"/>
          <w:spacing w:val="0"/>
          <w:w w:val="100"/>
          <w:position w:val="0"/>
        </w:rPr>
        <w:t>限制性股票</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股权激励计划中，本公司授予被激励对象限制性股票，被激励对象先认购股票，如果后续未达到股权激励计划规定的解锁条 件，则本公司按照事先约定的价格回购股票。向职工发行的限制性股票按有关规定履行了注册登记等增资手续的，在授予日， 本公司根据收到的职工缴纳的认股款确认股本和资本公积(股本溢价)；同时就回购义务确认库存股和其他应付款。</w:t>
      </w:r>
    </w:p>
    <w:p>
      <w:pPr>
        <w:pStyle w:val="Style28"/>
        <w:keepNext/>
        <w:keepLines/>
        <w:widowControl w:val="0"/>
        <w:shd w:val="clear" w:color="auto" w:fill="auto"/>
        <w:tabs>
          <w:tab w:pos="483" w:val="left"/>
        </w:tabs>
        <w:bidi w:val="0"/>
        <w:spacing w:before="0" w:after="380" w:line="240"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44"/>
      <w:bookmarkEnd w:id="945"/>
      <w:bookmarkEnd w:id="947"/>
    </w:p>
    <w:p>
      <w:pPr>
        <w:pStyle w:val="Style28"/>
        <w:keepNext/>
        <w:keepLines/>
        <w:widowControl w:val="0"/>
        <w:shd w:val="clear" w:color="auto" w:fill="auto"/>
        <w:tabs>
          <w:tab w:pos="483" w:val="left"/>
        </w:tabs>
        <w:bidi w:val="0"/>
        <w:spacing w:before="0" w:after="260" w:line="240"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48"/>
      <w:bookmarkEnd w:id="949"/>
      <w:bookmarkEnd w:id="951"/>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numPr>
          <w:ilvl w:val="0"/>
          <w:numId w:val="49"/>
        </w:numPr>
        <w:shd w:val="clear" w:color="auto" w:fill="auto"/>
        <w:tabs>
          <w:tab w:pos="445" w:val="left"/>
        </w:tabs>
        <w:bidi w:val="0"/>
        <w:spacing w:before="0" w:after="0" w:line="317" w:lineRule="exact"/>
        <w:ind w:left="0" w:right="0" w:firstLine="0"/>
        <w:jc w:val="both"/>
      </w:pPr>
      <w:bookmarkStart w:id="952" w:name="bookmark952"/>
      <w:bookmarkEnd w:id="952"/>
      <w:r>
        <w:rPr>
          <w:color w:val="000000"/>
          <w:spacing w:val="0"/>
          <w:w w:val="100"/>
          <w:position w:val="0"/>
        </w:rPr>
        <w:t>一般原则</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本集团在履行了合同中的履约义务，即在客户取得相关商品或服务的控制权时确认收入。</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合同中包含两项或多项履约义务的，本集团在合同开始日，按照各单项履约义务所承诺商品或服务的单独售价的相对比例， 将交易价格分摊至各单项履约义务，按照分摊至各</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单项履约义务的交易价格计量收入。</w:t>
      </w:r>
    </w:p>
    <w:p>
      <w:pPr>
        <w:pStyle w:val="Style24"/>
        <w:keepNext w:val="0"/>
        <w:keepLines w:val="0"/>
        <w:widowControl w:val="0"/>
        <w:shd w:val="clear" w:color="auto" w:fill="auto"/>
        <w:bidi w:val="0"/>
        <w:spacing w:before="0" w:after="80" w:line="317" w:lineRule="exact"/>
        <w:ind w:left="0" w:right="0" w:firstLine="0"/>
        <w:jc w:val="both"/>
      </w:pPr>
      <w:r>
        <w:rPr>
          <w:color w:val="000000"/>
          <w:spacing w:val="0"/>
          <w:w w:val="100"/>
          <w:position w:val="0"/>
        </w:rPr>
        <w:t>满足下列条件之一时，本集团属于在某一时段内履行履约义务；否则，属于在某一时点履行履约义务：</w:t>
      </w:r>
    </w:p>
    <w:p>
      <w:pPr>
        <w:pStyle w:val="Style24"/>
        <w:keepNext w:val="0"/>
        <w:keepLines w:val="0"/>
        <w:widowControl w:val="0"/>
        <w:numPr>
          <w:ilvl w:val="0"/>
          <w:numId w:val="51"/>
        </w:numPr>
        <w:shd w:val="clear" w:color="auto" w:fill="auto"/>
        <w:tabs>
          <w:tab w:pos="373" w:val="left"/>
        </w:tabs>
        <w:bidi w:val="0"/>
        <w:spacing w:before="0" w:after="0" w:line="240" w:lineRule="auto"/>
        <w:ind w:left="0" w:right="0" w:firstLine="0"/>
        <w:jc w:val="both"/>
      </w:pPr>
      <w:bookmarkStart w:id="953" w:name="bookmark953"/>
      <w:bookmarkEnd w:id="953"/>
      <w:r>
        <w:rPr>
          <w:color w:val="000000"/>
          <w:spacing w:val="0"/>
          <w:w w:val="100"/>
          <w:position w:val="0"/>
        </w:rPr>
        <w:t>客户在本集团履约的同时即取得并消耗本集团履约所带来的经济利益。</w:t>
      </w:r>
    </w:p>
    <w:p>
      <w:pPr>
        <w:pStyle w:val="Style24"/>
        <w:keepNext w:val="0"/>
        <w:keepLines w:val="0"/>
        <w:widowControl w:val="0"/>
        <w:numPr>
          <w:ilvl w:val="0"/>
          <w:numId w:val="51"/>
        </w:numPr>
        <w:shd w:val="clear" w:color="auto" w:fill="auto"/>
        <w:tabs>
          <w:tab w:pos="373" w:val="left"/>
        </w:tabs>
        <w:bidi w:val="0"/>
        <w:spacing w:before="0" w:after="0" w:line="312" w:lineRule="exact"/>
        <w:ind w:left="0" w:right="0" w:firstLine="0"/>
        <w:jc w:val="both"/>
      </w:pPr>
      <w:bookmarkStart w:id="954" w:name="bookmark954"/>
      <w:bookmarkEnd w:id="954"/>
      <w:r>
        <w:rPr>
          <w:color w:val="000000"/>
          <w:spacing w:val="0"/>
          <w:w w:val="100"/>
          <w:position w:val="0"/>
        </w:rPr>
        <w:t>客户能够控制本集团履约过程中在建的商品。</w:t>
      </w:r>
    </w:p>
    <w:p>
      <w:pPr>
        <w:pStyle w:val="Style24"/>
        <w:keepNext w:val="0"/>
        <w:keepLines w:val="0"/>
        <w:widowControl w:val="0"/>
        <w:numPr>
          <w:ilvl w:val="0"/>
          <w:numId w:val="51"/>
        </w:numPr>
        <w:shd w:val="clear" w:color="auto" w:fill="auto"/>
        <w:tabs>
          <w:tab w:pos="373" w:val="left"/>
        </w:tabs>
        <w:bidi w:val="0"/>
        <w:spacing w:before="0" w:after="0" w:line="312" w:lineRule="exact"/>
        <w:ind w:left="0" w:right="0" w:firstLine="0"/>
        <w:jc w:val="both"/>
      </w:pPr>
      <w:bookmarkStart w:id="955" w:name="bookmark955"/>
      <w:bookmarkEnd w:id="955"/>
      <w:r>
        <w:rPr>
          <w:color w:val="000000"/>
          <w:spacing w:val="0"/>
          <w:w w:val="100"/>
          <w:position w:val="0"/>
        </w:rPr>
        <w:t>本集团履约过程中所产出的商品具有不可替代用途,且本集团在整个合同期间内有权就累计至今已完成的履约部分收取款 项。</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对于在某一时段内履行的履约义务，本集团在该段时间内按照履约进度确认收入。履约珠海汇金科技股份有限公司进度不能 合理确定时，本集团已经发生的成本预计能够得到补偿的，按照已经发生的成本金额确认收入，直到履约进度能够合理确定 为止。</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对于在某一时点履行的履约义务，本集团在客户取得相关商品或服务控制权时点确认收入。在判断客户是否已取得商品或服 务控制权时，本集团会考虑下列迹象：</w:t>
      </w:r>
    </w:p>
    <w:p>
      <w:pPr>
        <w:pStyle w:val="Style24"/>
        <w:keepNext w:val="0"/>
        <w:keepLines w:val="0"/>
        <w:widowControl w:val="0"/>
        <w:numPr>
          <w:ilvl w:val="0"/>
          <w:numId w:val="53"/>
        </w:numPr>
        <w:shd w:val="clear" w:color="auto" w:fill="auto"/>
        <w:tabs>
          <w:tab w:pos="373" w:val="left"/>
        </w:tabs>
        <w:bidi w:val="0"/>
        <w:spacing w:before="0" w:after="0" w:line="312" w:lineRule="exact"/>
        <w:ind w:left="0" w:right="0" w:firstLine="0"/>
        <w:jc w:val="both"/>
      </w:pPr>
      <w:bookmarkStart w:id="956" w:name="bookmark956"/>
      <w:bookmarkEnd w:id="956"/>
      <w:r>
        <w:rPr>
          <w:color w:val="000000"/>
          <w:spacing w:val="0"/>
          <w:w w:val="100"/>
          <w:position w:val="0"/>
        </w:rPr>
        <w:t>本集团就该商品或服务享有现时收款权利，即客户就该商品负有现时付款义务。</w:t>
      </w:r>
    </w:p>
    <w:p>
      <w:pPr>
        <w:pStyle w:val="Style24"/>
        <w:keepNext w:val="0"/>
        <w:keepLines w:val="0"/>
        <w:widowControl w:val="0"/>
        <w:numPr>
          <w:ilvl w:val="0"/>
          <w:numId w:val="53"/>
        </w:numPr>
        <w:shd w:val="clear" w:color="auto" w:fill="auto"/>
        <w:tabs>
          <w:tab w:pos="373" w:val="left"/>
        </w:tabs>
        <w:bidi w:val="0"/>
        <w:spacing w:before="0" w:after="0" w:line="312" w:lineRule="exact"/>
        <w:ind w:left="0" w:right="0" w:firstLine="0"/>
        <w:jc w:val="left"/>
      </w:pPr>
      <w:bookmarkStart w:id="957" w:name="bookmark957"/>
      <w:bookmarkEnd w:id="957"/>
      <w:r>
        <w:rPr>
          <w:color w:val="000000"/>
          <w:spacing w:val="0"/>
          <w:w w:val="100"/>
          <w:position w:val="0"/>
        </w:rPr>
        <w:t>本集团已将该商品的法定所有权转移给客户，即客户已拥有该商品的法定所有权。</w:t>
      </w:r>
    </w:p>
    <w:p>
      <w:pPr>
        <w:pStyle w:val="Style24"/>
        <w:keepNext w:val="0"/>
        <w:keepLines w:val="0"/>
        <w:widowControl w:val="0"/>
        <w:numPr>
          <w:ilvl w:val="0"/>
          <w:numId w:val="53"/>
        </w:numPr>
        <w:shd w:val="clear" w:color="auto" w:fill="auto"/>
        <w:tabs>
          <w:tab w:pos="373" w:val="left"/>
        </w:tabs>
        <w:bidi w:val="0"/>
        <w:spacing w:before="0" w:after="0" w:line="312" w:lineRule="exact"/>
        <w:ind w:left="0" w:right="0" w:firstLine="0"/>
        <w:jc w:val="left"/>
      </w:pPr>
      <w:bookmarkStart w:id="958" w:name="bookmark958"/>
      <w:bookmarkEnd w:id="958"/>
      <w:r>
        <w:rPr>
          <w:color w:val="000000"/>
          <w:spacing w:val="0"/>
          <w:w w:val="100"/>
          <w:position w:val="0"/>
        </w:rPr>
        <w:t>本集团已将该商品的实物转移给客户，即客户已实物占有该商品。</w:t>
      </w:r>
    </w:p>
    <w:p>
      <w:pPr>
        <w:pStyle w:val="Style24"/>
        <w:keepNext w:val="0"/>
        <w:keepLines w:val="0"/>
        <w:widowControl w:val="0"/>
        <w:numPr>
          <w:ilvl w:val="0"/>
          <w:numId w:val="53"/>
        </w:numPr>
        <w:shd w:val="clear" w:color="auto" w:fill="auto"/>
        <w:tabs>
          <w:tab w:pos="373" w:val="left"/>
        </w:tabs>
        <w:bidi w:val="0"/>
        <w:spacing w:before="0" w:after="0" w:line="312" w:lineRule="exact"/>
        <w:ind w:left="0" w:right="0" w:firstLine="0"/>
        <w:jc w:val="left"/>
      </w:pPr>
      <w:bookmarkStart w:id="959" w:name="bookmark959"/>
      <w:bookmarkEnd w:id="959"/>
      <w:r>
        <w:rPr>
          <w:color w:val="000000"/>
          <w:spacing w:val="0"/>
          <w:w w:val="100"/>
          <w:position w:val="0"/>
        </w:rPr>
        <w:t>本集团已将该商品所有权上的主要风险和报酬转移给客户，即客户已取得该商品所有权上的主要风险和报酬。</w:t>
      </w:r>
    </w:p>
    <w:p>
      <w:pPr>
        <w:pStyle w:val="Style24"/>
        <w:keepNext w:val="0"/>
        <w:keepLines w:val="0"/>
        <w:widowControl w:val="0"/>
        <w:numPr>
          <w:ilvl w:val="0"/>
          <w:numId w:val="53"/>
        </w:numPr>
        <w:shd w:val="clear" w:color="auto" w:fill="auto"/>
        <w:tabs>
          <w:tab w:pos="373" w:val="left"/>
        </w:tabs>
        <w:bidi w:val="0"/>
        <w:spacing w:before="0" w:after="0" w:line="312" w:lineRule="exact"/>
        <w:ind w:left="0" w:right="0" w:firstLine="0"/>
        <w:jc w:val="left"/>
      </w:pPr>
      <w:bookmarkStart w:id="960" w:name="bookmark960"/>
      <w:bookmarkEnd w:id="960"/>
      <w:r>
        <w:rPr>
          <w:color w:val="000000"/>
          <w:spacing w:val="0"/>
          <w:w w:val="100"/>
          <w:position w:val="0"/>
        </w:rPr>
        <w:t>客户已接受该商品或服务。</w:t>
      </w:r>
    </w:p>
    <w:p>
      <w:pPr>
        <w:pStyle w:val="Style24"/>
        <w:keepNext w:val="0"/>
        <w:keepLines w:val="0"/>
        <w:widowControl w:val="0"/>
        <w:numPr>
          <w:ilvl w:val="0"/>
          <w:numId w:val="53"/>
        </w:numPr>
        <w:shd w:val="clear" w:color="auto" w:fill="auto"/>
        <w:tabs>
          <w:tab w:pos="373" w:val="left"/>
        </w:tabs>
        <w:bidi w:val="0"/>
        <w:spacing w:before="0" w:after="0" w:line="312" w:lineRule="exact"/>
        <w:ind w:left="0" w:right="0" w:firstLine="0"/>
        <w:jc w:val="left"/>
      </w:pPr>
      <w:bookmarkStart w:id="961" w:name="bookmark961"/>
      <w:bookmarkEnd w:id="961"/>
      <w:r>
        <w:rPr>
          <w:color w:val="000000"/>
          <w:spacing w:val="0"/>
          <w:w w:val="100"/>
          <w:position w:val="0"/>
        </w:rPr>
        <w:t>其他表明客户已取得商品控制权的迹象。</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本集团已向客户转让商品或服务而有权收取对价的权利(且该权利取决于时间流逝之外的其他因素)作为合同资产，合同资 产以预期信用损失为基础计提减值。本集团拥有的、无条件(仅取决于时间流逝)向客户收取对价的权利作为应收款项列示。 本集团已收或应收客户对价而应向客户转让商品或服务的义务作为合同负债。</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 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4"/>
        <w:keepNext w:val="0"/>
        <w:keepLines w:val="0"/>
        <w:widowControl w:val="0"/>
        <w:numPr>
          <w:ilvl w:val="0"/>
          <w:numId w:val="49"/>
        </w:numPr>
        <w:shd w:val="clear" w:color="auto" w:fill="auto"/>
        <w:tabs>
          <w:tab w:pos="445" w:val="left"/>
        </w:tabs>
        <w:bidi w:val="0"/>
        <w:spacing w:before="0" w:after="0" w:line="312" w:lineRule="exact"/>
        <w:ind w:left="0" w:right="0" w:firstLine="0"/>
        <w:jc w:val="left"/>
      </w:pPr>
      <w:bookmarkStart w:id="962" w:name="bookmark962"/>
      <w:bookmarkEnd w:id="962"/>
      <w:r>
        <w:rPr>
          <w:color w:val="000000"/>
          <w:spacing w:val="0"/>
          <w:w w:val="100"/>
          <w:position w:val="0"/>
        </w:rPr>
        <w:t>具体方法</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本集团收入确认的具体方法如下：</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销售商品根据合同约定，当商品运送至客户或客户验收该商品时，客户取得商品的控制权，本集团确认收入。</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服务合同本集团在提供服务的过程中确认收入。对于合同中包含两项或多项履约义务的，本集团在合同开始日即按照各单项 服务的单独售价的相对比例将交易价格分摊至各项服务。各项服务的单独售价依据本集团单独销售各项服务的价格得出。</w:t>
      </w:r>
    </w:p>
    <w:p>
      <w:pPr>
        <w:pStyle w:val="Style28"/>
        <w:keepNext/>
        <w:keepLines/>
        <w:widowControl w:val="0"/>
        <w:shd w:val="clear" w:color="auto" w:fill="auto"/>
        <w:tabs>
          <w:tab w:pos="483" w:val="left"/>
        </w:tabs>
        <w:bidi w:val="0"/>
        <w:spacing w:before="0" w:after="26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4</w:t>
      </w:r>
      <w:bookmarkEnd w:id="965"/>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63"/>
      <w:bookmarkEnd w:id="964"/>
      <w:bookmarkEnd w:id="966"/>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政府补助在满足政府补助所附条件并能够收到时确认。</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对于货币性资产的政府补助，按照收到或应收的金额计量。对于非货币性资产的政府补助，按照公允价值计量；公允价值不 能够可靠取得的，按照名义金额</w:t>
      </w:r>
      <w:r>
        <w:rPr>
          <w:rFonts w:ascii="Tahoma" w:eastAsia="Tahoma" w:hAnsi="Tahoma" w:cs="Tahoma"/>
          <w:color w:val="000000"/>
          <w:spacing w:val="0"/>
          <w:w w:val="100"/>
          <w:position w:val="0"/>
          <w:sz w:val="16"/>
          <w:szCs w:val="16"/>
        </w:rPr>
        <w:t>1</w:t>
      </w:r>
      <w:r>
        <w:rPr>
          <w:color w:val="000000"/>
          <w:spacing w:val="0"/>
          <w:w w:val="100"/>
          <w:position w:val="0"/>
        </w:rPr>
        <w:t>元计量。</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与资产相关的政府补助，是指本集团取得的、用于购建或以其他方式形成长期资产的政府补助；除此之外，作为与收益相关 的政府补助。</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对于政府文件未明确规定补助对象的，能够形成长期资产的，与资产价值相对应的政府补助部分作为与资产相关的政府补助， 其余部分作为与收益相关的政府补助；难以区分的，将政府补助整体作为与收益相关的政府补助。</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与资产相关的政府补助，冲减相关资产的账面价值，或者确认为递延收益在相关资产使用期限内按照合理、系统的方法分期 计入损益。与收益相关的政府补助，用于补偿已发生的相关成本费用或损失的，计入当期损益或冲减相关成本；用于补偿以 后期间的相关成本费用或损失的，则计入递延收益，于相关成本费用或损失确认期间计入当期损益或冲减相关成本。按照名 义金额计量的政府补助，直接计入当期损益。本集团对相同或类似的政府补助业务，采用一致的方法处理。</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与日常活动相关的政府补助，按照经济业务实质，计入其他收益或冲减相关成本费用。与日常活动无关的政府补助，计入营 业外收支。</w:t>
      </w:r>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已确认的政府补助需要返还时，初始确认时冲减相关资产账面价值的，调整资产账面价值；存在相关递延收益余额的，冲减 相关递延收益账面余额，超出部分计入当期损益；属于其他情况的，直接计入当期损益。</w:t>
      </w:r>
    </w:p>
    <w:p>
      <w:pPr>
        <w:pStyle w:val="Style28"/>
        <w:keepNext/>
        <w:keepLines/>
        <w:widowControl w:val="0"/>
        <w:shd w:val="clear" w:color="auto" w:fill="auto"/>
        <w:tabs>
          <w:tab w:pos="481" w:val="left"/>
        </w:tabs>
        <w:bidi w:val="0"/>
        <w:spacing w:before="0" w:after="280" w:line="240"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4</w:t>
      </w:r>
      <w:bookmarkEnd w:id="96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7"/>
      <w:bookmarkEnd w:id="968"/>
      <w:bookmarkEnd w:id="970"/>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所得税包括当期所得税和递延所得税。除由于企业合并产生的调整商誉，或与直接计入所有者权益的交易或者事项相关的递 延所得税计入所有者权益外，均作为所得税费用计入当期损益。</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Style24"/>
        <w:keepNext w:val="0"/>
        <w:keepLines w:val="0"/>
        <w:widowControl w:val="0"/>
        <w:shd w:val="clear" w:color="auto" w:fill="auto"/>
        <w:tabs>
          <w:tab w:pos="529" w:val="left"/>
        </w:tabs>
        <w:bidi w:val="0"/>
        <w:spacing w:before="0" w:after="0" w:line="314" w:lineRule="exact"/>
        <w:ind w:left="0" w:right="0" w:firstLine="0"/>
        <w:jc w:val="both"/>
      </w:pPr>
      <w:bookmarkStart w:id="971" w:name="bookmark971"/>
      <w:r>
        <w:rPr>
          <w:color w:val="000000"/>
          <w:spacing w:val="0"/>
          <w:w w:val="100"/>
          <w:position w:val="0"/>
          <w:sz w:val="20"/>
          <w:szCs w:val="20"/>
        </w:rPr>
        <w:t>（</w:t>
      </w:r>
      <w:bookmarkEnd w:id="971"/>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商誉的初始确认，或者具有以下特征的交易中产生的资产或负债的初始确认：该交易不是企业合并，并且交易发生时 既不影响会计利润也不影响应纳税所得额；</w:t>
      </w:r>
    </w:p>
    <w:p>
      <w:pPr>
        <w:pStyle w:val="Style24"/>
        <w:keepNext w:val="0"/>
        <w:keepLines w:val="0"/>
        <w:widowControl w:val="0"/>
        <w:shd w:val="clear" w:color="auto" w:fill="auto"/>
        <w:tabs>
          <w:tab w:pos="539" w:val="left"/>
        </w:tabs>
        <w:bidi w:val="0"/>
        <w:spacing w:before="0" w:after="0" w:line="314" w:lineRule="exact"/>
        <w:ind w:left="0" w:right="0" w:firstLine="0"/>
        <w:jc w:val="both"/>
      </w:pPr>
      <w:bookmarkStart w:id="972" w:name="bookmark972"/>
      <w:r>
        <w:rPr>
          <w:color w:val="000000"/>
          <w:spacing w:val="0"/>
          <w:w w:val="100"/>
          <w:position w:val="0"/>
          <w:sz w:val="20"/>
          <w:szCs w:val="20"/>
        </w:rPr>
        <w:t>（</w:t>
      </w:r>
      <w:bookmarkEnd w:id="972"/>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对于与子公司、合营企业及联营企业投资相关的应纳税暂时性差异，该暂时性差异转回的时间能够控制并且该暂时性 差异在可预见的未来很可能不会转回。</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对于可抵扣暂时性差异、能够结转以后年度的可抵扣亏损和税款抵减，本集团以很可能取得用来抵扣可抵扣暂时性差异、可 抵扣亏损和税款抵减的未来应纳税所得额为限，确认由此产生的递延所得税资产，除非该可抵扣暂时性差异是在以下交易中 产生的：</w:t>
      </w:r>
    </w:p>
    <w:p>
      <w:pPr>
        <w:pStyle w:val="Style24"/>
        <w:keepNext w:val="0"/>
        <w:keepLines w:val="0"/>
        <w:widowControl w:val="0"/>
        <w:shd w:val="clear" w:color="auto" w:fill="auto"/>
        <w:tabs>
          <w:tab w:pos="443" w:val="left"/>
        </w:tabs>
        <w:bidi w:val="0"/>
        <w:spacing w:before="0" w:after="0" w:line="314" w:lineRule="exact"/>
        <w:ind w:left="0" w:right="0" w:firstLine="0"/>
        <w:jc w:val="both"/>
      </w:pPr>
      <w:bookmarkStart w:id="973" w:name="bookmark973"/>
      <w:r>
        <w:rPr>
          <w:color w:val="000000"/>
          <w:spacing w:val="0"/>
          <w:w w:val="100"/>
          <w:position w:val="0"/>
          <w:sz w:val="20"/>
          <w:szCs w:val="20"/>
        </w:rPr>
        <w:t>（</w:t>
      </w:r>
      <w:bookmarkEnd w:id="973"/>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该交易不是企业合并，并且交易发生时既不影响会计利润也不影响应纳税所得额；</w:t>
      </w:r>
    </w:p>
    <w:p>
      <w:pPr>
        <w:pStyle w:val="Style24"/>
        <w:keepNext w:val="0"/>
        <w:keepLines w:val="0"/>
        <w:widowControl w:val="0"/>
        <w:shd w:val="clear" w:color="auto" w:fill="auto"/>
        <w:tabs>
          <w:tab w:pos="539" w:val="left"/>
        </w:tabs>
        <w:bidi w:val="0"/>
        <w:spacing w:before="0" w:after="0" w:line="314" w:lineRule="exact"/>
        <w:ind w:left="0" w:right="0" w:firstLine="0"/>
        <w:jc w:val="both"/>
      </w:pPr>
      <w:bookmarkStart w:id="974" w:name="bookmark974"/>
      <w:r>
        <w:rPr>
          <w:color w:val="000000"/>
          <w:spacing w:val="0"/>
          <w:w w:val="100"/>
          <w:position w:val="0"/>
          <w:sz w:val="20"/>
          <w:szCs w:val="20"/>
        </w:rPr>
        <w:t>（</w:t>
      </w:r>
      <w:bookmarkEnd w:id="974"/>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于资产负债表日，本集团对递延所得税资产和递延所得税负债，按照预期收回该资产或清偿该负债期间的适用税率计量，并 反映资产负债表日预期收回资产或清偿负债方式的所得税影响。</w:t>
      </w:r>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于资产负债表日，本集团对递延所得税资产的账面价值进行复核。如果未来期间很可能无法获得足够的应纳税所得额用以抵 扣递延所得税资产的利益，减记递延所得税资产的账面价值。在很可能获得足够的应纳税所得额时，减记的金额予以转回。</w:t>
      </w:r>
    </w:p>
    <w:p>
      <w:pPr>
        <w:pStyle w:val="Style28"/>
        <w:keepNext/>
        <w:keepLines/>
        <w:widowControl w:val="0"/>
        <w:shd w:val="clear" w:color="auto" w:fill="auto"/>
        <w:tabs>
          <w:tab w:pos="481" w:val="left"/>
        </w:tabs>
        <w:bidi w:val="0"/>
        <w:spacing w:before="0" w:after="38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4</w:t>
      </w:r>
      <w:bookmarkEnd w:id="977"/>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75"/>
      <w:bookmarkEnd w:id="976"/>
      <w:bookmarkEnd w:id="978"/>
    </w:p>
    <w:p>
      <w:pPr>
        <w:pStyle w:val="Style36"/>
        <w:keepNext/>
        <w:keepLines/>
        <w:widowControl w:val="0"/>
        <w:shd w:val="clear" w:color="auto" w:fill="auto"/>
        <w:bidi w:val="0"/>
        <w:spacing w:before="0" w:after="280" w:line="240" w:lineRule="auto"/>
        <w:ind w:left="0" w:right="0" w:firstLine="0"/>
        <w:jc w:val="both"/>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79"/>
      <w:bookmarkEnd w:id="980"/>
      <w:bookmarkEnd w:id="982"/>
    </w:p>
    <w:p>
      <w:pPr>
        <w:pStyle w:val="Style24"/>
        <w:keepNext w:val="0"/>
        <w:keepLines w:val="0"/>
        <w:widowControl w:val="0"/>
        <w:shd w:val="clear" w:color="auto" w:fill="auto"/>
        <w:tabs>
          <w:tab w:pos="443" w:val="left"/>
        </w:tabs>
        <w:bidi w:val="0"/>
        <w:spacing w:before="0" w:after="0" w:line="307" w:lineRule="exact"/>
        <w:ind w:left="0" w:right="0" w:firstLine="0"/>
        <w:jc w:val="both"/>
      </w:pPr>
      <w:bookmarkStart w:id="983" w:name="bookmark983"/>
      <w:r>
        <w:rPr>
          <w:color w:val="000000"/>
          <w:spacing w:val="0"/>
          <w:w w:val="100"/>
          <w:position w:val="0"/>
          <w:sz w:val="20"/>
          <w:szCs w:val="20"/>
        </w:rPr>
        <w:t>（</w:t>
      </w:r>
      <w:bookmarkEnd w:id="983"/>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本集团作为出租人</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经营租赁中的租金，本集团在租赁期内各个期间按照直线法确认当期损益。发生的初始直接费用，计入当期损益。</w:t>
      </w:r>
    </w:p>
    <w:p>
      <w:pPr>
        <w:pStyle w:val="Style24"/>
        <w:keepNext w:val="0"/>
        <w:keepLines w:val="0"/>
        <w:widowControl w:val="0"/>
        <w:shd w:val="clear" w:color="auto" w:fill="auto"/>
        <w:tabs>
          <w:tab w:pos="443" w:val="left"/>
        </w:tabs>
        <w:bidi w:val="0"/>
        <w:spacing w:before="0" w:after="0" w:line="307" w:lineRule="exact"/>
        <w:ind w:left="0" w:right="0" w:firstLine="0"/>
        <w:jc w:val="both"/>
      </w:pPr>
      <w:bookmarkStart w:id="984" w:name="bookmark984"/>
      <w:r>
        <w:rPr>
          <w:color w:val="000000"/>
          <w:spacing w:val="0"/>
          <w:w w:val="100"/>
          <w:position w:val="0"/>
          <w:sz w:val="20"/>
          <w:szCs w:val="20"/>
        </w:rPr>
        <w:t>（</w:t>
      </w:r>
      <w:bookmarkEnd w:id="984"/>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本集团作为承租人</w:t>
      </w:r>
    </w:p>
    <w:p>
      <w:pPr>
        <w:pStyle w:val="Style24"/>
        <w:keepNext w:val="0"/>
        <w:keepLines w:val="0"/>
        <w:widowControl w:val="0"/>
        <w:shd w:val="clear" w:color="auto" w:fill="auto"/>
        <w:bidi w:val="0"/>
        <w:spacing w:before="0" w:after="380" w:line="307" w:lineRule="exact"/>
        <w:ind w:left="0" w:right="0" w:firstLine="0"/>
        <w:jc w:val="both"/>
      </w:pPr>
      <w:r>
        <w:rPr>
          <w:color w:val="000000"/>
          <w:spacing w:val="0"/>
          <w:w w:val="100"/>
          <w:position w:val="0"/>
        </w:rPr>
        <w:t>经营租赁中的租金，本集团在租赁期内各个期间按照直线法计入相关资产成本或当期损益；发生的初始直接费用，计入当期 损益。</w:t>
      </w:r>
    </w:p>
    <w:p>
      <w:pPr>
        <w:pStyle w:val="Style36"/>
        <w:keepNext/>
        <w:keepLines/>
        <w:widowControl w:val="0"/>
        <w:shd w:val="clear" w:color="auto" w:fill="auto"/>
        <w:bidi w:val="0"/>
        <w:spacing w:before="0" w:line="240" w:lineRule="auto"/>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85"/>
      <w:bookmarkEnd w:id="986"/>
      <w:bookmarkEnd w:id="988"/>
    </w:p>
    <w:p>
      <w:pPr>
        <w:pStyle w:val="Style24"/>
        <w:keepNext w:val="0"/>
        <w:keepLines w:val="0"/>
        <w:widowControl w:val="0"/>
        <w:shd w:val="clear" w:color="auto" w:fill="auto"/>
        <w:bidi w:val="0"/>
        <w:spacing w:before="0" w:after="100" w:line="240" w:lineRule="auto"/>
        <w:ind w:left="0" w:right="0" w:firstLine="0"/>
        <w:jc w:val="both"/>
      </w:pPr>
      <w:r>
        <w:rPr>
          <w:rFonts w:ascii="Tahoma" w:eastAsia="Tahoma" w:hAnsi="Tahoma" w:cs="Tahoma"/>
          <w:color w:val="000000"/>
          <w:spacing w:val="0"/>
          <w:w w:val="100"/>
          <w:position w:val="0"/>
          <w:sz w:val="16"/>
          <w:szCs w:val="16"/>
        </w:rPr>
        <w:t>（1）</w:t>
      </w:r>
      <w:r>
        <w:rPr>
          <w:color w:val="000000"/>
          <w:spacing w:val="0"/>
          <w:w w:val="100"/>
          <w:position w:val="0"/>
        </w:rPr>
        <w:t xml:space="preserve">本集团作为出租人 </w:t>
      </w:r>
      <w:r>
        <w:rPr>
          <w:color w:val="000000"/>
          <w:spacing w:val="0"/>
          <w:w w:val="100"/>
          <w:position w:val="0"/>
        </w:rPr>
        <w:t>融资租赁中，在租赁期开始日本集团按最低租赁收款额与初始直接费用之和作为应收融资租赁款的入账价值，同时记录未担 保余值；将最低租赁收款额、初始直接费用及未担保余值之和与其现值之和的差额确认为未实现融资收益。未实现融资收益 在租赁期内各个期间采用实际利率法计算确认当期的融资收入。</w:t>
      </w:r>
    </w:p>
    <w:p>
      <w:pPr>
        <w:pStyle w:val="Style24"/>
        <w:keepNext w:val="0"/>
        <w:keepLines w:val="0"/>
        <w:widowControl w:val="0"/>
        <w:shd w:val="clear" w:color="auto" w:fill="auto"/>
        <w:bidi w:val="0"/>
        <w:spacing w:before="0" w:after="0" w:line="389" w:lineRule="auto"/>
        <w:ind w:left="0" w:right="0" w:firstLine="0"/>
        <w:jc w:val="both"/>
      </w:pPr>
      <w:r>
        <w:rPr>
          <w:rFonts w:ascii="Tahoma" w:eastAsia="Tahoma" w:hAnsi="Tahoma" w:cs="Tahoma"/>
          <w:color w:val="000000"/>
          <w:spacing w:val="0"/>
          <w:w w:val="100"/>
          <w:position w:val="0"/>
          <w:sz w:val="16"/>
          <w:szCs w:val="16"/>
        </w:rPr>
        <w:t>(2)</w:t>
      </w:r>
      <w:r>
        <w:rPr>
          <w:color w:val="000000"/>
          <w:spacing w:val="0"/>
          <w:w w:val="100"/>
          <w:position w:val="0"/>
        </w:rPr>
        <w:t>本集团作为承租人</w:t>
      </w:r>
    </w:p>
    <w:p>
      <w:pPr>
        <w:pStyle w:val="Style24"/>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融资租赁中，在租赁期开始日本集团将租赁资产公允价值与最低租赁付款额现值两者中较低者作为租入资产的入账价值，将 最低租赁付款额作为长期应付款的入账价值，其差额作为未确认融资费用。初始直接费用计入租入资产价值。未确认融资费 用在租赁期内各个期间采用实际利率法计算确认当期的融资费用。本集团采用与自有固定资产相一致的折旧政策计提租赁资 产折旧。</w:t>
      </w:r>
    </w:p>
    <w:p>
      <w:pPr>
        <w:pStyle w:val="Style28"/>
        <w:keepNext/>
        <w:keepLines/>
        <w:widowControl w:val="0"/>
        <w:shd w:val="clear" w:color="auto" w:fill="auto"/>
        <w:bidi w:val="0"/>
        <w:spacing w:before="0" w:after="280" w:line="240" w:lineRule="auto"/>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4</w:t>
      </w:r>
      <w:bookmarkEnd w:id="991"/>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989"/>
      <w:bookmarkEnd w:id="990"/>
      <w:bookmarkEnd w:id="992"/>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本集团根据历史经验和其它因素，包括对未来事项的合理预期，对所采用的重要会计估计和关键假设进行持续的评价。很可 能导致下一会计年度资产和负债的账面价值出现重大调整风险的重要会计估计和关键假设列示如下：</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金融资产的分类</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本集团在确定金融资产的分类时涉及的重大判断包括业务模式及合同现金流量特征的分析等。</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本集团在金融资产组合的层次上确定管理金融资产的业务模式，考虑的因素包括评价和向关键管理人员报告金融资产业绩的 方式、影响金融资产业绩的风险及其管理方式、以及相关业务管理人员获得报酬的方式等。</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本集团在评估金融资产的合同现金流量是否与基本借贷安排相一致时，存在以下主要判断：本金是否可能因提前还款等原因 导致在存续期内的时间分布或者金额发生变动；利息是否仅包括货币时间价值、信用风险、其他基本借贷风险以及与成本和 利润的对价。例如，提前偿付的金额是否仅反映了尚未支付的本金及以未偿付本金为基础的利息，以及因提前终止合同而支 付的合理补偿。</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应收款项预期信用损失的计量</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本集团通过应收款项违约风险敞口和预期信用损失率计算应收账款预期信用损失,并基于违约概率和违约损失率确定预期信 用损失率。在确定预期信用损失率时，本集团使用内部历史信用损失经验等数据，并结合当前状况和前瞻性信息对历史数据 进行调整。在考虑前瞻性信息时，本集团使用的指标包括经济下滑的风险、外部市场环境、技术环境和客户情况的变化等。 本集团定期监控并复核与预期信用损失计算相关的假设。</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存货跌价准备</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本集团根据存货会计政策，按照成本与可变现净值孰低计量，对成本高于可变现净值及陈旧和滞销的存货，计提存货跌价准 备。存货减值至可变现净值是基于评估存货的可售性及其可变现净值。鉴定存货减值要求管理层在取得确凿证据，并且考虑 持有存货的目的、资产负债表日后事项的影响等因素的基础上作出判断和估计。实际的结果与原先估计的差异将在估计被改 变的期间影响存货的账面价值及存货跌价准备的计提或转回。</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折旧和摊销</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本集团对固定资产和无形资产在考虑其残值后，在使用寿命内按直线法计提折旧和摊销。本集团定期复核使用寿命，以决定 将计入每个报告期的折旧和摊销费用数额。使用寿命是本集团根据对同类资产的以往经验并结合预期的技术更新而确定的。 如果以前的估计发生重大变化，则会在未来期间对折旧和摊销费用进行调整。</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递延所得税资产</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在很有可能有足够的应纳税利润来抵扣亏损的限度内，应就所有未利用的税务亏损确认递延所得税资产。这需要管理层运用 大量的判断来估计未来应纳税利润发生的时间和金额，结合纳税筹划策略，以决定应确认的递延所得税资产的金额。</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本集团在正常的经营活动中，有部分交易其最终的税务处理和计算存在一定的不确定性。部分项目是否能够在税前列支需要 税收主管机关的审批。如果这些税务事项的最终认定结果同最初估计的金额存在差异，则该差异将对其最终认定期间的当期 所得税和递延所得税产生影响。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预计负债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本集团根据合约条款、现有知识及历史经验，对产品质量保证、预计合同亏损、延迟交货违约金等估计并计提相应准备。在 </w:t>
      </w:r>
      <w:r>
        <w:rPr>
          <w:color w:val="000000"/>
          <w:spacing w:val="0"/>
          <w:w w:val="100"/>
          <w:position w:val="0"/>
        </w:rPr>
        <w:t>该等或有事项已经形成一项现时义务，且履行该等现时义务很可能导致经济利益流出本集团的情况下，本集团对或有事项按 履行相关现时义务所需支出的最佳估计数确认为预计负债。预计负债的确认和计量在很大程度上依赖于管理层的判断。在进 行判断过程中本集团需评估该等或有事项相关的风险、不确定性及货币时间价值等因素。</w:t>
      </w:r>
    </w:p>
    <w:p>
      <w:pPr>
        <w:pStyle w:val="Style24"/>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其中，本集团会就出售、维修及改造所售商品向客户提供的售后质量维修承诺预计负债。预计负债时已考虑本公司近期的维 修经验数据，但近期的维修经验可能无法反映将来的维修情况。这项准备的任何增加或减少，均可能影响未来年度的损益</w:t>
      </w:r>
    </w:p>
    <w:p>
      <w:pPr>
        <w:pStyle w:val="Style28"/>
        <w:keepNext/>
        <w:keepLines/>
        <w:widowControl w:val="0"/>
        <w:shd w:val="clear" w:color="auto" w:fill="auto"/>
        <w:bidi w:val="0"/>
        <w:spacing w:before="0" w:after="38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4</w:t>
      </w:r>
      <w:bookmarkEnd w:id="995"/>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993"/>
      <w:bookmarkEnd w:id="994"/>
      <w:bookmarkEnd w:id="996"/>
    </w:p>
    <w:p>
      <w:pPr>
        <w:pStyle w:val="Style36"/>
        <w:keepNext/>
        <w:keepLines/>
        <w:widowControl w:val="0"/>
        <w:shd w:val="clear" w:color="auto" w:fill="auto"/>
        <w:bidi w:val="0"/>
        <w:spacing w:before="0" w:line="240" w:lineRule="auto"/>
        <w:ind w:left="0" w:right="0" w:firstLine="0"/>
        <w:jc w:val="both"/>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0"/>
      <w:bookmarkEnd w:id="997"/>
      <w:bookmarkEnd w:id="998"/>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年颁布了《企业会计准则 第</w:t>
            </w:r>
            <w:r>
              <w:rPr>
                <w:color w:val="000000"/>
                <w:spacing w:val="0"/>
                <w:w w:val="100"/>
                <w:position w:val="0"/>
                <w:sz w:val="18"/>
                <w:szCs w:val="18"/>
              </w:rPr>
              <w:t>14</w:t>
            </w:r>
            <w:r>
              <w:rPr>
                <w:rFonts w:ascii="SimSun" w:eastAsia="SimSun" w:hAnsi="SimSun" w:cs="SimSun"/>
                <w:color w:val="000000"/>
                <w:spacing w:val="0"/>
                <w:w w:val="100"/>
                <w:position w:val="0"/>
                <w:sz w:val="17"/>
                <w:szCs w:val="17"/>
              </w:rPr>
              <w:t>号——收入（修订）》（以下简称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 收入准则</w:t>
            </w:r>
            <w:r>
              <w:rPr>
                <w:color w:val="000000"/>
                <w:spacing w:val="0"/>
                <w:w w:val="100"/>
                <w:position w:val="0"/>
                <w:sz w:val="18"/>
                <w:szCs w:val="18"/>
              </w:rPr>
              <w:t>”</w:t>
            </w:r>
            <w:r>
              <w:rPr>
                <w:rFonts w:ascii="SimSun" w:eastAsia="SimSun" w:hAnsi="SimSun" w:cs="SimSun"/>
                <w:color w:val="000000"/>
                <w:spacing w:val="0"/>
                <w:w w:val="100"/>
                <w:position w:val="0"/>
                <w:sz w:val="17"/>
                <w:szCs w:val="17"/>
              </w:rPr>
              <w:t>）对会计政策相关内容进行了 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根据首次执行新收入准则的累积影响 数，调整</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年年初留存收益及财务报 表其他相关项目金额，未对比较财务报 表数据进行调整。</w:t>
            </w:r>
          </w:p>
        </w:tc>
      </w:tr>
    </w:tbl>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财政部于</w:t>
      </w:r>
      <w:r>
        <w:rPr>
          <w:rFonts w:ascii="Tahoma" w:eastAsia="Tahoma" w:hAnsi="Tahoma" w:cs="Tahoma"/>
          <w:color w:val="000000"/>
          <w:spacing w:val="0"/>
          <w:w w:val="100"/>
          <w:position w:val="0"/>
          <w:sz w:val="16"/>
          <w:szCs w:val="16"/>
        </w:rPr>
        <w:t>2017</w:t>
      </w:r>
      <w:r>
        <w:rPr>
          <w:color w:val="000000"/>
          <w:spacing w:val="0"/>
          <w:w w:val="100"/>
          <w:position w:val="0"/>
        </w:rPr>
        <w:t>年颁布了《企业会计准则第</w:t>
      </w:r>
      <w:r>
        <w:rPr>
          <w:rFonts w:ascii="Tahoma" w:eastAsia="Tahoma" w:hAnsi="Tahoma" w:cs="Tahoma"/>
          <w:color w:val="000000"/>
          <w:spacing w:val="0"/>
          <w:w w:val="100"/>
          <w:position w:val="0"/>
          <w:sz w:val="16"/>
          <w:szCs w:val="16"/>
        </w:rPr>
        <w:t>14</w:t>
      </w:r>
      <w:r>
        <w:rPr>
          <w:color w:val="000000"/>
          <w:spacing w:val="0"/>
          <w:w w:val="100"/>
          <w:position w:val="0"/>
        </w:rPr>
        <w:t>号一一收入（修订）》（以下简称“新收入准则”</w:t>
      </w:r>
      <w:r>
        <w:rPr>
          <w:color w:val="000000"/>
          <w:spacing w:val="0"/>
          <w:w w:val="100"/>
          <w:position w:val="0"/>
          <w:sz w:val="20"/>
          <w:szCs w:val="20"/>
        </w:rPr>
        <w:t>），</w:t>
      </w:r>
      <w:r>
        <w:rPr>
          <w:color w:val="000000"/>
          <w:spacing w:val="0"/>
          <w:w w:val="100"/>
          <w:position w:val="0"/>
        </w:rPr>
        <w:t>本集团自</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w:t>
      </w:r>
      <w:r>
        <w:rPr>
          <w:color w:val="000000"/>
          <w:spacing w:val="0"/>
          <w:w w:val="100"/>
          <w:position w:val="0"/>
        </w:rPr>
        <w:t>月</w:t>
      </w:r>
      <w:r>
        <w:rPr>
          <w:rFonts w:ascii="Tahoma" w:eastAsia="Tahoma" w:hAnsi="Tahoma" w:cs="Tahoma"/>
          <w:color w:val="000000"/>
          <w:spacing w:val="0"/>
          <w:w w:val="100"/>
          <w:position w:val="0"/>
          <w:sz w:val="16"/>
          <w:szCs w:val="16"/>
        </w:rPr>
        <w:t>1</w:t>
      </w:r>
      <w:r>
        <w:rPr>
          <w:color w:val="000000"/>
          <w:spacing w:val="0"/>
          <w:w w:val="100"/>
          <w:position w:val="0"/>
        </w:rPr>
        <w:t>日起 执行该准则，对会计政策相关内容进行了调整。</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本集团在履行了合同中的履约义务，即在客户取得相关商品或服务的控制权时，确认收入。在满足一定条件时，本集团属于 在某一时段内履行履约义务，否则，属于在某一时点履行履约义务。合同中包含两项或多项履约义务的，本集团在合同开始 日，按照各单项履约义务所承诺商品或服务的单独售价的相对比例，将交易价格分摊至各单项履约义务，按照分摊至各单项 履约义务的交易价格计量收入。</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本集团依据新收入准则有关特定事项或交易的具体规定调整了相关会计政策。例如：质量保证、预收款项等。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本集团已向客户转让商品而有权收取对价的权利，且该权利取决于时间流逝之外的其他因素作为合同资产列示。本集团已收 或应收客户对价而应向客户转让商品的义务作为合同负债列示。</w:t>
      </w:r>
    </w:p>
    <w:p>
      <w:pPr>
        <w:pStyle w:val="Style24"/>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本集团根据首次执行新收入准则的累积影响数，调整本集团</w:t>
      </w:r>
      <w:r>
        <w:rPr>
          <w:rFonts w:ascii="Tahoma" w:eastAsia="Tahoma" w:hAnsi="Tahoma" w:cs="Tahoma"/>
          <w:color w:val="000000"/>
          <w:spacing w:val="0"/>
          <w:w w:val="100"/>
          <w:position w:val="0"/>
          <w:sz w:val="16"/>
          <w:szCs w:val="16"/>
        </w:rPr>
        <w:t>2020</w:t>
      </w:r>
      <w:r>
        <w:rPr>
          <w:color w:val="000000"/>
          <w:spacing w:val="0"/>
          <w:w w:val="100"/>
          <w:position w:val="0"/>
        </w:rPr>
        <w:t>年年初留存收益及财务报表其他相关项目金额，未对比较财 务报表数据进行调整。本集团仅对在</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w:t>
      </w:r>
      <w:r>
        <w:rPr>
          <w:color w:val="000000"/>
          <w:spacing w:val="0"/>
          <w:w w:val="100"/>
          <w:position w:val="0"/>
        </w:rPr>
        <w:t>月</w:t>
      </w:r>
      <w:r>
        <w:rPr>
          <w:rFonts w:ascii="Tahoma" w:eastAsia="Tahoma" w:hAnsi="Tahoma" w:cs="Tahoma"/>
          <w:color w:val="000000"/>
          <w:spacing w:val="0"/>
          <w:w w:val="100"/>
          <w:position w:val="0"/>
          <w:sz w:val="16"/>
          <w:szCs w:val="16"/>
        </w:rPr>
        <w:t>1</w:t>
      </w:r>
      <w:r>
        <w:rPr>
          <w:color w:val="000000"/>
          <w:spacing w:val="0"/>
          <w:w w:val="100"/>
          <w:position w:val="0"/>
        </w:rPr>
        <w:t>日尚未完成的合同的累积影响数调整本集团</w:t>
      </w:r>
      <w:r>
        <w:rPr>
          <w:rFonts w:ascii="Tahoma" w:eastAsia="Tahoma" w:hAnsi="Tahoma" w:cs="Tahoma"/>
          <w:color w:val="000000"/>
          <w:spacing w:val="0"/>
          <w:w w:val="100"/>
          <w:position w:val="0"/>
          <w:sz w:val="16"/>
          <w:szCs w:val="16"/>
        </w:rPr>
        <w:t>2020</w:t>
      </w:r>
      <w:r>
        <w:rPr>
          <w:color w:val="000000"/>
          <w:spacing w:val="0"/>
          <w:w w:val="100"/>
          <w:position w:val="0"/>
        </w:rPr>
        <w:t>年年初留存收益及财务报表 其他相关项目金额。</w:t>
      </w:r>
    </w:p>
    <w:tbl>
      <w:tblPr>
        <w:tblOverlap w:val="never"/>
        <w:jc w:val="center"/>
        <w:tblLayout w:type="fixed"/>
      </w:tblPr>
      <w:tblGrid>
        <w:gridCol w:w="4546"/>
        <w:gridCol w:w="2227"/>
        <w:gridCol w:w="2314"/>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受影响的报表项目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影响金额（元）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（2020年1月1日）</w:t>
            </w:r>
          </w:p>
        </w:tc>
      </w:tr>
      <w:tr>
        <w:trPr>
          <w:trHeight w:val="34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因执行新收入准则，本集团将与销售商品及提供劳务相关、 不满足无条件收款权的收取对价的权利计入合同资产；将 与基建建设、部分制造与安装业务及提供劳务相关、不满 足无条件收款权的已完工未结算、长期应收款计入合同资 产和其他非流动资产；将与基建建设、部分制造与安装业 务相关的已结算未完工、销售商品及与提供劳务相关的预 收款项重分类至合同负债。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合同资产</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原值</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3,073,642.70</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-3,473,216.25</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399,573.55</w:t>
            </w:r>
          </w:p>
        </w:tc>
      </w:tr>
      <w:tr>
        <w:trPr>
          <w:trHeight w:val="3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与原收入准则相比，执行新收入准则对</w:t>
      </w:r>
      <w:r>
        <w:rPr>
          <w:rFonts w:ascii="Tahoma" w:eastAsia="Tahoma" w:hAnsi="Tahoma" w:cs="Tahoma"/>
          <w:color w:val="000000"/>
          <w:spacing w:val="0"/>
          <w:w w:val="100"/>
          <w:position w:val="0"/>
          <w:sz w:val="16"/>
          <w:szCs w:val="16"/>
        </w:rPr>
        <w:t>2020</w:t>
      </w:r>
      <w:r>
        <w:rPr>
          <w:color w:val="000000"/>
          <w:spacing w:val="0"/>
          <w:w w:val="100"/>
          <w:position w:val="0"/>
        </w:rPr>
        <w:t>年度财务报表相关项目的影响如下:</w:t>
      </w:r>
    </w:p>
    <w:p>
      <w:pPr>
        <w:widowControl w:val="0"/>
        <w:spacing w:line="1" w:lineRule="exact"/>
      </w:pPr>
      <w:r>
        <w:br w:type="page"/>
      </w:r>
    </w:p>
    <w:tbl>
      <w:tblPr>
        <w:tblOverlap w:val="never"/>
        <w:jc w:val="center"/>
        <w:tblLayout w:type="fixed"/>
      </w:tblPr>
      <w:tblGrid>
        <w:gridCol w:w="4459"/>
        <w:gridCol w:w="4627"/>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受影响的资产负债表项目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影响金额（元）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2020年 12 月 310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合同资产</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原值</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6,343,496.90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-7,168,151.50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824,654.60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受影响的利润表项目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影响金额（元）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2020年年度</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9,711,161.61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-9,711,161.61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其中：归属于母公司股东权益</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01"/>
      <w:bookmarkEnd w:id="1002"/>
      <w:bookmarkEnd w:id="100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05"/>
      <w:bookmarkEnd w:id="1006"/>
      <w:bookmarkEnd w:id="100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120,155,171.52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120,155,171.52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110,262,498.63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110,262,498.63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6,685,218.00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6,685,218.00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122,217,512.98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122,217,512.98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2,555,661.33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2,555,661.33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2,981,037.99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2,981,037.99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44,827,334.31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44,827,334.31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111,019,857.84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111,019,857.84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520,704,292.60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520,704,292.60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10,894,340.97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10,894,340.97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236,397,336.85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236,397,336.85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10,636,880.90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10,636,880.90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766,718.00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3,467,898.13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3,467,898.13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262,787,584.85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262,787,584.85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783,491,877.45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783,491,877.45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81,263,309.89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81,263,309.89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3,473,216.25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-3,473,216.25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3,073,642.70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3,073,642.70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10,170,201.74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10,170,201.74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1,697,526.59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1,697,526.59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10,791,140.40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10,791,140.40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107,395,394.87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107,395,394.87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115,422,405.77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115,422,405.77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253,736,848.00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253,736,848.00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180,570,447.15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180,570,447.15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10,432,806.38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10,432,806.38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41,177,905.43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41,177,905.43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204,672,798.06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204,672,798.06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669,725,192.26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669,725,192.26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-1,655,720.58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-1,655,720.58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668,069,471.68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668,069,471.68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783,491,877.45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783,491,877.45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120,118,168.37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120,118,168.37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110,262,498.63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110,262,498.63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6,685,218.00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6,685,218.00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102,675,994.89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102,675,994.89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2,533,123.89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2,533,123.89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19,884,409.26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19,884,409.26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44,827,334.31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44,827,334.31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110,889,264.96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110,889,264.96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517,876,012.31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517,876,012.31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10,833,314.42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10,833,314.42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236,397,336.85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236,397,336.85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10,636,880.90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10,636,880.90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684,468.00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3,467,898.13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3,467,898.13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264,644,308.30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264,644,308.30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782,520,320.61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782,520,320.61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77,795,077.07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77,795,077.07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3,473,216.25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-3,473,216.25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3,073,642.70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3,073,642.70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9,831,183.42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9,831,183.42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1,154,199.29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1,154,199.29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10,791,140.40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10,791,140.40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103,044,816.43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103,044,816.43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8,027,010.90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8,027,010.90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111,071,827.33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111,071,827.33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253,736,848.00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253,736,848.00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180,570,447.15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180,570,447.15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10,432,806.38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10,432,806.38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41,177,905.43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41,177,905.43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206,396,099.08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206,396,099.08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671,448,493.28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671,448,493.28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782,520,320.61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782,520,320.61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36"/>
        <w:keepNext/>
        <w:keepLines/>
        <w:widowControl w:val="0"/>
        <w:numPr>
          <w:ilvl w:val="0"/>
          <w:numId w:val="45"/>
        </w:numPr>
        <w:shd w:val="clear" w:color="auto" w:fill="auto"/>
        <w:tabs>
          <w:tab w:pos="493" w:val="left"/>
        </w:tabs>
        <w:bidi w:val="0"/>
        <w:spacing w:before="0" w:after="280" w:line="240" w:lineRule="auto"/>
        <w:ind w:left="0" w:right="0" w:firstLine="0"/>
        <w:jc w:val="both"/>
      </w:pPr>
      <w:bookmarkStart w:id="1009" w:name="bookmark1009"/>
      <w:bookmarkStart w:id="1010" w:name="bookmark1010"/>
      <w:bookmarkStart w:id="1011" w:name="bookmark1011"/>
      <w:bookmarkStart w:id="1012" w:name="bookmark1012"/>
      <w:bookmarkEnd w:id="101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09"/>
      <w:bookmarkEnd w:id="1010"/>
      <w:bookmarkEnd w:id="1012"/>
    </w:p>
    <w:p>
      <w:pPr>
        <w:pStyle w:val="Style24"/>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both"/>
      </w:pPr>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13"/>
      <w:bookmarkEnd w:id="1014"/>
      <w:bookmarkEnd w:id="1015"/>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重大会计判断和估计</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本集团根据历史经验和其它因素，包括对未来事项的合理预期，对所采用的重要会计估计和关键假设进行持续的评价。很可 能导致下一会计年度资产和负债的账面价值出现重</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大调整风险的重要会计估计和关键假设列示如下：</w:t>
      </w:r>
    </w:p>
    <w:p>
      <w:pPr>
        <w:pStyle w:val="Style24"/>
        <w:keepNext w:val="0"/>
        <w:keepLines w:val="0"/>
        <w:widowControl w:val="0"/>
        <w:numPr>
          <w:ilvl w:val="0"/>
          <w:numId w:val="55"/>
        </w:numPr>
        <w:shd w:val="clear" w:color="auto" w:fill="auto"/>
        <w:tabs>
          <w:tab w:pos="531" w:val="left"/>
        </w:tabs>
        <w:bidi w:val="0"/>
        <w:spacing w:before="0" w:after="0" w:line="314" w:lineRule="exact"/>
        <w:ind w:left="0" w:right="0" w:firstLine="0"/>
        <w:jc w:val="both"/>
      </w:pPr>
      <w:bookmarkStart w:id="1016" w:name="bookmark1016"/>
      <w:bookmarkEnd w:id="1016"/>
      <w:r>
        <w:rPr>
          <w:color w:val="000000"/>
          <w:spacing w:val="0"/>
          <w:w w:val="100"/>
          <w:position w:val="0"/>
        </w:rPr>
        <w:t>金融资产的分类</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本集团在确定金融资产的分类时涉及的重大判断包括业务模式及合同现金流量特征的分析等。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本集团在金融资产组合的层次上确定管理金融资产的业务模式，考虑的因素包括评价和向关键管理人员报告金融资产业绩的 方式、影响金融资产业绩的风险及其管理方式、以</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及相关业务管理人员获得报酬的方式等。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本集团在评估金融资产的合同现金流量是否与基本借贷安排相一致时，存在以下主要判断：本金是否可能因提前还款等原因 导致在存续期内的时间分布或者金额发生变动；利</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息是否仅包括货币时间价值、信用风险、其他基本借贷风险以及与成本和利润的对价。例如，提前偿付的金额是否仅反映了 尚未支付的本金及以未偿付本金为基础的利息，以</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及因提前终止合同而支付的合理补偿。</w:t>
      </w:r>
    </w:p>
    <w:p>
      <w:pPr>
        <w:pStyle w:val="Style24"/>
        <w:keepNext w:val="0"/>
        <w:keepLines w:val="0"/>
        <w:widowControl w:val="0"/>
        <w:numPr>
          <w:ilvl w:val="0"/>
          <w:numId w:val="55"/>
        </w:numPr>
        <w:shd w:val="clear" w:color="auto" w:fill="auto"/>
        <w:tabs>
          <w:tab w:pos="531" w:val="left"/>
        </w:tabs>
        <w:bidi w:val="0"/>
        <w:spacing w:before="0" w:after="0" w:line="317" w:lineRule="exact"/>
        <w:ind w:left="0" w:right="0" w:firstLine="0"/>
        <w:jc w:val="both"/>
      </w:pPr>
      <w:bookmarkStart w:id="1017" w:name="bookmark1017"/>
      <w:bookmarkEnd w:id="1017"/>
      <w:r>
        <w:rPr>
          <w:color w:val="000000"/>
          <w:spacing w:val="0"/>
          <w:w w:val="100"/>
          <w:position w:val="0"/>
        </w:rPr>
        <w:t>应收款项预期信用损失的计量</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本集团通过应收款项违约风险敞口和预期信用损失率计算应收账款预期信用损失,并基于违约概率和违约损失率确定预期信 用损失率。在确定预期信用损失率时，本集团使用</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内部历史信用损失经验等数据，并结合当前状况和前瞻性信息对历史数据进行调整。在考虑前瞻性信息时，本集团使用的指 </w:t>
      </w:r>
      <w:r>
        <w:rPr>
          <w:color w:val="000000"/>
          <w:spacing w:val="0"/>
          <w:w w:val="100"/>
          <w:position w:val="0"/>
        </w:rPr>
        <w:t>标包括经济下滑的风险、外部市场环境、技术环境</w:t>
      </w:r>
    </w:p>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和客户情况的变化等。本集团定期监控并复核与预期信用损失计算相关的假设。</w:t>
      </w:r>
    </w:p>
    <w:p>
      <w:pPr>
        <w:pStyle w:val="Style24"/>
        <w:keepNext w:val="0"/>
        <w:keepLines w:val="0"/>
        <w:widowControl w:val="0"/>
        <w:numPr>
          <w:ilvl w:val="0"/>
          <w:numId w:val="55"/>
        </w:numPr>
        <w:shd w:val="clear" w:color="auto" w:fill="auto"/>
        <w:tabs>
          <w:tab w:pos="531" w:val="left"/>
        </w:tabs>
        <w:bidi w:val="0"/>
        <w:spacing w:before="0" w:after="0" w:line="389" w:lineRule="auto"/>
        <w:ind w:left="0" w:right="0" w:firstLine="0"/>
        <w:jc w:val="left"/>
      </w:pPr>
      <w:bookmarkStart w:id="1018" w:name="bookmark1018"/>
      <w:bookmarkEnd w:id="1018"/>
      <w:r>
        <w:rPr>
          <w:color w:val="000000"/>
          <w:spacing w:val="0"/>
          <w:w w:val="100"/>
          <w:position w:val="0"/>
        </w:rPr>
        <w:t>存货跌价准备</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本集团根据存货会计政策，按照成本与可变现净值孰低计量，对成本高于可变现净值及陈旧和滞销的存货，计提存货跌价准 备。存货减值至可变现净值是基于评估存货的可售</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性及其可变现净值。鉴定存货减值要求管理层在取得确凿证据，并且考虑持有存货的目的、资产负债表日后事项的影响等因 素的基础上作出判断和估计。实际的结果与原先估</w:t>
      </w:r>
    </w:p>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计的差异将在估计被改变的期间影响存货的账面价值及存货跌价准备的计提或转回。</w:t>
      </w:r>
    </w:p>
    <w:p>
      <w:pPr>
        <w:pStyle w:val="Style24"/>
        <w:keepNext w:val="0"/>
        <w:keepLines w:val="0"/>
        <w:widowControl w:val="0"/>
        <w:numPr>
          <w:ilvl w:val="0"/>
          <w:numId w:val="55"/>
        </w:numPr>
        <w:shd w:val="clear" w:color="auto" w:fill="auto"/>
        <w:tabs>
          <w:tab w:pos="531" w:val="left"/>
        </w:tabs>
        <w:bidi w:val="0"/>
        <w:spacing w:before="0" w:after="0" w:line="389" w:lineRule="auto"/>
        <w:ind w:left="0" w:right="0" w:firstLine="0"/>
        <w:jc w:val="left"/>
      </w:pPr>
      <w:bookmarkStart w:id="1019" w:name="bookmark1019"/>
      <w:bookmarkEnd w:id="1019"/>
      <w:r>
        <w:rPr>
          <w:color w:val="000000"/>
          <w:spacing w:val="0"/>
          <w:w w:val="100"/>
          <w:position w:val="0"/>
        </w:rPr>
        <w:t>折旧和摊销</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本集团对固定资产和无形资产在考虑其残值后，在使用寿命内按直线法计提折旧和摊销。本集团定期复核使用寿命，以决定 将计入每个报告期的折旧和摊销费用数额。使用</w:t>
      </w:r>
    </w:p>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寿命是本集团根据对同类资产的以往经验并结合预期的技术更新而确定的。如果以前的估计发生重大变化，则会在未来期间 对折旧和摊销费用进行调整。</w:t>
      </w:r>
    </w:p>
    <w:p>
      <w:pPr>
        <w:pStyle w:val="Style24"/>
        <w:keepNext w:val="0"/>
        <w:keepLines w:val="0"/>
        <w:widowControl w:val="0"/>
        <w:numPr>
          <w:ilvl w:val="0"/>
          <w:numId w:val="55"/>
        </w:numPr>
        <w:shd w:val="clear" w:color="auto" w:fill="auto"/>
        <w:tabs>
          <w:tab w:pos="531" w:val="left"/>
        </w:tabs>
        <w:bidi w:val="0"/>
        <w:spacing w:before="0" w:after="0" w:line="382" w:lineRule="auto"/>
        <w:ind w:left="0" w:right="0" w:firstLine="0"/>
        <w:jc w:val="left"/>
      </w:pPr>
      <w:bookmarkStart w:id="1020" w:name="bookmark1020"/>
      <w:bookmarkEnd w:id="1020"/>
      <w:r>
        <w:rPr>
          <w:color w:val="000000"/>
          <w:spacing w:val="0"/>
          <w:w w:val="100"/>
          <w:position w:val="0"/>
        </w:rPr>
        <w:t>递延所得税资产</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在很有可能有足够的应纳税利润来抵扣亏损的限度内，应就所有未利用的税务亏损确认递延所得税资产。这需要管理层运用 大量的判断来估计未来应纳税利润发生的时间和金</w:t>
      </w:r>
    </w:p>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额，结合纳税筹划策略，以决定应确认的递延所得税资产的金额。</w:t>
      </w:r>
    </w:p>
    <w:p>
      <w:pPr>
        <w:pStyle w:val="Style24"/>
        <w:keepNext w:val="0"/>
        <w:keepLines w:val="0"/>
        <w:widowControl w:val="0"/>
        <w:numPr>
          <w:ilvl w:val="0"/>
          <w:numId w:val="55"/>
        </w:numPr>
        <w:shd w:val="clear" w:color="auto" w:fill="auto"/>
        <w:tabs>
          <w:tab w:pos="531" w:val="left"/>
        </w:tabs>
        <w:bidi w:val="0"/>
        <w:spacing w:before="0" w:after="0" w:line="382" w:lineRule="auto"/>
        <w:ind w:left="0" w:right="0" w:firstLine="0"/>
        <w:jc w:val="left"/>
      </w:pPr>
      <w:bookmarkStart w:id="1021" w:name="bookmark1021"/>
      <w:bookmarkEnd w:id="1021"/>
      <w:r>
        <w:rPr>
          <w:color w:val="000000"/>
          <w:spacing w:val="0"/>
          <w:w w:val="100"/>
          <w:position w:val="0"/>
        </w:rPr>
        <w:t>所得税</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本集团在正常的经营活动中，有部分交易其最终的税务处理和计算存在一定的不确定性。部分项目是否能够在税前列支需要 税收主管机关的审批。如果这些税务事项的最终</w:t>
      </w:r>
    </w:p>
    <w:p>
      <w:pPr>
        <w:pStyle w:val="Style2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认定结果同最初估计的金额存在差异，则该差异将对其最终认定期间的当期所得税和递延所得税产生影响。</w:t>
      </w:r>
    </w:p>
    <w:p>
      <w:pPr>
        <w:pStyle w:val="Style24"/>
        <w:keepNext w:val="0"/>
        <w:keepLines w:val="0"/>
        <w:widowControl w:val="0"/>
        <w:numPr>
          <w:ilvl w:val="0"/>
          <w:numId w:val="55"/>
        </w:numPr>
        <w:shd w:val="clear" w:color="auto" w:fill="auto"/>
        <w:tabs>
          <w:tab w:pos="531" w:val="left"/>
        </w:tabs>
        <w:bidi w:val="0"/>
        <w:spacing w:before="0" w:after="0" w:line="389" w:lineRule="auto"/>
        <w:ind w:left="0" w:right="0" w:firstLine="0"/>
        <w:jc w:val="left"/>
      </w:pPr>
      <w:bookmarkStart w:id="1022" w:name="bookmark1022"/>
      <w:bookmarkEnd w:id="1022"/>
      <w:r>
        <w:rPr>
          <w:color w:val="000000"/>
          <w:spacing w:val="0"/>
          <w:w w:val="100"/>
          <w:position w:val="0"/>
        </w:rPr>
        <w:t>预计负债</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本集团根据合约条款、现有知识及历史经验，对产品质量保证、预计合同亏损、延迟交货违约金等估计并计提相应准备。在 该等或有事项已经形成一项现时义务，且履行该等</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现时义务很可能导致经济利益流出本集团的情况下，本集团对或有事项按履行相关现时义务所需支出的最佳估计数确认为预 计负债。预计负债的确认和计量在很大程度上依赖</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于管理层的判断。在进行判断过程中本集团需评估该等或有事项相关的风险、不确定性及货币时间价值等因素。</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其中，本集团会就出售、维修及改造所售商品向客户提供的售后质量维修承诺预计负债。预计负债时已考虑本公司近期的维 修经验数据，但近期的维修经验可能无法反映将来的维修情况。这项准备的任何增加或减少，均可能影响未来年度的损益</w:t>
      </w:r>
    </w:p>
    <w:p>
      <w:pPr>
        <w:pStyle w:val="Style22"/>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sz w:val="24"/>
          <w:szCs w:val="24"/>
        </w:rPr>
        <w:t>六</w:t>
      </w:r>
      <w:bookmarkEnd w:id="1025"/>
      <w:r>
        <w:rPr>
          <w:color w:val="000000"/>
          <w:spacing w:val="0"/>
          <w:w w:val="100"/>
          <w:position w:val="0"/>
          <w:sz w:val="24"/>
          <w:szCs w:val="24"/>
        </w:rPr>
        <w:t>、税项</w:t>
      </w:r>
      <w:bookmarkEnd w:id="1023"/>
      <w:bookmarkEnd w:id="1024"/>
      <w:bookmarkEnd w:id="1026"/>
    </w:p>
    <w:p>
      <w:pPr>
        <w:pStyle w:val="Style28"/>
        <w:keepNext/>
        <w:keepLines/>
        <w:widowControl w:val="0"/>
        <w:shd w:val="clear" w:color="auto" w:fill="auto"/>
        <w:bidi w:val="0"/>
        <w:spacing w:before="0" w:after="30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color w:val="000000"/>
          <w:spacing w:val="0"/>
          <w:w w:val="100"/>
          <w:position w:val="0"/>
        </w:rPr>
        <w:t>、主要税种及税率</w:t>
      </w:r>
      <w:bookmarkEnd w:id="1027"/>
      <w:bookmarkEnd w:id="1028"/>
      <w:bookmarkEnd w:id="103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贵安新区贵金科技有限公司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pStyle w:val="Style28"/>
        <w:keepNext/>
        <w:keepLines/>
        <w:widowControl w:val="0"/>
        <w:shd w:val="clear" w:color="auto" w:fill="auto"/>
        <w:tabs>
          <w:tab w:pos="378" w:val="left"/>
        </w:tabs>
        <w:bidi w:val="0"/>
        <w:spacing w:before="0" w:after="380" w:line="240" w:lineRule="auto"/>
        <w:ind w:left="0" w:right="0" w:firstLine="0"/>
        <w:jc w:val="both"/>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color w:val="000000"/>
          <w:spacing w:val="0"/>
          <w:w w:val="100"/>
          <w:position w:val="0"/>
        </w:rPr>
        <w:t>、</w:t>
        <w:tab/>
        <w:t>税收优惠</w:t>
      </w:r>
      <w:bookmarkEnd w:id="1031"/>
      <w:bookmarkEnd w:id="1032"/>
      <w:bookmarkEnd w:id="1034"/>
    </w:p>
    <w:p>
      <w:pPr>
        <w:pStyle w:val="Style24"/>
        <w:keepNext w:val="0"/>
        <w:keepLines w:val="0"/>
        <w:widowControl w:val="0"/>
        <w:numPr>
          <w:ilvl w:val="0"/>
          <w:numId w:val="57"/>
        </w:numPr>
        <w:shd w:val="clear" w:color="auto" w:fill="auto"/>
        <w:tabs>
          <w:tab w:pos="445" w:val="left"/>
        </w:tabs>
        <w:bidi w:val="0"/>
        <w:spacing w:before="0" w:after="0" w:line="389" w:lineRule="auto"/>
        <w:ind w:left="0" w:right="0" w:firstLine="0"/>
        <w:jc w:val="both"/>
      </w:pPr>
      <w:bookmarkStart w:id="1035" w:name="bookmark1035"/>
      <w:bookmarkEnd w:id="1035"/>
      <w:r>
        <w:rPr>
          <w:color w:val="000000"/>
          <w:spacing w:val="0"/>
          <w:w w:val="100"/>
          <w:position w:val="0"/>
        </w:rPr>
        <w:t>增值税</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根据国发</w:t>
      </w:r>
      <w:r>
        <w:rPr>
          <w:rFonts w:ascii="Tahoma" w:eastAsia="Tahoma" w:hAnsi="Tahoma" w:cs="Tahoma"/>
          <w:color w:val="000000"/>
          <w:spacing w:val="0"/>
          <w:w w:val="100"/>
          <w:position w:val="0"/>
          <w:sz w:val="16"/>
          <w:szCs w:val="16"/>
        </w:rPr>
        <w:t>[2011]4</w:t>
      </w:r>
      <w:r>
        <w:rPr>
          <w:color w:val="000000"/>
          <w:spacing w:val="0"/>
          <w:w w:val="100"/>
          <w:position w:val="0"/>
        </w:rPr>
        <w:t>号《国务院关于印发进一步鼓励软件产业和集成电路产业发展若干政策的通知》、财税</w:t>
      </w:r>
      <w:r>
        <w:rPr>
          <w:rFonts w:ascii="Tahoma" w:eastAsia="Tahoma" w:hAnsi="Tahoma" w:cs="Tahoma"/>
          <w:color w:val="000000"/>
          <w:spacing w:val="0"/>
          <w:w w:val="100"/>
          <w:position w:val="0"/>
          <w:sz w:val="16"/>
          <w:szCs w:val="16"/>
        </w:rPr>
        <w:t>[2011]100</w:t>
      </w:r>
      <w:r>
        <w:rPr>
          <w:color w:val="000000"/>
          <w:spacing w:val="0"/>
          <w:w w:val="100"/>
          <w:position w:val="0"/>
        </w:rPr>
        <w:t>号《关于 软件产品增值税政策的通知》，本公司销售自行开发生产的软件产品，按适用税率征收增值税后，对实际税负超过</w:t>
      </w:r>
      <w:r>
        <w:rPr>
          <w:rFonts w:ascii="Tahoma" w:eastAsia="Tahoma" w:hAnsi="Tahoma" w:cs="Tahoma"/>
          <w:color w:val="000000"/>
          <w:spacing w:val="0"/>
          <w:w w:val="100"/>
          <w:position w:val="0"/>
          <w:sz w:val="16"/>
          <w:szCs w:val="16"/>
        </w:rPr>
        <w:t>3%</w:t>
      </w:r>
      <w:r>
        <w:rPr>
          <w:color w:val="000000"/>
          <w:spacing w:val="0"/>
          <w:w w:val="100"/>
          <w:position w:val="0"/>
        </w:rPr>
        <w:t>的部分 实行即征即退政策。</w:t>
      </w:r>
    </w:p>
    <w:p>
      <w:pPr>
        <w:pStyle w:val="Style24"/>
        <w:keepNext w:val="0"/>
        <w:keepLines w:val="0"/>
        <w:widowControl w:val="0"/>
        <w:numPr>
          <w:ilvl w:val="0"/>
          <w:numId w:val="57"/>
        </w:numPr>
        <w:shd w:val="clear" w:color="auto" w:fill="auto"/>
        <w:tabs>
          <w:tab w:pos="445" w:val="left"/>
        </w:tabs>
        <w:bidi w:val="0"/>
        <w:spacing w:before="0" w:after="0" w:line="313" w:lineRule="exact"/>
        <w:ind w:left="0" w:right="0" w:firstLine="0"/>
        <w:jc w:val="both"/>
      </w:pPr>
      <w:bookmarkStart w:id="1036" w:name="bookmark1036"/>
      <w:bookmarkEnd w:id="1036"/>
      <w:r>
        <w:rPr>
          <w:color w:val="000000"/>
          <w:spacing w:val="0"/>
          <w:w w:val="100"/>
          <w:position w:val="0"/>
        </w:rPr>
        <w:t>所得税</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本公司于</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月通过高新技术企业复审，根据《中华人民共和国企业所得税法》第二十八条规定，“国家需要重点扶持 的高新技术企业，减按</w:t>
      </w:r>
      <w:r>
        <w:rPr>
          <w:rFonts w:ascii="Tahoma" w:eastAsia="Tahoma" w:hAnsi="Tahoma" w:cs="Tahoma"/>
          <w:color w:val="000000"/>
          <w:spacing w:val="0"/>
          <w:w w:val="100"/>
          <w:position w:val="0"/>
          <w:sz w:val="16"/>
          <w:szCs w:val="16"/>
        </w:rPr>
        <w:t>15%</w:t>
      </w:r>
      <w:r>
        <w:rPr>
          <w:color w:val="000000"/>
          <w:spacing w:val="0"/>
          <w:w w:val="100"/>
          <w:position w:val="0"/>
        </w:rPr>
        <w:t>的税率征收企业所得税”，本公司自</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w:t>
      </w:r>
      <w:r>
        <w:rPr>
          <w:color w:val="000000"/>
          <w:spacing w:val="0"/>
          <w:w w:val="100"/>
          <w:position w:val="0"/>
        </w:rPr>
        <w:t>月</w:t>
      </w:r>
      <w:r>
        <w:rPr>
          <w:rFonts w:ascii="Tahoma" w:eastAsia="Tahoma" w:hAnsi="Tahoma" w:cs="Tahoma"/>
          <w:color w:val="000000"/>
          <w:spacing w:val="0"/>
          <w:w w:val="100"/>
          <w:position w:val="0"/>
          <w:sz w:val="16"/>
          <w:szCs w:val="16"/>
        </w:rPr>
        <w:t>1</w:t>
      </w:r>
      <w:r>
        <w:rPr>
          <w:color w:val="000000"/>
          <w:spacing w:val="0"/>
          <w:w w:val="100"/>
          <w:position w:val="0"/>
        </w:rPr>
        <w:t>日开始连续三年享受国家关于高新技术企业的相 关优惠政策，按</w:t>
      </w:r>
      <w:r>
        <w:rPr>
          <w:rFonts w:ascii="Tahoma" w:eastAsia="Tahoma" w:hAnsi="Tahoma" w:cs="Tahoma"/>
          <w:color w:val="000000"/>
          <w:spacing w:val="0"/>
          <w:w w:val="100"/>
          <w:position w:val="0"/>
          <w:sz w:val="16"/>
          <w:szCs w:val="16"/>
        </w:rPr>
        <w:t>15%</w:t>
      </w:r>
      <w:r>
        <w:rPr>
          <w:color w:val="000000"/>
          <w:spacing w:val="0"/>
          <w:w w:val="100"/>
          <w:position w:val="0"/>
        </w:rPr>
        <w:t>的税率征收企业所得税。</w:t>
      </w:r>
    </w:p>
    <w:p>
      <w:pPr>
        <w:pStyle w:val="Style24"/>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keepLines/>
        <w:widowControl w:val="0"/>
        <w:shd w:val="clear" w:color="auto" w:fill="auto"/>
        <w:tabs>
          <w:tab w:pos="378" w:val="left"/>
        </w:tabs>
        <w:bidi w:val="0"/>
        <w:spacing w:before="0" w:after="380" w:line="240" w:lineRule="auto"/>
        <w:ind w:left="0" w:right="0" w:firstLine="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color w:val="000000"/>
          <w:spacing w:val="0"/>
          <w:w w:val="100"/>
          <w:position w:val="0"/>
        </w:rPr>
        <w:t>、</w:t>
        <w:tab/>
        <w:t>其他</w:t>
      </w:r>
      <w:bookmarkEnd w:id="1037"/>
      <w:bookmarkEnd w:id="1038"/>
      <w:bookmarkEnd w:id="1040"/>
    </w:p>
    <w:p>
      <w:pPr>
        <w:pStyle w:val="Style22"/>
        <w:keepNext/>
        <w:keepLines/>
        <w:widowControl w:val="0"/>
        <w:shd w:val="clear" w:color="auto" w:fill="auto"/>
        <w:bidi w:val="0"/>
        <w:spacing w:before="0" w:after="380" w:line="240" w:lineRule="auto"/>
        <w:ind w:left="0" w:right="0" w:firstLine="0"/>
        <w:jc w:val="both"/>
      </w:pPr>
      <w:bookmarkStart w:id="1041" w:name="bookmark1041"/>
      <w:bookmarkStart w:id="1042" w:name="bookmark1042"/>
      <w:bookmarkStart w:id="1043" w:name="bookmark1043"/>
      <w:bookmarkStart w:id="1044" w:name="bookmark1044"/>
      <w:r>
        <w:rPr>
          <w:color w:val="000000"/>
          <w:spacing w:val="0"/>
          <w:w w:val="100"/>
          <w:position w:val="0"/>
          <w:sz w:val="24"/>
          <w:szCs w:val="24"/>
        </w:rPr>
        <w:t>七</w:t>
      </w:r>
      <w:bookmarkEnd w:id="1043"/>
      <w:r>
        <w:rPr>
          <w:color w:val="000000"/>
          <w:spacing w:val="0"/>
          <w:w w:val="100"/>
          <w:position w:val="0"/>
          <w:sz w:val="24"/>
          <w:szCs w:val="24"/>
        </w:rPr>
        <w:t>、合并财务报表项目注释</w:t>
      </w:r>
      <w:bookmarkEnd w:id="1041"/>
      <w:bookmarkEnd w:id="1042"/>
      <w:bookmarkEnd w:id="1044"/>
    </w:p>
    <w:p>
      <w:pPr>
        <w:pStyle w:val="Style28"/>
        <w:keepNext/>
        <w:keepLines/>
        <w:widowControl w:val="0"/>
        <w:shd w:val="clear" w:color="auto" w:fill="auto"/>
        <w:bidi w:val="0"/>
        <w:spacing w:before="0" w:after="38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bookmarkEnd w:id="1047"/>
      <w:r>
        <w:rPr>
          <w:color w:val="000000"/>
          <w:spacing w:val="0"/>
          <w:w w:val="100"/>
          <w:position w:val="0"/>
        </w:rPr>
        <w:t>、货币资金</w:t>
      </w:r>
      <w:bookmarkEnd w:id="1045"/>
      <w:bookmarkEnd w:id="1046"/>
      <w:bookmarkEnd w:id="104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67,846.03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81,886,924.32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119,441,657.49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911,001.12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645,668.00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82,900,839.71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120,155,171.52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日止，其他货币资金</w:t>
      </w:r>
      <w:r>
        <w:rPr>
          <w:rFonts w:ascii="Times New Roman" w:eastAsia="Times New Roman" w:hAnsi="Times New Roman" w:cs="Times New Roman"/>
          <w:color w:val="000000"/>
          <w:spacing w:val="0"/>
          <w:w w:val="100"/>
          <w:position w:val="0"/>
          <w:sz w:val="18"/>
          <w:szCs w:val="18"/>
        </w:rPr>
        <w:t>911,001.12</w:t>
      </w:r>
      <w:r>
        <w:rPr>
          <w:color w:val="000000"/>
          <w:spacing w:val="0"/>
          <w:w w:val="100"/>
          <w:position w:val="0"/>
        </w:rPr>
        <w:t>元为受限的保证金，已从现金流量表的现金及现金等价物中扣除。</w:t>
      </w:r>
    </w:p>
    <w:p>
      <w:pPr>
        <w:pStyle w:val="Style28"/>
        <w:keepNext/>
        <w:keepLines/>
        <w:widowControl w:val="0"/>
        <w:shd w:val="clear" w:color="auto" w:fill="auto"/>
        <w:bidi w:val="0"/>
        <w:spacing w:before="0" w:after="380" w:line="240" w:lineRule="auto"/>
        <w:ind w:left="0" w:right="0" w:firstLine="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color w:val="000000"/>
          <w:spacing w:val="0"/>
          <w:w w:val="100"/>
          <w:position w:val="0"/>
        </w:rPr>
        <w:t>、交易性金融资产</w:t>
      </w:r>
      <w:bookmarkEnd w:id="1049"/>
      <w:bookmarkEnd w:id="1050"/>
      <w:bookmarkEnd w:id="10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178,245,931.50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110,262,498.63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178,245,931.50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110,262,498.63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178,245,931.50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110,262,498.63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color w:val="000000"/>
          <w:spacing w:val="0"/>
          <w:w w:val="100"/>
          <w:position w:val="0"/>
        </w:rPr>
        <w:t>、衍生金融资产</w:t>
      </w:r>
      <w:bookmarkEnd w:id="1053"/>
      <w:bookmarkEnd w:id="1054"/>
      <w:bookmarkEnd w:id="105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4</w:t>
      </w:r>
      <w:bookmarkEnd w:id="1059"/>
      <w:r>
        <w:rPr>
          <w:color w:val="000000"/>
          <w:spacing w:val="0"/>
          <w:w w:val="100"/>
          <w:position w:val="0"/>
        </w:rPr>
        <w:t>、应收票据</w:t>
      </w:r>
      <w:bookmarkEnd w:id="1057"/>
      <w:bookmarkEnd w:id="1058"/>
      <w:bookmarkEnd w:id="1060"/>
    </w:p>
    <w:p>
      <w:pPr>
        <w:pStyle w:val="Style36"/>
        <w:keepNext/>
        <w:keepLines/>
        <w:widowControl w:val="0"/>
        <w:numPr>
          <w:ilvl w:val="0"/>
          <w:numId w:val="59"/>
        </w:numPr>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应收票据分类列示</w:t>
      </w:r>
      <w:bookmarkEnd w:id="1061"/>
      <w:bookmarkEnd w:id="1062"/>
      <w:bookmarkEnd w:id="106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11,860,933.60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6,685,218.00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11,860,933.60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6,685,218.00</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59"/>
        </w:numPr>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本期计提、收回或转回的坏账准备情况</w:t>
      </w:r>
      <w:bookmarkEnd w:id="1065"/>
      <w:bookmarkEnd w:id="1066"/>
      <w:bookmarkEnd w:id="1068"/>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61"/>
        </w:numPr>
        <w:shd w:val="clear" w:color="auto" w:fill="auto"/>
        <w:bidi w:val="0"/>
        <w:spacing w:before="0" w:line="240" w:lineRule="auto"/>
        <w:ind w:left="0" w:right="0" w:firstLine="0"/>
        <w:jc w:val="both"/>
      </w:pPr>
      <w:bookmarkStart w:id="1069" w:name="bookmark1069"/>
      <w:bookmarkStart w:id="1070" w:name="bookmark1070"/>
      <w:bookmarkStart w:id="1071" w:name="bookmark1071"/>
      <w:bookmarkStart w:id="1072" w:name="bookmark1072"/>
      <w:bookmarkEnd w:id="1071"/>
      <w:r>
        <w:rPr>
          <w:color w:val="000000"/>
          <w:spacing w:val="0"/>
          <w:w w:val="100"/>
          <w:position w:val="0"/>
        </w:rPr>
        <w:t>期末公司已质押的应收票据</w:t>
      </w:r>
      <w:bookmarkEnd w:id="1069"/>
      <w:bookmarkEnd w:id="1070"/>
      <w:bookmarkEnd w:id="107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19" w:line="1" w:lineRule="exact"/>
      </w:pPr>
    </w:p>
    <w:p>
      <w:pPr>
        <w:pStyle w:val="Style36"/>
        <w:keepNext/>
        <w:keepLines/>
        <w:widowControl w:val="0"/>
        <w:numPr>
          <w:ilvl w:val="0"/>
          <w:numId w:val="61"/>
        </w:numPr>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期末公司已背书或贴现且在资产负债表日尚未到期的应收票据</w:t>
      </w:r>
      <w:bookmarkEnd w:id="1073"/>
      <w:bookmarkEnd w:id="1074"/>
      <w:bookmarkEnd w:id="107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bl>
    <w:p>
      <w:pPr>
        <w:widowControl w:val="0"/>
        <w:spacing w:after="319" w:line="1" w:lineRule="exact"/>
      </w:pPr>
    </w:p>
    <w:p>
      <w:pPr>
        <w:pStyle w:val="Style36"/>
        <w:keepNext/>
        <w:keepLines/>
        <w:widowControl w:val="0"/>
        <w:numPr>
          <w:ilvl w:val="0"/>
          <w:numId w:val="61"/>
        </w:numPr>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期末公司因出票人未履约而将其转应收账款的票据</w:t>
      </w:r>
      <w:bookmarkEnd w:id="1077"/>
      <w:bookmarkEnd w:id="1078"/>
      <w:bookmarkEnd w:id="108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numPr>
          <w:ilvl w:val="0"/>
          <w:numId w:val="61"/>
        </w:numPr>
        <w:shd w:val="clear" w:color="auto" w:fill="auto"/>
        <w:bidi w:val="0"/>
        <w:spacing w:before="0" w:line="240" w:lineRule="auto"/>
        <w:ind w:left="0" w:right="0" w:firstLine="0"/>
        <w:jc w:val="both"/>
      </w:pPr>
      <w:bookmarkStart w:id="1081" w:name="bookmark1081"/>
      <w:bookmarkStart w:id="1082" w:name="bookmark1082"/>
      <w:bookmarkStart w:id="1083" w:name="bookmark1083"/>
      <w:bookmarkStart w:id="1084" w:name="bookmark1084"/>
      <w:bookmarkEnd w:id="1083"/>
      <w:r>
        <w:rPr>
          <w:color w:val="000000"/>
          <w:spacing w:val="0"/>
          <w:w w:val="100"/>
          <w:position w:val="0"/>
        </w:rPr>
        <w:t>本期实际核销的应收票据情况</w:t>
      </w:r>
      <w:bookmarkEnd w:id="1081"/>
      <w:bookmarkEnd w:id="1082"/>
      <w:bookmarkEnd w:id="1084"/>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28"/>
        <w:keepNext/>
        <w:keepLines/>
        <w:widowControl w:val="0"/>
        <w:shd w:val="clear" w:color="auto" w:fill="auto"/>
        <w:bidi w:val="0"/>
        <w:spacing w:before="0" w:after="380" w:line="240" w:lineRule="auto"/>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5</w:t>
      </w:r>
      <w:bookmarkEnd w:id="1087"/>
      <w:r>
        <w:rPr>
          <w:color w:val="000000"/>
          <w:spacing w:val="0"/>
          <w:w w:val="100"/>
          <w:position w:val="0"/>
        </w:rPr>
        <w:t>、应收账款</w:t>
      </w:r>
      <w:bookmarkEnd w:id="1085"/>
      <w:bookmarkEnd w:id="1086"/>
      <w:bookmarkEnd w:id="1088"/>
    </w:p>
    <w:p>
      <w:pPr>
        <w:pStyle w:val="Style36"/>
        <w:keepNext/>
        <w:keepLines/>
        <w:widowControl w:val="0"/>
        <w:numPr>
          <w:ilvl w:val="0"/>
          <w:numId w:val="63"/>
        </w:numPr>
        <w:shd w:val="clear" w:color="auto" w:fill="auto"/>
        <w:bidi w:val="0"/>
        <w:spacing w:before="0" w:line="240" w:lineRule="auto"/>
        <w:ind w:left="0" w:right="0" w:firstLine="0"/>
        <w:jc w:val="both"/>
      </w:pPr>
      <w:bookmarkStart w:id="1089" w:name="bookmark1089"/>
      <w:bookmarkStart w:id="1090" w:name="bookmark1090"/>
      <w:bookmarkStart w:id="1091" w:name="bookmark1091"/>
      <w:bookmarkStart w:id="1092" w:name="bookmark1092"/>
      <w:bookmarkEnd w:id="1091"/>
      <w:r>
        <w:rPr>
          <w:color w:val="000000"/>
          <w:spacing w:val="0"/>
          <w:w w:val="100"/>
          <w:position w:val="0"/>
        </w:rPr>
        <w:t>应收账款分类披露</w:t>
      </w:r>
      <w:bookmarkEnd w:id="1089"/>
      <w:bookmarkEnd w:id="1090"/>
      <w:bookmarkEnd w:id="109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19,541,51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22,545,29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3,003,778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19,541,518.</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77,680,9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10,077,6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67,603,26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116,624,7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13,948,78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102,675,99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64,890,0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10,077,6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54,812,30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101,725,2</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13,948,78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87,776,486.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12,790,9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12,790,96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14,899,507.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100,226,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13,081,4</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87,144,78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139,170,0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16,952,55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122,217,51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贵州华城楼宇科技有限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22,545,296.90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3,003,778.81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预计收回现金流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22,545,296.90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3,003,778.81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未逾期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按组合计提坏账准备：应收货款</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46,732,337.00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1,198,766.21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6,667,744.79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1,331,883.97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2,863,914.83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1,344,602.97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6,432,087.10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4,373,050.97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1,011,401.69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782,892.70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1,182,514.75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1,046,494.23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64,890,000.16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10,077,691.05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按组合计提坏账准备：应收质保金</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未逾期质保金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12,790,960.22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12,790,960.22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49,244,285.47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9,365,695.98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26,572,337.16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15,043,938.67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8,781,223.67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3,158,591.94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3,104,123.06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100,226,257.28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59" w:line="1" w:lineRule="exact"/>
      </w:pPr>
    </w:p>
    <w:p>
      <w:pPr>
        <w:pStyle w:val="Style36"/>
        <w:keepNext/>
        <w:keepLines/>
        <w:widowControl w:val="0"/>
        <w:numPr>
          <w:ilvl w:val="0"/>
          <w:numId w:val="63"/>
        </w:numPr>
        <w:shd w:val="clear" w:color="auto" w:fill="auto"/>
        <w:bidi w:val="0"/>
        <w:spacing w:before="0" w:after="400" w:line="240" w:lineRule="auto"/>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本期计提、收回或转回的坏账准备情况</w:t>
      </w:r>
      <w:bookmarkEnd w:id="1093"/>
      <w:bookmarkEnd w:id="1094"/>
      <w:bookmarkEnd w:id="109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5467"/>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16,952,559.72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-1,033,095.73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2,837,994.13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13,081,469.86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16,952,559.72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-1,033,095.73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2,837,994.13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13,081,469.86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36"/>
        <w:keepNext/>
        <w:keepLines/>
        <w:widowControl w:val="0"/>
        <w:numPr>
          <w:ilvl w:val="0"/>
          <w:numId w:val="63"/>
        </w:numPr>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本期实际核销的应收账款情况</w:t>
      </w:r>
      <w:bookmarkEnd w:id="1097"/>
      <w:bookmarkEnd w:id="1098"/>
      <w:bookmarkEnd w:id="1100"/>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2,837,994.13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169,269.00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140,535.00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133,080.00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114,993.00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665,277.00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6"/>
        <w:keepNext/>
        <w:keepLines/>
        <w:widowControl w:val="0"/>
        <w:numPr>
          <w:ilvl w:val="0"/>
          <w:numId w:val="63"/>
        </w:numPr>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按欠款方归集的期末余额前五名的应收账款情况</w:t>
      </w:r>
      <w:bookmarkEnd w:id="1101"/>
      <w:bookmarkEnd w:id="1102"/>
      <w:bookmarkEnd w:id="110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22,545,296.90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3,003,778.81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8,062,704.17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206,822.47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5,585,467.46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130,534.61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5,519,830.25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141,593.31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4,200,087.90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163,785.23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45,913,386.68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keepLines/>
        <w:widowControl w:val="0"/>
        <w:shd w:val="clear" w:color="auto" w:fill="auto"/>
        <w:tabs>
          <w:tab w:pos="493" w:val="left"/>
        </w:tabs>
        <w:bidi w:val="0"/>
        <w:spacing w:before="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05"/>
      <w:bookmarkEnd w:id="1106"/>
      <w:bookmarkEnd w:id="1108"/>
    </w:p>
    <w:p>
      <w:pPr>
        <w:pStyle w:val="Style36"/>
        <w:keepNext/>
        <w:keepLines/>
        <w:widowControl w:val="0"/>
        <w:shd w:val="clear" w:color="auto" w:fill="auto"/>
        <w:tabs>
          <w:tab w:pos="493" w:val="left"/>
        </w:tabs>
        <w:bidi w:val="0"/>
        <w:spacing w:before="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09"/>
      <w:bookmarkEnd w:id="1110"/>
      <w:bookmarkEnd w:id="111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6</w:t>
      </w:r>
      <w:bookmarkEnd w:id="1115"/>
      <w:r>
        <w:rPr>
          <w:color w:val="000000"/>
          <w:spacing w:val="0"/>
          <w:w w:val="100"/>
          <w:position w:val="0"/>
        </w:rPr>
        <w:t>、应收款项融资</w:t>
      </w:r>
      <w:bookmarkEnd w:id="1113"/>
      <w:bookmarkEnd w:id="1114"/>
      <w:bookmarkEnd w:id="111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7</w:t>
      </w:r>
      <w:bookmarkEnd w:id="1119"/>
      <w:r>
        <w:rPr>
          <w:color w:val="000000"/>
          <w:spacing w:val="0"/>
          <w:w w:val="100"/>
          <w:position w:val="0"/>
        </w:rPr>
        <w:t>、预付款项</w:t>
      </w:r>
      <w:bookmarkEnd w:id="1117"/>
      <w:bookmarkEnd w:id="1118"/>
      <w:bookmarkEnd w:id="1120"/>
    </w:p>
    <w:p>
      <w:pPr>
        <w:pStyle w:val="Style36"/>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1"/>
      <w:bookmarkEnd w:id="1122"/>
      <w:bookmarkEnd w:id="1124"/>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1,899,914.81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1,755,977.62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340,556.34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2,233,170.37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2,555,661.33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6"/>
        <w:keepNext/>
        <w:keepLines/>
        <w:widowControl w:val="0"/>
        <w:shd w:val="clear" w:color="auto" w:fill="auto"/>
        <w:bidi w:val="0"/>
        <w:spacing w:before="0" w:after="26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5"/>
      <w:bookmarkEnd w:id="1126"/>
      <w:bookmarkEnd w:id="1128"/>
    </w:p>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sz w:val="18"/>
          <w:szCs w:val="18"/>
        </w:rPr>
        <w:t>1,200,964.11</w:t>
      </w:r>
      <w:r>
        <w:rPr>
          <w:color w:val="000000"/>
          <w:spacing w:val="0"/>
          <w:w w:val="100"/>
          <w:position w:val="0"/>
        </w:rPr>
        <w:t>元，占预付款项期末余额合计数的比例</w:t>
      </w:r>
      <w:r>
        <w:rPr>
          <w:rFonts w:ascii="Times New Roman" w:eastAsia="Times New Roman" w:hAnsi="Times New Roman" w:cs="Times New Roman"/>
          <w:color w:val="000000"/>
          <w:spacing w:val="0"/>
          <w:w w:val="100"/>
          <w:position w:val="0"/>
          <w:sz w:val="18"/>
          <w:szCs w:val="18"/>
        </w:rPr>
        <w:t>53.78%</w:t>
      </w:r>
      <w:r>
        <w:rPr>
          <w:color w:val="000000"/>
          <w:spacing w:val="0"/>
          <w:w w:val="100"/>
          <w:position w:val="0"/>
        </w:rPr>
        <w:t>。 其他说明：</w:t>
      </w:r>
    </w:p>
    <w:p>
      <w:pPr>
        <w:pStyle w:val="Style28"/>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8</w:t>
      </w:r>
      <w:bookmarkEnd w:id="1131"/>
      <w:r>
        <w:rPr>
          <w:color w:val="000000"/>
          <w:spacing w:val="0"/>
          <w:w w:val="100"/>
          <w:position w:val="0"/>
        </w:rPr>
        <w:t>、其他应收款</w:t>
      </w:r>
      <w:bookmarkEnd w:id="1129"/>
      <w:bookmarkEnd w:id="1130"/>
      <w:bookmarkEnd w:id="113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1,956,642.52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2,981,037.99</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1,956,642.52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2,981,037.99</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33"/>
      <w:bookmarkEnd w:id="1134"/>
      <w:bookmarkEnd w:id="1136"/>
    </w:p>
    <w:p>
      <w:pPr>
        <w:pStyle w:val="Style65"/>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color w:val="000000"/>
          <w:spacing w:val="0"/>
          <w:w w:val="100"/>
          <w:position w:val="0"/>
        </w:rPr>
        <w:t>）应收利息分类</w:t>
      </w:r>
      <w:bookmarkEnd w:id="1137"/>
      <w:bookmarkEnd w:id="1138"/>
      <w:bookmarkEnd w:id="114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color w:val="000000"/>
          <w:spacing w:val="0"/>
          <w:w w:val="100"/>
          <w:position w:val="0"/>
        </w:rPr>
        <w:t>）重要逾期利息</w:t>
      </w:r>
      <w:bookmarkEnd w:id="1141"/>
      <w:bookmarkEnd w:id="1142"/>
      <w:bookmarkEnd w:id="114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color w:val="000000"/>
          <w:spacing w:val="0"/>
          <w:w w:val="100"/>
          <w:position w:val="0"/>
        </w:rPr>
        <w:t>）坏账准备计提情况</w:t>
      </w:r>
      <w:bookmarkEnd w:id="1145"/>
      <w:bookmarkEnd w:id="1146"/>
      <w:bookmarkEnd w:id="114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49"/>
      <w:bookmarkEnd w:id="1150"/>
      <w:bookmarkEnd w:id="1152"/>
    </w:p>
    <w:p>
      <w:pPr>
        <w:pStyle w:val="Style65"/>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color w:val="000000"/>
          <w:spacing w:val="0"/>
          <w:w w:val="100"/>
          <w:position w:val="0"/>
        </w:rPr>
        <w:t>）应收股利分类</w:t>
      </w:r>
      <w:bookmarkEnd w:id="1153"/>
      <w:bookmarkEnd w:id="1154"/>
      <w:bookmarkEnd w:id="115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57"/>
      <w:bookmarkEnd w:id="1158"/>
      <w:bookmarkEnd w:id="116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color w:val="000000"/>
          <w:spacing w:val="0"/>
          <w:w w:val="100"/>
          <w:position w:val="0"/>
        </w:rPr>
        <w:t>）坏账准备计提情况</w:t>
      </w:r>
      <w:bookmarkEnd w:id="1161"/>
      <w:bookmarkEnd w:id="1162"/>
      <w:bookmarkEnd w:id="1164"/>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65"/>
      <w:bookmarkEnd w:id="1166"/>
      <w:bookmarkEnd w:id="1168"/>
    </w:p>
    <w:p>
      <w:pPr>
        <w:pStyle w:val="Style65"/>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color w:val="000000"/>
          <w:spacing w:val="0"/>
          <w:w w:val="100"/>
          <w:position w:val="0"/>
        </w:rPr>
        <w:t>）其他应收款按款项性质分类情况</w:t>
      </w:r>
      <w:bookmarkEnd w:id="1169"/>
      <w:bookmarkEnd w:id="1170"/>
      <w:bookmarkEnd w:id="1172"/>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1,714,598.74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2,574,108.18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431,929.81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1,969,819.93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3,006,037.99</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color w:val="000000"/>
          <w:spacing w:val="0"/>
          <w:w w:val="100"/>
          <w:position w:val="0"/>
        </w:rPr>
        <w:t>）坏账准备计提情况</w:t>
      </w:r>
      <w:bookmarkEnd w:id="1173"/>
      <w:bookmarkEnd w:id="1174"/>
      <w:bookmarkEnd w:id="1176"/>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-11,822.59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-11,822.59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13,177.41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13,177.41</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612,737.79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189,954.02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430,776.67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736,351.45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100,773.02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631,097.44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1,969,819.93</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3</w:t>
      </w:r>
      <w:bookmarkEnd w:id="1179"/>
      <w:r>
        <w:rPr>
          <w:color w:val="000000"/>
          <w:spacing w:val="0"/>
          <w:w w:val="100"/>
          <w:position w:val="0"/>
        </w:rPr>
        <w:t>）本期计提、收回或转回的坏账准备情况</w:t>
      </w:r>
      <w:bookmarkEnd w:id="1177"/>
      <w:bookmarkEnd w:id="1178"/>
      <w:bookmarkEnd w:id="118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bl>
    <w:p>
      <w:pPr>
        <w:widowControl w:val="0"/>
        <w:spacing w:line="1" w:lineRule="exact"/>
      </w:pPr>
      <w:r>
        <w:br w:type="page"/>
      </w:r>
    </w:p>
    <w:tbl>
      <w:tblPr>
        <w:tblOverlap w:val="never"/>
        <w:jc w:val="center"/>
        <w:tblLayout w:type="fixed"/>
      </w:tblPr>
      <w:tblGrid>
        <w:gridCol w:w="1426"/>
        <w:gridCol w:w="1094"/>
        <w:gridCol w:w="1339"/>
        <w:gridCol w:w="1334"/>
        <w:gridCol w:w="1330"/>
        <w:gridCol w:w="1325"/>
        <w:gridCol w:w="173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员工备用金及代 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13,177.41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4</w:t>
      </w:r>
      <w:bookmarkEnd w:id="1183"/>
      <w:r>
        <w:rPr>
          <w:color w:val="000000"/>
          <w:spacing w:val="0"/>
          <w:w w:val="100"/>
          <w:position w:val="0"/>
        </w:rPr>
        <w:t>）本期实际核销的其他应收款情况</w:t>
      </w:r>
      <w:bookmarkEnd w:id="1181"/>
      <w:bookmarkEnd w:id="1182"/>
      <w:bookmarkEnd w:id="11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5"/>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5</w:t>
      </w:r>
      <w:bookmarkEnd w:id="1187"/>
      <w:r>
        <w:rPr>
          <w:color w:val="000000"/>
          <w:spacing w:val="0"/>
          <w:w w:val="100"/>
          <w:position w:val="0"/>
        </w:rPr>
        <w:t>）按欠款方归集的期末余额前五名的其他应收款情况</w:t>
      </w:r>
      <w:bookmarkEnd w:id="1185"/>
      <w:bookmarkEnd w:id="1186"/>
      <w:bookmarkEnd w:id="118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353,950.26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189,199.04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年及</w:t>
            </w: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1,232,799.30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6</w:t>
      </w:r>
      <w:bookmarkEnd w:id="1191"/>
      <w:r>
        <w:rPr>
          <w:color w:val="000000"/>
          <w:spacing w:val="0"/>
          <w:w w:val="100"/>
          <w:position w:val="0"/>
        </w:rPr>
        <w:t>）涉及政府补助的应收款项</w:t>
      </w:r>
      <w:bookmarkEnd w:id="1189"/>
      <w:bookmarkEnd w:id="1190"/>
      <w:bookmarkEnd w:id="1192"/>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pStyle w:val="Style65"/>
        <w:keepNext/>
        <w:keepLines/>
        <w:widowControl w:val="0"/>
        <w:shd w:val="clear" w:color="auto" w:fill="auto"/>
        <w:tabs>
          <w:tab w:pos="387" w:val="left"/>
        </w:tabs>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7</w:t>
      </w:r>
      <w:bookmarkEnd w:id="1195"/>
      <w:r>
        <w:rPr>
          <w:color w:val="000000"/>
          <w:spacing w:val="0"/>
          <w:w w:val="100"/>
          <w:position w:val="0"/>
        </w:rPr>
        <w:t>）</w:t>
        <w:tab/>
        <w:t>因金融资产转移而终止确认的其他应收款</w:t>
      </w:r>
      <w:bookmarkEnd w:id="1193"/>
      <w:bookmarkEnd w:id="1194"/>
      <w:bookmarkEnd w:id="1196"/>
    </w:p>
    <w:p>
      <w:pPr>
        <w:pStyle w:val="Style65"/>
        <w:keepNext/>
        <w:keepLines/>
        <w:widowControl w:val="0"/>
        <w:shd w:val="clear" w:color="auto" w:fill="auto"/>
        <w:tabs>
          <w:tab w:pos="392" w:val="left"/>
        </w:tabs>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8</w:t>
      </w:r>
      <w:bookmarkEnd w:id="1199"/>
      <w:r>
        <w:rPr>
          <w:color w:val="000000"/>
          <w:spacing w:val="0"/>
          <w:w w:val="100"/>
          <w:position w:val="0"/>
        </w:rPr>
        <w:t>）</w:t>
        <w:tab/>
        <w:t>转移其他应收款且继续涉入形成的资产、负债金额</w:t>
      </w:r>
      <w:bookmarkEnd w:id="1197"/>
      <w:bookmarkEnd w:id="1198"/>
      <w:bookmarkEnd w:id="120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9</w:t>
      </w:r>
      <w:bookmarkEnd w:id="1203"/>
      <w:r>
        <w:rPr>
          <w:color w:val="000000"/>
          <w:spacing w:val="0"/>
          <w:w w:val="100"/>
          <w:position w:val="0"/>
        </w:rPr>
        <w:t>、存货</w:t>
      </w:r>
      <w:bookmarkEnd w:id="1201"/>
      <w:bookmarkEnd w:id="1202"/>
      <w:bookmarkEnd w:id="120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5"/>
      <w:bookmarkEnd w:id="1206"/>
      <w:bookmarkEnd w:id="12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17,303,810.63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1,285,484.58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16,018,326.05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15,986,859.30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944,373.28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15,042,486.02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1,159,370.97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1,159,370.97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1,089,417.19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1,089,417.19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16,481,517.57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16,351,826.89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18,341,183.24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26,337.93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18,314,845.31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9,772,442.08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9,772,442.08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8,610,839.58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8,610,839.58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3,510,862.41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3,510,862.41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1,769,746.21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1,769,746.21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48,228,003.66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1,415,175.26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46,812,828.40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45,798,045.52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970,711.21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44,827,334.31</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09"/>
      <w:bookmarkEnd w:id="1210"/>
      <w:bookmarkEnd w:id="12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944,373.28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2,184,238.99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1,843,127.69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1,285,484.58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26,337.93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1,127,226.25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1,023,873.50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129,690.68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970,711.21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3,311,465.24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2,867,001.19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1,415,175.26</w:t>
            </w:r>
          </w:p>
        </w:tc>
      </w:tr>
    </w:tbl>
    <w:p>
      <w:pPr>
        <w:widowControl w:val="0"/>
        <w:spacing w:line="1" w:lineRule="exact"/>
      </w:pPr>
    </w:p>
    <w:tbl>
      <w:tblPr>
        <w:tblOverlap w:val="never"/>
        <w:jc w:val="center"/>
        <w:tblLayout w:type="fixed"/>
      </w:tblPr>
      <w:tblGrid>
        <w:gridCol w:w="2141"/>
        <w:gridCol w:w="4675"/>
        <w:gridCol w:w="2275"/>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确定可变现净值/剩余对价 与将要发生的成本的具体依据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本期转回或转销 存货跌价准备的原因</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预计售价减去至完工时预计将要发生的成本、预计的销售费 用以及相关税费后的金额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报废</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预计售价减去预计的销售费用以及相关税费后的金额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报废</w:t>
            </w:r>
          </w:p>
        </w:tc>
      </w:tr>
    </w:tbl>
    <w:p>
      <w:pPr>
        <w:pStyle w:val="Style36"/>
        <w:keepNext/>
        <w:keepLines/>
        <w:widowControl w:val="0"/>
        <w:shd w:val="clear" w:color="auto" w:fill="auto"/>
        <w:tabs>
          <w:tab w:pos="493" w:val="left"/>
        </w:tabs>
        <w:bidi w:val="0"/>
        <w:spacing w:before="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13"/>
      <w:bookmarkEnd w:id="1214"/>
      <w:bookmarkEnd w:id="1216"/>
    </w:p>
    <w:p>
      <w:pPr>
        <w:pStyle w:val="Style36"/>
        <w:keepNext/>
        <w:keepLines/>
        <w:widowControl w:val="0"/>
        <w:shd w:val="clear" w:color="auto" w:fill="auto"/>
        <w:tabs>
          <w:tab w:pos="493" w:val="left"/>
        </w:tabs>
        <w:bidi w:val="0"/>
        <w:spacing w:before="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17"/>
      <w:bookmarkEnd w:id="1218"/>
      <w:bookmarkEnd w:id="1220"/>
    </w:p>
    <w:p>
      <w:pPr>
        <w:pStyle w:val="Style28"/>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21"/>
      <w:bookmarkEnd w:id="1222"/>
      <w:bookmarkEnd w:id="122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25"/>
      <w:bookmarkEnd w:id="1226"/>
      <w:bookmarkEnd w:id="1228"/>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29"/>
      <w:bookmarkEnd w:id="1230"/>
      <w:bookmarkEnd w:id="1232"/>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33"/>
      <w:bookmarkEnd w:id="1234"/>
      <w:bookmarkEnd w:id="1236"/>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23,061,187.70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15,410,942.84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2,376,331.44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保本固定收益银行理财产品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93,232,583.56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23,191,780.58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111,019,857.84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37"/>
      <w:bookmarkEnd w:id="1238"/>
      <w:bookmarkEnd w:id="12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41"/>
      <w:bookmarkEnd w:id="1242"/>
      <w:bookmarkEnd w:id="124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累计在其他 综合收益中 确认的损失</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r>
        <w:br w:type="page"/>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45"/>
      <w:bookmarkEnd w:id="1246"/>
      <w:bookmarkEnd w:id="1248"/>
    </w:p>
    <w:p>
      <w:pPr>
        <w:pStyle w:val="Style36"/>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49"/>
      <w:bookmarkEnd w:id="1250"/>
      <w:bookmarkEnd w:id="1252"/>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53"/>
      <w:bookmarkEnd w:id="1254"/>
      <w:bookmarkEnd w:id="1256"/>
    </w:p>
    <w:p>
      <w:pPr>
        <w:pStyle w:val="Style36"/>
        <w:keepNext/>
        <w:keepLines/>
        <w:widowControl w:val="0"/>
        <w:shd w:val="clear" w:color="auto" w:fill="auto"/>
        <w:tabs>
          <w:tab w:pos="493" w:val="left"/>
        </w:tabs>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57"/>
      <w:bookmarkEnd w:id="1258"/>
      <w:bookmarkEnd w:id="126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61"/>
      <w:bookmarkEnd w:id="1262"/>
      <w:bookmarkEnd w:id="126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ectPr>
          <w:footnotePr>
            <w:pos w:val="pageBottom"/>
            <w:numFmt w:val="decimal"/>
            <w:numRestart w:val="continuous"/>
          </w:footnotePr>
          <w:pgSz w:w="11900" w:h="16840"/>
          <w:pgMar w:top="1383" w:right="1070" w:bottom="1417" w:left="1057" w:header="0" w:footer="3" w:gutter="0"/>
          <w:cols w:space="720"/>
          <w:noEndnote/>
          <w:rtlGutter w:val="0"/>
          <w:docGrid w:linePitch="360"/>
        </w:sectPr>
      </w:pPr>
    </w:p>
    <w:p>
      <w:pPr>
        <w:pStyle w:val="Style24"/>
        <w:keepNext w:val="0"/>
        <w:keepLines w:val="0"/>
        <w:widowControl w:val="0"/>
        <w:pBdr>
          <w:top w:val="single" w:sz="4" w:space="1" w:color="D3D3D3"/>
          <w:left w:val="single" w:sz="4" w:space="0" w:color="D3D3D3"/>
          <w:bottom w:val="single" w:sz="4" w:space="7" w:color="D3D3D3"/>
          <w:right w:val="single" w:sz="4" w:space="0" w:color="D3D3D3"/>
        </w:pBdr>
        <w:shd w:val="clear" w:color="auto" w:fill="D3D3D3"/>
        <w:tabs>
          <w:tab w:pos="430" w:val="left"/>
        </w:tabs>
        <w:bidi w:val="0"/>
        <w:spacing w:before="0" w:after="41" w:line="240" w:lineRule="auto"/>
        <w:ind w:left="0" w:right="0" w:firstLine="0"/>
        <w:jc w:val="left"/>
      </w:pPr>
      <w:bookmarkStart w:id="1265" w:name="bookmark1265"/>
      <w:r>
        <w:rPr>
          <w:color w:val="000000"/>
          <w:spacing w:val="0"/>
          <w:w w:val="100"/>
          <w:position w:val="0"/>
        </w:rPr>
        <w:t>一</w:t>
      </w:r>
      <w:bookmarkEnd w:id="1265"/>
      <w:r>
        <w:rPr>
          <w:color w:val="000000"/>
          <w:spacing w:val="0"/>
          <w:w w:val="100"/>
          <w:position w:val="0"/>
        </w:rPr>
        <w:t>、</w:t>
        <w:tab/>
        <w:t>合营企业</w:t>
      </w:r>
    </w:p>
    <w:p>
      <w:pPr>
        <w:pStyle w:val="Style24"/>
        <w:keepNext w:val="0"/>
        <w:keepLines w:val="0"/>
        <w:widowControl w:val="0"/>
        <w:pBdr>
          <w:top w:val="single" w:sz="0" w:space="1" w:color="D3D3D3"/>
          <w:left w:val="single" w:sz="0" w:space="0" w:color="D3D3D3"/>
          <w:bottom w:val="single" w:sz="0" w:space="7" w:color="D3D3D3"/>
          <w:right w:val="single" w:sz="0" w:space="0" w:color="D3D3D3"/>
        </w:pBdr>
        <w:shd w:val="clear" w:color="auto" w:fill="D3D3D3"/>
        <w:tabs>
          <w:tab w:pos="430" w:val="left"/>
        </w:tabs>
        <w:bidi w:val="0"/>
        <w:spacing w:before="0" w:after="66" w:line="240" w:lineRule="auto"/>
        <w:ind w:left="0" w:right="0" w:firstLine="0"/>
        <w:jc w:val="left"/>
      </w:pPr>
      <w:bookmarkStart w:id="1266" w:name="bookmark1266"/>
      <w:r>
        <w:rPr>
          <w:color w:val="000000"/>
          <w:spacing w:val="0"/>
          <w:w w:val="100"/>
          <w:position w:val="0"/>
        </w:rPr>
        <w:t>二</w:t>
      </w:r>
      <w:bookmarkEnd w:id="1266"/>
      <w:r>
        <w:rPr>
          <w:color w:val="000000"/>
          <w:spacing w:val="0"/>
          <w:w w:val="100"/>
          <w:position w:val="0"/>
        </w:rPr>
        <w:t>、</w:t>
        <w:tab/>
        <w:t>联营企业</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67"/>
      <w:bookmarkEnd w:id="1268"/>
      <w:bookmarkEnd w:id="127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分项披露本期非交易性权益工具投资</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入留存收益的金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71"/>
      <w:bookmarkEnd w:id="1272"/>
      <w:bookmarkEnd w:id="127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75"/>
      <w:bookmarkEnd w:id="1276"/>
      <w:bookmarkEnd w:id="1278"/>
    </w:p>
    <w:p>
      <w:pPr>
        <w:pStyle w:val="Style36"/>
        <w:keepNext/>
        <w:keepLines/>
        <w:widowControl w:val="0"/>
        <w:shd w:val="clear" w:color="auto" w:fill="auto"/>
        <w:tabs>
          <w:tab w:pos="493" w:val="left"/>
        </w:tabs>
        <w:bidi w:val="0"/>
        <w:spacing w:before="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79"/>
      <w:bookmarkEnd w:id="1280"/>
      <w:bookmarkEnd w:id="128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83"/>
      <w:bookmarkEnd w:id="1284"/>
      <w:bookmarkEnd w:id="128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87"/>
      <w:bookmarkEnd w:id="1288"/>
      <w:bookmarkEnd w:id="12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532" w:right="1109" w:bottom="2007" w:left="1104" w:header="0" w:footer="3" w:gutter="0"/>
          <w:cols w:space="720"/>
          <w:noEndnote/>
          <w:rtlGutter w:val="0"/>
          <w:docGrid w:linePitch="360"/>
        </w:sectPr>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91"/>
      <w:bookmarkEnd w:id="1292"/>
      <w:bookmarkEnd w:id="129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9,873,096.10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10,894,340.97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9,873,096.10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10,894,340.97</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w:t>
      </w:r>
      <w:bookmarkEnd w:id="129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95"/>
      <w:bookmarkEnd w:id="1296"/>
      <w:bookmarkEnd w:id="129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生产设备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10,927,042.34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8,047,112.70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4,883,943.27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6,317,149.86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30,175,248.17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923,360.70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169,398.09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1,092,758.79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923,360.70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169,398.09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1,092,758.79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1,381,116.93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34,739.49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1,415,856.42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1,381,116.93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34,739.49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1,415,856.42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10,927,042.34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7,589,356.47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4,883,943.27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6,451,808.46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29,852,150.54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3,758,816.80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6,657,847.88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3,310,484.42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5,553,758.10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19,280,907.20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519,034.44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776,519.99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401,740.32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343,976.22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2,041,270.97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519,034.44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776,519.99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401,740.32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343,976.22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2,041,270.97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1,310,121.22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33,002.51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1,343,123.73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1,310,121.22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33,002.51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1,343,123.73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4,277,851.24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6,124,246.65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3,712,224.74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5,864,731.81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19,979,054.44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6,649,191.10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1,465,109.82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1,171,718.53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587,076.65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9,873,096.10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7,168,225.54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1,389,264.82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1,573,458.85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763,391.76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10,894,340.97</w:t>
            </w:r>
          </w:p>
        </w:tc>
      </w:tr>
    </w:tbl>
    <w:p>
      <w:pPr>
        <w:widowControl w:val="0"/>
        <w:spacing w:after="319" w:line="1" w:lineRule="exact"/>
      </w:pPr>
    </w:p>
    <w:p>
      <w:pPr>
        <w:pStyle w:val="Style36"/>
        <w:keepNext/>
        <w:keepLines/>
        <w:widowControl w:val="0"/>
        <w:numPr>
          <w:ilvl w:val="0"/>
          <w:numId w:val="65"/>
        </w:numPr>
        <w:shd w:val="clear" w:color="auto" w:fill="auto"/>
        <w:bidi w:val="0"/>
        <w:spacing w:before="0" w:line="240" w:lineRule="auto"/>
        <w:ind w:left="0" w:right="0" w:firstLine="14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暂时闲置的固定资产情况</w:t>
      </w:r>
      <w:bookmarkEnd w:id="1299"/>
      <w:bookmarkEnd w:id="1300"/>
      <w:bookmarkEnd w:id="130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36"/>
        <w:keepNext/>
        <w:keepLines/>
        <w:widowControl w:val="0"/>
        <w:numPr>
          <w:ilvl w:val="0"/>
          <w:numId w:val="65"/>
        </w:numPr>
        <w:shd w:val="clear" w:color="auto" w:fill="auto"/>
        <w:bidi w:val="0"/>
        <w:spacing w:before="0" w:line="240" w:lineRule="auto"/>
        <w:ind w:left="0" w:right="0" w:firstLine="14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通过融资租赁租入的固定资产情况</w:t>
      </w:r>
      <w:bookmarkEnd w:id="1303"/>
      <w:bookmarkEnd w:id="1304"/>
      <w:bookmarkEnd w:id="130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36"/>
        <w:keepNext/>
        <w:keepLines/>
        <w:widowControl w:val="0"/>
        <w:numPr>
          <w:ilvl w:val="0"/>
          <w:numId w:val="65"/>
        </w:numPr>
        <w:shd w:val="clear" w:color="auto" w:fill="auto"/>
        <w:bidi w:val="0"/>
        <w:spacing w:before="0" w:line="240" w:lineRule="auto"/>
        <w:ind w:left="0" w:right="0" w:firstLine="14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通过经营租赁租出的固定资产</w:t>
      </w:r>
      <w:bookmarkEnd w:id="1307"/>
      <w:bookmarkEnd w:id="1308"/>
      <w:bookmarkEnd w:id="131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36"/>
        <w:keepNext/>
        <w:keepLines/>
        <w:widowControl w:val="0"/>
        <w:numPr>
          <w:ilvl w:val="0"/>
          <w:numId w:val="65"/>
        </w:numPr>
        <w:shd w:val="clear" w:color="auto" w:fill="auto"/>
        <w:bidi w:val="0"/>
        <w:spacing w:before="0" w:line="240" w:lineRule="auto"/>
        <w:ind w:left="0" w:right="0" w:firstLine="14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未办妥产权证书的固定资产情况</w:t>
      </w:r>
      <w:bookmarkEnd w:id="1311"/>
      <w:bookmarkEnd w:id="1312"/>
      <w:bookmarkEnd w:id="131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65"/>
        </w:numPr>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固定资产清理</w:t>
      </w:r>
      <w:bookmarkEnd w:id="1315"/>
      <w:bookmarkEnd w:id="1316"/>
      <w:bookmarkEnd w:id="131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19"/>
      <w:bookmarkEnd w:id="1320"/>
      <w:bookmarkEnd w:id="1322"/>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297,739,460.09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236,397,336.85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297,739,460.09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236,397,336.85</w:t>
            </w:r>
          </w:p>
        </w:tc>
      </w:tr>
    </w:tbl>
    <w:p>
      <w:pPr>
        <w:widowControl w:val="0"/>
        <w:spacing w:after="319" w:line="1" w:lineRule="exact"/>
      </w:pPr>
    </w:p>
    <w:p>
      <w:pPr>
        <w:pStyle w:val="Style36"/>
        <w:keepNext/>
        <w:keepLines/>
        <w:widowControl w:val="0"/>
        <w:numPr>
          <w:ilvl w:val="0"/>
          <w:numId w:val="67"/>
        </w:numPr>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在建工程情况</w:t>
      </w:r>
      <w:bookmarkEnd w:id="1323"/>
      <w:bookmarkEnd w:id="1324"/>
      <w:bookmarkEnd w:id="13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297,739,460.09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297,739,460.09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236,397,336.85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236,397,336.85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297,739,460.09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297,739,460.09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236,397,336.85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236,397,336.85</w:t>
            </w:r>
          </w:p>
        </w:tc>
      </w:tr>
    </w:tbl>
    <w:p>
      <w:pPr>
        <w:widowControl w:val="0"/>
        <w:spacing w:after="319" w:line="1" w:lineRule="exact"/>
      </w:pPr>
    </w:p>
    <w:p>
      <w:pPr>
        <w:pStyle w:val="Style36"/>
        <w:keepNext/>
        <w:keepLines/>
        <w:widowControl w:val="0"/>
        <w:numPr>
          <w:ilvl w:val="0"/>
          <w:numId w:val="67"/>
        </w:numPr>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重要在建工程项目本期变动情况</w:t>
      </w:r>
      <w:bookmarkEnd w:id="1327"/>
      <w:bookmarkEnd w:id="1328"/>
      <w:bookmarkEnd w:id="133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创新科 技海岸 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327,576,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236,397,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61,342,1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297,739,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327,576,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236,397,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61,342,1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297,739,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460.09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widowControl w:val="0"/>
        <w:spacing w:after="319" w:line="1" w:lineRule="exact"/>
      </w:pPr>
    </w:p>
    <w:p>
      <w:pPr>
        <w:pStyle w:val="Style36"/>
        <w:keepNext/>
        <w:keepLines/>
        <w:widowControl w:val="0"/>
        <w:numPr>
          <w:ilvl w:val="0"/>
          <w:numId w:val="67"/>
        </w:numPr>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本期计提在建工程减值准备情况</w:t>
      </w:r>
      <w:bookmarkEnd w:id="1331"/>
      <w:bookmarkEnd w:id="1332"/>
      <w:bookmarkEnd w:id="133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67"/>
        </w:numPr>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工程物资</w:t>
      </w:r>
      <w:bookmarkEnd w:id="1335"/>
      <w:bookmarkEnd w:id="1336"/>
      <w:bookmarkEnd w:id="133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2" w:right="1112" w:bottom="1548" w:left="1102" w:header="0" w:footer="3" w:gutter="0"/>
          <w:cols w:space="720"/>
          <w:noEndnote/>
          <w:rtlGutter w:val="0"/>
          <w:docGrid w:linePitch="360"/>
        </w:sectPr>
      </w:pPr>
      <w:r>
        <w:rPr>
          <w:color w:val="000000"/>
          <w:spacing w:val="0"/>
          <w:w w:val="100"/>
          <w:position w:val="0"/>
        </w:rPr>
        <w:t>其他说明：</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39"/>
      <w:bookmarkEnd w:id="1340"/>
      <w:bookmarkEnd w:id="1342"/>
    </w:p>
    <w:p>
      <w:pPr>
        <w:pStyle w:val="Style36"/>
        <w:keepNext/>
        <w:keepLines/>
        <w:widowControl w:val="0"/>
        <w:numPr>
          <w:ilvl w:val="0"/>
          <w:numId w:val="69"/>
        </w:numPr>
        <w:shd w:val="clear" w:color="auto" w:fill="auto"/>
        <w:tabs>
          <w:tab w:pos="493" w:val="left"/>
        </w:tabs>
        <w:bidi w:val="0"/>
        <w:spacing w:before="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采用成本计量模式的生产性生物资产</w:t>
      </w:r>
      <w:bookmarkEnd w:id="1343"/>
      <w:bookmarkEnd w:id="1344"/>
      <w:bookmarkEnd w:id="134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69"/>
        </w:numPr>
        <w:shd w:val="clear" w:color="auto" w:fill="auto"/>
        <w:tabs>
          <w:tab w:pos="493" w:val="left"/>
        </w:tabs>
        <w:bidi w:val="0"/>
        <w:spacing w:before="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采用公允价值计量模式的生产性生物资产</w:t>
      </w:r>
      <w:bookmarkEnd w:id="1347"/>
      <w:bookmarkEnd w:id="1348"/>
      <w:bookmarkEnd w:id="135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bookmarkEnd w:id="135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51"/>
      <w:bookmarkEnd w:id="1352"/>
      <w:bookmarkEnd w:id="135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55"/>
      <w:bookmarkEnd w:id="1356"/>
      <w:bookmarkEnd w:id="135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59"/>
      <w:bookmarkEnd w:id="1360"/>
      <w:bookmarkEnd w:id="1362"/>
    </w:p>
    <w:p>
      <w:pPr>
        <w:pStyle w:val="Style36"/>
        <w:keepNext/>
        <w:keepLines/>
        <w:widowControl w:val="0"/>
        <w:numPr>
          <w:ilvl w:val="0"/>
          <w:numId w:val="71"/>
        </w:numPr>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无形资产情况</w:t>
      </w:r>
      <w:bookmarkEnd w:id="1363"/>
      <w:bookmarkEnd w:id="1364"/>
      <w:bookmarkEnd w:id="13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软件使用权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10,228,141.60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4,577,426.47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14,805,568.07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10,228,141.60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4,577,426.47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14,805,568.07</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1,157,721.67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3,010,965.50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4,168,687.17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204,595.92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635,587.90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840,183.82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204,595.92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635,587.90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840,183.82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1,362,317.59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3,646,553.40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5,008,870.99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8,865,824.01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930,873.07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9,796,697.08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9,070,419.93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1,566,460.97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10,636,880.90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6"/>
        <w:keepNext/>
        <w:keepLines/>
        <w:widowControl w:val="0"/>
        <w:shd w:val="clear" w:color="auto" w:fill="auto"/>
        <w:bidi w:val="0"/>
        <w:spacing w:before="0" w:line="240" w:lineRule="auto"/>
        <w:ind w:left="0" w:right="0" w:firstLine="14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w:t>
      </w:r>
      <w:bookmarkEnd w:id="136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67"/>
      <w:bookmarkEnd w:id="1368"/>
      <w:bookmarkEnd w:id="137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71"/>
      <w:bookmarkEnd w:id="1372"/>
      <w:bookmarkEnd w:id="1374"/>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转入当期损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75"/>
      <w:bookmarkEnd w:id="1376"/>
      <w:bookmarkEnd w:id="1377"/>
    </w:p>
    <w:p>
      <w:pPr>
        <w:pStyle w:val="Style36"/>
        <w:keepNext/>
        <w:keepLines/>
        <w:widowControl w:val="0"/>
        <w:numPr>
          <w:ilvl w:val="0"/>
          <w:numId w:val="73"/>
        </w:numPr>
        <w:shd w:val="clear" w:color="auto" w:fill="auto"/>
        <w:bidi w:val="0"/>
        <w:spacing w:before="0" w:line="240" w:lineRule="auto"/>
        <w:ind w:left="0" w:right="0" w:firstLine="140"/>
        <w:jc w:val="both"/>
      </w:pPr>
      <w:bookmarkStart w:id="1378" w:name="bookmark1378"/>
      <w:bookmarkStart w:id="1379" w:name="bookmark1379"/>
      <w:bookmarkStart w:id="1380" w:name="bookmark1380"/>
      <w:bookmarkStart w:id="1381" w:name="bookmark1381"/>
      <w:bookmarkEnd w:id="1380"/>
      <w:r>
        <w:rPr>
          <w:color w:val="000000"/>
          <w:spacing w:val="0"/>
          <w:w w:val="100"/>
          <w:position w:val="0"/>
        </w:rPr>
        <w:t>商誉账面原值</w:t>
      </w:r>
      <w:bookmarkEnd w:id="1378"/>
      <w:bookmarkEnd w:id="1379"/>
      <w:bookmarkEnd w:id="1381"/>
    </w:p>
    <w:p>
      <w:pPr>
        <w:pStyle w:val="Style24"/>
        <w:keepNext w:val="0"/>
        <w:keepLines w:val="0"/>
        <w:widowControl w:val="0"/>
        <w:shd w:val="clear" w:color="auto" w:fill="auto"/>
        <w:bidi w:val="0"/>
        <w:spacing w:before="0" w:after="80" w:line="240" w:lineRule="auto"/>
        <w:ind w:left="0" w:right="0" w:firstLine="0"/>
        <w:jc w:val="right"/>
      </w:pPr>
      <w:bookmarkStart w:id="1382" w:name="bookmark1382"/>
      <w:r>
        <w:rPr>
          <w:color w:val="000000"/>
          <w:spacing w:val="0"/>
          <w:w w:val="100"/>
          <w:position w:val="0"/>
        </w:rPr>
        <w:t>单</w:t>
      </w:r>
      <w:bookmarkEnd w:id="1382"/>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73"/>
        </w:numPr>
        <w:shd w:val="clear" w:color="auto" w:fill="auto"/>
        <w:bidi w:val="0"/>
        <w:spacing w:before="0" w:line="240" w:lineRule="auto"/>
        <w:ind w:left="0" w:right="0" w:firstLine="140"/>
        <w:jc w:val="left"/>
      </w:pPr>
      <w:bookmarkStart w:id="1383" w:name="bookmark1383"/>
      <w:bookmarkStart w:id="1384" w:name="bookmark1384"/>
      <w:bookmarkStart w:id="1385" w:name="bookmark1385"/>
      <w:bookmarkStart w:id="1386" w:name="bookmark1386"/>
      <w:bookmarkEnd w:id="1385"/>
      <w:r>
        <w:rPr>
          <w:color w:val="000000"/>
          <w:spacing w:val="0"/>
          <w:w w:val="100"/>
          <w:position w:val="0"/>
        </w:rPr>
        <w:t>商誉减值准备</w:t>
      </w:r>
      <w:bookmarkEnd w:id="1383"/>
      <w:bookmarkEnd w:id="1384"/>
      <w:bookmarkEnd w:id="138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商誉所在资产组或资产组组合的相关信息</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商誉减值测试的影响</w:t>
      </w:r>
    </w:p>
    <w:p>
      <w:pPr>
        <w:pStyle w:val="Style2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87"/>
      <w:bookmarkEnd w:id="1388"/>
      <w:bookmarkEnd w:id="139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766,718.00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355,415.55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352,552.45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766,718.00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355,415.55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352,552.45</w:t>
            </w:r>
          </w:p>
        </w:tc>
      </w:tr>
    </w:tbl>
    <w:p>
      <w:pPr>
        <w:pStyle w:val="Style33"/>
        <w:keepNext w:val="0"/>
        <w:keepLines w:val="0"/>
        <w:widowControl w:val="0"/>
        <w:shd w:val="clear" w:color="auto" w:fill="auto"/>
        <w:bidi w:val="0"/>
        <w:spacing w:before="0" w:after="0" w:line="240" w:lineRule="auto"/>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900" w:h="16840"/>
          <w:pgMar w:top="1352" w:right="1112" w:bottom="1548" w:left="1102" w:header="0" w:footer="3" w:gutter="0"/>
          <w:cols w:space="720"/>
          <w:noEndnote/>
          <w:rtlGutter w:val="0"/>
          <w:docGrid w:linePitch="360"/>
        </w:sectPr>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1"/>
      <w:bookmarkEnd w:id="1392"/>
      <w:bookmarkEnd w:id="1394"/>
    </w:p>
    <w:p>
      <w:pPr>
        <w:pStyle w:val="Style36"/>
        <w:keepNext/>
        <w:keepLines/>
        <w:widowControl w:val="0"/>
        <w:numPr>
          <w:ilvl w:val="0"/>
          <w:numId w:val="75"/>
        </w:numPr>
        <w:shd w:val="clear" w:color="auto" w:fill="auto"/>
        <w:bidi w:val="0"/>
        <w:spacing w:before="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未经抵销的递延所得税资产</w:t>
      </w:r>
      <w:bookmarkEnd w:id="1395"/>
      <w:bookmarkEnd w:id="1396"/>
      <w:bookmarkEnd w:id="13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11,506,043.72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1,725,906.56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14,944,492.12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2,241,673.82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6,988,845.51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1,048,326.83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1,204,051.64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147,817.78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6,875,488.69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1,031,323.30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25,370,377.92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3,805,556.69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23,119,320.80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3,467,898.13</w:t>
            </w:r>
          </w:p>
        </w:tc>
      </w:tr>
    </w:tbl>
    <w:p>
      <w:pPr>
        <w:widowControl w:val="0"/>
        <w:spacing w:after="319" w:line="1" w:lineRule="exact"/>
      </w:pPr>
    </w:p>
    <w:p>
      <w:pPr>
        <w:pStyle w:val="Style36"/>
        <w:keepNext/>
        <w:keepLines/>
        <w:widowControl w:val="0"/>
        <w:numPr>
          <w:ilvl w:val="0"/>
          <w:numId w:val="75"/>
        </w:numPr>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未经抵销的递延所得税负债</w:t>
      </w:r>
      <w:bookmarkEnd w:id="1399"/>
      <w:bookmarkEnd w:id="1400"/>
      <w:bookmarkEnd w:id="14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交易性金融工具估值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36,889.73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245,931.50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36,889.73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75"/>
        </w:numPr>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以抵销后净额列示的递延所得税资产或负债</w:t>
      </w:r>
      <w:bookmarkEnd w:id="1403"/>
      <w:bookmarkEnd w:id="1404"/>
      <w:bookmarkEnd w:id="14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3,805,556.69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3,467,898.13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36,889.73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75"/>
        </w:numPr>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未确认递延所得税资产明细</w:t>
      </w:r>
      <w:bookmarkEnd w:id="1407"/>
      <w:bookmarkEnd w:id="1408"/>
      <w:bookmarkEnd w:id="141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3,003,778.81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3,003,778.81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952,754.48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892,276.59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3,956,533.29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3,896,055.40</w:t>
            </w:r>
          </w:p>
        </w:tc>
      </w:tr>
    </w:tbl>
    <w:p>
      <w:pPr>
        <w:pStyle w:val="Style36"/>
        <w:keepNext/>
        <w:keepLines/>
        <w:widowControl w:val="0"/>
        <w:numPr>
          <w:ilvl w:val="0"/>
          <w:numId w:val="75"/>
        </w:numPr>
        <w:shd w:val="clear" w:color="auto" w:fill="auto"/>
        <w:bidi w:val="0"/>
        <w:spacing w:before="0" w:line="240" w:lineRule="auto"/>
        <w:ind w:left="0" w:right="0" w:firstLine="14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未确认递延所得税资产的可抵扣亏损将于以下年度到期</w:t>
      </w:r>
      <w:bookmarkEnd w:id="1411"/>
      <w:bookmarkEnd w:id="1412"/>
      <w:bookmarkEnd w:id="141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892,276.59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892,276.59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60,477.89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952,754.48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892,276.59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由于子公司贵安新区贵金科技有限公司未来能否获得足够的应纳税所得额具有不确定性，因此未确认与其可抵扣暂时性差异 和可抵扣亏损相关的递延所得税资产。</w:t>
      </w:r>
    </w:p>
    <w:p>
      <w:pPr>
        <w:pStyle w:val="Style28"/>
        <w:keepNext/>
        <w:keepLines/>
        <w:widowControl w:val="0"/>
        <w:shd w:val="clear" w:color="auto" w:fill="auto"/>
        <w:bidi w:val="0"/>
        <w:spacing w:before="0" w:after="38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15"/>
      <w:bookmarkEnd w:id="1416"/>
      <w:bookmarkEnd w:id="141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1,140,910.00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624,410.00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1,140,910.00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1,140,910.00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624,410.00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19"/>
      <w:bookmarkEnd w:id="1420"/>
      <w:bookmarkEnd w:id="1422"/>
    </w:p>
    <w:p>
      <w:pPr>
        <w:pStyle w:val="Style36"/>
        <w:keepNext/>
        <w:keepLines/>
        <w:widowControl w:val="0"/>
        <w:numPr>
          <w:ilvl w:val="0"/>
          <w:numId w:val="77"/>
        </w:numPr>
        <w:shd w:val="clear" w:color="auto" w:fill="auto"/>
        <w:bidi w:val="0"/>
        <w:spacing w:before="0" w:line="240" w:lineRule="auto"/>
        <w:ind w:left="0" w:right="0" w:firstLine="140"/>
        <w:jc w:val="both"/>
      </w:pPr>
      <w:bookmarkStart w:id="1423" w:name="bookmark1423"/>
      <w:bookmarkStart w:id="1424" w:name="bookmark1424"/>
      <w:bookmarkStart w:id="1425" w:name="bookmark1425"/>
      <w:bookmarkStart w:id="1426" w:name="bookmark1426"/>
      <w:bookmarkEnd w:id="1425"/>
      <w:r>
        <w:rPr>
          <w:color w:val="000000"/>
          <w:spacing w:val="0"/>
          <w:w w:val="100"/>
          <w:position w:val="0"/>
        </w:rPr>
        <w:t>短期借款分类</w:t>
      </w:r>
      <w:bookmarkEnd w:id="1423"/>
      <w:bookmarkEnd w:id="1424"/>
      <w:bookmarkEnd w:id="142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6"/>
        <w:keepNext/>
        <w:keepLines/>
        <w:widowControl w:val="0"/>
        <w:numPr>
          <w:ilvl w:val="0"/>
          <w:numId w:val="77"/>
        </w:numPr>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已逾期未偿还的短期借款情况</w:t>
      </w:r>
      <w:bookmarkEnd w:id="1427"/>
      <w:bookmarkEnd w:id="1428"/>
      <w:bookmarkEnd w:id="143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31"/>
      <w:bookmarkEnd w:id="1432"/>
      <w:bookmarkEnd w:id="143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52" w:right="1112" w:bottom="1548" w:left="1102"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35"/>
      <w:bookmarkEnd w:id="1436"/>
      <w:bookmarkEnd w:id="143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39"/>
      <w:bookmarkEnd w:id="1440"/>
      <w:bookmarkEnd w:id="144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28"/>
        <w:keepNext/>
        <w:keepLines/>
        <w:widowControl w:val="0"/>
        <w:shd w:val="clear" w:color="auto" w:fill="auto"/>
        <w:bidi w:val="0"/>
        <w:spacing w:before="0" w:after="380" w:line="240" w:lineRule="auto"/>
        <w:ind w:left="0" w:right="0" w:firstLine="0"/>
        <w:jc w:val="both"/>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43"/>
      <w:bookmarkEnd w:id="1444"/>
      <w:bookmarkEnd w:id="1446"/>
    </w:p>
    <w:p>
      <w:pPr>
        <w:pStyle w:val="Style36"/>
        <w:keepNext/>
        <w:keepLines/>
        <w:widowControl w:val="0"/>
        <w:shd w:val="clear" w:color="auto" w:fill="auto"/>
        <w:bidi w:val="0"/>
        <w:spacing w:before="0" w:line="240" w:lineRule="auto"/>
        <w:ind w:left="0" w:right="0" w:firstLine="0"/>
        <w:jc w:val="both"/>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47"/>
      <w:bookmarkEnd w:id="1448"/>
      <w:bookmarkEnd w:id="145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17,126,921.41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19,258,570.38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2,882,227.97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5,827,251.42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27,261,745.79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53,161,676.82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7,976,507.05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3,015,811.27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55,247,402.22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81,263,309.89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1"/>
      <w:bookmarkEnd w:id="1452"/>
      <w:bookmarkEnd w:id="145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2,760,777.32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2,760,777.32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55"/>
      <w:bookmarkEnd w:id="1456"/>
      <w:bookmarkEnd w:id="1458"/>
    </w:p>
    <w:p>
      <w:pPr>
        <w:pStyle w:val="Style36"/>
        <w:keepNext/>
        <w:keepLines/>
        <w:widowControl w:val="0"/>
        <w:shd w:val="clear" w:color="auto" w:fill="auto"/>
        <w:bidi w:val="0"/>
        <w:spacing w:before="0" w:line="240" w:lineRule="auto"/>
        <w:ind w:left="0" w:right="0" w:firstLine="140"/>
        <w:jc w:val="both"/>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59"/>
      <w:bookmarkEnd w:id="1460"/>
      <w:bookmarkEnd w:id="1462"/>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79"/>
        </w:numPr>
        <w:shd w:val="clear" w:color="auto" w:fill="auto"/>
        <w:bidi w:val="0"/>
        <w:spacing w:before="0" w:line="240" w:lineRule="auto"/>
        <w:ind w:left="0" w:right="0" w:firstLine="14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63"/>
      <w:bookmarkEnd w:id="1464"/>
      <w:bookmarkEnd w:id="146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67"/>
      <w:bookmarkEnd w:id="1468"/>
      <w:bookmarkEnd w:id="147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6,343,496.90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3,073,642.70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6,343,496.90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3,073,642.70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71"/>
      <w:bookmarkEnd w:id="1472"/>
      <w:bookmarkEnd w:id="1474"/>
    </w:p>
    <w:p>
      <w:pPr>
        <w:pStyle w:val="Style36"/>
        <w:keepNext/>
        <w:keepLines/>
        <w:widowControl w:val="0"/>
        <w:numPr>
          <w:ilvl w:val="0"/>
          <w:numId w:val="81"/>
        </w:numPr>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应付职工薪酬列示</w:t>
      </w:r>
      <w:bookmarkEnd w:id="1475"/>
      <w:bookmarkEnd w:id="1476"/>
      <w:bookmarkEnd w:id="14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10,170,201.74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52,814,726.58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50,314,240.15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12,670,688.17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249,038.92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249,038.92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10,170,201.74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53,063,765.50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50,563,279.07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12,670,688.17</w:t>
            </w:r>
          </w:p>
        </w:tc>
      </w:tr>
    </w:tbl>
    <w:p>
      <w:pPr>
        <w:widowControl w:val="0"/>
        <w:spacing w:after="319" w:line="1" w:lineRule="exact"/>
      </w:pPr>
    </w:p>
    <w:p>
      <w:pPr>
        <w:pStyle w:val="Style36"/>
        <w:keepNext/>
        <w:keepLines/>
        <w:widowControl w:val="0"/>
        <w:numPr>
          <w:ilvl w:val="0"/>
          <w:numId w:val="81"/>
        </w:numPr>
        <w:shd w:val="clear" w:color="auto" w:fill="auto"/>
        <w:bidi w:val="0"/>
        <w:spacing w:before="0" w:line="240" w:lineRule="auto"/>
        <w:ind w:left="0" w:right="0" w:firstLine="14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短期薪酬列示</w:t>
      </w:r>
      <w:bookmarkEnd w:id="1479"/>
      <w:bookmarkEnd w:id="1480"/>
      <w:bookmarkEnd w:id="14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10,088,750.58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49,761,342.10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47,260,827.97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12,589,264.71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954,079.33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733,705.86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733,705.86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664,226.01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664,226.01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66,801.27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404,647.00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404,647.00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960,952.29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974,753.49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67,649.96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10,170,201.74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52,814,726.58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50,314,240.15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12,670,688.17</w:t>
            </w:r>
          </w:p>
        </w:tc>
      </w:tr>
    </w:tbl>
    <w:p>
      <w:pPr>
        <w:widowControl w:val="0"/>
        <w:spacing w:after="319" w:line="1" w:lineRule="exact"/>
      </w:pPr>
    </w:p>
    <w:p>
      <w:pPr>
        <w:pStyle w:val="Style36"/>
        <w:keepNext/>
        <w:keepLines/>
        <w:widowControl w:val="0"/>
        <w:numPr>
          <w:ilvl w:val="0"/>
          <w:numId w:val="81"/>
        </w:numPr>
        <w:shd w:val="clear" w:color="auto" w:fill="auto"/>
        <w:bidi w:val="0"/>
        <w:spacing w:before="0" w:line="240" w:lineRule="auto"/>
        <w:ind w:left="0" w:right="0" w:firstLine="14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设定提存计划列示</w:t>
      </w:r>
      <w:bookmarkEnd w:id="1483"/>
      <w:bookmarkEnd w:id="1484"/>
      <w:bookmarkEnd w:id="14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239,241.36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239,241.36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9,797.56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249,038.92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249,038.92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87"/>
      <w:bookmarkEnd w:id="1488"/>
      <w:bookmarkEnd w:id="14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539,729.89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542,126.35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1,170,880.66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317,138.19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368,855.08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132,131.90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421,820.97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56,627.96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180,780.41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37,751.97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120,520.28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52,481.90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63,423.50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2,306,742.47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1,697,526.59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91"/>
      <w:bookmarkEnd w:id="1492"/>
      <w:bookmarkEnd w:id="149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1,577,225.51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10,791,140.40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1,577,225.51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10,791,140.40</w:t>
            </w:r>
          </w:p>
        </w:tc>
      </w:tr>
    </w:tbl>
    <w:p>
      <w:pPr>
        <w:spacing w:lineRule="exact" w:line="1"/>
        <w:rPr>
          <w:sz w:val="2"/>
          <w:szCs w:val="2"/>
        </w:rPr>
      </w:pPr>
      <w:r>
        <w:br w:type="page"/>
      </w:r>
    </w:p>
    <w:p>
      <w:pPr>
        <w:pStyle w:val="Style36"/>
        <w:keepNext/>
        <w:keepLines/>
        <w:widowControl w:val="0"/>
        <w:numPr>
          <w:ilvl w:val="0"/>
          <w:numId w:val="83"/>
        </w:numPr>
        <w:shd w:val="clear" w:color="auto" w:fill="auto"/>
        <w:bidi w:val="0"/>
        <w:spacing w:before="0" w:line="240" w:lineRule="auto"/>
        <w:ind w:left="0" w:right="0" w:firstLine="140"/>
        <w:jc w:val="both"/>
      </w:pPr>
      <w:bookmarkStart w:id="1495" w:name="bookmark1495"/>
      <w:bookmarkStart w:id="1496" w:name="bookmark1496"/>
      <w:bookmarkStart w:id="1497" w:name="bookmark1497"/>
      <w:bookmarkStart w:id="1498" w:name="bookmark1498"/>
      <w:bookmarkEnd w:id="1497"/>
      <w:r>
        <w:rPr>
          <w:color w:val="000000"/>
          <w:spacing w:val="0"/>
          <w:w w:val="100"/>
          <w:position w:val="0"/>
        </w:rPr>
        <w:t>应付利息</w:t>
      </w:r>
      <w:bookmarkEnd w:id="1495"/>
      <w:bookmarkEnd w:id="1496"/>
      <w:bookmarkEnd w:id="14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83"/>
        </w:numPr>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应付股利</w:t>
      </w:r>
      <w:bookmarkEnd w:id="1499"/>
      <w:bookmarkEnd w:id="1500"/>
      <w:bookmarkEnd w:id="150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numPr>
          <w:ilvl w:val="0"/>
          <w:numId w:val="83"/>
        </w:numPr>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其他应付款</w:t>
      </w:r>
      <w:bookmarkEnd w:id="1503"/>
      <w:bookmarkEnd w:id="1504"/>
      <w:bookmarkEnd w:id="1506"/>
    </w:p>
    <w:p>
      <w:pPr>
        <w:pStyle w:val="Style65"/>
        <w:keepNext/>
        <w:keepLines/>
        <w:widowControl w:val="0"/>
        <w:numPr>
          <w:ilvl w:val="0"/>
          <w:numId w:val="85"/>
        </w:numPr>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按款项性质列示其他应付款</w:t>
      </w:r>
      <w:bookmarkEnd w:id="1507"/>
      <w:bookmarkEnd w:id="1508"/>
      <w:bookmarkEnd w:id="151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10,432,806.38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保证金及员工垫付款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1,163,359.70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193,581.55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164,752.47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1,577,225.51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10,791,140.40</w:t>
            </w:r>
          </w:p>
        </w:tc>
      </w:tr>
    </w:tbl>
    <w:p>
      <w:pPr>
        <w:widowControl w:val="0"/>
        <w:spacing w:after="379" w:line="1" w:lineRule="exact"/>
      </w:pPr>
    </w:p>
    <w:p>
      <w:pPr>
        <w:pStyle w:val="Style65"/>
        <w:keepNext/>
        <w:keepLines/>
        <w:widowControl w:val="0"/>
        <w:numPr>
          <w:ilvl w:val="0"/>
          <w:numId w:val="85"/>
        </w:numPr>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11"/>
      <w:bookmarkEnd w:id="1512"/>
      <w:bookmarkEnd w:id="151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15"/>
      <w:bookmarkEnd w:id="1516"/>
      <w:bookmarkEnd w:id="151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33"/>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1352" w:right="1112" w:bottom="1548" w:left="1102" w:header="0" w:footer="3" w:gutter="0"/>
          <w:cols w:space="720"/>
          <w:noEndnote/>
          <w:titlePg/>
          <w:rtlGutter w:val="0"/>
          <w:docGrid w:linePitch="360"/>
        </w:sectPr>
      </w:pPr>
      <w:r>
        <w:rPr>
          <w:color w:val="000000"/>
          <w:spacing w:val="0"/>
          <w:w w:val="100"/>
          <w:position w:val="0"/>
        </w:rPr>
        <w:t>其他说明：</w:t>
      </w:r>
    </w:p>
    <w:p>
      <w:pPr>
        <w:pStyle w:val="Style28"/>
        <w:keepNext/>
        <w:keepLines/>
        <w:widowControl w:val="0"/>
        <w:shd w:val="clear" w:color="auto" w:fill="auto"/>
        <w:bidi w:val="0"/>
        <w:spacing w:before="460" w:after="380" w:line="240" w:lineRule="auto"/>
        <w:ind w:left="0" w:right="0" w:firstLine="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19"/>
      <w:bookmarkEnd w:id="1520"/>
      <w:bookmarkEnd w:id="152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441,903.01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441,903.01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23"/>
      <w:bookmarkEnd w:id="1524"/>
      <w:bookmarkEnd w:id="152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824,654.60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399,573.55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824,654.60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399,573.55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27"/>
      <w:bookmarkEnd w:id="1528"/>
      <w:bookmarkEnd w:id="1530"/>
    </w:p>
    <w:p>
      <w:pPr>
        <w:pStyle w:val="Style36"/>
        <w:keepNext/>
        <w:keepLines/>
        <w:widowControl w:val="0"/>
        <w:shd w:val="clear" w:color="auto" w:fill="auto"/>
        <w:bidi w:val="0"/>
        <w:spacing w:before="0" w:line="240" w:lineRule="auto"/>
        <w:ind w:left="0" w:right="0" w:firstLine="0"/>
        <w:jc w:val="both"/>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31"/>
      <w:bookmarkEnd w:id="1532"/>
      <w:bookmarkEnd w:id="153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5,631,757.16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5,631,757.16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长期借款分类的说明：</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本公司向交通银行股份有限公司珠海分行借入固定资产贷款，总额度</w:t>
      </w:r>
      <w:r>
        <w:rPr>
          <w:rFonts w:ascii="Times New Roman" w:eastAsia="Times New Roman" w:hAnsi="Times New Roman" w:cs="Times New Roman"/>
          <w:color w:val="000000"/>
          <w:spacing w:val="0"/>
          <w:w w:val="100"/>
          <w:position w:val="0"/>
          <w:sz w:val="18"/>
          <w:szCs w:val="18"/>
        </w:rPr>
        <w:t>22,000</w:t>
      </w:r>
      <w:r>
        <w:rPr>
          <w:color w:val="000000"/>
          <w:spacing w:val="0"/>
          <w:w w:val="100"/>
          <w:position w:val="0"/>
        </w:rPr>
        <w:t>万元，该借款仅限用于科技创新海岸厂房建设, 借款期限自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日，并以位于广东省珠海市科技创新海岸北围鼎兴路北、兴中路西侧的土地及 地上建筑物做为抵押。该项借款每</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个月偿还部分本金，至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日止，借款本金为</w:t>
      </w:r>
      <w:r>
        <w:rPr>
          <w:rFonts w:ascii="Times New Roman" w:eastAsia="Times New Roman" w:hAnsi="Times New Roman" w:cs="Times New Roman"/>
          <w:color w:val="000000"/>
          <w:spacing w:val="0"/>
          <w:w w:val="100"/>
          <w:position w:val="0"/>
          <w:sz w:val="18"/>
          <w:szCs w:val="18"/>
        </w:rPr>
        <w:t>6,065,157.16</w:t>
      </w:r>
      <w:r>
        <w:rPr>
          <w:color w:val="000000"/>
          <w:spacing w:val="0"/>
          <w:w w:val="100"/>
          <w:position w:val="0"/>
        </w:rPr>
        <w:t>元，其中一年 内到期的借款本金</w:t>
      </w:r>
      <w:r>
        <w:rPr>
          <w:rFonts w:ascii="Times New Roman" w:eastAsia="Times New Roman" w:hAnsi="Times New Roman" w:cs="Times New Roman"/>
          <w:color w:val="000000"/>
          <w:spacing w:val="0"/>
          <w:w w:val="100"/>
          <w:position w:val="0"/>
          <w:sz w:val="18"/>
          <w:szCs w:val="18"/>
        </w:rPr>
        <w:t>433,400.00</w:t>
      </w:r>
      <w:r>
        <w:rPr>
          <w:color w:val="000000"/>
          <w:spacing w:val="0"/>
          <w:w w:val="100"/>
          <w:position w:val="0"/>
        </w:rPr>
        <w:t>元。</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其他说明，包括利率区间：</w:t>
      </w:r>
    </w:p>
    <w:p>
      <w:pPr>
        <w:pStyle w:val="Style28"/>
        <w:keepNext/>
        <w:keepLines/>
        <w:widowControl w:val="0"/>
        <w:shd w:val="clear" w:color="auto" w:fill="auto"/>
        <w:bidi w:val="0"/>
        <w:spacing w:before="0" w:after="38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35"/>
      <w:bookmarkEnd w:id="1536"/>
      <w:bookmarkEnd w:id="1538"/>
    </w:p>
    <w:p>
      <w:pPr>
        <w:pStyle w:val="Style36"/>
        <w:keepNext/>
        <w:keepLines/>
        <w:widowControl w:val="0"/>
        <w:shd w:val="clear" w:color="auto" w:fill="auto"/>
        <w:bidi w:val="0"/>
        <w:spacing w:before="0" w:after="240" w:line="240" w:lineRule="auto"/>
        <w:ind w:left="0" w:right="0" w:firstLine="0"/>
        <w:jc w:val="both"/>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39"/>
      <w:bookmarkEnd w:id="1540"/>
      <w:bookmarkEnd w:id="1542"/>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w:t>
      </w:r>
      <w:bookmarkEnd w:id="1545"/>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43"/>
      <w:bookmarkEnd w:id="1544"/>
      <w:bookmarkEnd w:id="15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47"/>
      <w:bookmarkEnd w:id="1548"/>
      <w:bookmarkEnd w:id="1550"/>
    </w:p>
    <w:p>
      <w:pPr>
        <w:pStyle w:val="Style36"/>
        <w:keepNext/>
        <w:keepLines/>
        <w:widowControl w:val="0"/>
        <w:shd w:val="clear" w:color="auto" w:fill="auto"/>
        <w:tabs>
          <w:tab w:pos="493" w:val="left"/>
        </w:tabs>
        <w:bidi w:val="0"/>
        <w:spacing w:before="0" w:after="36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51"/>
      <w:bookmarkEnd w:id="1552"/>
      <w:bookmarkEnd w:id="155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55"/>
      <w:bookmarkEnd w:id="1556"/>
      <w:bookmarkEnd w:id="155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59"/>
      <w:bookmarkEnd w:id="1560"/>
      <w:bookmarkEnd w:id="156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63"/>
      <w:bookmarkEnd w:id="1564"/>
      <w:bookmarkEnd w:id="1566"/>
    </w:p>
    <w:p>
      <w:pPr>
        <w:pStyle w:val="Style24"/>
        <w:keepNext w:val="0"/>
        <w:keepLines w:val="0"/>
        <w:widowControl w:val="0"/>
        <w:shd w:val="clear" w:color="auto" w:fill="auto"/>
        <w:bidi w:val="0"/>
        <w:spacing w:before="0" w:after="100" w:line="240" w:lineRule="auto"/>
        <w:ind w:left="8940" w:right="0" w:firstLine="0"/>
        <w:jc w:val="left"/>
      </w:pPr>
      <w:bookmarkStart w:id="1567" w:name="bookmark1567"/>
      <w:r>
        <w:rPr>
          <w:color w:val="000000"/>
          <w:spacing w:val="0"/>
          <w:w w:val="100"/>
          <w:position w:val="0"/>
        </w:rPr>
        <w:t>单</w:t>
      </w:r>
      <w:bookmarkEnd w:id="1567"/>
      <w:r>
        <w:rPr>
          <w:color w:val="000000"/>
          <w:spacing w:val="0"/>
          <w:w w:val="100"/>
          <w:position w:val="0"/>
        </w:rPr>
        <w:t>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numPr>
          <w:ilvl w:val="0"/>
          <w:numId w:val="87"/>
        </w:numPr>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专项应付款</w:t>
      </w:r>
      <w:bookmarkEnd w:id="1568"/>
      <w:bookmarkEnd w:id="1569"/>
      <w:bookmarkEnd w:id="15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形成原因</w:t>
            </w:r>
          </w:p>
        </w:tc>
      </w:tr>
      <w:tr>
        <w:trPr>
          <w:trHeight w:val="2237"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38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572" w:name="bookmark1572"/>
            <w:r>
              <w:rPr>
                <w:b/>
                <w:bCs/>
                <w:color w:val="000000"/>
                <w:spacing w:val="0"/>
                <w:w w:val="100"/>
                <w:position w:val="0"/>
                <w:sz w:val="20"/>
                <w:szCs w:val="20"/>
              </w:rPr>
              <w:t>49</w:t>
            </w:r>
            <w:r>
              <w:rPr>
                <w:rFonts w:ascii="SimSun" w:eastAsia="SimSun" w:hAnsi="SimSun" w:cs="SimSun"/>
                <w:b/>
                <w:bCs/>
                <w:color w:val="000000"/>
                <w:spacing w:val="0"/>
                <w:w w:val="100"/>
                <w:position w:val="0"/>
                <w:sz w:val="20"/>
                <w:szCs w:val="20"/>
              </w:rPr>
              <w:t>、长期应付职工薪酬</w:t>
            </w:r>
            <w:bookmarkEnd w:id="1572"/>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573" w:name="bookmark1573"/>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)长期应付职工薪酬表</w:t>
            </w:r>
            <w:bookmarkEnd w:id="1573"/>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36"/>
        <w:keepNext/>
        <w:keepLines/>
        <w:widowControl w:val="0"/>
        <w:numPr>
          <w:ilvl w:val="0"/>
          <w:numId w:val="89"/>
        </w:numPr>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设定受益计划变动情况</w:t>
      </w:r>
      <w:bookmarkEnd w:id="1574"/>
      <w:bookmarkEnd w:id="1575"/>
      <w:bookmarkEnd w:id="1577"/>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设定受益计划义务现值:</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设定受益计划重大精算假设及敏感性分析结果说明： </w:t>
      </w: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78"/>
      <w:bookmarkEnd w:id="1579"/>
      <w:bookmarkEnd w:id="158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6,988,845.51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见说明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6,988,845.51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8,027,010.90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其他说明，包括重要预计负债的相关重要假设、估计说明：</w:t>
      </w:r>
    </w:p>
    <w:p>
      <w:pPr>
        <w:pStyle w:val="Style24"/>
        <w:keepNext w:val="0"/>
        <w:keepLines w:val="0"/>
        <w:widowControl w:val="0"/>
        <w:shd w:val="clear" w:color="auto" w:fill="auto"/>
        <w:bidi w:val="0"/>
        <w:spacing w:before="0" w:after="240" w:line="317" w:lineRule="exact"/>
        <w:ind w:left="0" w:right="0" w:firstLine="0"/>
        <w:jc w:val="both"/>
      </w:pPr>
      <w:r>
        <w:rPr>
          <w:color w:val="000000"/>
          <w:spacing w:val="0"/>
          <w:w w:val="100"/>
          <w:position w:val="0"/>
        </w:rPr>
        <w:t>本公司产品质量保证金主要针对银行自助设备现金管理系统、银行印章管理系统等产品进行计提，按预计故障率对销售产品 数量进行估算，主要包括维修该类产品所需的差旅费、材料费等。</w:t>
      </w:r>
    </w:p>
    <w:p>
      <w:pPr>
        <w:pStyle w:val="Style28"/>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82"/>
      <w:bookmarkEnd w:id="1583"/>
      <w:bookmarkEnd w:id="158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984"/>
        <w:gridCol w:w="1037"/>
        <w:gridCol w:w="1008"/>
        <w:gridCol w:w="1032"/>
        <w:gridCol w:w="989"/>
        <w:gridCol w:w="1248"/>
        <w:gridCol w:w="107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2031" w:val="left"/>
              </w:tabs>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tab/>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589"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tab/>
              <w:t>本期减少</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589"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tab/>
              <w:t>形成原因</w:t>
            </w:r>
          </w:p>
        </w:tc>
      </w:tr>
      <w:tr>
        <w:trPr>
          <w:trHeight w:val="754"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涉及政府补助的项目：</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86"/>
      <w:bookmarkEnd w:id="1587"/>
      <w:bookmarkEnd w:id="158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90"/>
      <w:bookmarkEnd w:id="1591"/>
      <w:bookmarkEnd w:id="159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253,736,848.00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-1,286,165.00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-1,286,165.00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252,450,683.00</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本期减少为回购限制性股票</w:t>
      </w:r>
      <w:r>
        <w:rPr>
          <w:rFonts w:ascii="Times New Roman" w:eastAsia="Times New Roman" w:hAnsi="Times New Roman" w:cs="Times New Roman"/>
          <w:color w:val="000000"/>
          <w:spacing w:val="0"/>
          <w:w w:val="100"/>
          <w:position w:val="0"/>
          <w:sz w:val="18"/>
          <w:szCs w:val="18"/>
        </w:rPr>
        <w:t>1,286,165</w:t>
      </w:r>
      <w:r>
        <w:rPr>
          <w:color w:val="000000"/>
          <w:spacing w:val="0"/>
          <w:w w:val="100"/>
          <w:position w:val="0"/>
        </w:rPr>
        <w:t>股。</w:t>
      </w:r>
    </w:p>
    <w:p>
      <w:pPr>
        <w:pStyle w:val="Style28"/>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93"/>
      <w:bookmarkEnd w:id="1594"/>
      <w:bookmarkEnd w:id="1596"/>
    </w:p>
    <w:p>
      <w:pPr>
        <w:pStyle w:val="Style36"/>
        <w:keepNext/>
        <w:keepLines/>
        <w:widowControl w:val="0"/>
        <w:shd w:val="clear" w:color="auto" w:fill="auto"/>
        <w:tabs>
          <w:tab w:pos="493" w:val="left"/>
        </w:tabs>
        <w:bidi w:val="0"/>
        <w:spacing w:before="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97"/>
      <w:bookmarkEnd w:id="1598"/>
      <w:bookmarkEnd w:id="1600"/>
    </w:p>
    <w:p>
      <w:pPr>
        <w:pStyle w:val="Style36"/>
        <w:keepNext/>
        <w:keepLines/>
        <w:widowControl w:val="0"/>
        <w:shd w:val="clear" w:color="auto" w:fill="auto"/>
        <w:tabs>
          <w:tab w:pos="493" w:val="left"/>
        </w:tabs>
        <w:bidi w:val="0"/>
        <w:spacing w:before="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01"/>
      <w:bookmarkEnd w:id="1602"/>
      <w:bookmarkEnd w:id="160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r>
        <w:br w:type="page"/>
      </w:r>
    </w:p>
    <w:p>
      <w:pPr>
        <w:pStyle w:val="Style28"/>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05"/>
      <w:bookmarkEnd w:id="1606"/>
      <w:bookmarkEnd w:id="16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178,651,418.17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8,635,355.64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170,016,062.53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1,919,028.98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147,817.78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1,771,211.20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180,570,447.15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8,783,173.42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171,787,273.73</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本期资本公积减少是由于</w:t>
      </w:r>
      <w:r>
        <w:rPr>
          <w:color w:val="000000"/>
          <w:spacing w:val="0"/>
          <w:w w:val="100"/>
          <w:position w:val="0"/>
          <w:sz w:val="18"/>
          <w:szCs w:val="18"/>
        </w:rPr>
        <w:t>：</w:t>
      </w:r>
    </w:p>
    <w:p>
      <w:pPr>
        <w:pStyle w:val="Style54"/>
        <w:keepNext w:val="0"/>
        <w:keepLines w:val="0"/>
        <w:widowControl w:val="0"/>
        <w:shd w:val="clear" w:color="auto" w:fill="auto"/>
        <w:tabs>
          <w:tab w:pos="445" w:val="left"/>
        </w:tabs>
        <w:bidi w:val="0"/>
        <w:spacing w:before="0" w:after="140" w:line="240" w:lineRule="auto"/>
        <w:ind w:left="0" w:right="0" w:firstLine="0"/>
        <w:jc w:val="left"/>
        <w:rPr>
          <w:sz w:val="17"/>
          <w:szCs w:val="17"/>
        </w:rPr>
      </w:pPr>
      <w:bookmarkStart w:id="1609" w:name="bookmark1609"/>
      <w:r>
        <w:rPr>
          <w:rFonts w:ascii="SimSun" w:eastAsia="SimSun" w:hAnsi="SimSun" w:cs="SimSun"/>
          <w:color w:val="000000"/>
          <w:spacing w:val="0"/>
          <w:w w:val="100"/>
          <w:position w:val="0"/>
          <w:sz w:val="17"/>
          <w:szCs w:val="17"/>
        </w:rPr>
        <w:t>（</w:t>
      </w:r>
      <w:bookmarkEnd w:id="1609"/>
      <w:r>
        <w:rPr>
          <w:color w:val="000000"/>
          <w:spacing w:val="0"/>
          <w:w w:val="100"/>
          <w:position w:val="0"/>
          <w:sz w:val="18"/>
          <w:szCs w:val="18"/>
        </w:rPr>
        <w:t>1</w:t>
      </w:r>
      <w:r>
        <w:rPr>
          <w:rFonts w:ascii="SimSun" w:eastAsia="SimSun" w:hAnsi="SimSun" w:cs="SimSun"/>
          <w:color w:val="000000"/>
          <w:spacing w:val="0"/>
          <w:w w:val="100"/>
          <w:position w:val="0"/>
          <w:sz w:val="17"/>
          <w:szCs w:val="17"/>
        </w:rPr>
        <w:t>）</w:t>
        <w:tab/>
        <w:t>回购限制性股票</w:t>
      </w:r>
      <w:r>
        <w:rPr>
          <w:color w:val="000000"/>
          <w:spacing w:val="0"/>
          <w:w w:val="100"/>
          <w:position w:val="0"/>
          <w:sz w:val="18"/>
          <w:szCs w:val="18"/>
        </w:rPr>
        <w:t>1,286,165</w:t>
      </w:r>
      <w:r>
        <w:rPr>
          <w:rFonts w:ascii="SimSun" w:eastAsia="SimSun" w:hAnsi="SimSun" w:cs="SimSun"/>
          <w:color w:val="000000"/>
          <w:spacing w:val="0"/>
          <w:w w:val="100"/>
          <w:position w:val="0"/>
          <w:sz w:val="17"/>
          <w:szCs w:val="17"/>
        </w:rPr>
        <w:t>股，冲减资本公积</w:t>
      </w:r>
      <w:r>
        <w:rPr>
          <w:color w:val="000000"/>
          <w:spacing w:val="0"/>
          <w:w w:val="100"/>
          <w:position w:val="0"/>
          <w:sz w:val="18"/>
          <w:szCs w:val="18"/>
        </w:rPr>
        <w:t>8,635,355.64</w:t>
      </w:r>
      <w:r>
        <w:rPr>
          <w:rFonts w:ascii="SimSun" w:eastAsia="SimSun" w:hAnsi="SimSun" w:cs="SimSun"/>
          <w:color w:val="000000"/>
          <w:spacing w:val="0"/>
          <w:w w:val="100"/>
          <w:position w:val="0"/>
          <w:sz w:val="17"/>
          <w:szCs w:val="17"/>
        </w:rPr>
        <w:t>元；</w:t>
      </w:r>
    </w:p>
    <w:p>
      <w:pPr>
        <w:pStyle w:val="Style24"/>
        <w:keepNext w:val="0"/>
        <w:keepLines w:val="0"/>
        <w:widowControl w:val="0"/>
        <w:shd w:val="clear" w:color="auto" w:fill="auto"/>
        <w:tabs>
          <w:tab w:pos="445" w:val="left"/>
        </w:tabs>
        <w:bidi w:val="0"/>
        <w:spacing w:before="0" w:after="380" w:line="240" w:lineRule="auto"/>
        <w:ind w:left="0" w:right="0" w:firstLine="0"/>
        <w:jc w:val="left"/>
      </w:pPr>
      <w:bookmarkStart w:id="1610" w:name="bookmark1610"/>
      <w:r>
        <w:rPr>
          <w:color w:val="000000"/>
          <w:spacing w:val="0"/>
          <w:w w:val="100"/>
          <w:position w:val="0"/>
        </w:rPr>
        <w:t>（</w:t>
      </w:r>
      <w:bookmarkEnd w:id="16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本年业绩未满足股权激励解锁条件，转回原已计提的激励费用</w:t>
      </w:r>
      <w:r>
        <w:rPr>
          <w:rFonts w:ascii="Times New Roman" w:eastAsia="Times New Roman" w:hAnsi="Times New Roman" w:cs="Times New Roman"/>
          <w:color w:val="000000"/>
          <w:spacing w:val="0"/>
          <w:w w:val="100"/>
          <w:position w:val="0"/>
          <w:sz w:val="18"/>
          <w:szCs w:val="18"/>
        </w:rPr>
        <w:t>147,817.78</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11"/>
      <w:bookmarkEnd w:id="1612"/>
      <w:bookmarkEnd w:id="1614"/>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10,432,806.38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10,029,175.61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403,630.77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10,432,806.38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10,029,175.61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403,630.77</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）库存股系本公司实施限制性股票激励计划所致。本年库存股减少主要是：因条件未成就回购部分限售股而减少</w:t>
      </w:r>
    </w:p>
    <w:p>
      <w:pPr>
        <w:pStyle w:val="Style5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8"/>
          <w:szCs w:val="18"/>
        </w:rPr>
        <w:t>9,921,520.64</w:t>
      </w:r>
      <w:r>
        <w:rPr>
          <w:rFonts w:ascii="SimSun" w:eastAsia="SimSun" w:hAnsi="SimSun" w:cs="SimSun"/>
          <w:color w:val="000000"/>
          <w:spacing w:val="0"/>
          <w:w w:val="100"/>
          <w:position w:val="0"/>
          <w:sz w:val="17"/>
          <w:szCs w:val="17"/>
        </w:rPr>
        <w:t>元，因分配股利减少库存股</w:t>
      </w:r>
      <w:r>
        <w:rPr>
          <w:color w:val="000000"/>
          <w:spacing w:val="0"/>
          <w:w w:val="100"/>
          <w:position w:val="0"/>
          <w:sz w:val="18"/>
          <w:szCs w:val="18"/>
        </w:rPr>
        <w:t>107,654.97</w:t>
      </w:r>
      <w:r>
        <w:rPr>
          <w:rFonts w:ascii="SimSun" w:eastAsia="SimSun" w:hAnsi="SimSun" w:cs="SimSun"/>
          <w:color w:val="000000"/>
          <w:spacing w:val="0"/>
          <w:w w:val="100"/>
          <w:position w:val="0"/>
          <w:sz w:val="17"/>
          <w:szCs w:val="17"/>
        </w:rPr>
        <w:t>元。</w:t>
      </w:r>
    </w:p>
    <w:p>
      <w:pPr>
        <w:pStyle w:val="Style24"/>
        <w:keepNext w:val="0"/>
        <w:keepLines w:val="0"/>
        <w:widowControl w:val="0"/>
        <w:shd w:val="clear" w:color="auto" w:fill="auto"/>
        <w:bidi w:val="0"/>
        <w:spacing w:before="0" w:after="7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）本年回购股份</w:t>
      </w:r>
      <w:r>
        <w:rPr>
          <w:rFonts w:ascii="Times New Roman" w:eastAsia="Times New Roman" w:hAnsi="Times New Roman" w:cs="Times New Roman"/>
          <w:color w:val="000000"/>
          <w:spacing w:val="0"/>
          <w:w w:val="100"/>
          <w:position w:val="0"/>
          <w:sz w:val="18"/>
          <w:szCs w:val="18"/>
        </w:rPr>
        <w:t>1,286,165</w:t>
      </w:r>
      <w:r>
        <w:rPr>
          <w:color w:val="000000"/>
          <w:spacing w:val="0"/>
          <w:w w:val="100"/>
          <w:position w:val="0"/>
        </w:rPr>
        <w:t>股，占本公司已发行股份的</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；期末累计库存</w:t>
      </w:r>
      <w:r>
        <w:rPr>
          <w:rFonts w:ascii="Times New Roman" w:eastAsia="Times New Roman" w:hAnsi="Times New Roman" w:cs="Times New Roman"/>
          <w:color w:val="000000"/>
          <w:spacing w:val="0"/>
          <w:w w:val="100"/>
          <w:position w:val="0"/>
          <w:sz w:val="18"/>
          <w:szCs w:val="18"/>
        </w:rPr>
        <w:t>59,933</w:t>
      </w:r>
      <w:r>
        <w:rPr>
          <w:color w:val="000000"/>
          <w:spacing w:val="0"/>
          <w:w w:val="100"/>
          <w:position w:val="0"/>
        </w:rPr>
        <w:t>股，占已发行股份的</w:t>
      </w: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15"/>
      <w:bookmarkEnd w:id="1616"/>
      <w:bookmarkEnd w:id="161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5</w:t>
      </w:r>
      <w:bookmarkEnd w:id="162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19"/>
      <w:bookmarkEnd w:id="1620"/>
      <w:bookmarkEnd w:id="1622"/>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8"/>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5</w:t>
      </w:r>
      <w:bookmarkEnd w:id="162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23"/>
      <w:bookmarkEnd w:id="1624"/>
      <w:bookmarkEnd w:id="16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41,177,905.43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1,731,638.31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42,909,543.74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41,177,905.43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1,731,638.31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42,909,543.74</w:t>
            </w:r>
          </w:p>
        </w:tc>
      </w:tr>
    </w:tbl>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盈余公积说明，包括本期增减变动情况、变动原因说明：</w:t>
      </w:r>
    </w:p>
    <w:p>
      <w:pPr>
        <w:pStyle w:val="Style24"/>
        <w:keepNext w:val="0"/>
        <w:keepLines w:val="0"/>
        <w:widowControl w:val="0"/>
        <w:shd w:val="clear" w:color="auto" w:fill="auto"/>
        <w:bidi w:val="0"/>
        <w:spacing w:before="0" w:after="720" w:line="322" w:lineRule="exact"/>
        <w:ind w:left="0" w:right="0" w:firstLine="0"/>
        <w:jc w:val="left"/>
      </w:pPr>
      <w:r>
        <w:rPr>
          <w:color w:val="000000"/>
          <w:spacing w:val="0"/>
          <w:w w:val="100"/>
          <w:position w:val="0"/>
        </w:rPr>
        <w:t>根据《公司法》、公司章程的规定，本公司按净利润的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提取法定盈余公积。法定盈余公积累计额达到本公司注册资本</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以上的，不再提取。</w:t>
      </w:r>
    </w:p>
    <w:p>
      <w:pPr>
        <w:pStyle w:val="Style28"/>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27"/>
      <w:bookmarkEnd w:id="1628"/>
      <w:bookmarkEnd w:id="1630"/>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204,672,798.06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220,746,730.81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204,672,798.06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220,746,730.81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17,285,190.02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20,118,329.09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1,731,638.31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2,169,215.41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20,298,947.84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34,023,046.43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199,927,401.93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204,672,798.06</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120" w:line="240" w:lineRule="auto"/>
        <w:ind w:left="0" w:right="0" w:firstLine="0"/>
        <w:jc w:val="left"/>
      </w:pPr>
      <w:bookmarkStart w:id="1631" w:name="bookmark1631"/>
      <w:r>
        <w:rPr>
          <w:rFonts w:ascii="Times New Roman" w:eastAsia="Times New Roman" w:hAnsi="Times New Roman" w:cs="Times New Roman"/>
          <w:color w:val="000000"/>
          <w:spacing w:val="0"/>
          <w:w w:val="100"/>
          <w:position w:val="0"/>
          <w:sz w:val="18"/>
          <w:szCs w:val="18"/>
        </w:rPr>
        <w:t>1</w:t>
      </w:r>
      <w:bookmarkEnd w:id="16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632" w:name="bookmark1632"/>
      <w:r>
        <w:rPr>
          <w:rFonts w:ascii="Times New Roman" w:eastAsia="Times New Roman" w:hAnsi="Times New Roman" w:cs="Times New Roman"/>
          <w:color w:val="000000"/>
          <w:spacing w:val="0"/>
          <w:w w:val="100"/>
          <w:position w:val="0"/>
          <w:sz w:val="18"/>
          <w:szCs w:val="18"/>
        </w:rPr>
        <w:t>2</w:t>
      </w:r>
      <w:bookmarkEnd w:id="16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633" w:name="bookmark1633"/>
      <w:r>
        <w:rPr>
          <w:rFonts w:ascii="Times New Roman" w:eastAsia="Times New Roman" w:hAnsi="Times New Roman" w:cs="Times New Roman"/>
          <w:color w:val="000000"/>
          <w:spacing w:val="0"/>
          <w:w w:val="100"/>
          <w:position w:val="0"/>
          <w:sz w:val="18"/>
          <w:szCs w:val="18"/>
        </w:rPr>
        <w:t>3</w:t>
      </w:r>
      <w:bookmarkEnd w:id="16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634" w:name="bookmark1634"/>
      <w:r>
        <w:rPr>
          <w:rFonts w:ascii="Times New Roman" w:eastAsia="Times New Roman" w:hAnsi="Times New Roman" w:cs="Times New Roman"/>
          <w:color w:val="000000"/>
          <w:spacing w:val="0"/>
          <w:w w:val="100"/>
          <w:position w:val="0"/>
          <w:sz w:val="18"/>
          <w:szCs w:val="18"/>
        </w:rPr>
        <w:t>4</w:t>
      </w:r>
      <w:bookmarkEnd w:id="16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635" w:name="bookmark1635"/>
      <w:r>
        <w:rPr>
          <w:rFonts w:ascii="Times New Roman" w:eastAsia="Times New Roman" w:hAnsi="Times New Roman" w:cs="Times New Roman"/>
          <w:color w:val="000000"/>
          <w:spacing w:val="0"/>
          <w:w w:val="100"/>
          <w:position w:val="0"/>
          <w:sz w:val="18"/>
          <w:szCs w:val="18"/>
        </w:rPr>
        <w:t>5</w:t>
      </w:r>
      <w:bookmarkEnd w:id="16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6</w:t>
      </w:r>
      <w:bookmarkEnd w:id="163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36"/>
      <w:bookmarkEnd w:id="1637"/>
      <w:bookmarkEnd w:id="1639"/>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203,445,856.08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110,257,130.11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196,220,926.57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82,137,659.06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480,346.90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321,949.44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102,669.19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203,926,202.98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110,543,834.31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196,542,876.01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82,240,328.25</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收入相关信息:</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销售商品</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根据合同约定，当商品运送至客户或客户验收该商品时，客户取得商品的控制权，本集团确认收入。</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服务合同</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本集团在提供服务的过程中确认收入。对于合同中包含两项或多项履约义务的，本集团在合同开始日即按照各单项服务的单 独售价的相对比例将交易价格分摊至各项服务。各项服务的单独售价依据本集团单独销售各项服务的价格得出。</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6</w:t>
      </w:r>
      <w:bookmarkEnd w:id="164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40"/>
      <w:bookmarkEnd w:id="1641"/>
      <w:bookmarkEnd w:id="164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716,948.68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904,526.60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307,263.73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387,654.26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84,753.46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140,392.82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120,030.51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204,842.49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258,436.18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1,496,645.62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1,796,760.65</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各项税金及附加的计缴标准详见附注六、税项。</w:t>
      </w:r>
      <w:r>
        <w:br w:type="page"/>
      </w:r>
    </w:p>
    <w:p>
      <w:pPr>
        <w:pStyle w:val="Style28"/>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6</w:t>
      </w:r>
      <w:bookmarkEnd w:id="164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44"/>
      <w:bookmarkEnd w:id="1645"/>
      <w:bookmarkEnd w:id="164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21,082,402.10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25,334,046.55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安装维保费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8,286,333.71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2,927,322.08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705,897.64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556,094.16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912,337.22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915,453.80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宣传推广费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17,251,743.54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12,789,552.43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5,808,738.06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4,486,816.82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1,066,457.20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1,838,841.93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468,988.29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494,673.15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1,816,817.11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1,069,693.02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266,051.27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274,687.92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49,379,432.43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58,973,515.57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48"/>
      <w:bookmarkEnd w:id="1649"/>
      <w:bookmarkEnd w:id="165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8,861,526.54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9,614,719.03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1,356,778.24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1,526,383.48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3,437,044.83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6,506,024.44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1,011,816.70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990,085.32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177,138.13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1,413,320.63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1,504,690.01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2,373,072.51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1,398,701.85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643,602.78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1,749,452.61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-147,817.78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-2,117,571.02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385,333.23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822,497.95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19,402,728.20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22,172,121.80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6</w:t>
      </w:r>
      <w:bookmarkEnd w:id="165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52"/>
      <w:bookmarkEnd w:id="1653"/>
      <w:bookmarkEnd w:id="165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16,361,541.99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21,942,537.40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1,379,226.36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2,080,408.39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787,454.59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1,193,677.87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1,143,555.08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2,266,691.96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1,075,332.10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1,347,054.96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2,106,465.72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697,035.15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775,695.84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964,591.54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2,317,510.15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1,855,918.86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25,946,781.83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32,347,916.13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6</w:t>
      </w:r>
      <w:bookmarkEnd w:id="165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56"/>
      <w:bookmarkEnd w:id="1657"/>
      <w:bookmarkEnd w:id="165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111,795.72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减：利息资本化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111,795.72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400,766.51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625,100.81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68,426.63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49,606.33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-330,178.07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-577,022.38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740" w:line="240" w:lineRule="auto"/>
        <w:ind w:left="0" w:right="0" w:firstLine="0"/>
        <w:jc w:val="left"/>
      </w:pPr>
      <w:r>
        <w:rPr>
          <w:color w:val="000000"/>
          <w:spacing w:val="0"/>
          <w:w w:val="100"/>
          <w:position w:val="0"/>
        </w:rPr>
        <w:t>利息资本化金额已计入在建工程。本期借款为固定资产投资专项借款，全部利息支出均资本化。</w:t>
      </w:r>
    </w:p>
    <w:p>
      <w:pPr>
        <w:pStyle w:val="Style28"/>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6</w:t>
      </w:r>
      <w:bookmarkEnd w:id="166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60"/>
      <w:bookmarkEnd w:id="1661"/>
      <w:bookmarkEnd w:id="166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与日常活动相关的政府补助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17,535,820.01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13,051,989.08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扣缴税款手续费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293,712.97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17,829,532.98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13,051,989.08</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6</w:t>
      </w:r>
      <w:bookmarkEnd w:id="166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64"/>
      <w:bookmarkEnd w:id="1665"/>
      <w:bookmarkEnd w:id="166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5,271,854.55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9,370,379.80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5,271,854.55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9,370,379.80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6</w:t>
      </w:r>
      <w:bookmarkEnd w:id="167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68"/>
      <w:bookmarkEnd w:id="1669"/>
      <w:bookmarkEnd w:id="167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7</w:t>
      </w:r>
      <w:bookmarkEnd w:id="167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72"/>
      <w:bookmarkEnd w:id="1673"/>
      <w:bookmarkEnd w:id="167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262,498.63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245,931.50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262,498.63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7</w:t>
      </w:r>
      <w:bookmarkEnd w:id="167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76"/>
      <w:bookmarkEnd w:id="1677"/>
      <w:bookmarkEnd w:id="167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612,026.03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1,033,095.73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-1,624,762.11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1,044,918.32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-1,012,736.08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7</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80"/>
      <w:bookmarkEnd w:id="1681"/>
      <w:bookmarkEnd w:id="168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-3,311,465.24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-1,283,415.79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-3,311,465.24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-1,283,415.79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7</w:t>
      </w:r>
      <w:bookmarkEnd w:id="168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84"/>
      <w:bookmarkEnd w:id="1685"/>
      <w:bookmarkEnd w:id="168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7</w:t>
      </w:r>
      <w:bookmarkEnd w:id="169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88"/>
      <w:bookmarkEnd w:id="1689"/>
      <w:bookmarkEnd w:id="169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7</w:t>
      </w:r>
      <w:bookmarkEnd w:id="169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92"/>
      <w:bookmarkEnd w:id="1693"/>
      <w:bookmarkEnd w:id="169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公益性捐赠支出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103,872.12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103,872.12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254,429.03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148,260.73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254,429.03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7</w:t>
      </w:r>
      <w:bookmarkEnd w:id="169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96"/>
      <w:bookmarkEnd w:id="1697"/>
      <w:bookmarkEnd w:id="1699"/>
    </w:p>
    <w:p>
      <w:pPr>
        <w:pStyle w:val="Style36"/>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0"/>
      <w:bookmarkEnd w:id="1701"/>
      <w:bookmarkEnd w:id="170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1,358,850.37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-273,689.51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-300,768.83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1,497,179.59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1,058,081.54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1,223,490.08</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03"/>
      <w:bookmarkEnd w:id="1704"/>
      <w:bookmarkEnd w:id="170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18,313,301.74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2,746,995.26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-166,448.81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889,321.19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研究开发费加成扣除的纳税影响（以填列）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-2,420,789.28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1,058,081.54</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06"/>
      <w:bookmarkEnd w:id="1707"/>
      <w:bookmarkEnd w:id="1709"/>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7</w:t>
      </w:r>
      <w:bookmarkEnd w:id="171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10"/>
      <w:bookmarkEnd w:id="1711"/>
      <w:bookmarkEnd w:id="1713"/>
    </w:p>
    <w:p>
      <w:pPr>
        <w:pStyle w:val="Style36"/>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4"/>
      <w:bookmarkEnd w:id="1715"/>
      <w:bookmarkEnd w:id="1716"/>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400,766.51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625,100.81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5,633,320.00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4,661,265.00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687,628.78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524,715.70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786,083.46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378,293.11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7,507,798.75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6,189,374.62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17"/>
      <w:bookmarkEnd w:id="1718"/>
      <w:bookmarkEnd w:id="1719"/>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43,339,619.73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58,301,001.96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265,333.12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1,020,101.30</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55,626.11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90,098.18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208,210.03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43,845,051.03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59,684,939.40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20"/>
      <w:bookmarkEnd w:id="1721"/>
      <w:bookmarkEnd w:id="172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24"/>
      <w:bookmarkEnd w:id="1725"/>
      <w:bookmarkEnd w:id="1727"/>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28"/>
      <w:bookmarkEnd w:id="1729"/>
      <w:bookmarkEnd w:id="1731"/>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32"/>
      <w:bookmarkEnd w:id="1733"/>
      <w:bookmarkEnd w:id="173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回购注销股权激励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9,921,520.64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14,529,360.11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9,921,520.64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14,529,360.11</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7</w:t>
      </w:r>
      <w:bookmarkEnd w:id="173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36"/>
      <w:bookmarkEnd w:id="1737"/>
      <w:bookmarkEnd w:id="1739"/>
    </w:p>
    <w:p>
      <w:pPr>
        <w:pStyle w:val="Style36"/>
        <w:keepNext/>
        <w:keepLines/>
        <w:widowControl w:val="0"/>
        <w:shd w:val="clear" w:color="auto" w:fill="auto"/>
        <w:bidi w:val="0"/>
        <w:spacing w:before="0" w:line="240" w:lineRule="auto"/>
        <w:ind w:left="0" w:right="0" w:firstLine="0"/>
        <w:jc w:val="both"/>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40"/>
      <w:bookmarkEnd w:id="1741"/>
      <w:bookmarkEnd w:id="1742"/>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17,255,220.20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18,606,222.72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2,266,546.92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2,296,151.87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2,027,483.55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2,524,117.41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897,585.44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369,884.29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103,872.12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45,531.43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-262,498.63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-5,271,854.55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-9,370,379.80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-337,658.56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1,497,179.59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36,889.73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-5,296,959.33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21,331,581.12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26,804,263.01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2,042,373.99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10,767,427.18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14,902,793.25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-413,150.90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-2,463,239.02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48,893,909.05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52,417,303.66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81,989,838.59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119,509,503.52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119,509,503.52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164,121,420.70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-37,519,664.93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-44,611,917.18</w:t>
            </w:r>
          </w:p>
        </w:tc>
      </w:tr>
    </w:tbl>
    <w:p>
      <w:pPr>
        <w:widowControl w:val="0"/>
        <w:spacing w:after="379" w:line="1" w:lineRule="exact"/>
      </w:pPr>
    </w:p>
    <w:p>
      <w:pPr>
        <w:pStyle w:val="Style36"/>
        <w:keepNext/>
        <w:keepLines/>
        <w:widowControl w:val="0"/>
        <w:shd w:val="clear" w:color="auto" w:fill="auto"/>
        <w:bidi w:val="0"/>
        <w:spacing w:before="0" w:line="240" w:lineRule="auto"/>
        <w:ind w:left="0" w:right="0" w:firstLine="140"/>
        <w:jc w:val="left"/>
      </w:pPr>
      <w:bookmarkStart w:id="1743" w:name="bookmark1743"/>
      <w:bookmarkStart w:id="1744" w:name="bookmark1744"/>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43"/>
      <w:bookmarkEnd w:id="1744"/>
      <w:bookmarkEnd w:id="174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46"/>
      <w:bookmarkEnd w:id="1747"/>
      <w:bookmarkEnd w:id="174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50"/>
      <w:bookmarkEnd w:id="1751"/>
      <w:bookmarkEnd w:id="175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81,989,838.59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119,509,503.52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67,846.03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81,886,924.32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119,441,657.49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81,989,838.59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119,509,503.52</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本公司本年无销售商品收到的银行承兑汇票背书转让的情况。</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8</w:t>
      </w:r>
      <w:bookmarkEnd w:id="175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54"/>
      <w:bookmarkEnd w:id="1755"/>
      <w:bookmarkEnd w:id="1757"/>
    </w:p>
    <w:p>
      <w:pPr>
        <w:pStyle w:val="Style24"/>
        <w:keepNext w:val="0"/>
        <w:keepLines w:val="0"/>
        <w:widowControl w:val="0"/>
        <w:shd w:val="clear" w:color="auto" w:fill="auto"/>
        <w:bidi w:val="0"/>
        <w:spacing w:before="0" w:after="42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8</w:t>
      </w:r>
      <w:bookmarkEnd w:id="176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58"/>
      <w:bookmarkEnd w:id="1759"/>
      <w:bookmarkEnd w:id="176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911,001.12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8,865,824.01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297,739,460.09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307,516,285.22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8</w:t>
      </w:r>
      <w:bookmarkEnd w:id="176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62"/>
      <w:bookmarkEnd w:id="1763"/>
      <w:bookmarkEnd w:id="1765"/>
    </w:p>
    <w:p>
      <w:pPr>
        <w:pStyle w:val="Style36"/>
        <w:keepNext/>
        <w:keepLines/>
        <w:widowControl w:val="0"/>
        <w:shd w:val="clear" w:color="auto" w:fill="auto"/>
        <w:bidi w:val="0"/>
        <w:spacing w:before="0" w:line="240" w:lineRule="auto"/>
        <w:ind w:left="0" w:right="0" w:firstLine="14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66"/>
      <w:bookmarkEnd w:id="1767"/>
      <w:bookmarkEnd w:id="176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326" w:lineRule="exact"/>
        <w:ind w:left="0" w:right="0" w:firstLine="0"/>
        <w:jc w:val="left"/>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69"/>
      <w:bookmarkEnd w:id="1770"/>
      <w:bookmarkEnd w:id="1771"/>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341" w:lineRule="auto"/>
        <w:ind w:left="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772"/>
      <w:bookmarkEnd w:id="1773"/>
      <w:bookmarkEnd w:id="1774"/>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28"/>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775"/>
      <w:bookmarkEnd w:id="1776"/>
      <w:bookmarkEnd w:id="1777"/>
    </w:p>
    <w:p>
      <w:pPr>
        <w:pStyle w:val="Style36"/>
        <w:keepNext/>
        <w:keepLines/>
        <w:widowControl w:val="0"/>
        <w:shd w:val="clear" w:color="auto" w:fill="auto"/>
        <w:bidi w:val="0"/>
        <w:spacing w:before="0" w:after="36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8"/>
      <w:bookmarkEnd w:id="1779"/>
      <w:bookmarkEnd w:id="17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增值税即征即退款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11,902,500.01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11,902,500.01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年度珠海市产业核心和 关键技术攻关方向项目对接 国家（省）重大科技专项配套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r>
              <w:rPr>
                <w:color w:val="000000"/>
                <w:spacing w:val="0"/>
                <w:w w:val="100"/>
                <w:position w:val="0"/>
                <w:sz w:val="18"/>
                <w:szCs w:val="18"/>
              </w:rPr>
              <w:t>5G</w:t>
            </w:r>
            <w:r>
              <w:rPr>
                <w:rFonts w:ascii="SimSun" w:eastAsia="SimSun" w:hAnsi="SimSun" w:cs="SimSun"/>
                <w:color w:val="000000"/>
                <w:spacing w:val="0"/>
                <w:w w:val="100"/>
                <w:position w:val="0"/>
                <w:sz w:val="17"/>
                <w:szCs w:val="17"/>
              </w:rPr>
              <w:t>和物联网行业应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应对新型冠状病毒肺炎疫情 鼓励企业恢复产能奖励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企业员工到岗奖励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125,320.00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珠海市工信局促进实体经济 高质量发展事后奖补资金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17,535,820.01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17,535,820.01</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781" w:name="bookmark1781"/>
      <w:bookmarkStart w:id="1782" w:name="bookmark1782"/>
      <w:bookmarkStart w:id="1783" w:name="bookmark17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81"/>
      <w:bookmarkEnd w:id="1782"/>
      <w:bookmarkEnd w:id="178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84"/>
      <w:bookmarkEnd w:id="1785"/>
      <w:bookmarkEnd w:id="1786"/>
    </w:p>
    <w:p>
      <w:pPr>
        <w:pStyle w:val="Style22"/>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sz w:val="24"/>
          <w:szCs w:val="24"/>
        </w:rPr>
        <w:t>八</w:t>
      </w:r>
      <w:bookmarkEnd w:id="1789"/>
      <w:r>
        <w:rPr>
          <w:color w:val="000000"/>
          <w:spacing w:val="0"/>
          <w:w w:val="100"/>
          <w:position w:val="0"/>
          <w:sz w:val="24"/>
          <w:szCs w:val="24"/>
        </w:rPr>
        <w:t>、合并范围的变更</w:t>
      </w:r>
      <w:bookmarkEnd w:id="1787"/>
      <w:bookmarkEnd w:id="1788"/>
      <w:bookmarkEnd w:id="1790"/>
    </w:p>
    <w:p>
      <w:pPr>
        <w:pStyle w:val="Style28"/>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1</w:t>
      </w:r>
      <w:bookmarkEnd w:id="1793"/>
      <w:r>
        <w:rPr>
          <w:color w:val="000000"/>
          <w:spacing w:val="0"/>
          <w:w w:val="100"/>
          <w:position w:val="0"/>
        </w:rPr>
        <w:t>、非同一控制下企业合并</w:t>
      </w:r>
      <w:bookmarkEnd w:id="1791"/>
      <w:bookmarkEnd w:id="1792"/>
      <w:bookmarkEnd w:id="1794"/>
    </w:p>
    <w:p>
      <w:pPr>
        <w:pStyle w:val="Style36"/>
        <w:keepNext/>
        <w:keepLines/>
        <w:widowControl w:val="0"/>
        <w:shd w:val="clear" w:color="auto" w:fill="auto"/>
        <w:bidi w:val="0"/>
        <w:spacing w:before="0" w:after="360" w:line="240" w:lineRule="auto"/>
        <w:ind w:left="0" w:right="0" w:firstLine="0"/>
        <w:jc w:val="left"/>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95"/>
      <w:bookmarkEnd w:id="1796"/>
      <w:bookmarkEnd w:id="179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14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98"/>
      <w:bookmarkEnd w:id="1799"/>
      <w:bookmarkEnd w:id="180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6"/>
        <w:keepNext/>
        <w:keepLines/>
        <w:widowControl w:val="0"/>
        <w:numPr>
          <w:ilvl w:val="0"/>
          <w:numId w:val="89"/>
        </w:numPr>
        <w:shd w:val="clear" w:color="auto" w:fill="auto"/>
        <w:bidi w:val="0"/>
        <w:spacing w:before="0" w:line="240" w:lineRule="auto"/>
        <w:ind w:left="0" w:right="0" w:firstLine="0"/>
        <w:jc w:val="left"/>
      </w:pPr>
      <w:bookmarkStart w:id="1801" w:name="bookmark1801"/>
      <w:bookmarkStart w:id="1802" w:name="bookmark1802"/>
      <w:bookmarkStart w:id="1803" w:name="bookmark1803"/>
      <w:bookmarkStart w:id="1804" w:name="bookmark1804"/>
      <w:bookmarkEnd w:id="1803"/>
      <w:r>
        <w:rPr>
          <w:color w:val="000000"/>
          <w:spacing w:val="0"/>
          <w:w w:val="100"/>
          <w:position w:val="0"/>
        </w:rPr>
        <w:t>被购买方于购买日可辨认资产、负债</w:t>
      </w:r>
      <w:bookmarkEnd w:id="1801"/>
      <w:bookmarkEnd w:id="1802"/>
      <w:bookmarkEnd w:id="1804"/>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89"/>
        </w:numPr>
        <w:shd w:val="clear" w:color="auto" w:fill="auto"/>
        <w:bidi w:val="0"/>
        <w:spacing w:before="0" w:line="240" w:lineRule="auto"/>
        <w:ind w:left="0" w:right="0" w:firstLine="0"/>
        <w:jc w:val="left"/>
      </w:pPr>
      <w:bookmarkStart w:id="1805" w:name="bookmark1805"/>
      <w:bookmarkStart w:id="1806" w:name="bookmark1806"/>
      <w:bookmarkStart w:id="1807" w:name="bookmark1807"/>
      <w:bookmarkStart w:id="1808" w:name="bookmark1808"/>
      <w:bookmarkEnd w:id="1807"/>
      <w:r>
        <w:rPr>
          <w:color w:val="000000"/>
          <w:spacing w:val="0"/>
          <w:w w:val="100"/>
          <w:position w:val="0"/>
        </w:rPr>
        <w:t>购买日之前持有的股权按照公允价值重新计量产生的利得或损失</w:t>
      </w:r>
      <w:bookmarkEnd w:id="1805"/>
      <w:bookmarkEnd w:id="1806"/>
      <w:bookmarkEnd w:id="180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numPr>
          <w:ilvl w:val="0"/>
          <w:numId w:val="89"/>
        </w:numPr>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 xml:space="preserve"> 购买日或合并当期期末无法合理确定合并对价或被购买方可辨认资产、负债公允价值的相关说明</w:t>
      </w:r>
      <w:bookmarkEnd w:id="1809"/>
      <w:bookmarkEnd w:id="1810"/>
      <w:bookmarkEnd w:id="1812"/>
    </w:p>
    <w:p>
      <w:pPr>
        <w:pStyle w:val="Style36"/>
        <w:keepNext/>
        <w:keepLines/>
        <w:widowControl w:val="0"/>
        <w:numPr>
          <w:ilvl w:val="0"/>
          <w:numId w:val="89"/>
        </w:numPr>
        <w:shd w:val="clear" w:color="auto" w:fill="auto"/>
        <w:tabs>
          <w:tab w:pos="493" w:val="left"/>
        </w:tabs>
        <w:bidi w:val="0"/>
        <w:spacing w:before="0" w:line="240" w:lineRule="auto"/>
        <w:ind w:left="0" w:right="0" w:firstLine="0"/>
        <w:jc w:val="left"/>
      </w:pPr>
      <w:bookmarkStart w:id="1809" w:name="bookmark1809"/>
      <w:bookmarkStart w:id="1810" w:name="bookmark1810"/>
      <w:bookmarkStart w:id="1813" w:name="bookmark1813"/>
      <w:bookmarkStart w:id="1814" w:name="bookmark1814"/>
      <w:bookmarkEnd w:id="1813"/>
      <w:r>
        <w:rPr>
          <w:color w:val="000000"/>
          <w:spacing w:val="0"/>
          <w:w w:val="100"/>
          <w:position w:val="0"/>
        </w:rPr>
        <w:t>其他说明</w:t>
      </w:r>
      <w:bookmarkEnd w:id="1809"/>
      <w:bookmarkEnd w:id="1810"/>
      <w:bookmarkEnd w:id="1814"/>
    </w:p>
    <w:p>
      <w:pPr>
        <w:pStyle w:val="Style28"/>
        <w:keepNext/>
        <w:keepLines/>
        <w:widowControl w:val="0"/>
        <w:shd w:val="clear" w:color="auto" w:fill="auto"/>
        <w:bidi w:val="0"/>
        <w:spacing w:before="0" w:after="38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bookmarkEnd w:id="1817"/>
      <w:r>
        <w:rPr>
          <w:color w:val="000000"/>
          <w:spacing w:val="0"/>
          <w:w w:val="100"/>
          <w:position w:val="0"/>
        </w:rPr>
        <w:t>、同一控制下企业合并</w:t>
      </w:r>
      <w:bookmarkEnd w:id="1815"/>
      <w:bookmarkEnd w:id="1816"/>
      <w:bookmarkEnd w:id="1818"/>
    </w:p>
    <w:p>
      <w:pPr>
        <w:pStyle w:val="Style36"/>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19"/>
      <w:bookmarkEnd w:id="1820"/>
      <w:bookmarkEnd w:id="182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合并方的净 利润</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822" w:name="bookmark1822"/>
      <w:bookmarkStart w:id="1823" w:name="bookmark1823"/>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22"/>
      <w:bookmarkEnd w:id="1823"/>
      <w:bookmarkEnd w:id="182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或有对价及其变动的说明: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25"/>
      <w:bookmarkEnd w:id="1826"/>
      <w:bookmarkEnd w:id="18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3</w:t>
      </w:r>
      <w:bookmarkEnd w:id="1831"/>
      <w:r>
        <w:rPr>
          <w:color w:val="000000"/>
          <w:spacing w:val="0"/>
          <w:w w:val="100"/>
          <w:position w:val="0"/>
        </w:rPr>
        <w:t>、</w:t>
        <w:tab/>
        <w:t>反向购买</w:t>
      </w:r>
      <w:bookmarkEnd w:id="1829"/>
      <w:bookmarkEnd w:id="1830"/>
      <w:bookmarkEnd w:id="183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28"/>
        <w:keepNext/>
        <w:keepLines/>
        <w:widowControl w:val="0"/>
        <w:shd w:val="clear" w:color="auto" w:fill="auto"/>
        <w:tabs>
          <w:tab w:pos="378" w:val="left"/>
        </w:tabs>
        <w:bidi w:val="0"/>
        <w:spacing w:before="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4</w:t>
      </w:r>
      <w:bookmarkEnd w:id="1835"/>
      <w:r>
        <w:rPr>
          <w:color w:val="000000"/>
          <w:spacing w:val="0"/>
          <w:w w:val="100"/>
          <w:position w:val="0"/>
        </w:rPr>
        <w:t>、</w:t>
        <w:tab/>
        <w:t>处置子公司</w:t>
      </w:r>
      <w:bookmarkEnd w:id="1833"/>
      <w:bookmarkEnd w:id="1834"/>
      <w:bookmarkEnd w:id="183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378" w:val="left"/>
        </w:tabs>
        <w:bidi w:val="0"/>
        <w:spacing w:before="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5</w:t>
      </w:r>
      <w:bookmarkEnd w:id="1839"/>
      <w:r>
        <w:rPr>
          <w:color w:val="000000"/>
          <w:spacing w:val="0"/>
          <w:w w:val="100"/>
          <w:position w:val="0"/>
        </w:rPr>
        <w:t>、</w:t>
        <w:tab/>
        <w:t>其他原因的合并范围变动</w:t>
      </w:r>
      <w:bookmarkEnd w:id="1837"/>
      <w:bookmarkEnd w:id="1838"/>
      <w:bookmarkEnd w:id="184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8"/>
        <w:keepNext/>
        <w:keepLines/>
        <w:widowControl w:val="0"/>
        <w:shd w:val="clear" w:color="auto" w:fill="auto"/>
        <w:tabs>
          <w:tab w:pos="378" w:val="left"/>
        </w:tabs>
        <w:bidi w:val="0"/>
        <w:spacing w:before="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6</w:t>
      </w:r>
      <w:bookmarkEnd w:id="1843"/>
      <w:r>
        <w:rPr>
          <w:color w:val="000000"/>
          <w:spacing w:val="0"/>
          <w:w w:val="100"/>
          <w:position w:val="0"/>
        </w:rPr>
        <w:t>、</w:t>
        <w:tab/>
        <w:t>其他</w:t>
      </w:r>
      <w:bookmarkEnd w:id="1841"/>
      <w:bookmarkEnd w:id="1842"/>
      <w:bookmarkEnd w:id="1844"/>
    </w:p>
    <w:p>
      <w:pPr>
        <w:pStyle w:val="Style22"/>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sz w:val="24"/>
          <w:szCs w:val="24"/>
        </w:rPr>
        <w:t>九</w:t>
      </w:r>
      <w:bookmarkEnd w:id="1847"/>
      <w:r>
        <w:rPr>
          <w:color w:val="000000"/>
          <w:spacing w:val="0"/>
          <w:w w:val="100"/>
          <w:position w:val="0"/>
          <w:sz w:val="24"/>
          <w:szCs w:val="24"/>
        </w:rPr>
        <w:t>、在其他主体中的权益</w:t>
      </w:r>
      <w:bookmarkEnd w:id="1845"/>
      <w:bookmarkEnd w:id="1846"/>
      <w:bookmarkEnd w:id="1848"/>
    </w:p>
    <w:p>
      <w:pPr>
        <w:pStyle w:val="Style28"/>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49"/>
      <w:bookmarkEnd w:id="1850"/>
      <w:bookmarkEnd w:id="1851"/>
    </w:p>
    <w:p>
      <w:pPr>
        <w:pStyle w:val="Style36"/>
        <w:keepNext/>
        <w:keepLines/>
        <w:widowControl w:val="0"/>
        <w:shd w:val="clear" w:color="auto" w:fill="auto"/>
        <w:bidi w:val="0"/>
        <w:spacing w:before="0" w:after="360" w:line="240" w:lineRule="auto"/>
        <w:ind w:left="0" w:right="0" w:firstLine="140"/>
        <w:jc w:val="left"/>
      </w:pPr>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2"/>
      <w:bookmarkEnd w:id="1853"/>
      <w:bookmarkEnd w:id="185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贵安新区贵金科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智能科技产品的 研发与销售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确定公司是代理人还是委托人的依据：</w:t>
      </w: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55"/>
      <w:bookmarkEnd w:id="1856"/>
      <w:bookmarkEnd w:id="18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贵安新区贵金科技有限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-1,685,690.40</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87"/>
        </w:numPr>
        <w:shd w:val="clear" w:color="auto" w:fill="auto"/>
        <w:bidi w:val="0"/>
        <w:spacing w:before="0" w:line="240" w:lineRule="auto"/>
        <w:ind w:left="0" w:right="0" w:firstLine="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重要非全资子公司的主要财务信息</w:t>
      </w:r>
      <w:bookmarkEnd w:id="1858"/>
      <w:bookmarkEnd w:id="1859"/>
      <w:bookmarkEnd w:id="186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贵安新 区贵金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19,692,6</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8,973.80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19,701,5</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21,141,7</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21,141,7</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19,758,2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19,901,5</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21,280,5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21,280,5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贵安新区贵 金科技有限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-61,162.89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-17,512.16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-3,085,931.37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-3,085,931.37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-35,969.88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numPr>
          <w:ilvl w:val="0"/>
          <w:numId w:val="87"/>
        </w:numPr>
        <w:shd w:val="clear" w:color="auto" w:fill="auto"/>
        <w:tabs>
          <w:tab w:pos="493" w:val="left"/>
        </w:tabs>
        <w:bidi w:val="0"/>
        <w:spacing w:before="0" w:line="240" w:lineRule="auto"/>
        <w:ind w:left="0" w:right="0" w:firstLine="0"/>
        <w:jc w:val="left"/>
      </w:pPr>
      <w:bookmarkStart w:id="1862" w:name="bookmark1862"/>
      <w:bookmarkStart w:id="1863" w:name="bookmark1863"/>
      <w:bookmarkStart w:id="1864" w:name="bookmark1864"/>
      <w:bookmarkStart w:id="1865" w:name="bookmark1865"/>
      <w:bookmarkEnd w:id="1864"/>
      <w:r>
        <w:rPr>
          <w:color w:val="000000"/>
          <w:spacing w:val="0"/>
          <w:w w:val="100"/>
          <w:position w:val="0"/>
        </w:rPr>
        <w:t>使用企业集团资产和清偿企业集团债务的重大限制</w:t>
      </w:r>
      <w:bookmarkEnd w:id="1862"/>
      <w:bookmarkEnd w:id="1863"/>
      <w:bookmarkEnd w:id="1865"/>
    </w:p>
    <w:p>
      <w:pPr>
        <w:pStyle w:val="Style36"/>
        <w:keepNext/>
        <w:keepLines/>
        <w:widowControl w:val="0"/>
        <w:numPr>
          <w:ilvl w:val="0"/>
          <w:numId w:val="87"/>
        </w:numPr>
        <w:shd w:val="clear" w:color="auto" w:fill="auto"/>
        <w:tabs>
          <w:tab w:pos="493" w:val="left"/>
        </w:tabs>
        <w:bidi w:val="0"/>
        <w:spacing w:before="0" w:line="240" w:lineRule="auto"/>
        <w:ind w:left="0" w:right="0" w:firstLine="0"/>
        <w:jc w:val="left"/>
      </w:pPr>
      <w:bookmarkStart w:id="1866" w:name="bookmark1866"/>
      <w:bookmarkStart w:id="1867" w:name="bookmark1867"/>
      <w:bookmarkStart w:id="1868" w:name="bookmark1868"/>
      <w:bookmarkStart w:id="1869" w:name="bookmark1869"/>
      <w:bookmarkEnd w:id="1868"/>
      <w:r>
        <w:rPr>
          <w:color w:val="000000"/>
          <w:spacing w:val="0"/>
          <w:w w:val="100"/>
          <w:position w:val="0"/>
        </w:rPr>
        <w:t>向纳入合并财务报表范围的结构化主体提供的财务支持或其他支持</w:t>
      </w:r>
      <w:bookmarkEnd w:id="1866"/>
      <w:bookmarkEnd w:id="1867"/>
      <w:bookmarkEnd w:id="1869"/>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2</w:t>
      </w:r>
      <w:bookmarkEnd w:id="1872"/>
      <w:r>
        <w:rPr>
          <w:color w:val="000000"/>
          <w:spacing w:val="0"/>
          <w:w w:val="100"/>
          <w:position w:val="0"/>
        </w:rPr>
        <w:t>、在子公司的所有者权益份额发生变化且仍控制子公司的交易</w:t>
      </w:r>
      <w:bookmarkEnd w:id="1870"/>
      <w:bookmarkEnd w:id="1871"/>
      <w:bookmarkEnd w:id="1873"/>
    </w:p>
    <w:p>
      <w:pPr>
        <w:pStyle w:val="Style36"/>
        <w:keepNext/>
        <w:keepLines/>
        <w:widowControl w:val="0"/>
        <w:shd w:val="clear" w:color="auto" w:fill="auto"/>
        <w:tabs>
          <w:tab w:pos="493" w:val="left"/>
        </w:tabs>
        <w:bidi w:val="0"/>
        <w:spacing w:before="0" w:after="36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74"/>
      <w:bookmarkEnd w:id="1875"/>
      <w:bookmarkEnd w:id="1877"/>
    </w:p>
    <w:p>
      <w:pPr>
        <w:pStyle w:val="Style36"/>
        <w:keepNext/>
        <w:keepLines/>
        <w:widowControl w:val="0"/>
        <w:shd w:val="clear" w:color="auto" w:fill="auto"/>
        <w:tabs>
          <w:tab w:pos="493" w:val="left"/>
        </w:tabs>
        <w:bidi w:val="0"/>
        <w:spacing w:before="0" w:after="36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78"/>
      <w:bookmarkEnd w:id="1879"/>
      <w:bookmarkEnd w:id="18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3</w:t>
      </w:r>
      <w:bookmarkEnd w:id="1884"/>
      <w:r>
        <w:rPr>
          <w:color w:val="000000"/>
          <w:spacing w:val="0"/>
          <w:w w:val="100"/>
          <w:position w:val="0"/>
        </w:rPr>
        <w:t>、在合营安排或联营企业中的权益</w:t>
      </w:r>
      <w:bookmarkEnd w:id="1882"/>
      <w:bookmarkEnd w:id="1883"/>
      <w:bookmarkEnd w:id="1885"/>
    </w:p>
    <w:p>
      <w:pPr>
        <w:pStyle w:val="Style36"/>
        <w:keepNext/>
        <w:keepLines/>
        <w:widowControl w:val="0"/>
        <w:shd w:val="clear" w:color="auto" w:fill="auto"/>
        <w:bidi w:val="0"/>
        <w:spacing w:before="0" w:after="360" w:line="240" w:lineRule="auto"/>
        <w:ind w:left="0" w:right="0" w:firstLine="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86"/>
      <w:bookmarkEnd w:id="1887"/>
      <w:bookmarkEnd w:id="1888"/>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0" w:after="360" w:line="240" w:lineRule="auto"/>
        <w:ind w:left="0" w:right="0" w:firstLine="0"/>
        <w:jc w:val="left"/>
      </w:pPr>
      <w:bookmarkStart w:id="1889" w:name="bookmark1889"/>
      <w:bookmarkStart w:id="1890" w:name="bookmark1890"/>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89"/>
      <w:bookmarkEnd w:id="1890"/>
      <w:bookmarkEnd w:id="1891"/>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w:t>
      </w:r>
      <w:bookmarkEnd w:id="1894"/>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92"/>
      <w:bookmarkEnd w:id="1893"/>
      <w:bookmarkEnd w:id="1895"/>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w:t>
      </w:r>
      <w:bookmarkEnd w:id="1898"/>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96"/>
      <w:bookmarkEnd w:id="1897"/>
      <w:bookmarkEnd w:id="189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numPr>
          <w:ilvl w:val="0"/>
          <w:numId w:val="91"/>
        </w:numPr>
        <w:shd w:val="clear" w:color="auto" w:fill="auto"/>
        <w:tabs>
          <w:tab w:pos="633" w:val="left"/>
        </w:tabs>
        <w:bidi w:val="0"/>
        <w:spacing w:before="0" w:after="360" w:line="240" w:lineRule="auto"/>
        <w:ind w:left="0" w:right="0" w:firstLine="140"/>
        <w:jc w:val="left"/>
      </w:pPr>
      <w:bookmarkStart w:id="1900" w:name="bookmark1900"/>
      <w:bookmarkStart w:id="1901" w:name="bookmark1901"/>
      <w:bookmarkStart w:id="1902" w:name="bookmark1902"/>
      <w:bookmarkStart w:id="1903" w:name="bookmark1903"/>
      <w:bookmarkEnd w:id="1902"/>
      <w:r>
        <w:rPr>
          <w:color w:val="000000"/>
          <w:spacing w:val="0"/>
          <w:w w:val="100"/>
          <w:position w:val="0"/>
        </w:rPr>
        <w:t>合营企业或联营企业向本公司转移资金的能力存在重大限制的说明</w:t>
      </w:r>
      <w:bookmarkEnd w:id="1900"/>
      <w:bookmarkEnd w:id="1901"/>
      <w:bookmarkEnd w:id="1903"/>
    </w:p>
    <w:p>
      <w:pPr>
        <w:pStyle w:val="Style36"/>
        <w:keepNext/>
        <w:keepLines/>
        <w:widowControl w:val="0"/>
        <w:numPr>
          <w:ilvl w:val="0"/>
          <w:numId w:val="91"/>
        </w:numPr>
        <w:shd w:val="clear" w:color="auto" w:fill="auto"/>
        <w:tabs>
          <w:tab w:pos="633" w:val="left"/>
        </w:tabs>
        <w:bidi w:val="0"/>
        <w:spacing w:before="0" w:after="360" w:line="240" w:lineRule="auto"/>
        <w:ind w:left="0" w:right="0" w:firstLine="140"/>
        <w:jc w:val="left"/>
      </w:pPr>
      <w:bookmarkStart w:id="1904" w:name="bookmark1904"/>
      <w:bookmarkStart w:id="1905" w:name="bookmark1905"/>
      <w:bookmarkStart w:id="1906" w:name="bookmark1906"/>
      <w:bookmarkStart w:id="1907" w:name="bookmark1907"/>
      <w:bookmarkEnd w:id="1906"/>
      <w:r>
        <w:rPr>
          <w:color w:val="000000"/>
          <w:spacing w:val="0"/>
          <w:w w:val="100"/>
          <w:position w:val="0"/>
        </w:rPr>
        <w:t>合营企业或联营企业发生的超额亏损</w:t>
      </w:r>
      <w:bookmarkEnd w:id="1904"/>
      <w:bookmarkEnd w:id="1905"/>
      <w:bookmarkEnd w:id="190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91"/>
        </w:numPr>
        <w:shd w:val="clear" w:color="auto" w:fill="auto"/>
        <w:tabs>
          <w:tab w:pos="493" w:val="left"/>
        </w:tabs>
        <w:bidi w:val="0"/>
        <w:spacing w:before="0" w:after="360" w:line="240" w:lineRule="auto"/>
        <w:ind w:left="0" w:right="0" w:firstLine="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与合营企业投资相关的未确认承诺</w:t>
      </w:r>
      <w:bookmarkEnd w:id="1908"/>
      <w:bookmarkEnd w:id="1909"/>
      <w:bookmarkEnd w:id="1911"/>
    </w:p>
    <w:p>
      <w:pPr>
        <w:pStyle w:val="Style36"/>
        <w:keepNext/>
        <w:keepLines/>
        <w:widowControl w:val="0"/>
        <w:numPr>
          <w:ilvl w:val="0"/>
          <w:numId w:val="91"/>
        </w:numPr>
        <w:shd w:val="clear" w:color="auto" w:fill="auto"/>
        <w:tabs>
          <w:tab w:pos="493" w:val="left"/>
        </w:tabs>
        <w:bidi w:val="0"/>
        <w:spacing w:before="0" w:after="360" w:line="240" w:lineRule="auto"/>
        <w:ind w:left="0" w:right="0" w:firstLine="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与合营企业或联营企业投资相关的或有负债</w:t>
      </w:r>
      <w:bookmarkEnd w:id="1912"/>
      <w:bookmarkEnd w:id="1913"/>
      <w:bookmarkEnd w:id="1915"/>
    </w:p>
    <w:p>
      <w:pPr>
        <w:pStyle w:val="Style28"/>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4</w:t>
      </w:r>
      <w:bookmarkEnd w:id="1918"/>
      <w:r>
        <w:rPr>
          <w:color w:val="000000"/>
          <w:spacing w:val="0"/>
          <w:w w:val="100"/>
          <w:position w:val="0"/>
        </w:rPr>
        <w:t>、重要的共同经营</w:t>
      </w:r>
      <w:bookmarkEnd w:id="1916"/>
      <w:bookmarkEnd w:id="1917"/>
      <w:bookmarkEnd w:id="1919"/>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在共同经营中的持股比例或享有的份额不同于表决权比例的说明：</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共同经营为单独主体的，分类为共同经营的依据：</w:t>
      </w:r>
    </w:p>
    <w:p>
      <w:pPr>
        <w:pStyle w:val="Style24"/>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425" w:val="left"/>
        </w:tabs>
        <w:bidi w:val="0"/>
        <w:spacing w:before="0" w:after="26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5</w:t>
      </w:r>
      <w:bookmarkEnd w:id="1922"/>
      <w:r>
        <w:rPr>
          <w:color w:val="000000"/>
          <w:spacing w:val="0"/>
          <w:w w:val="100"/>
          <w:position w:val="0"/>
        </w:rPr>
        <w:t>、</w:t>
        <w:tab/>
        <w:t>在未纳入合并财务报表范围的结构化主体中的权益</w:t>
      </w:r>
      <w:bookmarkEnd w:id="1920"/>
      <w:bookmarkEnd w:id="1921"/>
      <w:bookmarkEnd w:id="1923"/>
    </w:p>
    <w:p>
      <w:pPr>
        <w:pStyle w:val="Style24"/>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未纳入合并财务报表范围的结构化主体的相关说明：</w:t>
      </w:r>
    </w:p>
    <w:p>
      <w:pPr>
        <w:pStyle w:val="Style28"/>
        <w:keepNext/>
        <w:keepLines/>
        <w:widowControl w:val="0"/>
        <w:shd w:val="clear" w:color="auto" w:fill="auto"/>
        <w:tabs>
          <w:tab w:pos="425" w:val="left"/>
        </w:tabs>
        <w:bidi w:val="0"/>
        <w:spacing w:before="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6</w:t>
      </w:r>
      <w:bookmarkEnd w:id="1926"/>
      <w:r>
        <w:rPr>
          <w:color w:val="000000"/>
          <w:spacing w:val="0"/>
          <w:w w:val="100"/>
          <w:position w:val="0"/>
        </w:rPr>
        <w:t>、</w:t>
        <w:tab/>
        <w:t>其他</w:t>
      </w:r>
      <w:bookmarkEnd w:id="1924"/>
      <w:bookmarkEnd w:id="1925"/>
      <w:bookmarkEnd w:id="1927"/>
    </w:p>
    <w:p>
      <w:pPr>
        <w:pStyle w:val="Style22"/>
        <w:keepNext/>
        <w:keepLines/>
        <w:widowControl w:val="0"/>
        <w:shd w:val="clear" w:color="auto" w:fill="auto"/>
        <w:bidi w:val="0"/>
        <w:spacing w:before="0" w:after="260" w:line="240" w:lineRule="auto"/>
        <w:ind w:left="0" w:right="0" w:firstLine="0"/>
        <w:jc w:val="left"/>
      </w:pPr>
      <w:bookmarkStart w:id="1928" w:name="bookmark1928"/>
      <w:bookmarkStart w:id="1929" w:name="bookmark1929"/>
      <w:bookmarkStart w:id="1930" w:name="bookmark1930"/>
      <w:r>
        <w:rPr>
          <w:color w:val="000000"/>
          <w:spacing w:val="0"/>
          <w:w w:val="100"/>
          <w:position w:val="0"/>
          <w:sz w:val="24"/>
          <w:szCs w:val="24"/>
        </w:rPr>
        <w:t>十、与金融工具相关的风险</w:t>
      </w:r>
      <w:bookmarkEnd w:id="1928"/>
      <w:bookmarkEnd w:id="1929"/>
      <w:bookmarkEnd w:id="1930"/>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本集团的主要金融工具包括货币资金、应收票据、应收账款、其他应收款、交易性金融资产、应付账款、其他应付款。各项 金融工具的详细情况已于相关附注内披露。与这些金融工具有关的风险，以及本集团为降低这些风险所采取的风险管理政策 如下所述。本集团管理层对这些风险敞口进行管理和监控以确保将上述风险控制在限定的范围之内。</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风险管理目标和政策</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本集团从事风险管理的目标是在风险和收益之间取得适当的平衡，力求降低金融风险对本集团财务业绩的不利影响。基于该 风险管理目标，本集团已制定风险管理政策以辨别和分析本集团所面临的风险，设定适当的风险可接受水平并设计相应的内 部控制程序，以监控本集团的风险水平。本集团会定期审阅这些风险管理政策及有关内部控制系统，以适应市场情况或本集 团经营活动的改变。本集团的内部审计部门也定期或随机检查内部控制系统的执行是否符合风险管理政策。</w:t>
      </w:r>
    </w:p>
    <w:p>
      <w:pPr>
        <w:pStyle w:val="Style24"/>
        <w:keepNext w:val="0"/>
        <w:keepLines w:val="0"/>
        <w:widowControl w:val="0"/>
        <w:shd w:val="clear" w:color="auto" w:fill="auto"/>
        <w:bidi w:val="0"/>
        <w:spacing w:before="0" w:after="40" w:line="311" w:lineRule="exact"/>
        <w:ind w:left="0" w:right="0" w:firstLine="0"/>
        <w:jc w:val="both"/>
      </w:pPr>
      <w:r>
        <w:rPr>
          <w:color w:val="000000"/>
          <w:spacing w:val="0"/>
          <w:w w:val="100"/>
          <w:position w:val="0"/>
        </w:rPr>
        <w:t xml:space="preserve">本集团的金融工具导致的主要风险是信用风险、流动性风险、市场风险(包括汇率风险、利率风险和商品价格风险)。 </w:t>
      </w:r>
      <w:r>
        <w:rPr>
          <w:color w:val="000000"/>
          <w:spacing w:val="0"/>
          <w:w w:val="100"/>
          <w:position w:val="0"/>
        </w:rPr>
        <w:t>董事会负责规划并建立本集团的风险管理架构，制定本集团的风险管理政策和相关指引并监督风险管理措施的执行情况。本 集团已制定风险管理政策以识别和分析本集团所面临的风险，这些风险管理政策对特定风险进行了明确规定，涵盖了市场风 险、信用风险和流动性风险管理等诸多方面。本集团定期评估市场环境及本集团经营活动的变化以决定是否对风险管理政策 及系统进行更新。本集团的风险管理由风险管理委员会按照董事会批准的政策开展。风险管理委员会通过与本集团其他业务 部门的紧密合作来识别、评价和规避相关风险。本集团内部审计部门就风险管理控制及程序进行定期的审核，并将审核结果 上报本集团的审计委员会。</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本集团通过适当的多样化投资及业务组合来分散金融工具风险，并通过制定相应的风险管理政策减少集中于单一行业、特定 地区或特定交易对手的风险。</w:t>
      </w:r>
    </w:p>
    <w:p>
      <w:pPr>
        <w:pStyle w:val="Style24"/>
        <w:keepNext w:val="0"/>
        <w:keepLines w:val="0"/>
        <w:widowControl w:val="0"/>
        <w:shd w:val="clear" w:color="auto" w:fill="auto"/>
        <w:tabs>
          <w:tab w:pos="445" w:val="left"/>
        </w:tabs>
        <w:bidi w:val="0"/>
        <w:spacing w:before="0" w:after="40" w:line="312" w:lineRule="exact"/>
        <w:ind w:left="0" w:right="0" w:firstLine="0"/>
        <w:jc w:val="left"/>
      </w:pPr>
      <w:bookmarkStart w:id="1931" w:name="bookmark1931"/>
      <w:r>
        <w:rPr>
          <w:color w:val="000000"/>
          <w:spacing w:val="0"/>
          <w:w w:val="100"/>
          <w:position w:val="0"/>
        </w:rPr>
        <w:t>（</w:t>
      </w:r>
      <w:bookmarkEnd w:id="19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信用风险，是指交易对手未能履行合同义务而导致本集团产生财务损失的风险。</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本集团对信用风险按组合分类进行管理。信用风险主要产生于银行存款、应收票据、应收账款、其他应收款。</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本集团银行存款主要存放于国有银行和其它大中型上市银行，本集团预期银行存款不存在重大的信用风险。</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对于应收票据、应收账款、其他应收款，本集团设定相关政策以控制信用风险敞口。本集团基于对客户的财务状况、信用记 录及其他因素诸如目前市场状况等评估客户的信用资质并设置相应信用期。本集团会定期对客户信用记录进行监控，对于信 用记录不良的客户，本集团会采用书面催款、缩短信用期或取消信用期等方式，以确保本集团的整体信用风险在可控的范围 内。</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本集团应收账款的债务人为分布于不同行业和地区的客户。本集团持续对应收账款的财务状况实施信用评估，并在适当时购 买信用担保保险。</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本集团所承受的最大信用风险敞口为资产负债表中每项金融资产的账面金额。本集团没有提供任何其他可能令本集团承受信 用风险的担保。</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本集团应收账款中，前五大客户的应收账款占本集团应收账款总额的</w:t>
      </w:r>
      <w:r>
        <w:rPr>
          <w:rFonts w:ascii="Times New Roman" w:eastAsia="Times New Roman" w:hAnsi="Times New Roman" w:cs="Times New Roman"/>
          <w:color w:val="000000"/>
          <w:spacing w:val="0"/>
          <w:w w:val="100"/>
          <w:position w:val="0"/>
          <w:sz w:val="18"/>
          <w:szCs w:val="18"/>
        </w:rPr>
        <w:t>45.81%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31.38%</w:t>
      </w:r>
      <w:r>
        <w:rPr>
          <w:color w:val="000000"/>
          <w:spacing w:val="0"/>
          <w:w w:val="100"/>
          <w:position w:val="0"/>
        </w:rPr>
        <w:t>）；本集团其他应收款中， 欠款金额前五大公司的其他应收款占本集团其他应收款总额的</w:t>
      </w:r>
      <w:r>
        <w:rPr>
          <w:rFonts w:ascii="Times New Roman" w:eastAsia="Times New Roman" w:hAnsi="Times New Roman" w:cs="Times New Roman"/>
          <w:color w:val="000000"/>
          <w:spacing w:val="0"/>
          <w:w w:val="100"/>
          <w:position w:val="0"/>
          <w:sz w:val="18"/>
          <w:szCs w:val="18"/>
        </w:rPr>
        <w:t>62.58%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42.88%</w:t>
      </w:r>
      <w:r>
        <w:rPr>
          <w:color w:val="000000"/>
          <w:spacing w:val="0"/>
          <w:w w:val="100"/>
          <w:position w:val="0"/>
        </w:rPr>
        <w:t>）。</w:t>
      </w:r>
    </w:p>
    <w:p>
      <w:pPr>
        <w:pStyle w:val="Style24"/>
        <w:keepNext w:val="0"/>
        <w:keepLines w:val="0"/>
        <w:widowControl w:val="0"/>
        <w:shd w:val="clear" w:color="auto" w:fill="auto"/>
        <w:tabs>
          <w:tab w:pos="445" w:val="left"/>
        </w:tabs>
        <w:bidi w:val="0"/>
        <w:spacing w:before="0" w:after="40" w:line="312" w:lineRule="exact"/>
        <w:ind w:left="0" w:right="0" w:firstLine="0"/>
        <w:jc w:val="left"/>
      </w:pPr>
      <w:bookmarkStart w:id="1932" w:name="bookmark1932"/>
      <w:r>
        <w:rPr>
          <w:color w:val="000000"/>
          <w:spacing w:val="0"/>
          <w:w w:val="100"/>
          <w:position w:val="0"/>
        </w:rPr>
        <w:t>（</w:t>
      </w:r>
      <w:bookmarkEnd w:id="19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流动性风险</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流动性风险，是指本集团在履行以交付现金或其他金融资产结算的义务时遇到资金短缺的风险。</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管理流动风险时，本集团保持管理层认为充分的现金及现金等价物并对其进行监控，以满足本集团经营需要，并降低现金流 量波动的影响。</w:t>
      </w:r>
    </w:p>
    <w:p>
      <w:pPr>
        <w:pStyle w:val="Style24"/>
        <w:keepNext w:val="0"/>
        <w:keepLines w:val="0"/>
        <w:widowControl w:val="0"/>
        <w:shd w:val="clear" w:color="auto" w:fill="auto"/>
        <w:tabs>
          <w:tab w:pos="445" w:val="left"/>
        </w:tabs>
        <w:bidi w:val="0"/>
        <w:spacing w:before="0" w:after="40" w:line="312" w:lineRule="exact"/>
        <w:ind w:left="0" w:right="0" w:firstLine="0"/>
        <w:jc w:val="left"/>
      </w:pPr>
      <w:bookmarkStart w:id="1933" w:name="bookmark1933"/>
      <w:r>
        <w:rPr>
          <w:color w:val="000000"/>
          <w:spacing w:val="0"/>
          <w:w w:val="100"/>
          <w:position w:val="0"/>
        </w:rPr>
        <w:t>（</w:t>
      </w:r>
      <w:bookmarkEnd w:id="19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市场风险</w:t>
      </w:r>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金融工具的市场风险，是指金融工具的公允价值或未来现金流量因市场价格变动而发生波动的风险，包括利率风险、汇率风 险和其他价格风险。</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利率风险</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利率风险，是指金融工具的公允价值或未来现金流量因市场利率变动而发生波动的风险。利率风险可源于已确认的计息金融 工具和未确认的金融工具（如某些贷款承诺）。</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本集团的利率风险主要产生于长期银行借款。本集团密切关注利率变动对本集团利率风险的影响。本集团目前并未采取利率 对冲政策。但管理层负责监控利率风险，并将于需要时考虑对冲重大利率风险。</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汇率风险</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本集团的主要经营位于中国境内，主要业务以人民币结算，基本无汇率风险。</w:t>
      </w:r>
    </w:p>
    <w:p>
      <w:pPr>
        <w:pStyle w:val="Style22"/>
        <w:keepNext/>
        <w:keepLines/>
        <w:widowControl w:val="0"/>
        <w:shd w:val="clear" w:color="auto" w:fill="auto"/>
        <w:bidi w:val="0"/>
        <w:spacing w:before="0" w:line="240" w:lineRule="auto"/>
        <w:ind w:left="0" w:right="0" w:firstLine="0"/>
        <w:jc w:val="left"/>
      </w:pPr>
      <w:bookmarkStart w:id="1934" w:name="bookmark1934"/>
      <w:bookmarkStart w:id="1935" w:name="bookmark1935"/>
      <w:bookmarkStart w:id="1936" w:name="bookmark1936"/>
      <w:r>
        <w:rPr>
          <w:color w:val="000000"/>
          <w:spacing w:val="0"/>
          <w:w w:val="100"/>
          <w:position w:val="0"/>
          <w:sz w:val="24"/>
          <w:szCs w:val="24"/>
        </w:rPr>
        <w:t>十一、公允价值的披露</w:t>
      </w:r>
      <w:bookmarkEnd w:id="1934"/>
      <w:bookmarkEnd w:id="1935"/>
      <w:bookmarkEnd w:id="1936"/>
    </w:p>
    <w:p>
      <w:pPr>
        <w:pStyle w:val="Style28"/>
        <w:keepNext/>
        <w:keepLines/>
        <w:widowControl w:val="0"/>
        <w:shd w:val="clear" w:color="auto" w:fill="auto"/>
        <w:bidi w:val="0"/>
        <w:spacing w:before="0" w:after="240" w:line="240" w:lineRule="auto"/>
        <w:ind w:left="0" w:right="0" w:firstLine="0"/>
        <w:jc w:val="left"/>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37"/>
      <w:bookmarkEnd w:id="1938"/>
      <w:bookmarkEnd w:id="1939"/>
    </w:p>
    <w:p>
      <w:pPr>
        <w:pStyle w:val="Style24"/>
        <w:keepNext w:val="0"/>
        <w:keepLines w:val="0"/>
        <w:widowControl w:val="0"/>
        <w:shd w:val="clear" w:color="auto" w:fill="auto"/>
        <w:bidi w:val="0"/>
        <w:spacing w:before="0" w:after="40" w:line="312" w:lineRule="exact"/>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178,245,931.50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178,245,931.50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178,245,931.50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178,245,931.50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178,245,931.50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178,245,931.50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178,245,931.50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178,245,931.50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8"/>
        <w:keepNext/>
        <w:keepLines/>
        <w:widowControl w:val="0"/>
        <w:shd w:val="clear" w:color="auto" w:fill="auto"/>
        <w:tabs>
          <w:tab w:pos="378" w:val="left"/>
        </w:tabs>
        <w:bidi w:val="0"/>
        <w:spacing w:before="0" w:after="34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2</w:t>
      </w:r>
      <w:bookmarkEnd w:id="1942"/>
      <w:r>
        <w:rPr>
          <w:color w:val="000000"/>
          <w:spacing w:val="0"/>
          <w:w w:val="100"/>
          <w:position w:val="0"/>
        </w:rPr>
        <w:t>、</w:t>
        <w:tab/>
        <w:t>持续和非持续第一层次公允价值计量项目市价的确定依据</w:t>
      </w:r>
      <w:bookmarkEnd w:id="1940"/>
      <w:bookmarkEnd w:id="1941"/>
      <w:bookmarkEnd w:id="1943"/>
    </w:p>
    <w:p>
      <w:pPr>
        <w:pStyle w:val="Style28"/>
        <w:keepNext/>
        <w:keepLines/>
        <w:widowControl w:val="0"/>
        <w:shd w:val="clear" w:color="auto" w:fill="auto"/>
        <w:tabs>
          <w:tab w:pos="378" w:val="left"/>
        </w:tabs>
        <w:bidi w:val="0"/>
        <w:spacing w:before="0" w:after="34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3</w:t>
      </w:r>
      <w:bookmarkEnd w:id="1946"/>
      <w:r>
        <w:rPr>
          <w:color w:val="000000"/>
          <w:spacing w:val="0"/>
          <w:w w:val="100"/>
          <w:position w:val="0"/>
        </w:rPr>
        <w:t>、</w:t>
        <w:tab/>
        <w:t>持续和非持续第二层次公允价值计量项目，采用的估值技术和重要参数的定性及定量信息</w:t>
      </w:r>
      <w:bookmarkEnd w:id="1944"/>
      <w:bookmarkEnd w:id="1945"/>
      <w:bookmarkEnd w:id="1947"/>
    </w:p>
    <w:p>
      <w:pPr>
        <w:pStyle w:val="Style28"/>
        <w:keepNext/>
        <w:keepLines/>
        <w:widowControl w:val="0"/>
        <w:shd w:val="clear" w:color="auto" w:fill="auto"/>
        <w:tabs>
          <w:tab w:pos="378" w:val="left"/>
        </w:tabs>
        <w:bidi w:val="0"/>
        <w:spacing w:before="0" w:after="34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4</w:t>
      </w:r>
      <w:bookmarkEnd w:id="1950"/>
      <w:r>
        <w:rPr>
          <w:color w:val="000000"/>
          <w:spacing w:val="0"/>
          <w:w w:val="100"/>
          <w:position w:val="0"/>
        </w:rPr>
        <w:t>、</w:t>
        <w:tab/>
        <w:t>持续和非持续第三层次公允价值计量项目，采用的估值技术和重要参数的定性及定量信息</w:t>
      </w:r>
      <w:bookmarkEnd w:id="1948"/>
      <w:bookmarkEnd w:id="1949"/>
      <w:bookmarkEnd w:id="1951"/>
    </w:p>
    <w:p>
      <w:pPr>
        <w:pStyle w:val="Style28"/>
        <w:keepNext/>
        <w:keepLines/>
        <w:widowControl w:val="0"/>
        <w:shd w:val="clear" w:color="auto" w:fill="auto"/>
        <w:tabs>
          <w:tab w:pos="378" w:val="left"/>
        </w:tabs>
        <w:bidi w:val="0"/>
        <w:spacing w:before="0" w:after="34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5</w:t>
      </w:r>
      <w:bookmarkEnd w:id="1954"/>
      <w:r>
        <w:rPr>
          <w:color w:val="000000"/>
          <w:spacing w:val="0"/>
          <w:w w:val="100"/>
          <w:position w:val="0"/>
        </w:rPr>
        <w:t>、</w:t>
        <w:tab/>
        <w:t>持续的第三层次公允价值计量项目，期初与期末账面价值间的调节信息及不可观察参数敏感性分析</w:t>
      </w:r>
      <w:bookmarkEnd w:id="1952"/>
      <w:bookmarkEnd w:id="1953"/>
      <w:bookmarkEnd w:id="1955"/>
    </w:p>
    <w:p>
      <w:pPr>
        <w:pStyle w:val="Style28"/>
        <w:keepNext/>
        <w:keepLines/>
        <w:widowControl w:val="0"/>
        <w:shd w:val="clear" w:color="auto" w:fill="auto"/>
        <w:tabs>
          <w:tab w:pos="378" w:val="left"/>
        </w:tabs>
        <w:bidi w:val="0"/>
        <w:spacing w:before="0" w:after="34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6</w:t>
      </w:r>
      <w:bookmarkEnd w:id="1958"/>
      <w:r>
        <w:rPr>
          <w:color w:val="000000"/>
          <w:spacing w:val="0"/>
          <w:w w:val="100"/>
          <w:position w:val="0"/>
        </w:rPr>
        <w:t>、</w:t>
        <w:tab/>
        <w:t>持续的公允价值计量项目，本期内发生各层级之间转换的，转换的原因及确定转换时点的政策</w:t>
      </w:r>
      <w:bookmarkEnd w:id="1956"/>
      <w:bookmarkEnd w:id="1957"/>
      <w:bookmarkEnd w:id="1959"/>
    </w:p>
    <w:p>
      <w:pPr>
        <w:pStyle w:val="Style28"/>
        <w:keepNext/>
        <w:keepLines/>
        <w:widowControl w:val="0"/>
        <w:shd w:val="clear" w:color="auto" w:fill="auto"/>
        <w:tabs>
          <w:tab w:pos="378" w:val="left"/>
        </w:tabs>
        <w:bidi w:val="0"/>
        <w:spacing w:before="0" w:after="34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7</w:t>
      </w:r>
      <w:bookmarkEnd w:id="1962"/>
      <w:r>
        <w:rPr>
          <w:color w:val="000000"/>
          <w:spacing w:val="0"/>
          <w:w w:val="100"/>
          <w:position w:val="0"/>
        </w:rPr>
        <w:t>、</w:t>
        <w:tab/>
        <w:t>本期内发生的估值技术变更及变更原因</w:t>
      </w:r>
      <w:bookmarkEnd w:id="1960"/>
      <w:bookmarkEnd w:id="1961"/>
      <w:bookmarkEnd w:id="1963"/>
    </w:p>
    <w:p>
      <w:pPr>
        <w:pStyle w:val="Style28"/>
        <w:keepNext/>
        <w:keepLines/>
        <w:widowControl w:val="0"/>
        <w:shd w:val="clear" w:color="auto" w:fill="auto"/>
        <w:tabs>
          <w:tab w:pos="378" w:val="left"/>
        </w:tabs>
        <w:bidi w:val="0"/>
        <w:spacing w:before="0" w:after="34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8</w:t>
      </w:r>
      <w:bookmarkEnd w:id="1966"/>
      <w:r>
        <w:rPr>
          <w:color w:val="000000"/>
          <w:spacing w:val="0"/>
          <w:w w:val="100"/>
          <w:position w:val="0"/>
        </w:rPr>
        <w:t>、</w:t>
        <w:tab/>
        <w:t>不以公允价值计量的金融资产和金融负债的公允价值情况</w:t>
      </w:r>
      <w:bookmarkEnd w:id="1964"/>
      <w:bookmarkEnd w:id="1965"/>
      <w:bookmarkEnd w:id="1967"/>
    </w:p>
    <w:p>
      <w:pPr>
        <w:pStyle w:val="Style28"/>
        <w:keepNext/>
        <w:keepLines/>
        <w:widowControl w:val="0"/>
        <w:shd w:val="clear" w:color="auto" w:fill="auto"/>
        <w:tabs>
          <w:tab w:pos="378" w:val="left"/>
        </w:tabs>
        <w:bidi w:val="0"/>
        <w:spacing w:before="0" w:after="34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9</w:t>
      </w:r>
      <w:bookmarkEnd w:id="1970"/>
      <w:r>
        <w:rPr>
          <w:color w:val="000000"/>
          <w:spacing w:val="0"/>
          <w:w w:val="100"/>
          <w:position w:val="0"/>
        </w:rPr>
        <w:t>、</w:t>
        <w:tab/>
        <w:t>其他</w:t>
      </w:r>
      <w:bookmarkEnd w:id="1968"/>
      <w:bookmarkEnd w:id="1969"/>
      <w:bookmarkEnd w:id="1971"/>
    </w:p>
    <w:p>
      <w:pPr>
        <w:pStyle w:val="Style22"/>
        <w:keepNext/>
        <w:keepLines/>
        <w:widowControl w:val="0"/>
        <w:shd w:val="clear" w:color="auto" w:fill="auto"/>
        <w:bidi w:val="0"/>
        <w:spacing w:before="0" w:after="340" w:line="240" w:lineRule="auto"/>
        <w:ind w:left="0" w:right="0" w:firstLine="0"/>
        <w:jc w:val="left"/>
      </w:pPr>
      <w:bookmarkStart w:id="1972" w:name="bookmark1972"/>
      <w:bookmarkStart w:id="1973" w:name="bookmark1973"/>
      <w:bookmarkStart w:id="1974" w:name="bookmark1974"/>
      <w:r>
        <w:rPr>
          <w:color w:val="000000"/>
          <w:spacing w:val="0"/>
          <w:w w:val="100"/>
          <w:position w:val="0"/>
          <w:sz w:val="24"/>
          <w:szCs w:val="24"/>
        </w:rPr>
        <w:t>十二、关联方及关联交易</w:t>
      </w:r>
      <w:bookmarkEnd w:id="1972"/>
      <w:bookmarkEnd w:id="1973"/>
      <w:bookmarkEnd w:id="1974"/>
    </w:p>
    <w:p>
      <w:pPr>
        <w:pStyle w:val="Style28"/>
        <w:keepNext/>
        <w:keepLines/>
        <w:widowControl w:val="0"/>
        <w:shd w:val="clear" w:color="auto" w:fill="auto"/>
        <w:bidi w:val="0"/>
        <w:spacing w:before="0" w:after="340" w:line="240" w:lineRule="auto"/>
        <w:ind w:left="0" w:right="0" w:firstLine="0"/>
        <w:jc w:val="left"/>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75"/>
      <w:bookmarkEnd w:id="1976"/>
      <w:bookmarkEnd w:id="1977"/>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本公司无母公司，陈喆女士为本公司的实际控制人。</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本企业最终控制方是陈喆女士。</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2</w:t>
      </w:r>
      <w:bookmarkEnd w:id="1980"/>
      <w:r>
        <w:rPr>
          <w:color w:val="000000"/>
          <w:spacing w:val="0"/>
          <w:w w:val="100"/>
          <w:position w:val="0"/>
        </w:rPr>
        <w:t>、</w:t>
        <w:tab/>
        <w:t>本企业的子公司情况</w:t>
      </w:r>
      <w:bookmarkEnd w:id="1978"/>
      <w:bookmarkEnd w:id="1979"/>
      <w:bookmarkEnd w:id="1981"/>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3</w:t>
      </w:r>
      <w:bookmarkEnd w:id="1984"/>
      <w:r>
        <w:rPr>
          <w:color w:val="000000"/>
          <w:spacing w:val="0"/>
          <w:w w:val="100"/>
          <w:position w:val="0"/>
        </w:rPr>
        <w:t>、</w:t>
        <w:tab/>
        <w:t>本企业合营和联营企业情况</w:t>
      </w:r>
      <w:bookmarkEnd w:id="1982"/>
      <w:bookmarkEnd w:id="1983"/>
      <w:bookmarkEnd w:id="198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rPr>
          <w:sz w:val="24"/>
          <w:szCs w:val="24"/>
        </w:rPr>
      </w:pPr>
      <w:r>
        <w:rPr>
          <w:b w:val="0"/>
          <w:bCs w:val="0"/>
          <w:color w:val="000000"/>
          <w:spacing w:val="0"/>
          <w:w w:val="100"/>
          <w:position w:val="0"/>
          <w:sz w:val="24"/>
          <w:szCs w:val="24"/>
        </w:rPr>
        <w:t>本集团无合营企业和联营企业。</w:t>
      </w:r>
    </w:p>
    <w:p>
      <w:pPr>
        <w:pStyle w:val="Style28"/>
        <w:keepNext/>
        <w:keepLines/>
        <w:widowControl w:val="0"/>
        <w:shd w:val="clear" w:color="auto" w:fill="auto"/>
        <w:bidi w:val="0"/>
        <w:spacing w:before="0" w:after="38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4</w:t>
      </w:r>
      <w:bookmarkEnd w:id="1988"/>
      <w:r>
        <w:rPr>
          <w:color w:val="000000"/>
          <w:spacing w:val="0"/>
          <w:w w:val="100"/>
          <w:position w:val="0"/>
        </w:rPr>
        <w:t>、其他关联方情况</w:t>
      </w:r>
      <w:bookmarkEnd w:id="1986"/>
      <w:bookmarkEnd w:id="1987"/>
      <w:bookmarkEnd w:id="198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珠海瑞信投资管理有限公司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马德桃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牛俊伟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田联房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于风政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杨大贺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杨贤帮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陈家贤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孙玉玲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财务总监、董事会秘书</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5</w:t>
      </w:r>
      <w:bookmarkEnd w:id="1992"/>
      <w:r>
        <w:rPr>
          <w:color w:val="000000"/>
          <w:spacing w:val="0"/>
          <w:w w:val="100"/>
          <w:position w:val="0"/>
        </w:rPr>
        <w:t>、关联交易情况</w:t>
      </w:r>
      <w:bookmarkEnd w:id="1990"/>
      <w:bookmarkEnd w:id="1991"/>
      <w:bookmarkEnd w:id="1993"/>
    </w:p>
    <w:p>
      <w:pPr>
        <w:pStyle w:val="Style36"/>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94"/>
      <w:bookmarkEnd w:id="1995"/>
      <w:bookmarkEnd w:id="199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36"/>
        <w:keepNext/>
        <w:keepLines/>
        <w:widowControl w:val="0"/>
        <w:shd w:val="clear" w:color="auto" w:fill="auto"/>
        <w:bidi w:val="0"/>
        <w:spacing w:before="0" w:line="240" w:lineRule="auto"/>
        <w:ind w:left="0" w:right="0" w:firstLine="0"/>
        <w:jc w:val="both"/>
      </w:pPr>
      <w:bookmarkStart w:id="1997" w:name="bookmark1997"/>
      <w:bookmarkStart w:id="1998" w:name="bookmark1998"/>
      <w:bookmarkStart w:id="1999" w:name="bookmark19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97"/>
      <w:bookmarkEnd w:id="1998"/>
      <w:bookmarkEnd w:id="1999"/>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承包情况说明</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p>
            <w:pPr>
              <w:pStyle w:val="Style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11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6"/>
        <w:keepNext/>
        <w:keepLines/>
        <w:widowControl w:val="0"/>
        <w:shd w:val="clear" w:color="auto" w:fill="auto"/>
        <w:bidi w:val="0"/>
        <w:spacing w:before="0" w:line="240" w:lineRule="auto"/>
        <w:ind w:left="0" w:right="0" w:firstLine="0"/>
        <w:jc w:val="both"/>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00"/>
      <w:bookmarkEnd w:id="2001"/>
      <w:bookmarkEnd w:id="2003"/>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上期确认的租赁费</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both"/>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04"/>
      <w:bookmarkEnd w:id="2005"/>
      <w:bookmarkEnd w:id="2007"/>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08"/>
      <w:bookmarkEnd w:id="2009"/>
      <w:bookmarkEnd w:id="2011"/>
    </w:p>
    <w:p>
      <w:pPr>
        <w:widowControl w:val="0"/>
        <w:jc w:val="center"/>
        <w:rPr>
          <w:sz w:val="2"/>
          <w:szCs w:val="2"/>
        </w:rPr>
      </w:pPr>
      <w:r>
        <w:drawing>
          <wp:inline>
            <wp:extent cx="6126480" cy="95123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33"/>
                    <a:stretch/>
                  </pic:blipFill>
                  <pic:spPr>
                    <a:xfrm>
                      <a:ext cx="6126480" cy="951230"/>
                    </a:xfrm>
                    <a:prstGeom prst="rect"/>
                  </pic:spPr>
                </pic:pic>
              </a:graphicData>
            </a:graphic>
          </wp:inline>
        </w:drawing>
      </w:r>
    </w:p>
    <w:p>
      <w:pPr>
        <w:pStyle w:val="Style36"/>
        <w:keepNext/>
        <w:keepLines/>
        <w:widowControl w:val="0"/>
        <w:shd w:val="clear" w:color="auto" w:fill="auto"/>
        <w:bidi w:val="0"/>
        <w:spacing w:before="0" w:after="400" w:line="240" w:lineRule="auto"/>
        <w:ind w:left="0" w:right="0" w:firstLine="14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12"/>
      <w:bookmarkEnd w:id="2013"/>
      <w:bookmarkEnd w:id="201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14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w:t>
      </w:r>
      <w:bookmarkEnd w:id="201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16"/>
      <w:bookmarkEnd w:id="2017"/>
      <w:bookmarkEnd w:id="201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4,995,000.00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20"/>
      <w:bookmarkEnd w:id="2021"/>
      <w:bookmarkEnd w:id="2023"/>
    </w:p>
    <w:p>
      <w:pPr>
        <w:pStyle w:val="Style28"/>
        <w:keepNext/>
        <w:keepLines/>
        <w:widowControl w:val="0"/>
        <w:shd w:val="clear" w:color="auto" w:fill="auto"/>
        <w:bidi w:val="0"/>
        <w:spacing w:before="0" w:after="400" w:line="240" w:lineRule="auto"/>
        <w:ind w:left="0" w:right="0" w:firstLine="0"/>
        <w:jc w:val="both"/>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6</w:t>
      </w:r>
      <w:bookmarkEnd w:id="2026"/>
      <w:r>
        <w:rPr>
          <w:color w:val="000000"/>
          <w:spacing w:val="0"/>
          <w:w w:val="100"/>
          <w:position w:val="0"/>
        </w:rPr>
        <w:t>、关联方应收应付款项</w:t>
      </w:r>
      <w:bookmarkEnd w:id="2024"/>
      <w:bookmarkEnd w:id="2025"/>
      <w:bookmarkEnd w:id="2027"/>
    </w:p>
    <w:p>
      <w:pPr>
        <w:pStyle w:val="Style36"/>
        <w:keepNext/>
        <w:keepLines/>
        <w:widowControl w:val="0"/>
        <w:shd w:val="clear" w:color="auto" w:fill="auto"/>
        <w:bidi w:val="0"/>
        <w:spacing w:before="0" w:after="400" w:line="240" w:lineRule="auto"/>
        <w:ind w:left="0" w:right="0" w:firstLine="0"/>
        <w:jc w:val="both"/>
      </w:pPr>
      <w:bookmarkStart w:id="2028" w:name="bookmark2028"/>
      <w:bookmarkStart w:id="2029" w:name="bookmark2029"/>
      <w:bookmarkStart w:id="2030" w:name="bookmark20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28"/>
      <w:bookmarkEnd w:id="2029"/>
      <w:bookmarkEnd w:id="203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140"/>
        <w:jc w:val="left"/>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31"/>
      <w:bookmarkEnd w:id="2032"/>
      <w:bookmarkEnd w:id="203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bl>
    <w:p>
      <w:pPr>
        <w:widowControl w:val="0"/>
        <w:spacing w:after="339" w:line="1" w:lineRule="exact"/>
      </w:pPr>
    </w:p>
    <w:p>
      <w:pPr>
        <w:pStyle w:val="Style28"/>
        <w:keepNext/>
        <w:keepLines/>
        <w:widowControl w:val="0"/>
        <w:shd w:val="clear" w:color="auto" w:fill="auto"/>
        <w:tabs>
          <w:tab w:pos="373" w:val="left"/>
        </w:tabs>
        <w:bidi w:val="0"/>
        <w:spacing w:before="0" w:after="34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7</w:t>
      </w:r>
      <w:bookmarkEnd w:id="2036"/>
      <w:r>
        <w:rPr>
          <w:color w:val="000000"/>
          <w:spacing w:val="0"/>
          <w:w w:val="100"/>
          <w:position w:val="0"/>
        </w:rPr>
        <w:t>、</w:t>
        <w:tab/>
        <w:t>关联方承诺</w:t>
      </w:r>
      <w:bookmarkEnd w:id="2034"/>
      <w:bookmarkEnd w:id="2035"/>
      <w:bookmarkEnd w:id="2037"/>
    </w:p>
    <w:p>
      <w:pPr>
        <w:pStyle w:val="Style28"/>
        <w:keepNext/>
        <w:keepLines/>
        <w:widowControl w:val="0"/>
        <w:shd w:val="clear" w:color="auto" w:fill="auto"/>
        <w:tabs>
          <w:tab w:pos="378" w:val="left"/>
        </w:tabs>
        <w:bidi w:val="0"/>
        <w:spacing w:before="0" w:after="34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8</w:t>
      </w:r>
      <w:bookmarkEnd w:id="2040"/>
      <w:r>
        <w:rPr>
          <w:color w:val="000000"/>
          <w:spacing w:val="0"/>
          <w:w w:val="100"/>
          <w:position w:val="0"/>
        </w:rPr>
        <w:t>、</w:t>
        <w:tab/>
        <w:t>其他</w:t>
      </w:r>
      <w:bookmarkEnd w:id="2038"/>
      <w:bookmarkEnd w:id="2039"/>
      <w:bookmarkEnd w:id="2041"/>
    </w:p>
    <w:p>
      <w:pPr>
        <w:pStyle w:val="Style22"/>
        <w:keepNext/>
        <w:keepLines/>
        <w:widowControl w:val="0"/>
        <w:shd w:val="clear" w:color="auto" w:fill="auto"/>
        <w:bidi w:val="0"/>
        <w:spacing w:before="0" w:after="400" w:line="240" w:lineRule="auto"/>
        <w:ind w:left="0" w:right="0" w:firstLine="0"/>
        <w:jc w:val="left"/>
      </w:pPr>
      <w:bookmarkStart w:id="2042" w:name="bookmark2042"/>
      <w:bookmarkStart w:id="2043" w:name="bookmark2043"/>
      <w:bookmarkStart w:id="2044" w:name="bookmark2044"/>
      <w:r>
        <w:rPr>
          <w:color w:val="000000"/>
          <w:spacing w:val="0"/>
          <w:w w:val="100"/>
          <w:position w:val="0"/>
          <w:sz w:val="24"/>
          <w:szCs w:val="24"/>
        </w:rPr>
        <w:t>十三、股份支付</w:t>
      </w:r>
      <w:bookmarkEnd w:id="2042"/>
      <w:bookmarkEnd w:id="2043"/>
      <w:bookmarkEnd w:id="2044"/>
    </w:p>
    <w:p>
      <w:pPr>
        <w:pStyle w:val="Style28"/>
        <w:keepNext/>
        <w:keepLines/>
        <w:widowControl w:val="0"/>
        <w:shd w:val="clear" w:color="auto" w:fill="auto"/>
        <w:bidi w:val="0"/>
        <w:spacing w:before="0" w:after="340" w:line="240" w:lineRule="auto"/>
        <w:ind w:left="0" w:right="0" w:firstLine="0"/>
        <w:jc w:val="left"/>
      </w:pPr>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45"/>
      <w:bookmarkEnd w:id="2046"/>
      <w:bookmarkEnd w:id="2047"/>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1,286,165.00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21.18</w:t>
            </w:r>
            <w:r>
              <w:rPr>
                <w:rFonts w:ascii="SimSun" w:eastAsia="SimSun" w:hAnsi="SimSun" w:cs="SimSun"/>
                <w:color w:val="000000"/>
                <w:spacing w:val="0"/>
                <w:w w:val="100"/>
                <w:position w:val="0"/>
                <w:sz w:val="17"/>
                <w:szCs w:val="17"/>
              </w:rPr>
              <w:t>元</w:t>
            </w:r>
            <w:r>
              <w:rPr>
                <w:color w:val="000000"/>
                <w:spacing w:val="0"/>
                <w:w w:val="100"/>
                <w:position w:val="0"/>
                <w:sz w:val="18"/>
                <w:szCs w:val="18"/>
              </w:rPr>
              <w:t>/4</w:t>
            </w:r>
            <w:r>
              <w:rPr>
                <w:rFonts w:ascii="SimSun" w:eastAsia="SimSun" w:hAnsi="SimSun" w:cs="SimSun"/>
                <w:color w:val="000000"/>
                <w:spacing w:val="0"/>
                <w:w w:val="100"/>
                <w:position w:val="0"/>
                <w:sz w:val="17"/>
                <w:szCs w:val="17"/>
              </w:rPr>
              <w:t>个月</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)首次授予股权激励</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日第二届董事会第^一次会议决议和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 的《珠海汇金科技股份有限公司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年限制性股票激励计划(草案)》及其摘要，及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日第二届董事会第十四 次会议决议通过的《关于向激励对象首次授予限制性股票的议案》，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年度由</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名限制性股票激励对象行权，实际行权 数量为</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24.45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本次授予的限制性股票限售期为自相应授予限制性股票授予登记日起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个月。激励对象获授的限制性股票在解除限售前不 得转让、用于担保或偿还债务。限售期满后，公司为满足解除限售条件的激励对象办理解除限售事宜，未满足解除限售条件 的激励对象持有的限制性股票由公司按本计划的原则回购注销。</w:t>
      </w:r>
    </w:p>
    <w:p>
      <w:pPr>
        <w:pStyle w:val="Style24"/>
        <w:keepNext w:val="0"/>
        <w:keepLines w:val="0"/>
        <w:widowControl w:val="0"/>
        <w:shd w:val="clear" w:color="auto" w:fill="auto"/>
        <w:bidi w:val="0"/>
        <w:spacing w:before="0" w:after="80" w:line="317" w:lineRule="exact"/>
        <w:ind w:left="0" w:right="0" w:firstLine="0"/>
        <w:jc w:val="left"/>
      </w:pPr>
      <w:r>
        <w:rPr>
          <w:color w:val="000000"/>
          <w:spacing w:val="0"/>
          <w:w w:val="100"/>
          <w:position w:val="0"/>
        </w:rPr>
        <w:t>本次首次授予部分解除限售年度为</w:t>
      </w:r>
      <w:r>
        <w:rPr>
          <w:rFonts w:ascii="Times New Roman" w:eastAsia="Times New Roman" w:hAnsi="Times New Roman" w:cs="Times New Roman"/>
          <w:color w:val="000000"/>
          <w:spacing w:val="0"/>
          <w:w w:val="100"/>
          <w:position w:val="0"/>
          <w:sz w:val="18"/>
          <w:szCs w:val="18"/>
        </w:rPr>
        <w:t>2017-2019</w:t>
      </w:r>
      <w:r>
        <w:rPr>
          <w:color w:val="000000"/>
          <w:spacing w:val="0"/>
          <w:w w:val="100"/>
          <w:position w:val="0"/>
        </w:rPr>
        <w:t>年三个会计年度，分年度对公司营业收入增长率进行考核，首次授予部分各年 度的业绩考核目标如下：</w:t>
      </w:r>
    </w:p>
    <w:tbl>
      <w:tblPr>
        <w:tblOverlap w:val="never"/>
        <w:jc w:val="center"/>
        <w:tblLayout w:type="fixed"/>
      </w:tblPr>
      <w:tblGrid>
        <w:gridCol w:w="2275"/>
        <w:gridCol w:w="687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解除限售安排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业绩考核目标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第一个解除限售期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以</w:t>
            </w:r>
            <w:r>
              <w:rPr>
                <w:color w:val="000000"/>
                <w:spacing w:val="0"/>
                <w:w w:val="100"/>
                <w:position w:val="0"/>
              </w:rPr>
              <w:t>2016</w:t>
            </w:r>
            <w:r>
              <w:rPr>
                <w:rFonts w:ascii="SimSun" w:eastAsia="SimSun" w:hAnsi="SimSun" w:cs="SimSun"/>
                <w:color w:val="000000"/>
                <w:spacing w:val="0"/>
                <w:w w:val="100"/>
                <w:position w:val="0"/>
                <w:sz w:val="17"/>
                <w:szCs w:val="17"/>
              </w:rPr>
              <w:t>年营业收入为基数，</w:t>
            </w:r>
            <w:r>
              <w:rPr>
                <w:color w:val="000000"/>
                <w:spacing w:val="0"/>
                <w:w w:val="100"/>
                <w:position w:val="0"/>
              </w:rPr>
              <w:t>2017</w:t>
            </w:r>
            <w:r>
              <w:rPr>
                <w:rFonts w:ascii="SimSun" w:eastAsia="SimSun" w:hAnsi="SimSun" w:cs="SimSun"/>
                <w:color w:val="000000"/>
                <w:spacing w:val="0"/>
                <w:w w:val="100"/>
                <w:position w:val="0"/>
                <w:sz w:val="17"/>
                <w:szCs w:val="17"/>
              </w:rPr>
              <w:t>年营业收入增长率不低于</w:t>
            </w:r>
            <w:r>
              <w:rPr>
                <w:color w:val="000000"/>
                <w:spacing w:val="0"/>
                <w:w w:val="100"/>
                <w:position w:val="0"/>
              </w:rPr>
              <w:t>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第二个解除限售期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以</w:t>
            </w:r>
            <w:r>
              <w:rPr>
                <w:color w:val="000000"/>
                <w:spacing w:val="0"/>
                <w:w w:val="100"/>
                <w:position w:val="0"/>
              </w:rPr>
              <w:t>2016</w:t>
            </w:r>
            <w:r>
              <w:rPr>
                <w:rFonts w:ascii="SimSun" w:eastAsia="SimSun" w:hAnsi="SimSun" w:cs="SimSun"/>
                <w:color w:val="000000"/>
                <w:spacing w:val="0"/>
                <w:w w:val="100"/>
                <w:position w:val="0"/>
                <w:sz w:val="17"/>
                <w:szCs w:val="17"/>
              </w:rPr>
              <w:t>年营业收入为基数，</w:t>
            </w:r>
            <w:r>
              <w:rPr>
                <w:color w:val="000000"/>
                <w:spacing w:val="0"/>
                <w:w w:val="100"/>
                <w:position w:val="0"/>
              </w:rPr>
              <w:t>2018</w:t>
            </w:r>
            <w:r>
              <w:rPr>
                <w:rFonts w:ascii="SimSun" w:eastAsia="SimSun" w:hAnsi="SimSun" w:cs="SimSun"/>
                <w:color w:val="000000"/>
                <w:spacing w:val="0"/>
                <w:w w:val="100"/>
                <w:position w:val="0"/>
                <w:sz w:val="17"/>
                <w:szCs w:val="17"/>
              </w:rPr>
              <w:t>年营业收入增长率不低于</w:t>
            </w:r>
            <w:r>
              <w:rPr>
                <w:color w:val="000000"/>
                <w:spacing w:val="0"/>
                <w:w w:val="100"/>
                <w:position w:val="0"/>
              </w:rPr>
              <w:t>20%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第三个解除限售期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以</w:t>
            </w:r>
            <w:r>
              <w:rPr>
                <w:color w:val="000000"/>
                <w:spacing w:val="0"/>
                <w:w w:val="100"/>
                <w:position w:val="0"/>
              </w:rPr>
              <w:t>2016</w:t>
            </w:r>
            <w:r>
              <w:rPr>
                <w:rFonts w:ascii="SimSun" w:eastAsia="SimSun" w:hAnsi="SimSun" w:cs="SimSun"/>
                <w:color w:val="000000"/>
                <w:spacing w:val="0"/>
                <w:w w:val="100"/>
                <w:position w:val="0"/>
                <w:sz w:val="17"/>
                <w:szCs w:val="17"/>
              </w:rPr>
              <w:t>年营业收入为基数，</w:t>
            </w:r>
            <w:r>
              <w:rPr>
                <w:color w:val="000000"/>
                <w:spacing w:val="0"/>
                <w:w w:val="100"/>
                <w:position w:val="0"/>
              </w:rPr>
              <w:t>2019</w:t>
            </w:r>
            <w:r>
              <w:rPr>
                <w:rFonts w:ascii="SimSun" w:eastAsia="SimSun" w:hAnsi="SimSun" w:cs="SimSun"/>
                <w:color w:val="000000"/>
                <w:spacing w:val="0"/>
                <w:w w:val="100"/>
                <w:position w:val="0"/>
                <w:sz w:val="17"/>
                <w:szCs w:val="17"/>
              </w:rPr>
              <w:t>年营业收入增长率不低于</w:t>
            </w:r>
            <w:r>
              <w:rPr>
                <w:color w:val="000000"/>
                <w:spacing w:val="0"/>
                <w:w w:val="100"/>
                <w:position w:val="0"/>
              </w:rPr>
              <w:t>30%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本次限制性股票的解除限售期及各期解除限售时间安排如下:</w:t>
      </w:r>
    </w:p>
    <w:p>
      <w:pPr>
        <w:widowControl w:val="0"/>
        <w:spacing w:after="79" w:line="1" w:lineRule="exact"/>
      </w:pPr>
    </w:p>
    <w:tbl>
      <w:tblPr>
        <w:tblOverlap w:val="never"/>
        <w:jc w:val="center"/>
        <w:tblLayout w:type="fixed"/>
      </w:tblPr>
      <w:tblGrid>
        <w:gridCol w:w="2131"/>
        <w:gridCol w:w="5808"/>
        <w:gridCol w:w="114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解除限售安排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解除限售比例</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第一个解除限售期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自相应授予登记日起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个月后的首个交易日起至限制性股票授予登记日起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第二个解除限售期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自相应授予登记日起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个月后的首个交易日起至限制性股票授予登记日起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第三个解除限售期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自相应授予登记日起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个月后的首个交易日起至限制性股票授予登记日起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48</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)预留部分股权激励</w:t>
      </w:r>
    </w:p>
    <w:p>
      <w:pPr>
        <w:pStyle w:val="Style24"/>
        <w:keepNext w:val="0"/>
        <w:keepLines w:val="0"/>
        <w:widowControl w:val="0"/>
        <w:shd w:val="clear" w:color="auto" w:fill="auto"/>
        <w:bidi w:val="0"/>
        <w:spacing w:before="0" w:after="80" w:line="330"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日第二届董事会第二十一次会议决议，公司于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日向激励对象授予预留部分限制性股票， 本年度由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名限制性股票激励对象行权，实际行权数量为</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21.18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本次预留部分解除限售年度为</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年三个会计年度，分年度对公司营业收入增长率进行考核，各年度的业绩考核目标 如下：</w:t>
      </w:r>
    </w:p>
    <w:tbl>
      <w:tblPr>
        <w:tblOverlap w:val="never"/>
        <w:jc w:val="center"/>
        <w:tblLayout w:type="fixed"/>
      </w:tblPr>
      <w:tblGrid>
        <w:gridCol w:w="3974"/>
        <w:gridCol w:w="517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解除限售安排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业绩考核目标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预留部分第一个解除限售期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以</w:t>
            </w:r>
            <w:r>
              <w:rPr>
                <w:color w:val="000000"/>
                <w:spacing w:val="0"/>
                <w:w w:val="100"/>
                <w:position w:val="0"/>
              </w:rPr>
              <w:t>2016</w:t>
            </w:r>
            <w:r>
              <w:rPr>
                <w:rFonts w:ascii="SimSun" w:eastAsia="SimSun" w:hAnsi="SimSun" w:cs="SimSun"/>
                <w:color w:val="000000"/>
                <w:spacing w:val="0"/>
                <w:w w:val="100"/>
                <w:position w:val="0"/>
                <w:sz w:val="17"/>
                <w:szCs w:val="17"/>
              </w:rPr>
              <w:t>年营业收入为基数，</w:t>
            </w:r>
            <w:r>
              <w:rPr>
                <w:color w:val="000000"/>
                <w:spacing w:val="0"/>
                <w:w w:val="100"/>
                <w:position w:val="0"/>
              </w:rPr>
              <w:t>2018</w:t>
            </w:r>
            <w:r>
              <w:rPr>
                <w:rFonts w:ascii="SimSun" w:eastAsia="SimSun" w:hAnsi="SimSun" w:cs="SimSun"/>
                <w:color w:val="000000"/>
                <w:spacing w:val="0"/>
                <w:w w:val="100"/>
                <w:position w:val="0"/>
                <w:sz w:val="17"/>
                <w:szCs w:val="17"/>
              </w:rPr>
              <w:t>年营业收入增长率不低于</w:t>
            </w:r>
            <w:r>
              <w:rPr>
                <w:color w:val="000000"/>
                <w:spacing w:val="0"/>
                <w:w w:val="100"/>
                <w:position w:val="0"/>
              </w:rPr>
              <w:t>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预留部分第二个解除限售期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以</w:t>
            </w:r>
            <w:r>
              <w:rPr>
                <w:color w:val="000000"/>
                <w:spacing w:val="0"/>
                <w:w w:val="100"/>
                <w:position w:val="0"/>
              </w:rPr>
              <w:t>2016</w:t>
            </w:r>
            <w:r>
              <w:rPr>
                <w:rFonts w:ascii="SimSun" w:eastAsia="SimSun" w:hAnsi="SimSun" w:cs="SimSun"/>
                <w:color w:val="000000"/>
                <w:spacing w:val="0"/>
                <w:w w:val="100"/>
                <w:position w:val="0"/>
                <w:sz w:val="17"/>
                <w:szCs w:val="17"/>
              </w:rPr>
              <w:t>年营业收入为基数，</w:t>
            </w:r>
            <w:r>
              <w:rPr>
                <w:color w:val="000000"/>
                <w:spacing w:val="0"/>
                <w:w w:val="100"/>
                <w:position w:val="0"/>
              </w:rPr>
              <w:t>2019</w:t>
            </w:r>
            <w:r>
              <w:rPr>
                <w:rFonts w:ascii="SimSun" w:eastAsia="SimSun" w:hAnsi="SimSun" w:cs="SimSun"/>
                <w:color w:val="000000"/>
                <w:spacing w:val="0"/>
                <w:w w:val="100"/>
                <w:position w:val="0"/>
                <w:sz w:val="17"/>
                <w:szCs w:val="17"/>
              </w:rPr>
              <w:t>年营业收入增长率不低于</w:t>
            </w:r>
            <w:r>
              <w:rPr>
                <w:color w:val="000000"/>
                <w:spacing w:val="0"/>
                <w:w w:val="100"/>
                <w:position w:val="0"/>
              </w:rPr>
              <w:t>30%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预留部分第三个解除限售期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以</w:t>
            </w:r>
            <w:r>
              <w:rPr>
                <w:color w:val="000000"/>
                <w:spacing w:val="0"/>
                <w:w w:val="100"/>
                <w:position w:val="0"/>
              </w:rPr>
              <w:t>2016</w:t>
            </w:r>
            <w:r>
              <w:rPr>
                <w:rFonts w:ascii="SimSun" w:eastAsia="SimSun" w:hAnsi="SimSun" w:cs="SimSun"/>
                <w:color w:val="000000"/>
                <w:spacing w:val="0"/>
                <w:w w:val="100"/>
                <w:position w:val="0"/>
                <w:sz w:val="17"/>
                <w:szCs w:val="17"/>
              </w:rPr>
              <w:t>年营业收入为基数，</w:t>
            </w:r>
            <w:r>
              <w:rPr>
                <w:color w:val="000000"/>
                <w:spacing w:val="0"/>
                <w:w w:val="100"/>
                <w:position w:val="0"/>
              </w:rPr>
              <w:t>2020</w:t>
            </w:r>
            <w:r>
              <w:rPr>
                <w:rFonts w:ascii="SimSun" w:eastAsia="SimSun" w:hAnsi="SimSun" w:cs="SimSun"/>
                <w:color w:val="000000"/>
                <w:spacing w:val="0"/>
                <w:w w:val="100"/>
                <w:position w:val="0"/>
                <w:sz w:val="17"/>
                <w:szCs w:val="17"/>
              </w:rPr>
              <w:t>年营业收入增长率不低于</w:t>
            </w:r>
            <w:r>
              <w:rPr>
                <w:color w:val="000000"/>
                <w:spacing w:val="0"/>
                <w:w w:val="100"/>
                <w:position w:val="0"/>
              </w:rPr>
              <w:t>40%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本次限制性股票的解除限售期及各期解除限售时间安排如下:</w:t>
      </w:r>
    </w:p>
    <w:p>
      <w:pPr>
        <w:widowControl w:val="0"/>
        <w:spacing w:after="79" w:line="1" w:lineRule="exact"/>
      </w:pPr>
    </w:p>
    <w:tbl>
      <w:tblPr>
        <w:tblOverlap w:val="never"/>
        <w:jc w:val="center"/>
        <w:tblLayout w:type="fixed"/>
      </w:tblPr>
      <w:tblGrid>
        <w:gridCol w:w="2131"/>
        <w:gridCol w:w="5386"/>
        <w:gridCol w:w="157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解除限售安排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解除限售比例</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预留部分第一个解除限售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自预留授予登记日起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个月后的首个交易日起至限制性股票授予登 记日起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预留部分第二个解除限售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自预留授予登记日起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个月后的首个交易日起至限制性股票授予登 记日起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预留部分第三个解除限售 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自预留授予登记日起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个月后的首个交易日起至限制性股票授予登 记日起</w:t>
            </w:r>
            <w:r>
              <w:rPr>
                <w:color w:val="000000"/>
                <w:spacing w:val="0"/>
                <w:w w:val="100"/>
                <w:position w:val="0"/>
                <w:sz w:val="18"/>
                <w:szCs w:val="18"/>
              </w:rPr>
              <w:t>48</w:t>
            </w:r>
            <w:r>
              <w:rPr>
                <w:rFonts w:ascii="SimSun" w:eastAsia="SimSun" w:hAnsi="SimSun" w:cs="SimSun"/>
                <w:color w:val="000000"/>
                <w:spacing w:val="0"/>
                <w:w w:val="100"/>
                <w:position w:val="0"/>
                <w:sz w:val="17"/>
                <w:szCs w:val="17"/>
              </w:rPr>
              <w:t>个月内的最后一个交易日当日止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bl>
    <w:p>
      <w:pPr>
        <w:pStyle w:val="Style24"/>
        <w:keepNext w:val="0"/>
        <w:keepLines w:val="0"/>
        <w:widowControl w:val="0"/>
        <w:shd w:val="clear" w:color="auto" w:fill="auto"/>
        <w:bidi w:val="0"/>
        <w:spacing w:before="0" w:after="8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日，公司以截至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8,516</w:t>
      </w:r>
      <w:r>
        <w:rPr>
          <w:color w:val="000000"/>
          <w:spacing w:val="0"/>
          <w:w w:val="100"/>
          <w:position w:val="0"/>
        </w:rPr>
        <w:t>万股为基数向全体股东以资本公积每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股本，分配方案公布后至实施前，公司总股本由于股权激励行权发生变动，按照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现金分红总额、送红股总额、转增股本总</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额固定不变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的原则，在权益分派实施公告中披露按公司最新总股本计算的分配比例。因此公司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年年度资本公积转增方 案调整为：以公司现有总股本</w:t>
      </w:r>
      <w:r>
        <w:rPr>
          <w:rFonts w:ascii="Times New Roman" w:eastAsia="Times New Roman" w:hAnsi="Times New Roman" w:cs="Times New Roman"/>
          <w:color w:val="000000"/>
          <w:spacing w:val="0"/>
          <w:w w:val="100"/>
          <w:position w:val="0"/>
          <w:sz w:val="18"/>
          <w:szCs w:val="18"/>
        </w:rPr>
        <w:t>85,350,000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9.977738</w:t>
      </w:r>
      <w:r>
        <w:rPr>
          <w:color w:val="000000"/>
          <w:spacing w:val="0"/>
          <w:w w:val="100"/>
          <w:position w:val="0"/>
        </w:rPr>
        <w:t>股，相应的公司年末发 行在外的股份期权行权价格应调整为</w:t>
      </w:r>
      <w:r>
        <w:rPr>
          <w:rFonts w:ascii="Times New Roman" w:eastAsia="Times New Roman" w:hAnsi="Times New Roman" w:cs="Times New Roman"/>
          <w:color w:val="000000"/>
          <w:spacing w:val="0"/>
          <w:w w:val="100"/>
          <w:position w:val="0"/>
          <w:sz w:val="18"/>
          <w:szCs w:val="18"/>
        </w:rPr>
        <w:t>12.0588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10.4220</w:t>
      </w:r>
      <w:r>
        <w:rPr>
          <w:color w:val="000000"/>
          <w:spacing w:val="0"/>
          <w:w w:val="100"/>
          <w:position w:val="0"/>
        </w:rPr>
        <w:t>元。</w:t>
      </w:r>
    </w:p>
    <w:p>
      <w:pPr>
        <w:pStyle w:val="Style24"/>
        <w:keepNext w:val="0"/>
        <w:keepLines w:val="0"/>
        <w:widowControl w:val="0"/>
        <w:shd w:val="clear" w:color="auto" w:fill="auto"/>
        <w:tabs>
          <w:tab w:pos="541" w:val="left"/>
        </w:tabs>
        <w:bidi w:val="0"/>
        <w:spacing w:before="0" w:after="40" w:line="317" w:lineRule="exact"/>
        <w:ind w:left="0" w:right="0" w:firstLine="0"/>
        <w:jc w:val="left"/>
      </w:pPr>
      <w:bookmarkStart w:id="2048" w:name="bookmark2048"/>
      <w:r>
        <w:rPr>
          <w:color w:val="000000"/>
          <w:spacing w:val="0"/>
          <w:w w:val="100"/>
          <w:position w:val="0"/>
        </w:rPr>
        <w:t>（</w:t>
      </w:r>
      <w:bookmarkEnd w:id="20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日，公司以截至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170,115,232</w:t>
      </w:r>
      <w:r>
        <w:rPr>
          <w:color w:val="000000"/>
          <w:spacing w:val="0"/>
          <w:w w:val="100"/>
          <w:position w:val="0"/>
        </w:rPr>
        <w:t>股为基数向全体股东以资本公积每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股股本，相应的公司年末发行在外的股份期权行权价格应调整为</w:t>
      </w:r>
      <w:r>
        <w:rPr>
          <w:rFonts w:ascii="Times New Roman" w:eastAsia="Times New Roman" w:hAnsi="Times New Roman" w:cs="Times New Roman"/>
          <w:color w:val="000000"/>
          <w:spacing w:val="0"/>
          <w:w w:val="100"/>
          <w:position w:val="0"/>
          <w:sz w:val="18"/>
          <w:szCs w:val="18"/>
        </w:rPr>
        <w:t>7.9059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6.8147</w:t>
      </w:r>
      <w:r>
        <w:rPr>
          <w:color w:val="000000"/>
          <w:spacing w:val="0"/>
          <w:w w:val="100"/>
          <w:position w:val="0"/>
        </w:rPr>
        <w:t>元。</w:t>
      </w:r>
    </w:p>
    <w:p>
      <w:pPr>
        <w:pStyle w:val="Style24"/>
        <w:keepNext w:val="0"/>
        <w:keepLines w:val="0"/>
        <w:widowControl w:val="0"/>
        <w:shd w:val="clear" w:color="auto" w:fill="auto"/>
        <w:tabs>
          <w:tab w:pos="541" w:val="left"/>
        </w:tabs>
        <w:bidi w:val="0"/>
        <w:spacing w:before="0" w:after="360" w:line="317" w:lineRule="exact"/>
        <w:ind w:left="0" w:right="0" w:firstLine="0"/>
        <w:jc w:val="left"/>
      </w:pPr>
      <w:bookmarkStart w:id="2049" w:name="bookmark2049"/>
      <w:r>
        <w:rPr>
          <w:color w:val="000000"/>
          <w:spacing w:val="0"/>
          <w:w w:val="100"/>
          <w:position w:val="0"/>
        </w:rPr>
        <w:t>（</w:t>
      </w:r>
      <w:bookmarkEnd w:id="204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由于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年公司业绩均未达到考核目标，首次授予的限制性股票已全部失效，至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年末已全部回购； 预留授予的限制性股票尚余</w:t>
      </w:r>
      <w:r>
        <w:rPr>
          <w:rFonts w:ascii="Times New Roman" w:eastAsia="Times New Roman" w:hAnsi="Times New Roman" w:cs="Times New Roman"/>
          <w:color w:val="000000"/>
          <w:spacing w:val="0"/>
          <w:w w:val="100"/>
          <w:position w:val="0"/>
          <w:sz w:val="18"/>
          <w:szCs w:val="18"/>
        </w:rPr>
        <w:t>59,933</w:t>
      </w:r>
      <w:r>
        <w:rPr>
          <w:color w:val="000000"/>
          <w:spacing w:val="0"/>
          <w:w w:val="100"/>
          <w:position w:val="0"/>
        </w:rPr>
        <w:t>股已失效待回购。</w:t>
      </w:r>
    </w:p>
    <w:p>
      <w:pPr>
        <w:pStyle w:val="Style28"/>
        <w:keepNext/>
        <w:keepLines/>
        <w:widowControl w:val="0"/>
        <w:shd w:val="clear" w:color="auto" w:fill="auto"/>
        <w:bidi w:val="0"/>
        <w:spacing w:before="0" w:after="280" w:line="240" w:lineRule="auto"/>
        <w:ind w:left="0" w:right="0" w:firstLine="0"/>
        <w:jc w:val="left"/>
      </w:pPr>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50"/>
      <w:bookmarkEnd w:id="2051"/>
      <w:bookmarkEnd w:id="2052"/>
    </w:p>
    <w:p>
      <w:pPr>
        <w:pStyle w:val="Style24"/>
        <w:keepNext w:val="0"/>
        <w:keepLines w:val="0"/>
        <w:widowControl w:val="0"/>
        <w:shd w:val="clear" w:color="auto" w:fill="auto"/>
        <w:bidi w:val="0"/>
        <w:spacing w:before="0" w:after="14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Black-Scholes </w:t>
            </w:r>
            <w:r>
              <w:rPr>
                <w:rFonts w:ascii="SimSun" w:eastAsia="SimSun" w:hAnsi="SimSun" w:cs="SimSun"/>
                <w:color w:val="000000"/>
                <w:spacing w:val="0"/>
                <w:w w:val="100"/>
                <w:position w:val="0"/>
                <w:sz w:val="17"/>
                <w:szCs w:val="17"/>
              </w:rPr>
              <w:t>模型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按各解锁期的业绩条件估计确定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1,771,211.20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-147,817.78</w:t>
            </w:r>
          </w:p>
        </w:tc>
      </w:tr>
    </w:tbl>
    <w:p>
      <w:pPr>
        <w:pStyle w:val="Style24"/>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28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3</w:t>
      </w:r>
      <w:bookmarkEnd w:id="2055"/>
      <w:r>
        <w:rPr>
          <w:color w:val="000000"/>
          <w:spacing w:val="0"/>
          <w:w w:val="100"/>
          <w:position w:val="0"/>
        </w:rPr>
        <w:t>、</w:t>
        <w:tab/>
        <w:t>以现金结算的股份支付情况</w:t>
      </w:r>
      <w:bookmarkEnd w:id="2053"/>
      <w:bookmarkEnd w:id="2054"/>
      <w:bookmarkEnd w:id="2056"/>
    </w:p>
    <w:p>
      <w:pPr>
        <w:pStyle w:val="Style24"/>
        <w:keepNext w:val="0"/>
        <w:keepLines w:val="0"/>
        <w:widowControl w:val="0"/>
        <w:shd w:val="clear" w:color="auto" w:fill="auto"/>
        <w:bidi w:val="0"/>
        <w:spacing w:before="0" w:after="360" w:line="30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4</w:t>
      </w:r>
      <w:bookmarkEnd w:id="2059"/>
      <w:r>
        <w:rPr>
          <w:color w:val="000000"/>
          <w:spacing w:val="0"/>
          <w:w w:val="100"/>
          <w:position w:val="0"/>
        </w:rPr>
        <w:t>、</w:t>
        <w:tab/>
        <w:t>股份支付的修改、终止情况</w:t>
      </w:r>
      <w:bookmarkEnd w:id="2057"/>
      <w:bookmarkEnd w:id="2058"/>
      <w:bookmarkEnd w:id="2060"/>
    </w:p>
    <w:p>
      <w:pPr>
        <w:pStyle w:val="Style28"/>
        <w:keepNext/>
        <w:keepLines/>
        <w:widowControl w:val="0"/>
        <w:shd w:val="clear" w:color="auto" w:fill="auto"/>
        <w:tabs>
          <w:tab w:pos="378"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5</w:t>
      </w:r>
      <w:bookmarkEnd w:id="2063"/>
      <w:r>
        <w:rPr>
          <w:color w:val="000000"/>
          <w:spacing w:val="0"/>
          <w:w w:val="100"/>
          <w:position w:val="0"/>
        </w:rPr>
        <w:t>、</w:t>
        <w:tab/>
        <w:t>其他</w:t>
      </w:r>
      <w:bookmarkEnd w:id="2061"/>
      <w:bookmarkEnd w:id="2062"/>
      <w:bookmarkEnd w:id="2064"/>
    </w:p>
    <w:p>
      <w:pPr>
        <w:pStyle w:val="Style22"/>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r>
        <w:rPr>
          <w:color w:val="000000"/>
          <w:spacing w:val="0"/>
          <w:w w:val="100"/>
          <w:position w:val="0"/>
          <w:sz w:val="24"/>
          <w:szCs w:val="24"/>
        </w:rPr>
        <w:t>十四、承诺及或有事项</w:t>
      </w:r>
      <w:bookmarkEnd w:id="2065"/>
      <w:bookmarkEnd w:id="2066"/>
      <w:bookmarkEnd w:id="2067"/>
    </w:p>
    <w:p>
      <w:pPr>
        <w:pStyle w:val="Style28"/>
        <w:keepNext/>
        <w:keepLines/>
        <w:widowControl w:val="0"/>
        <w:shd w:val="clear" w:color="auto" w:fill="auto"/>
        <w:tabs>
          <w:tab w:pos="368" w:val="left"/>
        </w:tabs>
        <w:bidi w:val="0"/>
        <w:spacing w:before="0" w:after="28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1</w:t>
      </w:r>
      <w:bookmarkEnd w:id="2070"/>
      <w:r>
        <w:rPr>
          <w:color w:val="000000"/>
          <w:spacing w:val="0"/>
          <w:w w:val="100"/>
          <w:position w:val="0"/>
        </w:rPr>
        <w:t>、</w:t>
        <w:tab/>
        <w:t>重要承诺事项</w:t>
      </w:r>
      <w:bookmarkEnd w:id="2068"/>
      <w:bookmarkEnd w:id="2069"/>
      <w:bookmarkEnd w:id="2071"/>
    </w:p>
    <w:p>
      <w:pPr>
        <w:pStyle w:val="Style24"/>
        <w:keepNext w:val="0"/>
        <w:keepLines w:val="0"/>
        <w:widowControl w:val="0"/>
        <w:shd w:val="clear" w:color="auto" w:fill="auto"/>
        <w:bidi w:val="0"/>
        <w:spacing w:before="0" w:after="40" w:line="302" w:lineRule="exact"/>
        <w:ind w:left="0" w:right="0" w:firstLine="0"/>
        <w:jc w:val="left"/>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创新科技海岸厂房为公司募集资金投向的项目，主要资金来源于首次公开发行股票募集的资金，该项目预算</w:t>
      </w:r>
      <w:r>
        <w:rPr>
          <w:rFonts w:ascii="Times New Roman" w:eastAsia="Times New Roman" w:hAnsi="Times New Roman" w:cs="Times New Roman"/>
          <w:color w:val="000000"/>
          <w:spacing w:val="0"/>
          <w:w w:val="100"/>
          <w:position w:val="0"/>
          <w:sz w:val="18"/>
          <w:szCs w:val="18"/>
        </w:rPr>
        <w:t>32,757.62</w:t>
      </w:r>
      <w:r>
        <w:rPr>
          <w:color w:val="000000"/>
          <w:spacing w:val="0"/>
          <w:w w:val="100"/>
          <w:position w:val="0"/>
        </w:rPr>
        <w:t>万元,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日，已完成工作量</w:t>
      </w:r>
      <w:r>
        <w:rPr>
          <w:rFonts w:ascii="Times New Roman" w:eastAsia="Times New Roman" w:hAnsi="Times New Roman" w:cs="Times New Roman"/>
          <w:color w:val="000000"/>
          <w:spacing w:val="0"/>
          <w:w w:val="100"/>
          <w:position w:val="0"/>
          <w:sz w:val="18"/>
          <w:szCs w:val="18"/>
        </w:rPr>
        <w:t>29,773.95</w:t>
      </w:r>
      <w:r>
        <w:rPr>
          <w:color w:val="000000"/>
          <w:spacing w:val="0"/>
          <w:w w:val="100"/>
          <w:position w:val="0"/>
        </w:rPr>
        <w:t>万元。</w:t>
      </w:r>
    </w:p>
    <w:p>
      <w:pPr>
        <w:pStyle w:val="Style28"/>
        <w:keepNext/>
        <w:keepLines/>
        <w:widowControl w:val="0"/>
        <w:shd w:val="clear" w:color="auto" w:fill="auto"/>
        <w:tabs>
          <w:tab w:pos="378" w:val="left"/>
        </w:tabs>
        <w:bidi w:val="0"/>
        <w:spacing w:before="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2</w:t>
      </w:r>
      <w:bookmarkEnd w:id="2074"/>
      <w:r>
        <w:rPr>
          <w:color w:val="000000"/>
          <w:spacing w:val="0"/>
          <w:w w:val="100"/>
          <w:position w:val="0"/>
        </w:rPr>
        <w:t>、</w:t>
        <w:tab/>
        <w:t>或有事项</w:t>
      </w:r>
      <w:bookmarkEnd w:id="2072"/>
      <w:bookmarkEnd w:id="2073"/>
      <w:bookmarkEnd w:id="2075"/>
    </w:p>
    <w:p>
      <w:pPr>
        <w:pStyle w:val="Style36"/>
        <w:keepNext/>
        <w:keepLines/>
        <w:widowControl w:val="0"/>
        <w:shd w:val="clear" w:color="auto" w:fill="auto"/>
        <w:bidi w:val="0"/>
        <w:spacing w:before="0" w:after="280" w:line="240" w:lineRule="auto"/>
        <w:ind w:left="0" w:right="0" w:firstLine="0"/>
        <w:jc w:val="left"/>
      </w:pPr>
      <w:bookmarkStart w:id="2076" w:name="bookmark2076"/>
      <w:bookmarkStart w:id="2077" w:name="bookmark2077"/>
      <w:bookmarkStart w:id="2078" w:name="bookmark20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76"/>
      <w:bookmarkEnd w:id="2077"/>
      <w:bookmarkEnd w:id="2078"/>
    </w:p>
    <w:p>
      <w:pPr>
        <w:pStyle w:val="Style24"/>
        <w:keepNext w:val="0"/>
        <w:keepLines w:val="0"/>
        <w:widowControl w:val="0"/>
        <w:shd w:val="clear" w:color="auto" w:fill="auto"/>
        <w:bidi w:val="0"/>
        <w:spacing w:before="0" w:after="320" w:line="302" w:lineRule="exact"/>
        <w:ind w:left="0" w:right="0" w:firstLine="0"/>
        <w:jc w:val="left"/>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364" w:right="1066" w:bottom="1479" w:left="1060" w:header="0" w:footer="3" w:gutter="0"/>
          <w:cols w:space="720"/>
          <w:noEndnote/>
          <w:titlePg/>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日，本集团不存在应披露的重大未决诉讼、对外担保等或有事项。</w:t>
      </w:r>
    </w:p>
    <w:p>
      <w:pPr>
        <w:pStyle w:val="Style36"/>
        <w:keepNext/>
        <w:keepLines/>
        <w:widowControl w:val="0"/>
        <w:shd w:val="clear" w:color="auto" w:fill="auto"/>
        <w:bidi w:val="0"/>
        <w:spacing w:before="0" w:after="400" w:line="240" w:lineRule="auto"/>
        <w:ind w:left="0" w:right="0" w:firstLine="0"/>
        <w:jc w:val="left"/>
      </w:pPr>
      <w:bookmarkStart w:id="2079" w:name="bookmark2079"/>
      <w:bookmarkStart w:id="2080" w:name="bookmark2080"/>
      <w:bookmarkStart w:id="2081" w:name="bookmark20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79"/>
      <w:bookmarkEnd w:id="2080"/>
      <w:bookmarkEnd w:id="2081"/>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after="34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3</w:t>
      </w:r>
      <w:bookmarkEnd w:id="2084"/>
      <w:r>
        <w:rPr>
          <w:color w:val="000000"/>
          <w:spacing w:val="0"/>
          <w:w w:val="100"/>
          <w:position w:val="0"/>
        </w:rPr>
        <w:t>、其他</w:t>
      </w:r>
      <w:bookmarkEnd w:id="2082"/>
      <w:bookmarkEnd w:id="2083"/>
      <w:bookmarkEnd w:id="2085"/>
    </w:p>
    <w:p>
      <w:pPr>
        <w:pStyle w:val="Style22"/>
        <w:keepNext/>
        <w:keepLines/>
        <w:widowControl w:val="0"/>
        <w:shd w:val="clear" w:color="auto" w:fill="auto"/>
        <w:bidi w:val="0"/>
        <w:spacing w:before="0" w:after="340" w:line="240" w:lineRule="auto"/>
        <w:ind w:left="0" w:right="0" w:firstLine="0"/>
        <w:jc w:val="left"/>
      </w:pPr>
      <w:bookmarkStart w:id="2086" w:name="bookmark2086"/>
      <w:bookmarkStart w:id="2087" w:name="bookmark2087"/>
      <w:bookmarkStart w:id="2088" w:name="bookmark2088"/>
      <w:r>
        <w:rPr>
          <w:color w:val="000000"/>
          <w:spacing w:val="0"/>
          <w:w w:val="100"/>
          <w:position w:val="0"/>
          <w:sz w:val="24"/>
          <w:szCs w:val="24"/>
        </w:rPr>
        <w:t>十五、资产负债表日后事项</w:t>
      </w:r>
      <w:bookmarkEnd w:id="2086"/>
      <w:bookmarkEnd w:id="2087"/>
      <w:bookmarkEnd w:id="2088"/>
    </w:p>
    <w:p>
      <w:pPr>
        <w:pStyle w:val="Style28"/>
        <w:keepNext/>
        <w:keepLines/>
        <w:widowControl w:val="0"/>
        <w:shd w:val="clear" w:color="auto" w:fill="auto"/>
        <w:bidi w:val="0"/>
        <w:spacing w:before="0" w:after="400" w:line="240" w:lineRule="auto"/>
        <w:ind w:left="0" w:right="0" w:firstLine="0"/>
        <w:jc w:val="left"/>
      </w:pPr>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89"/>
      <w:bookmarkEnd w:id="2090"/>
      <w:bookmarkEnd w:id="209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92"/>
      <w:bookmarkEnd w:id="2093"/>
      <w:bookmarkEnd w:id="209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20,196,054.64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28"/>
        <w:keepNext/>
        <w:keepLines/>
        <w:widowControl w:val="0"/>
        <w:shd w:val="clear" w:color="auto" w:fill="auto"/>
        <w:tabs>
          <w:tab w:pos="378" w:val="left"/>
        </w:tabs>
        <w:bidi w:val="0"/>
        <w:spacing w:before="0" w:after="34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3</w:t>
      </w:r>
      <w:bookmarkEnd w:id="2097"/>
      <w:r>
        <w:rPr>
          <w:color w:val="000000"/>
          <w:spacing w:val="0"/>
          <w:w w:val="100"/>
          <w:position w:val="0"/>
        </w:rPr>
        <w:t>、</w:t>
        <w:tab/>
        <w:t>销售退回</w:t>
      </w:r>
      <w:bookmarkEnd w:id="2095"/>
      <w:bookmarkEnd w:id="2096"/>
      <w:bookmarkEnd w:id="2098"/>
    </w:p>
    <w:p>
      <w:pPr>
        <w:pStyle w:val="Style28"/>
        <w:keepNext/>
        <w:keepLines/>
        <w:widowControl w:val="0"/>
        <w:shd w:val="clear" w:color="auto" w:fill="auto"/>
        <w:tabs>
          <w:tab w:pos="378" w:val="left"/>
        </w:tabs>
        <w:bidi w:val="0"/>
        <w:spacing w:before="0" w:after="34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4</w:t>
      </w:r>
      <w:bookmarkEnd w:id="2101"/>
      <w:r>
        <w:rPr>
          <w:color w:val="000000"/>
          <w:spacing w:val="0"/>
          <w:w w:val="100"/>
          <w:position w:val="0"/>
        </w:rPr>
        <w:t>、</w:t>
        <w:tab/>
        <w:t>其他资产负债表日后事项说明</w:t>
      </w:r>
      <w:bookmarkEnd w:id="2099"/>
      <w:bookmarkEnd w:id="2100"/>
      <w:bookmarkEnd w:id="2102"/>
    </w:p>
    <w:p>
      <w:pPr>
        <w:pStyle w:val="Style24"/>
        <w:keepNext w:val="0"/>
        <w:keepLines w:val="0"/>
        <w:widowControl w:val="0"/>
        <w:shd w:val="clear" w:color="auto" w:fill="auto"/>
        <w:tabs>
          <w:tab w:pos="334" w:val="left"/>
        </w:tabs>
        <w:bidi w:val="0"/>
        <w:spacing w:before="0" w:after="0" w:line="314" w:lineRule="exact"/>
        <w:ind w:left="0" w:right="0" w:firstLine="0"/>
        <w:jc w:val="left"/>
      </w:pPr>
      <w:bookmarkStart w:id="2103" w:name="bookmark2103"/>
      <w:r>
        <w:rPr>
          <w:rFonts w:ascii="Times New Roman" w:eastAsia="Times New Roman" w:hAnsi="Times New Roman" w:cs="Times New Roman"/>
          <w:color w:val="000000"/>
          <w:spacing w:val="0"/>
          <w:w w:val="100"/>
          <w:position w:val="0"/>
          <w:sz w:val="18"/>
          <w:szCs w:val="18"/>
        </w:rPr>
        <w:t>1</w:t>
      </w:r>
      <w:bookmarkEnd w:id="2103"/>
      <w:r>
        <w:rPr>
          <w:color w:val="000000"/>
          <w:spacing w:val="0"/>
          <w:w w:val="100"/>
          <w:position w:val="0"/>
        </w:rPr>
        <w:t>、</w:t>
        <w:tab/>
        <w:t>利润分配情况</w:t>
      </w:r>
    </w:p>
    <w:p>
      <w:pPr>
        <w:pStyle w:val="Style24"/>
        <w:keepNext w:val="0"/>
        <w:keepLines w:val="0"/>
        <w:widowControl w:val="0"/>
        <w:shd w:val="clear" w:color="auto" w:fill="auto"/>
        <w:bidi w:val="0"/>
        <w:spacing w:before="0" w:after="400" w:line="312" w:lineRule="exact"/>
        <w:ind w:left="0" w:right="0" w:firstLine="48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日，本公司第三届董事会召开第三十二次会议，批准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252,450,683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元人民币（含税），同时以资本公积向股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股。该项决议尚需提交股东大会批准。</w:t>
      </w:r>
    </w:p>
    <w:p>
      <w:pPr>
        <w:pStyle w:val="Style24"/>
        <w:keepNext w:val="0"/>
        <w:keepLines w:val="0"/>
        <w:widowControl w:val="0"/>
        <w:shd w:val="clear" w:color="auto" w:fill="auto"/>
        <w:tabs>
          <w:tab w:pos="354" w:val="left"/>
        </w:tabs>
        <w:bidi w:val="0"/>
        <w:spacing w:before="0" w:after="0" w:line="314" w:lineRule="exact"/>
        <w:ind w:left="0" w:right="0" w:firstLine="0"/>
        <w:jc w:val="left"/>
      </w:pPr>
      <w:bookmarkStart w:id="2104" w:name="bookmark2104"/>
      <w:r>
        <w:rPr>
          <w:rFonts w:ascii="Times New Roman" w:eastAsia="Times New Roman" w:hAnsi="Times New Roman" w:cs="Times New Roman"/>
          <w:color w:val="000000"/>
          <w:spacing w:val="0"/>
          <w:w w:val="100"/>
          <w:position w:val="0"/>
          <w:sz w:val="18"/>
          <w:szCs w:val="18"/>
        </w:rPr>
        <w:t>2</w:t>
      </w:r>
      <w:bookmarkEnd w:id="2104"/>
      <w:r>
        <w:rPr>
          <w:color w:val="000000"/>
          <w:spacing w:val="0"/>
          <w:w w:val="100"/>
          <w:position w:val="0"/>
        </w:rPr>
        <w:t>、</w:t>
        <w:tab/>
        <w:t>会计政策变更</w:t>
      </w:r>
    </w:p>
    <w:p>
      <w:pPr>
        <w:pStyle w:val="Style24"/>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日，财政部发布了《关于修订印发〈企业会计准则第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租赁〉的通知》（财会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），要求在境内外同时上市的企业以及在境外上市并采用国际财务报告准则或企业会计准则编制财务报表的企业，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日起施行。本公司将于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日起执行上述新租 赁准则，根据新租赁准则中衔接的相关规定，公司不对比较财务报表进行追溯调整，只调整首次执行本准则当年年初财务报 表相关项目金额。执行该准则不会对公司财务状况、经营成果和现金流量产生重大影响。</w:t>
      </w:r>
    </w:p>
    <w:p>
      <w:pPr>
        <w:pStyle w:val="Style22"/>
        <w:keepNext/>
        <w:keepLines/>
        <w:widowControl w:val="0"/>
        <w:shd w:val="clear" w:color="auto" w:fill="auto"/>
        <w:bidi w:val="0"/>
        <w:spacing w:before="0" w:after="340" w:line="240" w:lineRule="auto"/>
        <w:ind w:left="0" w:right="0" w:firstLine="0"/>
        <w:jc w:val="left"/>
      </w:pPr>
      <w:bookmarkStart w:id="2105" w:name="bookmark2105"/>
      <w:bookmarkStart w:id="2106" w:name="bookmark2106"/>
      <w:bookmarkStart w:id="2107" w:name="bookmark2107"/>
      <w:r>
        <w:rPr>
          <w:color w:val="000000"/>
          <w:spacing w:val="0"/>
          <w:w w:val="100"/>
          <w:position w:val="0"/>
          <w:sz w:val="24"/>
          <w:szCs w:val="24"/>
        </w:rPr>
        <w:t>十六、其他重要事项</w:t>
      </w:r>
      <w:bookmarkEnd w:id="2105"/>
      <w:bookmarkEnd w:id="2106"/>
      <w:bookmarkEnd w:id="2107"/>
    </w:p>
    <w:p>
      <w:pPr>
        <w:pStyle w:val="Style28"/>
        <w:keepNext/>
        <w:keepLines/>
        <w:widowControl w:val="0"/>
        <w:shd w:val="clear" w:color="auto" w:fill="auto"/>
        <w:bidi w:val="0"/>
        <w:spacing w:before="0" w:after="340" w:line="240" w:lineRule="auto"/>
        <w:ind w:left="0" w:right="0" w:firstLine="0"/>
        <w:jc w:val="left"/>
      </w:pPr>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08"/>
      <w:bookmarkEnd w:id="2109"/>
      <w:bookmarkEnd w:id="2110"/>
    </w:p>
    <w:p>
      <w:pPr>
        <w:pStyle w:val="Style36"/>
        <w:keepNext/>
        <w:keepLines/>
        <w:widowControl w:val="0"/>
        <w:shd w:val="clear" w:color="auto" w:fill="auto"/>
        <w:bidi w:val="0"/>
        <w:spacing w:before="0" w:after="340" w:line="240" w:lineRule="auto"/>
        <w:ind w:left="0" w:right="0" w:firstLine="0"/>
        <w:jc w:val="left"/>
      </w:pPr>
      <w:bookmarkStart w:id="2111" w:name="bookmark2111"/>
      <w:bookmarkStart w:id="2112" w:name="bookmark2112"/>
      <w:bookmarkStart w:id="2113" w:name="bookmark2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11"/>
      <w:bookmarkEnd w:id="2112"/>
      <w:bookmarkEnd w:id="2113"/>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14"/>
      <w:bookmarkEnd w:id="2115"/>
      <w:bookmarkEnd w:id="2116"/>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5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2</w:t>
      </w:r>
      <w:bookmarkEnd w:id="2119"/>
      <w:r>
        <w:rPr>
          <w:color w:val="000000"/>
          <w:spacing w:val="0"/>
          <w:w w:val="100"/>
          <w:position w:val="0"/>
        </w:rPr>
        <w:t>、</w:t>
        <w:tab/>
        <w:t>债务重组</w:t>
      </w:r>
      <w:bookmarkEnd w:id="2117"/>
      <w:bookmarkEnd w:id="2118"/>
      <w:bookmarkEnd w:id="2120"/>
    </w:p>
    <w:p>
      <w:pPr>
        <w:pStyle w:val="Style28"/>
        <w:keepNext/>
        <w:keepLines/>
        <w:widowControl w:val="0"/>
        <w:shd w:val="clear" w:color="auto" w:fill="auto"/>
        <w:tabs>
          <w:tab w:pos="378" w:val="left"/>
        </w:tabs>
        <w:bidi w:val="0"/>
        <w:spacing w:before="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3</w:t>
      </w:r>
      <w:bookmarkEnd w:id="2123"/>
      <w:r>
        <w:rPr>
          <w:color w:val="000000"/>
          <w:spacing w:val="0"/>
          <w:w w:val="100"/>
          <w:position w:val="0"/>
        </w:rPr>
        <w:t>、</w:t>
        <w:tab/>
        <w:t>资产置换</w:t>
      </w:r>
      <w:bookmarkEnd w:id="2121"/>
      <w:bookmarkEnd w:id="2122"/>
      <w:bookmarkEnd w:id="2124"/>
    </w:p>
    <w:p>
      <w:pPr>
        <w:pStyle w:val="Style36"/>
        <w:keepNext/>
        <w:keepLines/>
        <w:widowControl w:val="0"/>
        <w:shd w:val="clear" w:color="auto" w:fill="auto"/>
        <w:tabs>
          <w:tab w:pos="493" w:val="left"/>
        </w:tabs>
        <w:bidi w:val="0"/>
        <w:spacing w:before="0" w:after="360" w:line="240" w:lineRule="auto"/>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25"/>
      <w:bookmarkEnd w:id="2126"/>
      <w:bookmarkEnd w:id="2128"/>
    </w:p>
    <w:p>
      <w:pPr>
        <w:pStyle w:val="Style36"/>
        <w:keepNext/>
        <w:keepLines/>
        <w:widowControl w:val="0"/>
        <w:shd w:val="clear" w:color="auto" w:fill="auto"/>
        <w:tabs>
          <w:tab w:pos="493" w:val="left"/>
        </w:tabs>
        <w:bidi w:val="0"/>
        <w:spacing w:before="0" w:after="360" w:line="240" w:lineRule="auto"/>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29"/>
      <w:bookmarkEnd w:id="2130"/>
      <w:bookmarkEnd w:id="2132"/>
    </w:p>
    <w:p>
      <w:pPr>
        <w:pStyle w:val="Style28"/>
        <w:keepNext/>
        <w:keepLines/>
        <w:widowControl w:val="0"/>
        <w:shd w:val="clear" w:color="auto" w:fill="auto"/>
        <w:tabs>
          <w:tab w:pos="378" w:val="left"/>
        </w:tabs>
        <w:bidi w:val="0"/>
        <w:spacing w:before="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4</w:t>
      </w:r>
      <w:bookmarkEnd w:id="2135"/>
      <w:r>
        <w:rPr>
          <w:color w:val="000000"/>
          <w:spacing w:val="0"/>
          <w:w w:val="100"/>
          <w:position w:val="0"/>
        </w:rPr>
        <w:t>、</w:t>
        <w:tab/>
        <w:t>年金计划</w:t>
      </w:r>
      <w:bookmarkEnd w:id="2133"/>
      <w:bookmarkEnd w:id="2134"/>
      <w:bookmarkEnd w:id="2136"/>
    </w:p>
    <w:p>
      <w:pPr>
        <w:pStyle w:val="Style28"/>
        <w:keepNext/>
        <w:keepLines/>
        <w:widowControl w:val="0"/>
        <w:shd w:val="clear" w:color="auto" w:fill="auto"/>
        <w:tabs>
          <w:tab w:pos="378" w:val="left"/>
        </w:tabs>
        <w:bidi w:val="0"/>
        <w:spacing w:before="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5</w:t>
      </w:r>
      <w:bookmarkEnd w:id="2139"/>
      <w:r>
        <w:rPr>
          <w:color w:val="000000"/>
          <w:spacing w:val="0"/>
          <w:w w:val="100"/>
          <w:position w:val="0"/>
        </w:rPr>
        <w:t>、</w:t>
        <w:tab/>
        <w:t>终止经营</w:t>
      </w:r>
      <w:bookmarkEnd w:id="2137"/>
      <w:bookmarkEnd w:id="2138"/>
      <w:bookmarkEnd w:id="214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6</w:t>
      </w:r>
      <w:bookmarkEnd w:id="2143"/>
      <w:r>
        <w:rPr>
          <w:color w:val="000000"/>
          <w:spacing w:val="0"/>
          <w:w w:val="100"/>
          <w:position w:val="0"/>
        </w:rPr>
        <w:t>、分部信息</w:t>
      </w:r>
      <w:bookmarkEnd w:id="2141"/>
      <w:bookmarkEnd w:id="2142"/>
      <w:bookmarkEnd w:id="2144"/>
    </w:p>
    <w:p>
      <w:pPr>
        <w:pStyle w:val="Style36"/>
        <w:keepNext/>
        <w:keepLines/>
        <w:widowControl w:val="0"/>
        <w:shd w:val="clear" w:color="auto" w:fill="auto"/>
        <w:tabs>
          <w:tab w:pos="493" w:val="left"/>
        </w:tabs>
        <w:bidi w:val="0"/>
        <w:spacing w:before="0" w:after="36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45"/>
      <w:bookmarkEnd w:id="2146"/>
      <w:bookmarkEnd w:id="2148"/>
    </w:p>
    <w:p>
      <w:pPr>
        <w:pStyle w:val="Style36"/>
        <w:keepNext/>
        <w:keepLines/>
        <w:widowControl w:val="0"/>
        <w:shd w:val="clear" w:color="auto" w:fill="auto"/>
        <w:tabs>
          <w:tab w:pos="493" w:val="left"/>
        </w:tabs>
        <w:bidi w:val="0"/>
        <w:spacing w:before="0" w:after="360" w:line="240" w:lineRule="auto"/>
        <w:ind w:left="0" w:right="0" w:firstLine="0"/>
        <w:jc w:val="left"/>
      </w:pPr>
      <w:bookmarkStart w:id="2149" w:name="bookmark2149"/>
      <w:bookmarkStart w:id="2150" w:name="bookmark2150"/>
      <w:bookmarkStart w:id="2151" w:name="bookmark2151"/>
      <w:bookmarkStart w:id="2152" w:name="bookmark2152"/>
      <w:r>
        <w:rPr>
          <w:color w:val="000000"/>
          <w:spacing w:val="0"/>
          <w:w w:val="100"/>
          <w:position w:val="0"/>
        </w:rPr>
        <w:t>（</w:t>
      </w:r>
      <w:bookmarkEnd w:id="215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49"/>
      <w:bookmarkEnd w:id="2150"/>
      <w:bookmarkEnd w:id="21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364" w:right="1066" w:bottom="1479" w:left="1060" w:header="0" w:footer="3" w:gutter="0"/>
          <w:cols w:space="720"/>
          <w:noEndnote/>
          <w:titlePg/>
          <w:rtlGutter w:val="0"/>
          <w:docGrid w:linePitch="360"/>
        </w:sectPr>
      </w:pPr>
    </w:p>
    <w:p>
      <w:pPr>
        <w:pStyle w:val="Style36"/>
        <w:keepNext/>
        <w:keepLines/>
        <w:widowControl w:val="0"/>
        <w:numPr>
          <w:ilvl w:val="0"/>
          <w:numId w:val="93"/>
        </w:numPr>
        <w:shd w:val="clear" w:color="auto" w:fill="auto"/>
        <w:tabs>
          <w:tab w:pos="493" w:val="left"/>
        </w:tabs>
        <w:bidi w:val="0"/>
        <w:spacing w:before="80" w:after="360" w:line="240" w:lineRule="auto"/>
        <w:ind w:left="0" w:right="0" w:firstLine="0"/>
        <w:jc w:val="left"/>
      </w:pPr>
      <w:bookmarkStart w:id="2153" w:name="bookmark2153"/>
      <w:bookmarkStart w:id="2154" w:name="bookmark2154"/>
      <w:bookmarkStart w:id="2155" w:name="bookmark2155"/>
      <w:bookmarkStart w:id="2156" w:name="bookmark2156"/>
      <w:bookmarkEnd w:id="2155"/>
      <w:r>
        <w:rPr>
          <w:color w:val="000000"/>
          <w:spacing w:val="0"/>
          <w:w w:val="100"/>
          <w:position w:val="0"/>
        </w:rPr>
        <w:t>公司无报告分部的，或者不能披露各报告分部的资产总额和负债总额的，应说明原因</w:t>
      </w:r>
      <w:bookmarkEnd w:id="2153"/>
      <w:bookmarkEnd w:id="2154"/>
      <w:bookmarkEnd w:id="2156"/>
    </w:p>
    <w:p>
      <w:pPr>
        <w:pStyle w:val="Style36"/>
        <w:keepNext/>
        <w:keepLines/>
        <w:widowControl w:val="0"/>
        <w:numPr>
          <w:ilvl w:val="0"/>
          <w:numId w:val="93"/>
        </w:numPr>
        <w:shd w:val="clear" w:color="auto" w:fill="auto"/>
        <w:tabs>
          <w:tab w:pos="493" w:val="left"/>
        </w:tabs>
        <w:bidi w:val="0"/>
        <w:spacing w:before="0" w:after="360" w:line="240" w:lineRule="auto"/>
        <w:ind w:left="0" w:right="0" w:firstLine="0"/>
        <w:jc w:val="left"/>
      </w:pPr>
      <w:bookmarkStart w:id="2153" w:name="bookmark2153"/>
      <w:bookmarkStart w:id="2154" w:name="bookmark2154"/>
      <w:bookmarkStart w:id="2157" w:name="bookmark2157"/>
      <w:bookmarkStart w:id="2158" w:name="bookmark2158"/>
      <w:bookmarkEnd w:id="2157"/>
      <w:r>
        <w:rPr>
          <w:color w:val="000000"/>
          <w:spacing w:val="0"/>
          <w:w w:val="100"/>
          <w:position w:val="0"/>
        </w:rPr>
        <w:t>其他说明</w:t>
      </w:r>
      <w:bookmarkEnd w:id="2153"/>
      <w:bookmarkEnd w:id="2154"/>
      <w:bookmarkEnd w:id="2158"/>
    </w:p>
    <w:p>
      <w:pPr>
        <w:pStyle w:val="Style28"/>
        <w:keepNext/>
        <w:keepLines/>
        <w:widowControl w:val="0"/>
        <w:shd w:val="clear" w:color="auto" w:fill="auto"/>
        <w:tabs>
          <w:tab w:pos="373" w:val="left"/>
        </w:tabs>
        <w:bidi w:val="0"/>
        <w:spacing w:before="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7</w:t>
      </w:r>
      <w:bookmarkEnd w:id="2161"/>
      <w:r>
        <w:rPr>
          <w:color w:val="000000"/>
          <w:spacing w:val="0"/>
          <w:w w:val="100"/>
          <w:position w:val="0"/>
        </w:rPr>
        <w:t>、</w:t>
        <w:tab/>
        <w:t>其他对投资者决策有影响的重要交易和事项</w:t>
      </w:r>
      <w:bookmarkEnd w:id="2159"/>
      <w:bookmarkEnd w:id="2160"/>
      <w:bookmarkEnd w:id="2162"/>
    </w:p>
    <w:p>
      <w:pPr>
        <w:pStyle w:val="Style28"/>
        <w:keepNext/>
        <w:keepLines/>
        <w:widowControl w:val="0"/>
        <w:shd w:val="clear" w:color="auto" w:fill="auto"/>
        <w:tabs>
          <w:tab w:pos="378" w:val="left"/>
        </w:tabs>
        <w:bidi w:val="0"/>
        <w:spacing w:before="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8</w:t>
      </w:r>
      <w:bookmarkEnd w:id="2165"/>
      <w:r>
        <w:rPr>
          <w:color w:val="000000"/>
          <w:spacing w:val="0"/>
          <w:w w:val="100"/>
          <w:position w:val="0"/>
        </w:rPr>
        <w:t>、</w:t>
        <w:tab/>
        <w:t>其他</w:t>
      </w:r>
      <w:bookmarkEnd w:id="2163"/>
      <w:bookmarkEnd w:id="2164"/>
      <w:bookmarkEnd w:id="2166"/>
    </w:p>
    <w:p>
      <w:pPr>
        <w:pStyle w:val="Style22"/>
        <w:keepNext/>
        <w:keepLines/>
        <w:widowControl w:val="0"/>
        <w:shd w:val="clear" w:color="auto" w:fill="auto"/>
        <w:bidi w:val="0"/>
        <w:spacing w:before="0" w:line="240" w:lineRule="auto"/>
        <w:ind w:left="0" w:right="0" w:firstLine="0"/>
        <w:jc w:val="left"/>
      </w:pPr>
      <w:bookmarkStart w:id="2167" w:name="bookmark2167"/>
      <w:bookmarkStart w:id="2168" w:name="bookmark2168"/>
      <w:bookmarkStart w:id="2169" w:name="bookmark2169"/>
      <w:r>
        <w:rPr>
          <w:color w:val="000000"/>
          <w:spacing w:val="0"/>
          <w:w w:val="100"/>
          <w:position w:val="0"/>
          <w:sz w:val="24"/>
          <w:szCs w:val="24"/>
        </w:rPr>
        <w:t>十七、母公司财务报表主要项目注释</w:t>
      </w:r>
      <w:bookmarkEnd w:id="2167"/>
      <w:bookmarkEnd w:id="2168"/>
      <w:bookmarkEnd w:id="2169"/>
    </w:p>
    <w:p>
      <w:pPr>
        <w:pStyle w:val="Style28"/>
        <w:keepNext/>
        <w:keepLines/>
        <w:widowControl w:val="0"/>
        <w:shd w:val="clear" w:color="auto" w:fill="auto"/>
        <w:bidi w:val="0"/>
        <w:spacing w:before="0" w:line="240" w:lineRule="auto"/>
        <w:ind w:left="0" w:right="0" w:firstLine="0"/>
        <w:jc w:val="left"/>
      </w:pPr>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70"/>
      <w:bookmarkEnd w:id="2171"/>
      <w:bookmarkEnd w:id="2172"/>
    </w:p>
    <w:p>
      <w:pPr>
        <w:pStyle w:val="Style36"/>
        <w:keepNext/>
        <w:keepLines/>
        <w:widowControl w:val="0"/>
        <w:shd w:val="clear" w:color="auto" w:fill="auto"/>
        <w:bidi w:val="0"/>
        <w:spacing w:before="0" w:after="360" w:line="240" w:lineRule="auto"/>
        <w:ind w:left="0" w:right="0" w:firstLine="140"/>
        <w:jc w:val="left"/>
      </w:pPr>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73"/>
      <w:bookmarkEnd w:id="2174"/>
      <w:bookmarkEnd w:id="217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77,680,9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10,077,6</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67,603,26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116,624,7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13,948,78</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102,675,99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64,890,0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10,077,6</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54,812,30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101,725,2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13,948,78</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87,776,486.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12,790,9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12,790,96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14,899,507.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77,680,9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10,077,6</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67,603,26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116,624,7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13,948,78</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102,675,99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按组合计提坏账准备：应收货款</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46,732,337.00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1,198,766.21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6,667,744.79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1,331,883.97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2,863,914.83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1,344,602.97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6,432,087.10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4,373,050.97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1,011,401.69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782,892.70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1,182,514.75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1,046,494.23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64,890,000.16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10,077,691.05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按组合计提坏账准备：应收质保金</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未逾期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12,790,960.22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12,790,960.22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49,244,285.47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9,365,695.98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4,027,040.26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15,043,938.67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8,781,223.67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3,158,591.94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3,104,123.06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77,680,960.38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176" w:name="bookmark2176"/>
      <w:bookmarkStart w:id="2177" w:name="bookmark2177"/>
      <w:bookmarkStart w:id="2178" w:name="bookmark21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76"/>
      <w:bookmarkEnd w:id="2177"/>
      <w:bookmarkEnd w:id="217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首次执行新收入 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13,948,780.91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-1,033,095.73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2,837,994.13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10,077,691.05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13,948,780.91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-1,033,095.73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2,837,994.13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10,077,691.05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36"/>
        <w:keepNext/>
        <w:keepLines/>
        <w:widowControl w:val="0"/>
        <w:numPr>
          <w:ilvl w:val="0"/>
          <w:numId w:val="95"/>
        </w:numPr>
        <w:shd w:val="clear" w:color="auto" w:fill="auto"/>
        <w:bidi w:val="0"/>
        <w:spacing w:before="0" w:line="240" w:lineRule="auto"/>
        <w:ind w:left="0" w:right="0" w:firstLine="0"/>
        <w:jc w:val="left"/>
      </w:pPr>
      <w:bookmarkStart w:id="2179" w:name="bookmark2179"/>
      <w:bookmarkStart w:id="2180" w:name="bookmark2180"/>
      <w:bookmarkStart w:id="2181" w:name="bookmark2181"/>
      <w:bookmarkStart w:id="2182" w:name="bookmark2182"/>
      <w:bookmarkEnd w:id="2181"/>
      <w:r>
        <w:rPr>
          <w:color w:val="000000"/>
          <w:spacing w:val="0"/>
          <w:w w:val="100"/>
          <w:position w:val="0"/>
        </w:rPr>
        <w:t>本期实际核销的应收账款情况</w:t>
      </w:r>
      <w:bookmarkEnd w:id="2179"/>
      <w:bookmarkEnd w:id="2180"/>
      <w:bookmarkEnd w:id="218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2,837,994.13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169,269.00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140,535.00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133,080.00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114,993.00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665,277.00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6"/>
        <w:keepNext/>
        <w:keepLines/>
        <w:widowControl w:val="0"/>
        <w:numPr>
          <w:ilvl w:val="0"/>
          <w:numId w:val="95"/>
        </w:numPr>
        <w:shd w:val="clear" w:color="auto" w:fill="auto"/>
        <w:bidi w:val="0"/>
        <w:spacing w:before="0" w:line="240" w:lineRule="auto"/>
        <w:ind w:left="0" w:right="0" w:firstLine="0"/>
        <w:jc w:val="left"/>
      </w:pPr>
      <w:bookmarkStart w:id="2183" w:name="bookmark2183"/>
      <w:bookmarkStart w:id="2184" w:name="bookmark2184"/>
      <w:bookmarkStart w:id="2185" w:name="bookmark2185"/>
      <w:bookmarkStart w:id="2186" w:name="bookmark2186"/>
      <w:bookmarkEnd w:id="2185"/>
      <w:r>
        <w:rPr>
          <w:color w:val="000000"/>
          <w:spacing w:val="0"/>
          <w:w w:val="100"/>
          <w:position w:val="0"/>
        </w:rPr>
        <w:t>按欠款方归集的期末余额前五名的应收账款情况</w:t>
      </w:r>
      <w:bookmarkEnd w:id="2183"/>
      <w:bookmarkEnd w:id="2184"/>
      <w:bookmarkEnd w:id="218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8,062,704.17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206,822.47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5,585,467.46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130,534.61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5,519,830.25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141,593.30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4,200,087.90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163,785.23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1,498,026.31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69,344.04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24,866,116.09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355" w:right="1117" w:bottom="1617" w:left="1096" w:header="0" w:footer="3" w:gutter="0"/>
          <w:cols w:space="720"/>
          <w:noEndnote/>
          <w:rtlGutter w:val="0"/>
          <w:docGrid w:linePitch="360"/>
        </w:sectPr>
      </w:pPr>
    </w:p>
    <w:p>
      <w:pPr>
        <w:pStyle w:val="Style36"/>
        <w:keepNext/>
        <w:keepLines/>
        <w:widowControl w:val="0"/>
        <w:shd w:val="clear" w:color="auto" w:fill="auto"/>
        <w:tabs>
          <w:tab w:pos="493" w:val="left"/>
        </w:tabs>
        <w:bidi w:val="0"/>
        <w:spacing w:before="0" w:after="360" w:line="240" w:lineRule="auto"/>
        <w:ind w:left="0" w:right="0" w:firstLine="0"/>
        <w:jc w:val="left"/>
      </w:pPr>
      <w:bookmarkStart w:id="2187" w:name="bookmark2187"/>
      <w:bookmarkStart w:id="2188" w:name="bookmark2188"/>
      <w:bookmarkStart w:id="2189" w:name="bookmark2189"/>
      <w:bookmarkStart w:id="2190" w:name="bookmark2190"/>
      <w:r>
        <w:rPr>
          <w:color w:val="000000"/>
          <w:spacing w:val="0"/>
          <w:w w:val="100"/>
          <w:position w:val="0"/>
        </w:rPr>
        <w:t>（</w:t>
      </w:r>
      <w:bookmarkEnd w:id="218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87"/>
      <w:bookmarkEnd w:id="2188"/>
      <w:bookmarkEnd w:id="2190"/>
    </w:p>
    <w:p>
      <w:pPr>
        <w:pStyle w:val="Style36"/>
        <w:keepNext/>
        <w:keepLines/>
        <w:widowControl w:val="0"/>
        <w:shd w:val="clear" w:color="auto" w:fill="auto"/>
        <w:tabs>
          <w:tab w:pos="493" w:val="left"/>
        </w:tabs>
        <w:bidi w:val="0"/>
        <w:spacing w:before="0" w:after="360" w:line="240" w:lineRule="auto"/>
        <w:ind w:left="0" w:right="0" w:firstLine="0"/>
        <w:jc w:val="left"/>
      </w:pPr>
      <w:bookmarkStart w:id="2191" w:name="bookmark2191"/>
      <w:bookmarkStart w:id="2192" w:name="bookmark2192"/>
      <w:bookmarkStart w:id="2193" w:name="bookmark2193"/>
      <w:bookmarkStart w:id="2194" w:name="bookmark2194"/>
      <w:r>
        <w:rPr>
          <w:color w:val="000000"/>
          <w:spacing w:val="0"/>
          <w:w w:val="100"/>
          <w:position w:val="0"/>
        </w:rPr>
        <w:t>（</w:t>
      </w:r>
      <w:bookmarkEnd w:id="219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91"/>
      <w:bookmarkEnd w:id="2192"/>
      <w:bookmarkEnd w:id="219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95"/>
      <w:bookmarkEnd w:id="2196"/>
      <w:bookmarkEnd w:id="219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19,790,342.52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19,884,409.26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19,790,342.52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19,884,409.26</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2198" w:name="bookmark2198"/>
      <w:bookmarkStart w:id="2199" w:name="bookmark2199"/>
      <w:bookmarkStart w:id="2200" w:name="bookmark2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98"/>
      <w:bookmarkEnd w:id="2199"/>
      <w:bookmarkEnd w:id="2200"/>
    </w:p>
    <w:p>
      <w:pPr>
        <w:pStyle w:val="Style65"/>
        <w:keepNext/>
        <w:keepLines/>
        <w:widowControl w:val="0"/>
        <w:shd w:val="clear" w:color="auto" w:fill="auto"/>
        <w:bidi w:val="0"/>
        <w:spacing w:before="0" w:line="240" w:lineRule="auto"/>
        <w:ind w:left="0" w:right="0" w:firstLine="0"/>
        <w:jc w:val="both"/>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1</w:t>
      </w:r>
      <w:bookmarkEnd w:id="2203"/>
      <w:r>
        <w:rPr>
          <w:color w:val="000000"/>
          <w:spacing w:val="0"/>
          <w:w w:val="100"/>
          <w:position w:val="0"/>
        </w:rPr>
        <w:t>）应收利息分类</w:t>
      </w:r>
      <w:bookmarkEnd w:id="2201"/>
      <w:bookmarkEnd w:id="2202"/>
      <w:bookmarkEnd w:id="220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2</w:t>
      </w:r>
      <w:bookmarkEnd w:id="2207"/>
      <w:r>
        <w:rPr>
          <w:color w:val="000000"/>
          <w:spacing w:val="0"/>
          <w:w w:val="100"/>
          <w:position w:val="0"/>
        </w:rPr>
        <w:t>）重要逾期利息</w:t>
      </w:r>
      <w:bookmarkEnd w:id="2205"/>
      <w:bookmarkEnd w:id="2206"/>
      <w:bookmarkEnd w:id="2208"/>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3</w:t>
      </w:r>
      <w:bookmarkEnd w:id="2211"/>
      <w:r>
        <w:rPr>
          <w:color w:val="000000"/>
          <w:spacing w:val="0"/>
          <w:w w:val="100"/>
          <w:position w:val="0"/>
        </w:rPr>
        <w:t>）坏账准备计提情况</w:t>
      </w:r>
      <w:bookmarkEnd w:id="2209"/>
      <w:bookmarkEnd w:id="2210"/>
      <w:bookmarkEnd w:id="221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2213" w:name="bookmark2213"/>
      <w:bookmarkStart w:id="2214" w:name="bookmark2214"/>
      <w:bookmarkStart w:id="2215" w:name="bookmark22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13"/>
      <w:bookmarkEnd w:id="2214"/>
      <w:bookmarkEnd w:id="2215"/>
    </w:p>
    <w:p>
      <w:pPr>
        <w:pStyle w:val="Style65"/>
        <w:keepNext/>
        <w:keepLines/>
        <w:widowControl w:val="0"/>
        <w:shd w:val="clear" w:color="auto" w:fill="auto"/>
        <w:bidi w:val="0"/>
        <w:spacing w:before="0" w:line="240"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1</w:t>
      </w:r>
      <w:bookmarkEnd w:id="2218"/>
      <w:r>
        <w:rPr>
          <w:color w:val="000000"/>
          <w:spacing w:val="0"/>
          <w:w w:val="100"/>
          <w:position w:val="0"/>
        </w:rPr>
        <w:t>）应收股利分类</w:t>
      </w:r>
      <w:bookmarkEnd w:id="2216"/>
      <w:bookmarkEnd w:id="2217"/>
      <w:bookmarkEnd w:id="221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2</w:t>
      </w:r>
      <w:bookmarkEnd w:id="222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20"/>
      <w:bookmarkEnd w:id="2221"/>
      <w:bookmarkEnd w:id="222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pStyle w:val="Style65"/>
        <w:keepNext/>
        <w:keepLines/>
        <w:widowControl w:val="0"/>
        <w:shd w:val="clear" w:color="auto" w:fill="auto"/>
        <w:bidi w:val="0"/>
        <w:spacing w:before="0" w:after="380" w:line="240" w:lineRule="auto"/>
        <w:ind w:left="0" w:right="0" w:firstLine="0"/>
        <w:jc w:val="left"/>
      </w:pPr>
      <w:bookmarkStart w:id="2224" w:name="bookmark2224"/>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3</w:t>
      </w:r>
      <w:bookmarkEnd w:id="2226"/>
      <w:r>
        <w:rPr>
          <w:color w:val="000000"/>
          <w:spacing w:val="0"/>
          <w:w w:val="100"/>
          <w:position w:val="0"/>
        </w:rPr>
        <w:t>）坏账准备计提情况</w:t>
      </w:r>
      <w:bookmarkEnd w:id="2224"/>
      <w:bookmarkEnd w:id="2225"/>
      <w:bookmarkEnd w:id="222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2228" w:name="bookmark2228"/>
      <w:bookmarkStart w:id="2229" w:name="bookmark2229"/>
      <w:bookmarkStart w:id="2230" w:name="bookmark2230"/>
      <w:bookmarkStart w:id="2231" w:name="bookmark2231"/>
      <w:r>
        <w:rPr>
          <w:color w:val="000000"/>
          <w:spacing w:val="0"/>
          <w:w w:val="100"/>
          <w:position w:val="0"/>
        </w:rPr>
        <w:t>（</w:t>
      </w:r>
      <w:bookmarkEnd w:id="223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28"/>
      <w:bookmarkEnd w:id="2229"/>
      <w:bookmarkEnd w:id="2231"/>
    </w:p>
    <w:p>
      <w:pPr>
        <w:pStyle w:val="Style65"/>
        <w:keepNext/>
        <w:keepLines/>
        <w:widowControl w:val="0"/>
        <w:shd w:val="clear" w:color="auto" w:fill="auto"/>
        <w:bidi w:val="0"/>
        <w:spacing w:before="0" w:after="380" w:line="240" w:lineRule="auto"/>
        <w:ind w:left="0" w:right="0" w:firstLine="0"/>
        <w:jc w:val="left"/>
      </w:pPr>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32"/>
      <w:bookmarkEnd w:id="2233"/>
      <w:bookmarkEnd w:id="223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17,834,700.00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1,713,598.74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2,569,108.18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410,301.08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19,803,519.93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19,909,409.26</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35"/>
      <w:bookmarkEnd w:id="2236"/>
      <w:bookmarkEnd w:id="223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-11,822.50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-11,822.59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13,177.41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13,177.41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1,517,437.79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1,124,954.02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16,424,776.67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736,351.45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100,773.02</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631,097.44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19,803,519.93</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3</w:t>
      </w:r>
      <w:bookmarkEnd w:id="2240"/>
      <w:r>
        <w:rPr>
          <w:color w:val="000000"/>
          <w:spacing w:val="0"/>
          <w:w w:val="100"/>
          <w:position w:val="0"/>
        </w:rPr>
        <w:t>）本期计提、收回或转回的坏账准备情况</w:t>
      </w:r>
      <w:bookmarkEnd w:id="2238"/>
      <w:bookmarkEnd w:id="2239"/>
      <w:bookmarkEnd w:id="224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员工备用金及代垫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-11,822.59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13,177.41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4</w:t>
      </w:r>
      <w:bookmarkEnd w:id="2244"/>
      <w:r>
        <w:rPr>
          <w:color w:val="000000"/>
          <w:spacing w:val="0"/>
          <w:w w:val="100"/>
          <w:position w:val="0"/>
        </w:rPr>
        <w:t>）本期实际核销的其他应收款情况</w:t>
      </w:r>
      <w:bookmarkEnd w:id="2242"/>
      <w:bookmarkEnd w:id="2243"/>
      <w:bookmarkEnd w:id="22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5"/>
        <w:keepNext/>
        <w:keepLines/>
        <w:widowControl w:val="0"/>
        <w:shd w:val="clear" w:color="auto" w:fill="auto"/>
        <w:bidi w:val="0"/>
        <w:spacing w:before="0" w:after="380" w:line="240" w:lineRule="auto"/>
        <w:ind w:left="0" w:right="0" w:firstLine="0"/>
        <w:jc w:val="left"/>
      </w:pPr>
      <w:bookmarkStart w:id="2246" w:name="bookmark2246"/>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5</w:t>
      </w:r>
      <w:bookmarkEnd w:id="2248"/>
      <w:r>
        <w:rPr>
          <w:color w:val="000000"/>
          <w:spacing w:val="0"/>
          <w:w w:val="100"/>
          <w:position w:val="0"/>
        </w:rPr>
        <w:t>）按欠款方归集的期末余额前五名的其他应收款情况</w:t>
      </w:r>
      <w:bookmarkEnd w:id="2246"/>
      <w:bookmarkEnd w:id="2247"/>
      <w:bookmarkEnd w:id="224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17,834,700.00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353,950.26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189,199.04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年及</w:t>
            </w: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18,917,449.30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5"/>
        <w:keepNext/>
        <w:keepLines/>
        <w:widowControl w:val="0"/>
        <w:shd w:val="clear" w:color="auto" w:fill="auto"/>
        <w:bidi w:val="0"/>
        <w:spacing w:before="0" w:line="240" w:lineRule="auto"/>
        <w:ind w:left="0" w:right="0" w:firstLine="0"/>
        <w:jc w:val="left"/>
      </w:pPr>
      <w:bookmarkStart w:id="2250" w:name="bookmark2250"/>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6</w:t>
      </w:r>
      <w:bookmarkEnd w:id="2252"/>
      <w:r>
        <w:rPr>
          <w:color w:val="000000"/>
          <w:spacing w:val="0"/>
          <w:w w:val="100"/>
          <w:position w:val="0"/>
        </w:rPr>
        <w:t>）涉及政府补助的应收款项</w:t>
      </w:r>
      <w:bookmarkEnd w:id="2250"/>
      <w:bookmarkEnd w:id="2251"/>
      <w:bookmarkEnd w:id="225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59" w:line="1" w:lineRule="exact"/>
      </w:pPr>
    </w:p>
    <w:p>
      <w:pPr>
        <w:pStyle w:val="Style65"/>
        <w:keepNext/>
        <w:keepLines/>
        <w:widowControl w:val="0"/>
        <w:shd w:val="clear" w:color="auto" w:fill="auto"/>
        <w:tabs>
          <w:tab w:pos="387" w:val="left"/>
        </w:tabs>
        <w:bidi w:val="0"/>
        <w:spacing w:before="0" w:line="240" w:lineRule="auto"/>
        <w:ind w:left="0" w:right="0" w:firstLine="0"/>
        <w:jc w:val="both"/>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7</w:t>
      </w:r>
      <w:bookmarkEnd w:id="2256"/>
      <w:r>
        <w:rPr>
          <w:color w:val="000000"/>
          <w:spacing w:val="0"/>
          <w:w w:val="100"/>
          <w:position w:val="0"/>
        </w:rPr>
        <w:t>）</w:t>
        <w:tab/>
        <w:t>因金融资产转移而终止确认的其他应收款</w:t>
      </w:r>
      <w:bookmarkEnd w:id="2254"/>
      <w:bookmarkEnd w:id="2255"/>
      <w:bookmarkEnd w:id="2257"/>
    </w:p>
    <w:p>
      <w:pPr>
        <w:pStyle w:val="Style65"/>
        <w:keepNext/>
        <w:keepLines/>
        <w:widowControl w:val="0"/>
        <w:shd w:val="clear" w:color="auto" w:fill="auto"/>
        <w:tabs>
          <w:tab w:pos="392" w:val="left"/>
        </w:tabs>
        <w:bidi w:val="0"/>
        <w:spacing w:before="0" w:line="240" w:lineRule="auto"/>
        <w:ind w:left="0" w:right="0" w:firstLine="0"/>
        <w:jc w:val="both"/>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8</w:t>
      </w:r>
      <w:bookmarkEnd w:id="2260"/>
      <w:r>
        <w:rPr>
          <w:color w:val="000000"/>
          <w:spacing w:val="0"/>
          <w:w w:val="100"/>
          <w:position w:val="0"/>
        </w:rPr>
        <w:t>）</w:t>
        <w:tab/>
        <w:t>转移其他应收款且继续涉入形成的资产、负债金额</w:t>
      </w:r>
      <w:bookmarkEnd w:id="2258"/>
      <w:bookmarkEnd w:id="2259"/>
      <w:bookmarkEnd w:id="2261"/>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3</w:t>
      </w:r>
      <w:bookmarkEnd w:id="2264"/>
      <w:r>
        <w:rPr>
          <w:color w:val="000000"/>
          <w:spacing w:val="0"/>
          <w:w w:val="100"/>
          <w:position w:val="0"/>
        </w:rPr>
        <w:t>、长期股权投资</w:t>
      </w:r>
      <w:bookmarkEnd w:id="2262"/>
      <w:bookmarkEnd w:id="2263"/>
      <w:bookmarkEnd w:id="2265"/>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66"/>
      <w:bookmarkEnd w:id="2267"/>
      <w:bookmarkEnd w:id="2268"/>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贵安新区贵金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69"/>
      <w:bookmarkEnd w:id="2270"/>
      <w:bookmarkEnd w:id="2271"/>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spacing w:lineRule="exact" w:line="1"/>
        <w:rPr>
          <w:sz w:val="2"/>
          <w:szCs w:val="2"/>
        </w:rPr>
      </w:pPr>
      <w:r>
        <w:br w:type="page"/>
      </w:r>
    </w:p>
    <w:p>
      <w:pPr>
        <w:pStyle w:val="Style36"/>
        <w:keepNext/>
        <w:keepLines/>
        <w:widowControl w:val="0"/>
        <w:numPr>
          <w:ilvl w:val="0"/>
          <w:numId w:val="97"/>
        </w:numPr>
        <w:shd w:val="clear" w:color="auto" w:fill="auto"/>
        <w:bidi w:val="0"/>
        <w:spacing w:before="0" w:line="240" w:lineRule="auto"/>
        <w:ind w:left="0" w:right="0" w:firstLine="0"/>
        <w:jc w:val="both"/>
      </w:pPr>
      <w:bookmarkStart w:id="2272" w:name="bookmark2272"/>
      <w:bookmarkStart w:id="2273" w:name="bookmark2273"/>
      <w:bookmarkStart w:id="2274" w:name="bookmark2274"/>
      <w:bookmarkStart w:id="2275" w:name="bookmark2275"/>
      <w:bookmarkEnd w:id="2274"/>
      <w:r>
        <w:rPr>
          <w:color w:val="000000"/>
          <w:spacing w:val="0"/>
          <w:w w:val="100"/>
          <w:position w:val="0"/>
        </w:rPr>
        <w:t>其他说明</w:t>
      </w:r>
      <w:bookmarkEnd w:id="2272"/>
      <w:bookmarkEnd w:id="2273"/>
      <w:bookmarkEnd w:id="2275"/>
    </w:p>
    <w:p>
      <w:pPr>
        <w:pStyle w:val="Style28"/>
        <w:keepNext/>
        <w:keepLines/>
        <w:widowControl w:val="0"/>
        <w:shd w:val="clear" w:color="auto" w:fill="auto"/>
        <w:bidi w:val="0"/>
        <w:spacing w:before="0" w:after="380" w:line="240" w:lineRule="auto"/>
        <w:ind w:left="0" w:right="0" w:firstLine="0"/>
        <w:jc w:val="both"/>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4</w:t>
      </w:r>
      <w:bookmarkEnd w:id="2278"/>
      <w:r>
        <w:rPr>
          <w:color w:val="000000"/>
          <w:spacing w:val="0"/>
          <w:w w:val="100"/>
          <w:position w:val="0"/>
        </w:rPr>
        <w:t>、营业收入和营业成本</w:t>
      </w:r>
      <w:bookmarkEnd w:id="2276"/>
      <w:bookmarkEnd w:id="2277"/>
      <w:bookmarkEnd w:id="227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203,445,856.08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110,257,130.11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196,220,926.57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82,137,659.06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480,346.90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321,949.44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102,669.19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203,926,202.98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110,543,834.31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196,542,876.01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82,240,328.25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根据合同约定，当商品运送至客户或客户验收该商品时，客户取得商品的控制权，本集团确认收入。</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提供服务</w:t>
      </w:r>
      <w:r>
        <w:rPr>
          <w:color w:val="000000"/>
          <w:spacing w:val="0"/>
          <w:w w:val="100"/>
          <w:position w:val="0"/>
          <w:sz w:val="18"/>
          <w:szCs w:val="18"/>
        </w:rPr>
        <w:t>：</w:t>
      </w:r>
      <w:r>
        <w:rPr>
          <w:color w:val="000000"/>
          <w:spacing w:val="0"/>
          <w:w w:val="100"/>
          <w:position w:val="0"/>
        </w:rPr>
        <w:t>服务合同本集团在提供服务的过程中确认收入。对于合同中包含两项或多项履约义务的，本集团在合同开始日即 按照各单项服务的单独售价的相对比例将交易价格分摊至各项服务。各项服务的单独售价依据本集团单独销售各项服务的价 格得出。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5</w:t>
      </w:r>
      <w:bookmarkEnd w:id="2282"/>
      <w:r>
        <w:rPr>
          <w:color w:val="000000"/>
          <w:spacing w:val="0"/>
          <w:w w:val="100"/>
          <w:position w:val="0"/>
        </w:rPr>
        <w:t>、投资收益</w:t>
      </w:r>
      <w:bookmarkEnd w:id="2280"/>
      <w:bookmarkEnd w:id="2281"/>
      <w:bookmarkEnd w:id="228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5,271,854.55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9,370,379.80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5,271,854.55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9,370,379.80</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both"/>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6</w:t>
      </w:r>
      <w:bookmarkEnd w:id="2286"/>
      <w:r>
        <w:rPr>
          <w:color w:val="000000"/>
          <w:spacing w:val="0"/>
          <w:w w:val="100"/>
          <w:position w:val="0"/>
        </w:rPr>
        <w:t>、其他</w:t>
      </w:r>
      <w:bookmarkEnd w:id="2284"/>
      <w:bookmarkEnd w:id="2285"/>
      <w:bookmarkEnd w:id="2287"/>
    </w:p>
    <w:p>
      <w:pPr>
        <w:pStyle w:val="Style22"/>
        <w:keepNext/>
        <w:keepLines/>
        <w:widowControl w:val="0"/>
        <w:shd w:val="clear" w:color="auto" w:fill="auto"/>
        <w:bidi w:val="0"/>
        <w:spacing w:before="0" w:after="340" w:line="240" w:lineRule="auto"/>
        <w:ind w:left="0" w:right="0" w:firstLine="0"/>
        <w:jc w:val="both"/>
      </w:pPr>
      <w:bookmarkStart w:id="2288" w:name="bookmark2288"/>
      <w:bookmarkStart w:id="2289" w:name="bookmark2289"/>
      <w:bookmarkStart w:id="2290" w:name="bookmark2290"/>
      <w:r>
        <w:rPr>
          <w:color w:val="000000"/>
          <w:spacing w:val="0"/>
          <w:w w:val="100"/>
          <w:position w:val="0"/>
          <w:sz w:val="24"/>
          <w:szCs w:val="24"/>
        </w:rPr>
        <w:t>十八、补充资料</w:t>
      </w:r>
      <w:bookmarkEnd w:id="2288"/>
      <w:bookmarkEnd w:id="2289"/>
      <w:bookmarkEnd w:id="2290"/>
    </w:p>
    <w:p>
      <w:pPr>
        <w:pStyle w:val="Style28"/>
        <w:keepNext/>
        <w:keepLines/>
        <w:widowControl w:val="0"/>
        <w:shd w:val="clear" w:color="auto" w:fill="auto"/>
        <w:bidi w:val="0"/>
        <w:spacing w:before="0" w:after="340" w:line="240" w:lineRule="auto"/>
        <w:ind w:left="0" w:right="0" w:firstLine="0"/>
        <w:jc w:val="both"/>
      </w:pPr>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91"/>
      <w:bookmarkEnd w:id="2292"/>
      <w:bookmarkEnd w:id="229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-103,872.12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企业所得税返还</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5,927,032.97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5,517,786.05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-150,556.91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1,687,454.18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9,667,143.98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94"/>
      <w:bookmarkEnd w:id="2295"/>
      <w:bookmarkEnd w:id="2296"/>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bl>
    <w:p>
      <w:pPr>
        <w:pStyle w:val="Style28"/>
        <w:keepNext/>
        <w:keepLines/>
        <w:widowControl w:val="0"/>
        <w:shd w:val="clear" w:color="auto" w:fill="auto"/>
        <w:tabs>
          <w:tab w:pos="378" w:val="left"/>
        </w:tabs>
        <w:bidi w:val="0"/>
        <w:spacing w:before="0" w:after="280" w:line="331" w:lineRule="exact"/>
        <w:ind w:left="0" w:right="0" w:firstLine="0"/>
        <w:jc w:val="both"/>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3</w:t>
      </w:r>
      <w:bookmarkEnd w:id="2299"/>
      <w:r>
        <w:rPr>
          <w:color w:val="000000"/>
          <w:spacing w:val="0"/>
          <w:w w:val="100"/>
          <w:position w:val="0"/>
        </w:rPr>
        <w:t>、</w:t>
        <w:tab/>
        <w:t>境内外会计准则下会计数据差异</w:t>
      </w:r>
      <w:bookmarkEnd w:id="2297"/>
      <w:bookmarkEnd w:id="2298"/>
      <w:bookmarkEnd w:id="2300"/>
    </w:p>
    <w:p>
      <w:pPr>
        <w:pStyle w:val="Style36"/>
        <w:keepNext/>
        <w:keepLines/>
        <w:widowControl w:val="0"/>
        <w:shd w:val="clear" w:color="auto" w:fill="auto"/>
        <w:tabs>
          <w:tab w:pos="493" w:val="left"/>
        </w:tabs>
        <w:bidi w:val="0"/>
        <w:spacing w:before="0" w:after="360" w:line="331" w:lineRule="exact"/>
        <w:ind w:left="0" w:right="0" w:firstLine="0"/>
        <w:jc w:val="both"/>
      </w:pPr>
      <w:bookmarkStart w:id="2301" w:name="bookmark2301"/>
      <w:bookmarkStart w:id="2302" w:name="bookmark2302"/>
      <w:bookmarkStart w:id="2303" w:name="bookmark2303"/>
      <w:bookmarkStart w:id="2304" w:name="bookmark2304"/>
      <w:r>
        <w:rPr>
          <w:color w:val="000000"/>
          <w:spacing w:val="0"/>
          <w:w w:val="100"/>
          <w:position w:val="0"/>
        </w:rPr>
        <w:t>（</w:t>
      </w:r>
      <w:bookmarkEnd w:id="230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01"/>
      <w:bookmarkEnd w:id="2302"/>
      <w:bookmarkEnd w:id="2304"/>
    </w:p>
    <w:p>
      <w:pPr>
        <w:pStyle w:val="Style2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360" w:line="331" w:lineRule="exact"/>
        <w:ind w:left="0" w:right="0" w:firstLine="0"/>
        <w:jc w:val="both"/>
      </w:pPr>
      <w:bookmarkStart w:id="2305" w:name="bookmark2305"/>
      <w:bookmarkStart w:id="2306" w:name="bookmark2306"/>
      <w:bookmarkStart w:id="2307" w:name="bookmark2307"/>
      <w:bookmarkStart w:id="2308" w:name="bookmark2308"/>
      <w:r>
        <w:rPr>
          <w:color w:val="000000"/>
          <w:spacing w:val="0"/>
          <w:w w:val="100"/>
          <w:position w:val="0"/>
        </w:rPr>
        <w:t>（</w:t>
      </w:r>
      <w:bookmarkEnd w:id="230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05"/>
      <w:bookmarkEnd w:id="2306"/>
      <w:bookmarkEnd w:id="2308"/>
    </w:p>
    <w:p>
      <w:pPr>
        <w:pStyle w:val="Style2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331" w:lineRule="exact"/>
        <w:ind w:left="0" w:right="0" w:firstLine="0"/>
        <w:jc w:val="both"/>
      </w:pPr>
      <w:bookmarkStart w:id="2309" w:name="bookmark2309"/>
      <w:bookmarkStart w:id="2310" w:name="bookmark2310"/>
      <w:bookmarkStart w:id="2311" w:name="bookmark2311"/>
      <w:bookmarkStart w:id="2312" w:name="bookmark2312"/>
      <w:r>
        <w:rPr>
          <w:color w:val="000000"/>
          <w:spacing w:val="0"/>
          <w:w w:val="100"/>
          <w:position w:val="0"/>
        </w:rPr>
        <w:t>（</w:t>
      </w:r>
      <w:bookmarkEnd w:id="231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09"/>
      <w:bookmarkEnd w:id="2310"/>
      <w:bookmarkEnd w:id="2312"/>
    </w:p>
    <w:p>
      <w:pPr>
        <w:pStyle w:val="Style28"/>
        <w:keepNext/>
        <w:keepLines/>
        <w:widowControl w:val="0"/>
        <w:shd w:val="clear" w:color="auto" w:fill="auto"/>
        <w:tabs>
          <w:tab w:pos="378" w:val="left"/>
        </w:tabs>
        <w:bidi w:val="0"/>
        <w:spacing w:before="0" w:line="331" w:lineRule="exact"/>
        <w:ind w:left="0" w:right="0" w:firstLine="0"/>
        <w:jc w:val="both"/>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4</w:t>
      </w:r>
      <w:bookmarkEnd w:id="2315"/>
      <w:r>
        <w:rPr>
          <w:color w:val="000000"/>
          <w:spacing w:val="0"/>
          <w:w w:val="100"/>
          <w:position w:val="0"/>
        </w:rPr>
        <w:t>、</w:t>
        <w:tab/>
        <w:t>其他</w:t>
      </w:r>
      <w:bookmarkEnd w:id="2313"/>
      <w:bookmarkEnd w:id="2314"/>
      <w:bookmarkEnd w:id="2316"/>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作为经常性损益的政府补助项目</w:t>
      </w:r>
    </w:p>
    <w:tbl>
      <w:tblPr>
        <w:tblOverlap w:val="never"/>
        <w:jc w:val="center"/>
        <w:tblLayout w:type="fixed"/>
      </w:tblPr>
      <w:tblGrid>
        <w:gridCol w:w="4685"/>
        <w:gridCol w:w="2410"/>
        <w:gridCol w:w="199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涉及金额（元）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原因</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软件企业增值税实际税负率超过</w:t>
            </w:r>
            <w:r>
              <w:rPr>
                <w:color w:val="000000"/>
                <w:spacing w:val="0"/>
                <w:w w:val="100"/>
                <w:position w:val="0"/>
                <w:sz w:val="18"/>
                <w:szCs w:val="18"/>
              </w:rPr>
              <w:t>3%</w:t>
            </w:r>
            <w:r>
              <w:rPr>
                <w:rFonts w:ascii="SimSun" w:eastAsia="SimSun" w:hAnsi="SimSun" w:cs="SimSun"/>
                <w:color w:val="000000"/>
                <w:spacing w:val="0"/>
                <w:w w:val="100"/>
                <w:position w:val="0"/>
                <w:sz w:val="17"/>
                <w:szCs w:val="17"/>
              </w:rPr>
              <w:t>部分即征即退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11,902,500.01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符合国家政策规定、按照 一定标准定额或定量持 续享受的政府补助</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type w:val="continuous"/>
          <w:pgSz w:w="11900" w:h="16840"/>
          <w:pgMar w:top="1355" w:right="1117" w:bottom="1617" w:left="1096" w:header="0" w:footer="3" w:gutter="0"/>
          <w:cols w:space="720"/>
          <w:noEndnote/>
          <w:rtlGutter w:val="0"/>
          <w:docGrid w:linePitch="360"/>
        </w:sectPr>
      </w:pPr>
    </w:p>
    <w:p>
      <w:pPr>
        <w:pStyle w:val="Style13"/>
        <w:keepNext/>
        <w:keepLines/>
        <w:widowControl w:val="0"/>
        <w:shd w:val="clear" w:color="auto" w:fill="auto"/>
        <w:bidi w:val="0"/>
        <w:spacing w:before="0" w:after="600" w:line="240" w:lineRule="auto"/>
        <w:ind w:left="0" w:right="0" w:firstLine="0"/>
        <w:jc w:val="center"/>
      </w:pPr>
      <w:bookmarkStart w:id="2317" w:name="bookmark2317"/>
      <w:bookmarkStart w:id="2318" w:name="bookmark2318"/>
      <w:bookmarkStart w:id="2319" w:name="bookmark2319"/>
      <w:r>
        <w:rPr>
          <w:color w:val="000000"/>
          <w:spacing w:val="0"/>
          <w:w w:val="100"/>
          <w:position w:val="0"/>
        </w:rPr>
        <w:t>第十三节备查文件目录</w:t>
      </w:r>
      <w:bookmarkEnd w:id="2317"/>
      <w:bookmarkEnd w:id="2318"/>
      <w:bookmarkEnd w:id="2319"/>
    </w:p>
    <w:p>
      <w:pPr>
        <w:pStyle w:val="Style24"/>
        <w:keepNext w:val="0"/>
        <w:keepLines w:val="0"/>
        <w:widowControl w:val="0"/>
        <w:shd w:val="clear" w:color="auto" w:fill="auto"/>
        <w:tabs>
          <w:tab w:pos="531" w:val="left"/>
        </w:tabs>
        <w:bidi w:val="0"/>
        <w:spacing w:before="0" w:after="100" w:line="240" w:lineRule="auto"/>
        <w:ind w:left="0" w:right="0" w:firstLine="0"/>
        <w:jc w:val="left"/>
      </w:pPr>
      <w:bookmarkStart w:id="2320" w:name="bookmark2320"/>
      <w:r>
        <w:rPr>
          <w:color w:val="000000"/>
          <w:spacing w:val="0"/>
          <w:w w:val="100"/>
          <w:position w:val="0"/>
        </w:rPr>
        <w:t>（</w:t>
      </w:r>
      <w:bookmarkEnd w:id="2320"/>
      <w:r>
        <w:rPr>
          <w:color w:val="000000"/>
          <w:spacing w:val="0"/>
          <w:w w:val="100"/>
          <w:position w:val="0"/>
        </w:rPr>
        <w:t>一）</w:t>
        <w:tab/>
        <w:t>载有公司负责人、主管会计工作负责人及会计机构负责人签名并盖章的财务报表。</w:t>
      </w:r>
    </w:p>
    <w:p>
      <w:pPr>
        <w:pStyle w:val="Style24"/>
        <w:keepNext w:val="0"/>
        <w:keepLines w:val="0"/>
        <w:widowControl w:val="0"/>
        <w:shd w:val="clear" w:color="auto" w:fill="auto"/>
        <w:tabs>
          <w:tab w:pos="531" w:val="left"/>
        </w:tabs>
        <w:bidi w:val="0"/>
        <w:spacing w:before="0" w:after="100" w:line="240" w:lineRule="auto"/>
        <w:ind w:left="0" w:right="0" w:firstLine="0"/>
        <w:jc w:val="left"/>
      </w:pPr>
      <w:bookmarkStart w:id="2321" w:name="bookmark2321"/>
      <w:r>
        <w:rPr>
          <w:color w:val="000000"/>
          <w:spacing w:val="0"/>
          <w:w w:val="100"/>
          <w:position w:val="0"/>
        </w:rPr>
        <w:t>（</w:t>
      </w:r>
      <w:bookmarkEnd w:id="2321"/>
      <w:r>
        <w:rPr>
          <w:color w:val="000000"/>
          <w:spacing w:val="0"/>
          <w:w w:val="100"/>
          <w:position w:val="0"/>
        </w:rPr>
        <w:t>二）</w:t>
        <w:tab/>
        <w:t>载有会计师事务所盖章、注册会计师签名并盖章的审计报告原件。</w:t>
      </w:r>
    </w:p>
    <w:p>
      <w:pPr>
        <w:pStyle w:val="Style24"/>
        <w:keepNext w:val="0"/>
        <w:keepLines w:val="0"/>
        <w:widowControl w:val="0"/>
        <w:shd w:val="clear" w:color="auto" w:fill="auto"/>
        <w:tabs>
          <w:tab w:pos="531" w:val="left"/>
        </w:tabs>
        <w:bidi w:val="0"/>
        <w:spacing w:before="0" w:after="100" w:line="240" w:lineRule="auto"/>
        <w:ind w:left="0" w:right="0" w:firstLine="0"/>
        <w:jc w:val="left"/>
      </w:pPr>
      <w:bookmarkStart w:id="2322" w:name="bookmark2322"/>
      <w:r>
        <w:rPr>
          <w:color w:val="000000"/>
          <w:spacing w:val="0"/>
          <w:w w:val="100"/>
          <w:position w:val="0"/>
        </w:rPr>
        <w:t>（</w:t>
      </w:r>
      <w:bookmarkEnd w:id="2322"/>
      <w:r>
        <w:rPr>
          <w:color w:val="000000"/>
          <w:spacing w:val="0"/>
          <w:w w:val="100"/>
          <w:position w:val="0"/>
        </w:rPr>
        <w:t>三）</w:t>
        <w:tab/>
        <w:t>报告期内在中国证监会指定网站上公开披露过的所有公司文件的正本及公告的原稿。</w:t>
      </w:r>
    </w:p>
    <w:p>
      <w:pPr>
        <w:pStyle w:val="Style24"/>
        <w:keepNext w:val="0"/>
        <w:keepLines w:val="0"/>
        <w:widowControl w:val="0"/>
        <w:shd w:val="clear" w:color="auto" w:fill="auto"/>
        <w:tabs>
          <w:tab w:pos="531" w:val="left"/>
        </w:tabs>
        <w:bidi w:val="0"/>
        <w:spacing w:before="0" w:after="420" w:line="240" w:lineRule="auto"/>
        <w:ind w:left="0" w:right="0" w:firstLine="0"/>
        <w:jc w:val="left"/>
      </w:pPr>
      <w:bookmarkStart w:id="2323" w:name="bookmark2323"/>
      <w:r>
        <w:rPr>
          <w:color w:val="000000"/>
          <w:spacing w:val="0"/>
          <w:w w:val="100"/>
          <w:position w:val="0"/>
        </w:rPr>
        <w:t>（</w:t>
      </w:r>
      <w:bookmarkEnd w:id="2323"/>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珠海汇金科技股份有限公司</w:t>
      </w:r>
    </w:p>
    <w:p>
      <w:pPr>
        <w:pStyle w:val="Style54"/>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959" w:right="1109" w:bottom="1959" w:left="120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6750685</wp:posOffset>
              </wp:positionH>
              <wp:positionV relativeFrom="page">
                <wp:posOffset>9958070</wp:posOffset>
              </wp:positionV>
              <wp:extent cx="97790" cy="79375"/>
              <wp:wrapNone/>
              <wp:docPr id="68" name="Shape 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531.54999999999995pt;margin-top:784.10000000000002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6750685</wp:posOffset>
              </wp:positionH>
              <wp:positionV relativeFrom="page">
                <wp:posOffset>9958070</wp:posOffset>
              </wp:positionV>
              <wp:extent cx="97790" cy="79375"/>
              <wp:wrapNone/>
              <wp:docPr id="73" name="Shape 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31.54999999999995pt;margin-top:784.10000000000002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6750685</wp:posOffset>
              </wp:positionH>
              <wp:positionV relativeFrom="page">
                <wp:posOffset>9958070</wp:posOffset>
              </wp:positionV>
              <wp:extent cx="97790" cy="79375"/>
              <wp:wrapNone/>
              <wp:docPr id="78" name="Shape 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31.54999999999995pt;margin-top:784.10000000000002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6388735</wp:posOffset>
              </wp:positionH>
              <wp:positionV relativeFrom="page">
                <wp:posOffset>9645650</wp:posOffset>
              </wp:positionV>
              <wp:extent cx="445135" cy="106680"/>
              <wp:wrapNone/>
              <wp:docPr id="83" name="Shape 8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9" type="#_x0000_t202" style="position:absolute;margin-left:503.05000000000001pt;margin-top:759.5pt;width:35.050000000000004pt;height:8.4000000000000004pt;z-index:-18874400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6678295</wp:posOffset>
              </wp:positionH>
              <wp:positionV relativeFrom="page">
                <wp:posOffset>10182225</wp:posOffset>
              </wp:positionV>
              <wp:extent cx="155575" cy="79375"/>
              <wp:wrapNone/>
              <wp:docPr id="85" name="Shape 8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25.85000000000002pt;margin-top:801.75pt;width:12.25pt;height:6.25pt;z-index:-18874400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6750685</wp:posOffset>
              </wp:positionH>
              <wp:positionV relativeFrom="page">
                <wp:posOffset>9958070</wp:posOffset>
              </wp:positionV>
              <wp:extent cx="97790" cy="79375"/>
              <wp:wrapNone/>
              <wp:docPr id="91" name="Shape 9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531.54999999999995pt;margin-top:784.10000000000002pt;width:7.7000000000000002pt;height:6.25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6750685</wp:posOffset>
              </wp:positionH>
              <wp:positionV relativeFrom="page">
                <wp:posOffset>9958070</wp:posOffset>
              </wp:positionV>
              <wp:extent cx="97790" cy="79375"/>
              <wp:wrapNone/>
              <wp:docPr id="96" name="Shape 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531.54999999999995pt;margin-top:784.10000000000002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6388735</wp:posOffset>
              </wp:positionH>
              <wp:positionV relativeFrom="page">
                <wp:posOffset>9645650</wp:posOffset>
              </wp:positionV>
              <wp:extent cx="445135" cy="106680"/>
              <wp:wrapNone/>
              <wp:docPr id="101" name="Shape 10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7" type="#_x0000_t202" style="position:absolute;margin-left:503.05000000000001pt;margin-top:759.5pt;width:35.050000000000004pt;height:8.4000000000000004pt;z-index:-18874399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6678295</wp:posOffset>
              </wp:positionH>
              <wp:positionV relativeFrom="page">
                <wp:posOffset>10182225</wp:posOffset>
              </wp:positionV>
              <wp:extent cx="155575" cy="79375"/>
              <wp:wrapNone/>
              <wp:docPr id="103" name="Shape 1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525.85000000000002pt;margin-top:801.75pt;width:12.25pt;height:6.25pt;z-index:-18874399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6750685</wp:posOffset>
              </wp:positionH>
              <wp:positionV relativeFrom="page">
                <wp:posOffset>9958070</wp:posOffset>
              </wp:positionV>
              <wp:extent cx="97790" cy="79375"/>
              <wp:wrapNone/>
              <wp:docPr id="108" name="Shape 10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31.54999999999995pt;margin-top:784.10000000000002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6750685</wp:posOffset>
              </wp:positionH>
              <wp:positionV relativeFrom="page">
                <wp:posOffset>9958070</wp:posOffset>
              </wp:positionV>
              <wp:extent cx="97790" cy="79375"/>
              <wp:wrapNone/>
              <wp:docPr id="113" name="Shape 1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531.54999999999995pt;margin-top:784.10000000000002pt;width:7.7000000000000002pt;height:6.25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6382385</wp:posOffset>
              </wp:positionH>
              <wp:positionV relativeFrom="page">
                <wp:posOffset>9644380</wp:posOffset>
              </wp:positionV>
              <wp:extent cx="445135" cy="106680"/>
              <wp:wrapNone/>
              <wp:docPr id="118" name="Shape 11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44" type="#_x0000_t202" style="position:absolute;margin-left:502.55000000000001pt;margin-top:759.39999999999998pt;width:35.050000000000004pt;height:8.4000000000000004pt;z-index:-18874398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6659880</wp:posOffset>
              </wp:positionH>
              <wp:positionV relativeFrom="page">
                <wp:posOffset>10171430</wp:posOffset>
              </wp:positionV>
              <wp:extent cx="164465" cy="79375"/>
              <wp:wrapNone/>
              <wp:docPr id="120" name="Shape 120"/>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524.39999999999998pt;margin-top:800.89999999999998pt;width:12.950000000000001pt;height:6.25pt;z-index:-18874397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6382385</wp:posOffset>
              </wp:positionH>
              <wp:positionV relativeFrom="page">
                <wp:posOffset>9644380</wp:posOffset>
              </wp:positionV>
              <wp:extent cx="445135" cy="106680"/>
              <wp:wrapNone/>
              <wp:docPr id="125" name="Shape 12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1" type="#_x0000_t202" style="position:absolute;margin-left:502.55000000000001pt;margin-top:759.39999999999998pt;width:35.050000000000004pt;height:8.4000000000000004pt;z-index:-18874397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6659880</wp:posOffset>
              </wp:positionH>
              <wp:positionV relativeFrom="page">
                <wp:posOffset>10171430</wp:posOffset>
              </wp:positionV>
              <wp:extent cx="164465" cy="79375"/>
              <wp:wrapNone/>
              <wp:docPr id="127" name="Shape 127"/>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524.39999999999998pt;margin-top:800.89999999999998pt;width:12.950000000000001pt;height:6.25pt;z-index:-18874397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6750685</wp:posOffset>
              </wp:positionH>
              <wp:positionV relativeFrom="page">
                <wp:posOffset>9958070</wp:posOffset>
              </wp:positionV>
              <wp:extent cx="97790" cy="79375"/>
              <wp:wrapNone/>
              <wp:docPr id="132" name="Shape 1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531.54999999999995pt;margin-top:784.10000000000002pt;width:7.7000000000000002pt;height:6.25pt;z-index:-1887439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6750685</wp:posOffset>
              </wp:positionH>
              <wp:positionV relativeFrom="page">
                <wp:posOffset>9958070</wp:posOffset>
              </wp:positionV>
              <wp:extent cx="97790" cy="79375"/>
              <wp:wrapNone/>
              <wp:docPr id="137" name="Shape 1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531.54999999999995pt;margin-top:784.10000000000002pt;width:7.7000000000000002pt;height:6.25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6750685</wp:posOffset>
              </wp:positionH>
              <wp:positionV relativeFrom="page">
                <wp:posOffset>9958070</wp:posOffset>
              </wp:positionV>
              <wp:extent cx="97790" cy="79375"/>
              <wp:wrapNone/>
              <wp:docPr id="142" name="Shape 1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8" type="#_x0000_t202" style="position:absolute;margin-left:531.54999999999995pt;margin-top:784.10000000000002pt;width:7.7000000000000002pt;height:6.25pt;z-index:-1887439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6750685</wp:posOffset>
              </wp:positionH>
              <wp:positionV relativeFrom="page">
                <wp:posOffset>9958070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1.5499999999999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6750685</wp:posOffset>
              </wp:positionH>
              <wp:positionV relativeFrom="page">
                <wp:posOffset>9958070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1.54999999999995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6750685</wp:posOffset>
              </wp:positionH>
              <wp:positionV relativeFrom="page">
                <wp:posOffset>9958070</wp:posOffset>
              </wp:positionV>
              <wp:extent cx="97790" cy="79375"/>
              <wp:wrapNone/>
              <wp:docPr id="39" name="Shape 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31.54999999999995pt;margin-top:784.10000000000002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6388735</wp:posOffset>
              </wp:positionH>
              <wp:positionV relativeFrom="page">
                <wp:posOffset>9645650</wp:posOffset>
              </wp:positionV>
              <wp:extent cx="445135" cy="106680"/>
              <wp:wrapNone/>
              <wp:docPr id="44" name="Shape 4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0" type="#_x0000_t202" style="position:absolute;margin-left:503.05000000000001pt;margin-top:759.5pt;width:35.050000000000004pt;height:8.4000000000000004pt;z-index:-1887440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6678295</wp:posOffset>
              </wp:positionH>
              <wp:positionV relativeFrom="page">
                <wp:posOffset>10182225</wp:posOffset>
              </wp:positionV>
              <wp:extent cx="155575" cy="79375"/>
              <wp:wrapNone/>
              <wp:docPr id="46" name="Shape 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25.85000000000002pt;margin-top:801.75pt;width:12.25pt;height:6.25pt;z-index:-18874403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6388735</wp:posOffset>
              </wp:positionH>
              <wp:positionV relativeFrom="page">
                <wp:posOffset>9645650</wp:posOffset>
              </wp:positionV>
              <wp:extent cx="445135" cy="106680"/>
              <wp:wrapNone/>
              <wp:docPr id="51" name="Shape 5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7" type="#_x0000_t202" style="position:absolute;margin-left:503.05000000000001pt;margin-top:759.5pt;width:35.050000000000004pt;height:8.4000000000000004pt;z-index:-18874403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6678295</wp:posOffset>
              </wp:positionH>
              <wp:positionV relativeFrom="page">
                <wp:posOffset>10182225</wp:posOffset>
              </wp:positionV>
              <wp:extent cx="155575" cy="79375"/>
              <wp:wrapNone/>
              <wp:docPr id="53" name="Shape 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25.85000000000002pt;margin-top:801.75pt;width:12.25pt;height:6.25pt;z-index:-1887440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6750685</wp:posOffset>
              </wp:positionH>
              <wp:positionV relativeFrom="page">
                <wp:posOffset>9958070</wp:posOffset>
              </wp:positionV>
              <wp:extent cx="97790" cy="79375"/>
              <wp:wrapNone/>
              <wp:docPr id="58" name="Shape 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531.54999999999995pt;margin-top:784.10000000000002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6750685</wp:posOffset>
              </wp:positionH>
              <wp:positionV relativeFrom="page">
                <wp:posOffset>9958070</wp:posOffset>
              </wp:positionV>
              <wp:extent cx="97790" cy="79375"/>
              <wp:wrapNone/>
              <wp:docPr id="63" name="Shape 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31.54999999999995pt;margin-top:784.10000000000002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4385945</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35000000000002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4385945</wp:posOffset>
              </wp:positionH>
              <wp:positionV relativeFrom="page">
                <wp:posOffset>504825</wp:posOffset>
              </wp:positionV>
              <wp:extent cx="2447290" cy="106680"/>
              <wp:wrapNone/>
              <wp:docPr id="65" name="Shape 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1" type="#_x0000_t202" style="position:absolute;margin-left:345.35000000000002pt;margin-top:39.75pt;width:192.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4385945</wp:posOffset>
              </wp:positionH>
              <wp:positionV relativeFrom="page">
                <wp:posOffset>504825</wp:posOffset>
              </wp:positionV>
              <wp:extent cx="2447290" cy="106680"/>
              <wp:wrapNone/>
              <wp:docPr id="70" name="Shape 7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6" type="#_x0000_t202" style="position:absolute;margin-left:345.35000000000002pt;margin-top:39.75pt;width:192.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4385945</wp:posOffset>
              </wp:positionH>
              <wp:positionV relativeFrom="page">
                <wp:posOffset>504825</wp:posOffset>
              </wp:positionV>
              <wp:extent cx="2447290" cy="106680"/>
              <wp:wrapNone/>
              <wp:docPr id="75" name="Shape 7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1" type="#_x0000_t202" style="position:absolute;margin-left:345.35000000000002pt;margin-top:39.75pt;width:192.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4386580</wp:posOffset>
              </wp:positionH>
              <wp:positionV relativeFrom="page">
                <wp:posOffset>561340</wp:posOffset>
              </wp:positionV>
              <wp:extent cx="2447290" cy="106680"/>
              <wp:wrapNone/>
              <wp:docPr id="80" name="Shape 8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345.40000000000003pt;margin-top:44.200000000000003pt;width:192.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4385945</wp:posOffset>
              </wp:positionH>
              <wp:positionV relativeFrom="page">
                <wp:posOffset>504825</wp:posOffset>
              </wp:positionV>
              <wp:extent cx="2447290" cy="106680"/>
              <wp:wrapNone/>
              <wp:docPr id="88" name="Shape 8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4" type="#_x0000_t202" style="position:absolute;margin-left:345.35000000000002pt;margin-top:39.75pt;width:192.70000000000002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0" name="Shape 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4385945</wp:posOffset>
              </wp:positionH>
              <wp:positionV relativeFrom="page">
                <wp:posOffset>504825</wp:posOffset>
              </wp:positionV>
              <wp:extent cx="2447290" cy="106680"/>
              <wp:wrapNone/>
              <wp:docPr id="93" name="Shape 9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9" type="#_x0000_t202" style="position:absolute;margin-left:345.35000000000002pt;margin-top:39.75pt;width:192.70000000000002pt;height:8.4000000000000004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5" name="Shape 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4386580</wp:posOffset>
              </wp:positionH>
              <wp:positionV relativeFrom="page">
                <wp:posOffset>561340</wp:posOffset>
              </wp:positionV>
              <wp:extent cx="2447290" cy="106680"/>
              <wp:wrapNone/>
              <wp:docPr id="98" name="Shape 9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4" type="#_x0000_t202" style="position:absolute;margin-left:345.40000000000003pt;margin-top:44.200000000000003pt;width:192.70000000000002pt;height:8.4000000000000004pt;z-index:-18874399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4385945</wp:posOffset>
              </wp:positionH>
              <wp:positionV relativeFrom="page">
                <wp:posOffset>504825</wp:posOffset>
              </wp:positionV>
              <wp:extent cx="2447290" cy="106680"/>
              <wp:wrapNone/>
              <wp:docPr id="105" name="Shape 10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1" type="#_x0000_t202" style="position:absolute;margin-left:345.35000000000002pt;margin-top:39.75pt;width:192.7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4385945</wp:posOffset>
              </wp:positionH>
              <wp:positionV relativeFrom="page">
                <wp:posOffset>504825</wp:posOffset>
              </wp:positionV>
              <wp:extent cx="2447290" cy="106680"/>
              <wp:wrapNone/>
              <wp:docPr id="110" name="Shape 11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6" type="#_x0000_t202" style="position:absolute;margin-left:345.35000000000002pt;margin-top:39.75pt;width:192.70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4379595</wp:posOffset>
              </wp:positionH>
              <wp:positionV relativeFrom="page">
                <wp:posOffset>776605</wp:posOffset>
              </wp:positionV>
              <wp:extent cx="2447290" cy="106680"/>
              <wp:wrapNone/>
              <wp:docPr id="115" name="Shape 11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1" type="#_x0000_t202" style="position:absolute;margin-left:344.85000000000002pt;margin-top:61.149999999999999pt;width:192.70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921385</wp:posOffset>
              </wp:positionV>
              <wp:extent cx="6163310" cy="0"/>
              <wp:wrapNone/>
              <wp:docPr id="117" name="Shape 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2.549999999999997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4385945</wp:posOffset>
              </wp:positionH>
              <wp:positionV relativeFrom="page">
                <wp:posOffset>478790</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5.35000000000002pt;margin-top:37.7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4379595</wp:posOffset>
              </wp:positionH>
              <wp:positionV relativeFrom="page">
                <wp:posOffset>776605</wp:posOffset>
              </wp:positionV>
              <wp:extent cx="2447290" cy="106680"/>
              <wp:wrapNone/>
              <wp:docPr id="122" name="Shape 12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8" type="#_x0000_t202" style="position:absolute;margin-left:344.85000000000002pt;margin-top:61.149999999999999pt;width:192.70000000000002pt;height:8.4000000000000004pt;z-index:-18874397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921385</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2.549999999999997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4385945</wp:posOffset>
              </wp:positionH>
              <wp:positionV relativeFrom="page">
                <wp:posOffset>504825</wp:posOffset>
              </wp:positionV>
              <wp:extent cx="2447290" cy="106680"/>
              <wp:wrapNone/>
              <wp:docPr id="129" name="Shape 12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5" type="#_x0000_t202" style="position:absolute;margin-left:345.35000000000002pt;margin-top:39.75pt;width:192.70000000000002pt;height:8.4000000000000004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1" name="Shape 1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4385945</wp:posOffset>
              </wp:positionH>
              <wp:positionV relativeFrom="page">
                <wp:posOffset>504825</wp:posOffset>
              </wp:positionV>
              <wp:extent cx="2447290" cy="106680"/>
              <wp:wrapNone/>
              <wp:docPr id="134" name="Shape 13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0" type="#_x0000_t202" style="position:absolute;margin-left:345.35000000000002pt;margin-top:39.75pt;width:192.70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6" name="Shape 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4385945</wp:posOffset>
              </wp:positionH>
              <wp:positionV relativeFrom="page">
                <wp:posOffset>504825</wp:posOffset>
              </wp:positionV>
              <wp:extent cx="2447290" cy="106680"/>
              <wp:wrapNone/>
              <wp:docPr id="139" name="Shape 13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5" type="#_x0000_t202" style="position:absolute;margin-left:345.35000000000002pt;margin-top:39.75pt;width:192.70000000000002pt;height:8.4000000000000004pt;z-index:-1887439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1" name="Shape 1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4385945</wp:posOffset>
              </wp:positionH>
              <wp:positionV relativeFrom="page">
                <wp:posOffset>504825</wp:posOffset>
              </wp:positionV>
              <wp:extent cx="2447290" cy="106680"/>
              <wp:wrapNone/>
              <wp:docPr id="11" name="Shape 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45.35000000000002pt;margin-top:39.75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4385945</wp:posOffset>
              </wp:positionH>
              <wp:positionV relativeFrom="page">
                <wp:posOffset>504825</wp:posOffset>
              </wp:positionV>
              <wp:extent cx="2447290" cy="106680"/>
              <wp:wrapNone/>
              <wp:docPr id="16" name="Shape 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45.35000000000002pt;margin-top:39.75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4385945</wp:posOffset>
              </wp:positionH>
              <wp:positionV relativeFrom="page">
                <wp:posOffset>504825</wp:posOffset>
              </wp:positionV>
              <wp:extent cx="2447290" cy="106680"/>
              <wp:wrapNone/>
              <wp:docPr id="36" name="Shape 3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2" type="#_x0000_t202" style="position:absolute;margin-left:345.35000000000002pt;margin-top:39.75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4386580</wp:posOffset>
              </wp:positionH>
              <wp:positionV relativeFrom="page">
                <wp:posOffset>561340</wp:posOffset>
              </wp:positionV>
              <wp:extent cx="2447290" cy="106680"/>
              <wp:wrapNone/>
              <wp:docPr id="41" name="Shape 4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345.40000000000003pt;margin-top:44.200000000000003pt;width:192.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4386580</wp:posOffset>
              </wp:positionH>
              <wp:positionV relativeFrom="page">
                <wp:posOffset>561340</wp:posOffset>
              </wp:positionV>
              <wp:extent cx="2447290" cy="106680"/>
              <wp:wrapNone/>
              <wp:docPr id="48" name="Shape 4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4" type="#_x0000_t202" style="position:absolute;margin-left:345.40000000000003pt;margin-top:44.200000000000003pt;width:192.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4385945</wp:posOffset>
              </wp:positionH>
              <wp:positionV relativeFrom="page">
                <wp:posOffset>504825</wp:posOffset>
              </wp:positionV>
              <wp:extent cx="2447290" cy="106680"/>
              <wp:wrapNone/>
              <wp:docPr id="55" name="Shape 5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1" type="#_x0000_t202" style="position:absolute;margin-left:345.35000000000002pt;margin-top:39.75pt;width:192.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7" name="Shape 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4385945</wp:posOffset>
              </wp:positionH>
              <wp:positionV relativeFrom="page">
                <wp:posOffset>504825</wp:posOffset>
              </wp:positionV>
              <wp:extent cx="2447290" cy="106680"/>
              <wp:wrapNone/>
              <wp:docPr id="60" name="Shape 6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6" type="#_x0000_t202" style="position:absolute;margin-left:345.35000000000002pt;margin-top:39.75pt;width:192.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珠海汇金科技股份有限公司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6"/>
        <w:szCs w:val="16"/>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6"/>
        <w:szCs w:val="16"/>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9">
    <w:name w:val="正文文本 (5)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6)_"/>
    <w:basedOn w:val="DefaultParagraphFont"/>
    <w:link w:val="Style5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6">
    <w:name w:val="标题 #5_"/>
    <w:basedOn w:val="DefaultParagraphFont"/>
    <w:link w:val="Style65"/>
    <w:rPr>
      <w:rFonts w:ascii="SimSun" w:eastAsia="SimSun" w:hAnsi="SimSun" w:cs="SimSun"/>
      <w:b/>
      <w:bCs/>
      <w:i w:val="0"/>
      <w:iCs w:val="0"/>
      <w:smallCaps w:val="0"/>
      <w:strike w:val="0"/>
      <w:sz w:val="20"/>
      <w:szCs w:val="20"/>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4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正文文本"/>
    <w:basedOn w:val="Normal"/>
    <w:link w:val="CharStyle25"/>
    <w:pPr>
      <w:widowControl w:val="0"/>
      <w:shd w:val="clear" w:color="auto" w:fill="auto"/>
      <w:spacing w:line="386"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正文文本 (5)"/>
    <w:basedOn w:val="Normal"/>
    <w:link w:val="CharStyle49"/>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6)"/>
    <w:basedOn w:val="Normal"/>
    <w:link w:val="CharStyle55"/>
    <w:pPr>
      <w:widowControl w:val="0"/>
      <w:shd w:val="clear" w:color="auto" w:fill="auto"/>
      <w:spacing w:line="313"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5">
    <w:name w:val="标题 #5"/>
    <w:basedOn w:val="Normal"/>
    <w:link w:val="CharStyle6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image" Target="media/image2.jpeg"/><Relationship Id="rId34" Type="http://schemas.openxmlformats.org/officeDocument/2006/relationships/image" Target="media/image2.jpeg" TargetMode="Externa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s>
</file>

<file path=docProps/core.xml><?xml version="1.0" encoding="utf-8"?>
<cp:coreProperties xmlns:cp="http://schemas.openxmlformats.org/package/2006/metadata/core-properties" xmlns:dc="http://purl.org/dc/elements/1.1/">
  <dc:title>珠海汇金科技股份有限公司2020年年度报告全文</dc:title>
  <dc:subject/>
  <dc:creator>珠海汇金科技股份有限公司</dc:creator>
  <cp:keywords/>
</cp:coreProperties>
</file>