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股票代码：</w:t>
      </w:r>
      <w:r>
        <w:rPr>
          <w:color w:val="000000"/>
          <w:spacing w:val="0"/>
          <w:w w:val="100"/>
          <w:position w:val="0"/>
          <w:sz w:val="24"/>
          <w:szCs w:val="24"/>
        </w:rPr>
        <w:t>300562</w:t>
      </w:r>
    </w:p>
    <w:p>
      <w:pPr>
        <w:pStyle w:val="Style12"/>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股票简称：乐心医疗</w:t>
      </w:r>
    </w:p>
    <w:p>
      <w:pPr>
        <w:pStyle w:val="Style2"/>
        <w:keepNext w:val="0"/>
        <w:keepLines w:val="0"/>
        <w:widowControl w:val="0"/>
        <w:shd w:val="clear" w:color="auto" w:fill="auto"/>
        <w:bidi w:val="0"/>
        <w:spacing w:before="0" w:after="0" w:line="240" w:lineRule="auto"/>
        <w:ind w:left="0" w:right="0" w:firstLine="0"/>
        <w:jc w:val="left"/>
        <w:rPr>
          <w:sz w:val="24"/>
          <w:szCs w:val="24"/>
        </w:r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86" w:right="1450" w:bottom="1892" w:left="1450" w:header="0" w:footer="3" w:gutter="0"/>
          <w:pgNumType w:start="1"/>
          <w:cols w:num="3" w:space="720" w:equalWidth="0">
            <w:col w:w="1958" w:space="1402"/>
            <w:col w:w="2198" w:space="1291"/>
            <w:col w:w="2150"/>
          </w:cols>
          <w:noEndnote/>
          <w:titlePg/>
          <w:rtlGutter w:val="0"/>
          <w:docGrid w:linePitch="360"/>
        </w:sectPr>
      </w:pPr>
      <w:r>
        <w:rPr>
          <w:rFonts w:ascii="SimSun" w:eastAsia="SimSun" w:hAnsi="SimSun" w:cs="SimSun"/>
          <w:color w:val="000000"/>
          <w:spacing w:val="0"/>
          <w:w w:val="100"/>
          <w:position w:val="0"/>
          <w:sz w:val="24"/>
          <w:szCs w:val="24"/>
        </w:rPr>
        <w:t>公告编号：</w:t>
      </w:r>
      <w:r>
        <w:rPr>
          <w:color w:val="000000"/>
          <w:spacing w:val="0"/>
          <w:w w:val="100"/>
          <w:position w:val="0"/>
          <w:sz w:val="24"/>
          <w:szCs w:val="24"/>
        </w:rPr>
        <w:t>2017-012</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6" w:right="0" w:bottom="1599" w:left="0" w:header="0" w:footer="3" w:gutter="0"/>
          <w:cols w:space="720"/>
          <w:noEndnote/>
          <w:rtlGutter w:val="0"/>
          <w:docGrid w:linePitch="360"/>
        </w:sectPr>
      </w:pPr>
    </w:p>
    <w:p>
      <w:pPr>
        <w:pStyle w:val="Style2"/>
        <w:keepNext w:val="0"/>
        <w:keepLines w:val="0"/>
        <w:widowControl w:val="0"/>
        <w:shd w:val="clear" w:color="auto" w:fill="auto"/>
        <w:bidi w:val="0"/>
        <w:spacing w:before="0" w:after="340" w:line="240" w:lineRule="auto"/>
        <w:ind w:left="0" w:right="0" w:firstLine="0"/>
        <w:jc w:val="center"/>
        <w:rPr>
          <w:sz w:val="36"/>
          <w:szCs w:val="36"/>
        </w:rPr>
      </w:pPr>
      <w:r>
        <w:rPr>
          <w:rFonts w:ascii="SimSun" w:eastAsia="SimSun" w:hAnsi="SimSun" w:cs="SimSun"/>
          <w:b/>
          <w:bCs/>
          <w:color w:val="897684"/>
          <w:spacing w:val="0"/>
          <w:w w:val="100"/>
          <w:position w:val="0"/>
          <w:sz w:val="36"/>
          <w:szCs w:val="36"/>
        </w:rPr>
        <w:t>乐心医疗</w:t>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rFonts w:ascii="SimSun" w:eastAsia="SimSun" w:hAnsi="SimSun" w:cs="SimSun"/>
          <w:b/>
          <w:bCs/>
          <w:color w:val="000000"/>
          <w:spacing w:val="0"/>
          <w:w w:val="100"/>
          <w:position w:val="0"/>
          <w:sz w:val="36"/>
          <w:szCs w:val="36"/>
        </w:rPr>
        <w:t>广东乐心医疗电子股份有限公司</w:t>
      </w:r>
    </w:p>
    <w:p>
      <w:pPr>
        <w:pStyle w:val="Style2"/>
        <w:keepNext w:val="0"/>
        <w:keepLines w:val="0"/>
        <w:widowControl w:val="0"/>
        <w:shd w:val="clear" w:color="auto" w:fill="auto"/>
        <w:bidi w:val="0"/>
        <w:spacing w:before="0" w:after="626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年度报告</w:t>
      </w:r>
    </w:p>
    <w:p>
      <w:pPr>
        <w:pStyle w:val="Style2"/>
        <w:keepNext w:val="0"/>
        <w:keepLines w:val="0"/>
        <w:widowControl w:val="0"/>
        <w:shd w:val="clear" w:color="auto" w:fill="auto"/>
        <w:bidi w:val="0"/>
        <w:spacing w:before="0" w:after="460" w:line="240" w:lineRule="auto"/>
        <w:ind w:left="0" w:right="0" w:firstLine="0"/>
        <w:jc w:val="center"/>
        <w:rPr>
          <w:sz w:val="32"/>
          <w:szCs w:val="32"/>
        </w:r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9"/>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本公司董事会、监事会及董事、监事、高级管理人员保证年度报告内容的真实、准确、 完整，不存在虚假记载、误导性陈述或重大遗漏，并承担个别和连带的法律责任。</w:t>
      </w:r>
    </w:p>
    <w:p>
      <w:pPr>
        <w:pStyle w:val="Style12"/>
        <w:keepNext w:val="0"/>
        <w:keepLines w:val="0"/>
        <w:widowControl w:val="0"/>
        <w:shd w:val="clear" w:color="auto" w:fill="auto"/>
        <w:bidi w:val="0"/>
        <w:spacing w:before="0" w:after="120"/>
        <w:ind w:left="0" w:right="0"/>
        <w:jc w:val="both"/>
      </w:pPr>
      <w:r>
        <w:rPr>
          <w:color w:val="000000"/>
          <w:spacing w:val="0"/>
          <w:w w:val="100"/>
          <w:position w:val="0"/>
        </w:rPr>
        <w:t>公司负责人潘伟潮、主管会计工作负责人许迎丰及会计机构负责人（会计主管人员）汪小 飞声明：保证年度报告中财务报告的真实、准确、完整。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w:t>
      </w:r>
    </w:p>
    <w:p>
      <w:pPr>
        <w:pStyle w:val="Style12"/>
        <w:keepNext w:val="0"/>
        <w:keepLines w:val="0"/>
        <w:widowControl w:val="0"/>
        <w:shd w:val="clear" w:color="auto" w:fill="auto"/>
        <w:tabs>
          <w:tab w:pos="887" w:val="left"/>
        </w:tabs>
        <w:bidi w:val="0"/>
        <w:spacing w:before="0"/>
        <w:ind w:left="0" w:right="0"/>
        <w:jc w:val="both"/>
      </w:pPr>
      <w:bookmarkStart w:id="3" w:name="bookmark3"/>
      <w:r>
        <w:rPr>
          <w:color w:val="000000"/>
          <w:spacing w:val="0"/>
          <w:w w:val="100"/>
          <w:position w:val="0"/>
        </w:rPr>
        <w:t>1</w:t>
      </w:r>
      <w:bookmarkEnd w:id="3"/>
      <w:r>
        <w:rPr>
          <w:color w:val="000000"/>
          <w:spacing w:val="0"/>
          <w:w w:val="100"/>
          <w:position w:val="0"/>
        </w:rPr>
        <w:t>、</w:t>
        <w:tab/>
        <w:t>国际市场风险</w:t>
      </w:r>
    </w:p>
    <w:p>
      <w:pPr>
        <w:pStyle w:val="Style21"/>
        <w:keepNext w:val="0"/>
        <w:keepLines w:val="0"/>
        <w:widowControl w:val="0"/>
        <w:shd w:val="clear" w:color="auto" w:fill="auto"/>
        <w:bidi w:val="0"/>
        <w:spacing w:before="0" w:after="120" w:line="468" w:lineRule="exact"/>
        <w:ind w:left="0" w:right="0"/>
        <w:jc w:val="both"/>
      </w:pPr>
      <w:r>
        <w:rPr>
          <w:color w:val="000000"/>
          <w:spacing w:val="0"/>
          <w:w w:val="100"/>
          <w:position w:val="0"/>
        </w:rPr>
        <w:t>公司的出口业务以</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模式主要在欧、美、日、韩等经济发达地区展开，并且业务收入占总营收比重比较大。主要进 口国贸易政策和经济形势等发生重大不利变化，或因产品价格、品质、新产品开发能力等不能满足客户需求，导致新业务开 拓失败甚至固有客户流失，影响</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业务健康稳定发展，是公司在海外市场可能面临的主要风险。</w:t>
      </w:r>
    </w:p>
    <w:p>
      <w:pPr>
        <w:pStyle w:val="Style12"/>
        <w:keepNext w:val="0"/>
        <w:keepLines w:val="0"/>
        <w:widowControl w:val="0"/>
        <w:shd w:val="clear" w:color="auto" w:fill="auto"/>
        <w:tabs>
          <w:tab w:pos="902" w:val="left"/>
        </w:tabs>
        <w:bidi w:val="0"/>
        <w:spacing w:before="0"/>
        <w:ind w:left="0" w:right="0"/>
        <w:jc w:val="both"/>
      </w:pPr>
      <w:bookmarkStart w:id="4" w:name="bookmark4"/>
      <w:r>
        <w:rPr>
          <w:color w:val="000000"/>
          <w:spacing w:val="0"/>
          <w:w w:val="100"/>
          <w:position w:val="0"/>
        </w:rPr>
        <w:t>2</w:t>
      </w:r>
      <w:bookmarkEnd w:id="4"/>
      <w:r>
        <w:rPr>
          <w:color w:val="000000"/>
          <w:spacing w:val="0"/>
          <w:w w:val="100"/>
          <w:position w:val="0"/>
        </w:rPr>
        <w:t>、</w:t>
        <w:tab/>
        <w:t>国内市场风险</w:t>
      </w:r>
    </w:p>
    <w:p>
      <w:pPr>
        <w:pStyle w:val="Style21"/>
        <w:keepNext w:val="0"/>
        <w:keepLines w:val="0"/>
        <w:widowControl w:val="0"/>
        <w:shd w:val="clear" w:color="auto" w:fill="auto"/>
        <w:bidi w:val="0"/>
        <w:spacing w:before="0" w:after="120" w:line="468" w:lineRule="exact"/>
        <w:ind w:left="0" w:right="0"/>
        <w:jc w:val="both"/>
      </w:pPr>
      <w:r>
        <w:rPr>
          <w:color w:val="000000"/>
          <w:spacing w:val="0"/>
          <w:w w:val="100"/>
          <w:position w:val="0"/>
        </w:rPr>
        <w:t>公司在国内市场的业务主要以自有品牌的形式展开，市场竞争激烈。竞争对手新品的推出，价格策略的变化，促销政策 和市场推广政策的调整都会对公司国内业务的开展形成风险。同时，若公司市场推广未达到预期效果，线下经销商模式下拓 展终端门店的速度和单店产出不达预期，亦将给国内市场业务发展形成风险。</w:t>
      </w:r>
    </w:p>
    <w:p>
      <w:pPr>
        <w:pStyle w:val="Style12"/>
        <w:keepNext w:val="0"/>
        <w:keepLines w:val="0"/>
        <w:widowControl w:val="0"/>
        <w:shd w:val="clear" w:color="auto" w:fill="auto"/>
        <w:tabs>
          <w:tab w:pos="902" w:val="left"/>
        </w:tabs>
        <w:bidi w:val="0"/>
        <w:spacing w:before="0"/>
        <w:ind w:left="0" w:right="0"/>
        <w:jc w:val="both"/>
      </w:pPr>
      <w:bookmarkStart w:id="5" w:name="bookmark5"/>
      <w:r>
        <w:rPr>
          <w:color w:val="000000"/>
          <w:spacing w:val="0"/>
          <w:w w:val="100"/>
          <w:position w:val="0"/>
        </w:rPr>
        <w:t>3</w:t>
      </w:r>
      <w:bookmarkEnd w:id="5"/>
      <w:r>
        <w:rPr>
          <w:color w:val="000000"/>
          <w:spacing w:val="0"/>
          <w:w w:val="100"/>
          <w:position w:val="0"/>
        </w:rPr>
        <w:t>、</w:t>
        <w:tab/>
        <w:t>成本与费用增加风险</w:t>
      </w:r>
    </w:p>
    <w:p>
      <w:pPr>
        <w:pStyle w:val="Style21"/>
        <w:keepNext w:val="0"/>
        <w:keepLines w:val="0"/>
        <w:widowControl w:val="0"/>
        <w:shd w:val="clear" w:color="auto" w:fill="auto"/>
        <w:bidi w:val="0"/>
        <w:spacing w:before="0" w:after="120" w:line="470" w:lineRule="exact"/>
        <w:ind w:left="0" w:right="0"/>
        <w:jc w:val="both"/>
      </w:pPr>
      <w:r>
        <w:rPr>
          <w:color w:val="000000"/>
          <w:spacing w:val="0"/>
          <w:w w:val="100"/>
          <w:position w:val="0"/>
        </w:rPr>
        <w:t>公司产品生产过程中所需要的原材料价格存在不确定性，部分材料采购价格、直接人工工资水平受国家产业政策和最低 工资调整等因素影响，其价格提升直接增加公司经营成本，削弱公司产品竞争力，将对公司成本控制和净利润目标达成产生 不利影响，导致成本与费用增加影响利润的风险。</w:t>
      </w:r>
    </w:p>
    <w:p>
      <w:pPr>
        <w:pStyle w:val="Style12"/>
        <w:keepNext w:val="0"/>
        <w:keepLines w:val="0"/>
        <w:widowControl w:val="0"/>
        <w:shd w:val="clear" w:color="auto" w:fill="auto"/>
        <w:tabs>
          <w:tab w:pos="902" w:val="left"/>
        </w:tabs>
        <w:bidi w:val="0"/>
        <w:spacing w:before="0"/>
        <w:ind w:left="0" w:right="0"/>
        <w:jc w:val="both"/>
      </w:pPr>
      <w:bookmarkStart w:id="6" w:name="bookmark6"/>
      <w:r>
        <w:rPr>
          <w:color w:val="000000"/>
          <w:spacing w:val="0"/>
          <w:w w:val="100"/>
          <w:position w:val="0"/>
        </w:rPr>
        <w:t>4</w:t>
      </w:r>
      <w:bookmarkEnd w:id="6"/>
      <w:r>
        <w:rPr>
          <w:color w:val="000000"/>
          <w:spacing w:val="0"/>
          <w:w w:val="100"/>
          <w:position w:val="0"/>
        </w:rPr>
        <w:t>、</w:t>
        <w:tab/>
        <w:t>管理风险</w:t>
      </w:r>
    </w:p>
    <w:p>
      <w:pPr>
        <w:pStyle w:val="Style21"/>
        <w:keepNext w:val="0"/>
        <w:keepLines w:val="0"/>
        <w:widowControl w:val="0"/>
        <w:shd w:val="clear" w:color="auto" w:fill="auto"/>
        <w:bidi w:val="0"/>
        <w:spacing w:before="0" w:after="80" w:line="470" w:lineRule="exact"/>
        <w:ind w:left="0" w:right="0"/>
        <w:jc w:val="both"/>
      </w:pPr>
      <w:r>
        <w:rPr>
          <w:color w:val="000000"/>
          <w:spacing w:val="0"/>
          <w:w w:val="100"/>
          <w:position w:val="0"/>
        </w:rPr>
        <w:t>随着业务规模的迅速扩大，公司对管理、技术、营销、业务等方面的中高级人才需求急剧增加，这给公司管理团队的管 理水平及驾驭经营风险的能力带来一定程度的挑战。若公司的技术管理、营销管理、质量控制等能力不能适应公司业务迅速 扩张的要求，人才培养、组织模式和管理制度不能进一步健全和完善，将会导致相应的管理风险。</w:t>
      </w:r>
    </w:p>
    <w:p>
      <w:pPr>
        <w:pStyle w:val="Style12"/>
        <w:keepNext w:val="0"/>
        <w:keepLines w:val="0"/>
        <w:widowControl w:val="0"/>
        <w:shd w:val="clear" w:color="auto" w:fill="auto"/>
        <w:tabs>
          <w:tab w:pos="902" w:val="left"/>
        </w:tabs>
        <w:bidi w:val="0"/>
        <w:spacing w:before="0"/>
        <w:ind w:left="0" w:right="0"/>
        <w:jc w:val="both"/>
      </w:pPr>
      <w:bookmarkStart w:id="7" w:name="bookmark7"/>
      <w:r>
        <w:rPr>
          <w:color w:val="000000"/>
          <w:spacing w:val="0"/>
          <w:w w:val="100"/>
          <w:position w:val="0"/>
        </w:rPr>
        <w:t>5</w:t>
      </w:r>
      <w:bookmarkEnd w:id="7"/>
      <w:r>
        <w:rPr>
          <w:color w:val="000000"/>
          <w:spacing w:val="0"/>
          <w:w w:val="100"/>
          <w:position w:val="0"/>
        </w:rPr>
        <w:t>、</w:t>
        <w:tab/>
        <w:t>汇率波动风险</w:t>
      </w:r>
    </w:p>
    <w:p>
      <w:pPr>
        <w:pStyle w:val="Style21"/>
        <w:keepNext w:val="0"/>
        <w:keepLines w:val="0"/>
        <w:widowControl w:val="0"/>
        <w:shd w:val="clear" w:color="auto" w:fill="auto"/>
        <w:bidi w:val="0"/>
        <w:spacing w:before="0" w:after="360" w:line="469" w:lineRule="exact"/>
        <w:ind w:left="0" w:right="0"/>
        <w:jc w:val="both"/>
      </w:pPr>
      <w:r>
        <w:rPr>
          <w:color w:val="000000"/>
          <w:spacing w:val="0"/>
          <w:w w:val="100"/>
          <w:position w:val="0"/>
        </w:rPr>
        <w:t>现阶段，公司的出口业务整体规模较大，报告期内，实现出口销售额</w:t>
      </w:r>
      <w:r>
        <w:rPr>
          <w:rFonts w:ascii="Times New Roman" w:eastAsia="Times New Roman" w:hAnsi="Times New Roman" w:cs="Times New Roman"/>
          <w:color w:val="000000"/>
          <w:spacing w:val="0"/>
          <w:w w:val="100"/>
          <w:position w:val="0"/>
          <w:sz w:val="18"/>
          <w:szCs w:val="18"/>
        </w:rPr>
        <w:t>44,492</w:t>
      </w:r>
      <w:r>
        <w:rPr>
          <w:color w:val="000000"/>
          <w:spacing w:val="0"/>
          <w:w w:val="100"/>
          <w:position w:val="0"/>
        </w:rPr>
        <w:t>万元，占总主营收的</w:t>
      </w:r>
      <w:r>
        <w:rPr>
          <w:rFonts w:ascii="Times New Roman" w:eastAsia="Times New Roman" w:hAnsi="Times New Roman" w:cs="Times New Roman"/>
          <w:color w:val="000000"/>
          <w:spacing w:val="0"/>
          <w:w w:val="100"/>
          <w:position w:val="0"/>
          <w:sz w:val="18"/>
          <w:szCs w:val="18"/>
        </w:rPr>
        <w:t>57.75%</w:t>
      </w:r>
      <w:r>
        <w:rPr>
          <w:color w:val="000000"/>
          <w:spacing w:val="0"/>
          <w:w w:val="100"/>
          <w:position w:val="0"/>
        </w:rPr>
        <w:t xml:space="preserve">。未来，公司 </w:t>
      </w:r>
      <w:r>
        <w:rPr>
          <w:color w:val="000000"/>
          <w:spacing w:val="0"/>
          <w:w w:val="100"/>
          <w:position w:val="0"/>
        </w:rPr>
        <w:t>在大力发展自有品牌的同时，国际高端品牌</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贴牌业务规模也继续保持增长，而外汇汇率的波动将影响公司产品定价或 盈利水平，从而影响到公司产品的价格竞争力，为公司带来一定风险。如果未来我国汇率政策发生重大变化，或者未来人民 币的汇率出现大幅波动，将影响企业汇兑损益，并对净利润产生直接的影响。</w:t>
      </w:r>
    </w:p>
    <w:p>
      <w:pPr>
        <w:pStyle w:val="Style12"/>
        <w:keepNext w:val="0"/>
        <w:keepLines w:val="0"/>
        <w:widowControl w:val="0"/>
        <w:shd w:val="clear" w:color="auto" w:fill="auto"/>
        <w:bidi w:val="0"/>
        <w:spacing w:before="0" w:line="475" w:lineRule="exact"/>
        <w:ind w:left="0" w:right="0"/>
        <w:jc w:val="both"/>
      </w:pPr>
      <w:r>
        <w:rPr>
          <w:color w:val="000000"/>
          <w:spacing w:val="0"/>
          <w:w w:val="100"/>
          <w:position w:val="0"/>
        </w:rPr>
        <w:t>公司经本次董事会审议通过的利润分配预案为：</w:t>
      </w:r>
    </w:p>
    <w:p>
      <w:pPr>
        <w:pStyle w:val="Style12"/>
        <w:keepNext w:val="0"/>
        <w:keepLines w:val="0"/>
        <w:widowControl w:val="0"/>
        <w:shd w:val="clear" w:color="auto" w:fill="auto"/>
        <w:bidi w:val="0"/>
        <w:spacing w:before="0" w:after="220" w:line="475" w:lineRule="exact"/>
        <w:ind w:left="0" w:right="0"/>
        <w:jc w:val="both"/>
        <w:sectPr>
          <w:footnotePr>
            <w:pos w:val="pageBottom"/>
            <w:numFmt w:val="decimal"/>
            <w:numRestart w:val="continuous"/>
          </w:footnotePr>
          <w:type w:val="continuous"/>
          <w:pgSz w:w="11900" w:h="16840"/>
          <w:pgMar w:top="1546" w:right="1108" w:bottom="1599" w:left="1106" w:header="0" w:footer="3" w:gutter="0"/>
          <w:cols w:space="720"/>
          <w:noEndnote/>
          <w:rtlGutter w:val="0"/>
          <w:docGrid w:linePitch="360"/>
        </w:sectPr>
      </w:pPr>
      <w:r>
        <w:rPr>
          <w:color w:val="000000"/>
          <w:spacing w:val="0"/>
          <w:w w:val="100"/>
          <w:position w:val="0"/>
        </w:rPr>
        <w:t>以5,900万股为基数，向全体股东每10股派发现金红利</w:t>
      </w:r>
      <w:r>
        <w:rPr>
          <w:color w:val="000000"/>
          <w:spacing w:val="0"/>
          <w:w w:val="100"/>
          <w:position w:val="0"/>
        </w:rPr>
        <w:t>2.00</w:t>
      </w:r>
      <w:r>
        <w:rPr>
          <w:color w:val="000000"/>
          <w:spacing w:val="0"/>
          <w:w w:val="100"/>
          <w:position w:val="0"/>
        </w:rPr>
        <w:t>元（含税），送红股0股（含 税），以资本公积金向全体股东每10股转增22股。</w:t>
      </w:r>
    </w:p>
    <w:p>
      <w:pPr>
        <w:pStyle w:val="Style2"/>
        <w:keepNext w:val="0"/>
        <w:keepLines w:val="0"/>
        <w:widowControl w:val="0"/>
        <w:shd w:val="clear" w:color="auto" w:fill="auto"/>
        <w:bidi w:val="0"/>
        <w:spacing w:before="140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4"/>
        <w:keepNext w:val="0"/>
        <w:keepLines w:val="0"/>
        <w:widowControl w:val="0"/>
        <w:shd w:val="clear" w:color="auto" w:fill="auto"/>
        <w:tabs>
          <w:tab w:pos="910" w:val="left"/>
          <w:tab w:leader="dot" w:pos="961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color w:val="000000"/>
            <w:spacing w:val="0"/>
            <w:w w:val="100"/>
            <w:position w:val="0"/>
          </w:rPr>
          <w:t>2</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6</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52"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9</w:t>
        </w:r>
      </w:hyperlink>
    </w:p>
    <w:p>
      <w:pPr>
        <w:pStyle w:val="Style24"/>
        <w:keepNext w:val="0"/>
        <w:keepLines w:val="0"/>
        <w:widowControl w:val="0"/>
        <w:shd w:val="clear" w:color="auto" w:fill="auto"/>
        <w:tabs>
          <w:tab w:pos="910" w:val="left"/>
          <w:tab w:leader="dot" w:pos="9619" w:val="right"/>
        </w:tabs>
        <w:bidi w:val="0"/>
        <w:spacing w:before="0" w:line="240" w:lineRule="auto"/>
        <w:ind w:left="0" w:right="0" w:firstLine="0"/>
        <w:jc w:val="left"/>
      </w:pPr>
      <w:hyperlink w:anchor="bookmark82"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12</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256"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30</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401"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43</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456"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49</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459" w:tooltip="Current Document">
        <w:r>
          <w:rPr>
            <w:color w:val="000000"/>
            <w:spacing w:val="0"/>
            <w:w w:val="100"/>
            <w:position w:val="0"/>
          </w:rPr>
          <w:t>第八节董事、监事、高级管理人员和员工情况</w:t>
        </w:r>
        <w:r>
          <w:rPr>
            <w:color w:val="000000"/>
            <w:spacing w:val="0"/>
            <w:w w:val="100"/>
            <w:position w:val="0"/>
          </w:rPr>
          <w:tab/>
        </w:r>
        <w:r>
          <w:rPr>
            <w:color w:val="000000"/>
            <w:spacing w:val="0"/>
            <w:w w:val="100"/>
            <w:position w:val="0"/>
          </w:rPr>
          <w:t>50</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521" w:tooltip="Current Document">
        <w:r>
          <w:rPr>
            <w:color w:val="000000"/>
            <w:spacing w:val="0"/>
            <w:w w:val="100"/>
            <w:position w:val="0"/>
          </w:rPr>
          <w:t>第九节公司治理</w:t>
        </w:r>
        <w:r>
          <w:rPr>
            <w:color w:val="000000"/>
            <w:spacing w:val="0"/>
            <w:w w:val="100"/>
            <w:position w:val="0"/>
          </w:rPr>
          <w:tab/>
        </w:r>
        <w:r>
          <w:rPr>
            <w:color w:val="000000"/>
            <w:spacing w:val="0"/>
            <w:w w:val="100"/>
            <w:position w:val="0"/>
          </w:rPr>
          <w:t>59</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603" w:tooltip="Current Document">
        <w:r>
          <w:rPr>
            <w:color w:val="000000"/>
            <w:spacing w:val="0"/>
            <w:w w:val="100"/>
            <w:position w:val="0"/>
          </w:rPr>
          <w:t>第十节公司债券相关情况</w:t>
        </w:r>
        <w:r>
          <w:rPr>
            <w:color w:val="000000"/>
            <w:spacing w:val="0"/>
            <w:w w:val="100"/>
            <w:position w:val="0"/>
          </w:rPr>
          <w:tab/>
        </w:r>
        <w:r>
          <w:rPr>
            <w:color w:val="000000"/>
            <w:spacing w:val="0"/>
            <w:w w:val="100"/>
            <w:position w:val="0"/>
          </w:rPr>
          <w:t>65</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609" w:tooltip="Current Document">
        <w:r>
          <w:rPr>
            <w:color w:val="000000"/>
            <w:spacing w:val="0"/>
            <w:w w:val="100"/>
            <w:position w:val="0"/>
          </w:rPr>
          <w:t>第十一节财务报告</w:t>
        </w:r>
        <w:r>
          <w:rPr>
            <w:color w:val="000000"/>
            <w:spacing w:val="0"/>
            <w:w w:val="100"/>
            <w:position w:val="0"/>
          </w:rPr>
          <w:tab/>
        </w:r>
        <w:r>
          <w:rPr>
            <w:color w:val="000000"/>
            <w:spacing w:val="0"/>
            <w:w w:val="100"/>
            <w:position w:val="0"/>
          </w:rPr>
          <w:t>66</w:t>
        </w:r>
      </w:hyperlink>
    </w:p>
    <w:p>
      <w:pPr>
        <w:pStyle w:val="Style24"/>
        <w:keepNext w:val="0"/>
        <w:keepLines w:val="0"/>
        <w:widowControl w:val="0"/>
        <w:shd w:val="clear" w:color="auto" w:fill="auto"/>
        <w:tabs>
          <w:tab w:leader="dot" w:pos="9619" w:val="right"/>
        </w:tabs>
        <w:bidi w:val="0"/>
        <w:spacing w:before="0" w:line="240" w:lineRule="auto"/>
        <w:ind w:left="0" w:right="0" w:firstLine="0"/>
        <w:jc w:val="left"/>
      </w:pPr>
      <w:hyperlink w:anchor="bookmark2160" w:tooltip="Current Document">
        <w:r>
          <w:rPr>
            <w:color w:val="000000"/>
            <w:spacing w:val="0"/>
            <w:w w:val="100"/>
            <w:position w:val="0"/>
          </w:rPr>
          <w:t>第十二节 备查文件目录</w:t>
        </w:r>
        <w:r>
          <w:rPr>
            <w:color w:val="000000"/>
            <w:spacing w:val="0"/>
            <w:w w:val="100"/>
            <w:position w:val="0"/>
          </w:rPr>
          <w:tab/>
        </w:r>
        <w:r>
          <w:rPr>
            <w:color w:val="000000"/>
            <w:spacing w:val="0"/>
            <w:w w:val="100"/>
            <w:position w:val="0"/>
          </w:rPr>
          <w:t>178</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乐心医疗、公司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深圳乐心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深圳市乐心医疗电子有限公司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创源传感器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中山市创源传感器有限公司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动心科技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创源贸易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中山市创源贸易有限公司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Lifesense Health Inc.</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香港创源有限公司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易恩科技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中山市易恩自动化科技有限公司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中山市汇康股权投资合伙企业（有限合伙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协润投资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中山市协润股权投资合伙企业（有限合伙）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潘伟潮先生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会计师事务所、立信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保荐机构、长城证券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长城证券股份有限公司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人民币元、人民币万元、人民币亿元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7"/>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乐心医疗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乐心医疗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Guangdong Transtek Medical Electronics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Transtek</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中山市火炬开发区东利路</w:t>
            </w:r>
            <w:r>
              <w:rPr>
                <w:color w:val="000000"/>
                <w:spacing w:val="0"/>
                <w:w w:val="100"/>
                <w:position w:val="0"/>
                <w:sz w:val="18"/>
                <w:szCs w:val="18"/>
              </w:rPr>
              <w:t>105</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中山市火炬开发区东利路</w:t>
            </w:r>
            <w:r>
              <w:rPr>
                <w:color w:val="000000"/>
                <w:spacing w:val="0"/>
                <w:w w:val="100"/>
                <w:position w:val="0"/>
                <w:sz w:val="18"/>
                <w:szCs w:val="18"/>
              </w:rPr>
              <w:t>105</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"http://www.lifesense.com" </w:instrText>
            </w:r>
            <w:r>
              <w:fldChar w:fldCharType="separate"/>
            </w:r>
            <w:r>
              <w:rPr>
                <w:color w:val="000000"/>
                <w:spacing w:val="0"/>
                <w:w w:val="100"/>
                <w:position w:val="0"/>
              </w:rPr>
              <w:t>www.lifesense.com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ls@lifesense.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许迎丰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中山市火炬开发区东利路</w:t>
            </w:r>
            <w:r>
              <w:rPr>
                <w:color w:val="000000"/>
                <w:spacing w:val="0"/>
                <w:w w:val="100"/>
                <w:position w:val="0"/>
                <w:sz w:val="18"/>
                <w:szCs w:val="18"/>
              </w:rPr>
              <w:t>105</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中山市火炬开发区东利路</w:t>
            </w:r>
            <w:r>
              <w:rPr>
                <w:color w:val="000000"/>
                <w:spacing w:val="0"/>
                <w:w w:val="100"/>
                <w:position w:val="0"/>
                <w:sz w:val="18"/>
                <w:szCs w:val="18"/>
              </w:rPr>
              <w:t>105</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0760-85166286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0760-85166286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0760-85166521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0760-85166521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"mailto:ls@lifesense.com" </w:instrText>
            </w:r>
            <w:r>
              <w:fldChar w:fldCharType="separate"/>
            </w:r>
            <w:r>
              <w:rPr>
                <w:color w:val="000000"/>
                <w:spacing w:val="0"/>
                <w:w w:val="100"/>
                <w:position w:val="0"/>
              </w:rPr>
              <w:t>ls@lifesense.com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"mailto:ls@lifesense.com" </w:instrText>
            </w:r>
            <w:r>
              <w:fldChar w:fldCharType="separate"/>
            </w:r>
            <w:r>
              <w:rPr>
                <w:color w:val="000000"/>
                <w:spacing w:val="0"/>
                <w:w w:val="100"/>
                <w:position w:val="0"/>
              </w:rPr>
              <w:t>ls@lifesense.com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中山市火炬开发区东利路</w:t>
            </w:r>
            <w:r>
              <w:rPr>
                <w:color w:val="000000"/>
                <w:spacing w:val="0"/>
                <w:w w:val="100"/>
                <w:position w:val="0"/>
                <w:sz w:val="18"/>
                <w:szCs w:val="18"/>
              </w:rPr>
              <w:t>105</w:t>
            </w:r>
            <w:r>
              <w:rPr>
                <w:rFonts w:ascii="SimSun" w:eastAsia="SimSun" w:hAnsi="SimSun" w:cs="SimSun"/>
                <w:color w:val="000000"/>
                <w:spacing w:val="0"/>
                <w:w w:val="100"/>
                <w:position w:val="0"/>
                <w:sz w:val="17"/>
                <w:szCs w:val="17"/>
              </w:rPr>
              <w:t>号公司董事会办公室</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、其他有关资料</w:t>
      </w:r>
      <w:bookmarkEnd w:id="23"/>
      <w:bookmarkEnd w:id="24"/>
      <w:bookmarkEnd w:id="26"/>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北京市西城区北三环中路</w:t>
            </w:r>
            <w:r>
              <w:rPr>
                <w:color w:val="000000"/>
                <w:spacing w:val="0"/>
                <w:w w:val="100"/>
                <w:position w:val="0"/>
                <w:sz w:val="18"/>
                <w:szCs w:val="18"/>
              </w:rPr>
              <w:t>29</w:t>
            </w:r>
            <w:r>
              <w:rPr>
                <w:rFonts w:ascii="SimSun" w:eastAsia="SimSun" w:hAnsi="SimSun" w:cs="SimSun"/>
                <w:color w:val="000000"/>
                <w:spacing w:val="0"/>
                <w:w w:val="100"/>
                <w:position w:val="0"/>
                <w:sz w:val="17"/>
                <w:szCs w:val="17"/>
              </w:rPr>
              <w:t>号院茅台大厦</w:t>
            </w:r>
            <w:r>
              <w:rPr>
                <w:color w:val="000000"/>
                <w:spacing w:val="0"/>
                <w:w w:val="100"/>
                <w:position w:val="0"/>
                <w:sz w:val="18"/>
                <w:szCs w:val="18"/>
              </w:rPr>
              <w:t>28</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陈勇波、梁谦海</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79" w:line="1" w:lineRule="exact"/>
      </w:pPr>
    </w:p>
    <w:p>
      <w:pPr>
        <w:pStyle w:val="Style29"/>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深圳市深南大道</w:t>
            </w:r>
            <w:r>
              <w:rPr>
                <w:color w:val="000000"/>
                <w:spacing w:val="0"/>
                <w:w w:val="100"/>
                <w:position w:val="0"/>
                <w:sz w:val="18"/>
                <w:szCs w:val="18"/>
              </w:rPr>
              <w:t>6008</w:t>
            </w:r>
            <w:r>
              <w:rPr>
                <w:rFonts w:ascii="SimSun" w:eastAsia="SimSun" w:hAnsi="SimSun" w:cs="SimSun"/>
                <w:color w:val="000000"/>
                <w:spacing w:val="0"/>
                <w:w w:val="100"/>
                <w:position w:val="0"/>
                <w:sz w:val="17"/>
                <w:szCs w:val="17"/>
              </w:rPr>
              <w:t>号深</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圳特区报业大厦</w:t>
            </w:r>
            <w:r>
              <w:rPr>
                <w:color w:val="000000"/>
                <w:spacing w:val="0"/>
                <w:w w:val="100"/>
                <w:position w:val="0"/>
              </w:rPr>
              <w:t>14</w:t>
            </w:r>
            <w:r>
              <w:rPr>
                <w:rFonts w:ascii="SimSun" w:eastAsia="SimSun" w:hAnsi="SimSun" w:cs="SimSun"/>
                <w:color w:val="000000"/>
                <w:spacing w:val="0"/>
                <w:w w:val="100"/>
                <w:position w:val="0"/>
                <w:sz w:val="17"/>
                <w:szCs w:val="17"/>
              </w:rPr>
              <w:t>、</w:t>
            </w:r>
            <w:r>
              <w:rPr>
                <w:color w:val="000000"/>
                <w:spacing w:val="0"/>
                <w:w w:val="100"/>
                <w:position w:val="0"/>
              </w:rPr>
              <w:t>16</w:t>
            </w:r>
            <w:r>
              <w:rPr>
                <w:rFonts w:ascii="SimSun" w:eastAsia="SimSun" w:hAnsi="SimSun" w:cs="SimSun"/>
                <w:color w:val="000000"/>
                <w:spacing w:val="0"/>
                <w:w w:val="100"/>
                <w:position w:val="0"/>
                <w:sz w:val="17"/>
                <w:szCs w:val="17"/>
              </w:rPr>
              <w:t>、</w:t>
            </w:r>
            <w:r>
              <w:rPr>
                <w:color w:val="000000"/>
                <w:spacing w:val="0"/>
                <w:w w:val="100"/>
                <w:position w:val="0"/>
              </w:rPr>
              <w:t>17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林植、何东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、主要会计数据和财务指标</w:t>
      </w:r>
      <w:bookmarkEnd w:id="27"/>
      <w:bookmarkEnd w:id="28"/>
      <w:bookmarkEnd w:id="3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770,644,439.45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629,005,528.60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455,710,161.38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80,520,708.66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50,188,819.66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45,339,976.07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72,771,328.93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40,120,921.29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42,433,601.49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78,177,014.52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35,967,834.96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54,250,469.30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662,100,550.24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341,724,703.39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291,931,504.72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506,158,047.34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224,630,158.07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188,744,458.41</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、分季度主要财务指标</w:t>
      </w:r>
      <w:bookmarkEnd w:id="31"/>
      <w:bookmarkEnd w:id="32"/>
      <w:bookmarkEnd w:id="3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156,179,077.00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206,987,649.28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203,052,372.38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204,425,340.79</w:t>
            </w:r>
          </w:p>
        </w:tc>
      </w:tr>
    </w:tbl>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15,835,151.21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19,789,963.63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21,290,376.44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23,605,217.38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15,733,130.97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18,111,114.54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20,144,297.25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18,782,786.17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28,396,181.62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-3,420,812.89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21,785,547.45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31,416,098.34</w:t>
            </w:r>
          </w:p>
        </w:tc>
      </w:tr>
    </w:tbl>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7"/>
        <w:keepNext/>
        <w:keepLines/>
        <w:widowControl w:val="0"/>
        <w:shd w:val="clear" w:color="auto" w:fill="auto"/>
        <w:tabs>
          <w:tab w:pos="517" w:val="left"/>
        </w:tabs>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3"/>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17"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非经常性损益项目及金额</w:t>
      </w:r>
      <w:bookmarkEnd w:id="47"/>
      <w:bookmarkEnd w:id="48"/>
      <w:bookmarkEnd w:id="5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583,214.30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-183,309.69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-130,388.98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8,561,002.94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12,320,715.25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3,772,875.00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-283,570.81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-161,624.64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1,402,258.22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1,785,936.38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574,486.80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7,749,379.73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10,067,898.37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2,906,374.58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9"/>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7"/>
        <w:keepNext/>
        <w:keepLines/>
        <w:widowControl w:val="0"/>
        <w:shd w:val="clear" w:color="auto" w:fill="auto"/>
        <w:bidi w:val="0"/>
        <w:spacing w:before="0" w:after="40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、报告期内公司从事的主要业务</w:t>
      </w:r>
      <w:bookmarkEnd w:id="54"/>
      <w:bookmarkEnd w:id="55"/>
      <w:bookmarkEnd w:id="5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12"/>
        <w:keepNext w:val="0"/>
        <w:keepLines w:val="0"/>
        <w:widowControl w:val="0"/>
        <w:shd w:val="clear" w:color="auto" w:fill="auto"/>
        <w:tabs>
          <w:tab w:pos="328" w:val="left"/>
        </w:tabs>
        <w:bidi w:val="0"/>
        <w:spacing w:before="0" w:after="140" w:line="240" w:lineRule="auto"/>
        <w:ind w:left="0" w:right="0" w:firstLine="0"/>
        <w:jc w:val="left"/>
        <w:rPr>
          <w:sz w:val="20"/>
          <w:szCs w:val="20"/>
        </w:rPr>
      </w:pPr>
      <w:bookmarkStart w:id="58" w:name="bookmark58"/>
      <w:r>
        <w:rPr>
          <w:color w:val="000000"/>
          <w:spacing w:val="0"/>
          <w:w w:val="100"/>
          <w:position w:val="0"/>
          <w:sz w:val="20"/>
          <w:szCs w:val="20"/>
        </w:rPr>
        <w:t>1</w:t>
      </w:r>
      <w:bookmarkEnd w:id="58"/>
      <w:r>
        <w:rPr>
          <w:color w:val="000000"/>
          <w:spacing w:val="0"/>
          <w:w w:val="100"/>
          <w:position w:val="0"/>
          <w:sz w:val="20"/>
          <w:szCs w:val="20"/>
        </w:rPr>
        <w:t>、</w:t>
        <w:tab/>
        <w:t>公司从事的主要业务</w:t>
      </w:r>
    </w:p>
    <w:p>
      <w:pPr>
        <w:pStyle w:val="Style21"/>
        <w:keepNext w:val="0"/>
        <w:keepLines w:val="0"/>
        <w:widowControl w:val="0"/>
        <w:shd w:val="clear" w:color="auto" w:fill="auto"/>
        <w:bidi w:val="0"/>
        <w:spacing w:before="0" w:after="0" w:line="463" w:lineRule="exact"/>
        <w:ind w:left="0" w:right="0" w:firstLine="380"/>
        <w:jc w:val="both"/>
      </w:pPr>
      <w:r>
        <w:rPr>
          <w:color w:val="000000"/>
          <w:spacing w:val="0"/>
          <w:w w:val="100"/>
          <w:position w:val="0"/>
        </w:rPr>
        <w:t>公司致力于家庭健康管理事业，专业从事家用医疗健康电子产品的研发、生产和销售以及乐心智能健康云平台的研发和 运营。主要产品包括电子健康秤（分为电子体重秤和电子厨房秤）、脂肪测量仪、可穿戴手环（手表）及电子血压计等硬件 设备，和乐心云平台、</w:t>
      </w:r>
      <w:r>
        <w:rPr>
          <w:color w:val="000000"/>
          <w:spacing w:val="0"/>
          <w:w w:val="100"/>
          <w:position w:val="0"/>
          <w:sz w:val="18"/>
          <w:szCs w:val="18"/>
        </w:rPr>
        <w:t>APP</w:t>
      </w:r>
      <w:r>
        <w:rPr>
          <w:color w:val="000000"/>
          <w:spacing w:val="0"/>
          <w:w w:val="100"/>
          <w:position w:val="0"/>
        </w:rPr>
        <w:t>客户端等互联网产品，针对运动瘦身和慢病管理领域提供软件和智能硬件一体化解决方案。</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公司拥有独立、完整、适合自身发展的研究开发、材料采购、产品制造、市场营销和用户运营体系，形成了自身的盈利 模式。公司目前主要依靠硬件产品销售实现盈利。对自有品牌智能硬件产品，用户购买产品后需要使用公司相应的软件产品 （例如微信公众号、</w:t>
      </w:r>
      <w:r>
        <w:rPr>
          <w:color w:val="000000"/>
          <w:spacing w:val="0"/>
          <w:w w:val="100"/>
          <w:position w:val="0"/>
          <w:sz w:val="18"/>
          <w:szCs w:val="18"/>
        </w:rPr>
        <w:t>APP</w:t>
      </w:r>
      <w:r>
        <w:rPr>
          <w:color w:val="000000"/>
          <w:spacing w:val="0"/>
          <w:w w:val="100"/>
          <w:position w:val="0"/>
        </w:rPr>
        <w:t>等）绑定产品激活后方可使用，故公司在销售产品的同时，获取了大量的用户和健康管理数据。通 过对用户和数据的运营，为后续数据分析和应用，探索新的商业模式为用户提供增值服务打下基础。</w:t>
      </w:r>
    </w:p>
    <w:p>
      <w:pPr>
        <w:pStyle w:val="Style21"/>
        <w:keepNext w:val="0"/>
        <w:keepLines w:val="0"/>
        <w:widowControl w:val="0"/>
        <w:shd w:val="clear" w:color="auto" w:fill="auto"/>
        <w:bidi w:val="0"/>
        <w:spacing w:before="0" w:after="0" w:line="478" w:lineRule="exact"/>
        <w:ind w:left="0" w:right="0" w:firstLine="380"/>
        <w:jc w:val="both"/>
      </w:pPr>
      <w:r>
        <w:rPr>
          <w:color w:val="000000"/>
          <w:spacing w:val="0"/>
          <w:w w:val="100"/>
          <w:position w:val="0"/>
        </w:rPr>
        <w:t>报告期内，公司进一步落实内外并举，双轮驱动的经营策略。以</w:t>
      </w:r>
      <w:r>
        <w:rPr>
          <w:color w:val="000000"/>
          <w:spacing w:val="0"/>
          <w:w w:val="100"/>
          <w:position w:val="0"/>
          <w:sz w:val="18"/>
          <w:szCs w:val="18"/>
        </w:rPr>
        <w:t>ODM</w:t>
      </w:r>
      <w:r>
        <w:rPr>
          <w:color w:val="000000"/>
          <w:spacing w:val="0"/>
          <w:w w:val="100"/>
          <w:position w:val="0"/>
        </w:rPr>
        <w:t>为主的海外业务营收稳定增长，毛利率有所提升； 以自有品牌为主的国内业务营收大幅增长，其中可穿戴运动手环大幅增长，销量居国内第二，全球第五，同时产品结构得到 优化，高附加值产品比重增加，内销业务毛利率大幅提升。</w:t>
      </w:r>
    </w:p>
    <w:p>
      <w:pPr>
        <w:pStyle w:val="Style21"/>
        <w:keepNext w:val="0"/>
        <w:keepLines w:val="0"/>
        <w:widowControl w:val="0"/>
        <w:shd w:val="clear" w:color="auto" w:fill="auto"/>
        <w:bidi w:val="0"/>
        <w:spacing w:before="0" w:after="400" w:line="466" w:lineRule="exact"/>
        <w:ind w:left="0" w:right="0" w:firstLine="380"/>
        <w:jc w:val="both"/>
      </w:pPr>
      <w:r>
        <w:rPr>
          <w:color w:val="000000"/>
          <w:spacing w:val="0"/>
          <w:w w:val="100"/>
          <w:position w:val="0"/>
        </w:rPr>
        <w:t>运动瘦身和慢病管理领域本身有巨大的市场需求，释放需求驱动公司业绩提升的主要因素包括：优质的产品，产业政策 的支持，消费升级，合适的商业模式。而找到合适的同产品密切结合的商业模式，切实解决用户、政府和社会在肥胖、健身、 高血压高血糖等慢性病管理上的痛点问题，是核心所在。</w:t>
      </w:r>
    </w:p>
    <w:p>
      <w:pPr>
        <w:pStyle w:val="Style12"/>
        <w:keepNext w:val="0"/>
        <w:keepLines w:val="0"/>
        <w:widowControl w:val="0"/>
        <w:shd w:val="clear" w:color="auto" w:fill="auto"/>
        <w:tabs>
          <w:tab w:pos="342" w:val="left"/>
        </w:tabs>
        <w:bidi w:val="0"/>
        <w:spacing w:before="0" w:after="140" w:line="240" w:lineRule="auto"/>
        <w:ind w:left="0" w:right="0" w:firstLine="0"/>
        <w:jc w:val="left"/>
        <w:rPr>
          <w:sz w:val="20"/>
          <w:szCs w:val="20"/>
        </w:rPr>
      </w:pPr>
      <w:bookmarkStart w:id="59" w:name="bookmark59"/>
      <w:r>
        <w:rPr>
          <w:color w:val="000000"/>
          <w:spacing w:val="0"/>
          <w:w w:val="100"/>
          <w:position w:val="0"/>
          <w:sz w:val="20"/>
          <w:szCs w:val="20"/>
        </w:rPr>
        <w:t>2</w:t>
      </w:r>
      <w:bookmarkEnd w:id="59"/>
      <w:r>
        <w:rPr>
          <w:color w:val="000000"/>
          <w:spacing w:val="0"/>
          <w:w w:val="100"/>
          <w:position w:val="0"/>
          <w:sz w:val="20"/>
          <w:szCs w:val="20"/>
        </w:rPr>
        <w:t>、</w:t>
        <w:tab/>
        <w:t>公司所属行业的发展情况</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在海外，公司主要以医疗健康电子产品</w:t>
      </w:r>
      <w:r>
        <w:rPr>
          <w:color w:val="000000"/>
          <w:spacing w:val="0"/>
          <w:w w:val="100"/>
          <w:position w:val="0"/>
          <w:sz w:val="18"/>
          <w:szCs w:val="18"/>
        </w:rPr>
        <w:t>ODM</w:t>
      </w:r>
      <w:r>
        <w:rPr>
          <w:color w:val="000000"/>
          <w:spacing w:val="0"/>
          <w:w w:val="100"/>
          <w:position w:val="0"/>
        </w:rPr>
        <w:t>为主，目前产品主要包括电子血压计，脂肪测量仪，电子健康秤，可穿戴运 动手环，行业发展模式比较成熟，产品需求稳定，无明显周期性。依托公司技术实力，公司定位中高端，为博朗、伟伦、飞 利浦、</w:t>
      </w:r>
      <w:r>
        <w:rPr>
          <w:color w:val="000000"/>
          <w:spacing w:val="0"/>
          <w:w w:val="100"/>
          <w:position w:val="0"/>
          <w:sz w:val="18"/>
          <w:szCs w:val="18"/>
        </w:rPr>
        <w:t>WITHINGS</w:t>
      </w:r>
      <w:r>
        <w:rPr>
          <w:color w:val="000000"/>
          <w:spacing w:val="0"/>
          <w:w w:val="100"/>
          <w:position w:val="0"/>
        </w:rPr>
        <w:t>等众多知名品牌的合作厂商。</w:t>
      </w:r>
    </w:p>
    <w:p>
      <w:pPr>
        <w:pStyle w:val="Style21"/>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 xml:space="preserve">在国内，公司定位智能健康医疗领域，为运动瘦身和慢病管理提供软硬件一体化的解决方案。该领域跨越医疗器械、智 能可穿戴设备、互联网等多个行业，目前还处于初级阶段。巨大的市场需求和国家产业政策的大力支持，加之人民群众对身 体健康和慢病管理的刚性需求，可以预见该领域不会有明显的周期性。目前在智能可穿戴手环产品销量中，公司居中国第二， 全球第五，而智能电子血压计、智能脂肪测量仪、智能体重秤产品，公司均处于行业领先地位。在智能健康医疗领域，单一 </w:t>
      </w:r>
      <w:r>
        <w:rPr>
          <w:color w:val="000000"/>
          <w:spacing w:val="0"/>
          <w:w w:val="100"/>
          <w:position w:val="0"/>
        </w:rPr>
        <w:t>硬件采集数据和提供的服务会非常有限，而公司产品跨越多品类，可以形成合力，在国内市场上处于领先地位。</w:t>
      </w:r>
    </w:p>
    <w:p>
      <w:pPr>
        <w:pStyle w:val="Style27"/>
        <w:keepNext/>
        <w:keepLines/>
        <w:widowControl w:val="0"/>
        <w:shd w:val="clear" w:color="auto" w:fill="auto"/>
        <w:bidi w:val="0"/>
        <w:spacing w:before="0" w:after="4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、主要资产重大变化情况</w:t>
      </w:r>
      <w:bookmarkEnd w:id="60"/>
      <w:bookmarkEnd w:id="61"/>
      <w:bookmarkEnd w:id="63"/>
    </w:p>
    <w:p>
      <w:pPr>
        <w:pStyle w:val="Style33"/>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因公司报告期内投入较多自动化线和设备所致。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因公司增加投入东利</w:t>
            </w:r>
            <w:r>
              <w:rPr>
                <w:color w:val="000000"/>
                <w:spacing w:val="0"/>
                <w:w w:val="100"/>
                <w:position w:val="0"/>
                <w:sz w:val="18"/>
                <w:szCs w:val="18"/>
              </w:rPr>
              <w:t>15</w:t>
            </w:r>
            <w:r>
              <w:rPr>
                <w:rFonts w:ascii="SimSun" w:eastAsia="SimSun" w:hAnsi="SimSun" w:cs="SimSun"/>
                <w:color w:val="000000"/>
                <w:spacing w:val="0"/>
                <w:w w:val="100"/>
                <w:position w:val="0"/>
                <w:sz w:val="17"/>
                <w:szCs w:val="17"/>
              </w:rPr>
              <w:t>亩地工程以及民众二期仓库工程所致</w:t>
            </w:r>
          </w:p>
        </w:tc>
      </w:tr>
    </w:tbl>
    <w:p>
      <w:pPr>
        <w:widowControl w:val="0"/>
        <w:spacing w:after="319" w:line="1" w:lineRule="exact"/>
      </w:pPr>
    </w:p>
    <w:p>
      <w:pPr>
        <w:pStyle w:val="Style33"/>
        <w:keepNext/>
        <w:keepLines/>
        <w:widowControl w:val="0"/>
        <w:shd w:val="clear" w:color="auto" w:fill="auto"/>
        <w:bidi w:val="0"/>
        <w:spacing w:before="0" w:after="14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1"/>
        <w:keepNext w:val="0"/>
        <w:keepLines w:val="0"/>
        <w:widowControl w:val="0"/>
        <w:shd w:val="clear" w:color="auto" w:fill="auto"/>
        <w:bidi w:val="0"/>
        <w:spacing w:before="0" w:after="400" w:line="46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40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400" w:line="240" w:lineRule="auto"/>
        <w:ind w:left="0" w:right="0" w:firstLine="380"/>
        <w:jc w:val="both"/>
      </w:pPr>
      <w:r>
        <w:rPr>
          <w:color w:val="000000"/>
          <w:spacing w:val="0"/>
          <w:w w:val="100"/>
          <w:position w:val="0"/>
        </w:rPr>
        <w:t>公司在业务发展过程中，逐步形成了自身的优势和竞争力。公司总结目前的核心竞争力如下：</w:t>
      </w:r>
    </w:p>
    <w:p>
      <w:pPr>
        <w:pStyle w:val="Style12"/>
        <w:keepNext w:val="0"/>
        <w:keepLines w:val="0"/>
        <w:widowControl w:val="0"/>
        <w:shd w:val="clear" w:color="auto" w:fill="auto"/>
        <w:tabs>
          <w:tab w:pos="358" w:val="left"/>
        </w:tabs>
        <w:bidi w:val="0"/>
        <w:spacing w:before="0" w:after="140" w:line="240" w:lineRule="auto"/>
        <w:ind w:left="0" w:right="0" w:firstLine="0"/>
        <w:jc w:val="left"/>
        <w:rPr>
          <w:sz w:val="20"/>
          <w:szCs w:val="20"/>
        </w:rPr>
      </w:pPr>
      <w:bookmarkStart w:id="76" w:name="bookmark76"/>
      <w:r>
        <w:rPr>
          <w:color w:val="000000"/>
          <w:spacing w:val="0"/>
          <w:w w:val="100"/>
          <w:position w:val="0"/>
          <w:sz w:val="20"/>
          <w:szCs w:val="20"/>
        </w:rPr>
        <w:t>1</w:t>
      </w:r>
      <w:bookmarkEnd w:id="76"/>
      <w:r>
        <w:rPr>
          <w:color w:val="000000"/>
          <w:spacing w:val="0"/>
          <w:w w:val="100"/>
          <w:position w:val="0"/>
          <w:sz w:val="20"/>
          <w:szCs w:val="20"/>
        </w:rPr>
        <w:t>、</w:t>
        <w:tab/>
        <w:t>对行业和技术发展趋势的敏锐感知和应变能力</w:t>
      </w:r>
    </w:p>
    <w:p>
      <w:pPr>
        <w:pStyle w:val="Style21"/>
        <w:keepNext w:val="0"/>
        <w:keepLines w:val="0"/>
        <w:widowControl w:val="0"/>
        <w:shd w:val="clear" w:color="auto" w:fill="auto"/>
        <w:bidi w:val="0"/>
        <w:spacing w:before="0" w:after="400" w:line="467" w:lineRule="exact"/>
        <w:ind w:left="0" w:right="0" w:firstLine="380"/>
        <w:jc w:val="both"/>
      </w:pPr>
      <w:r>
        <w:rPr>
          <w:color w:val="000000"/>
          <w:spacing w:val="0"/>
          <w:w w:val="100"/>
          <w:position w:val="0"/>
        </w:rPr>
        <w:t>公司一直专注于健康医疗行业，公司管理层具备对行业和技术发展趋势敏锐的感知能力，并提前作出预判，引领公司发 展方向。自公司成立以来，公司分别在</w:t>
      </w:r>
      <w:r>
        <w:rPr>
          <w:color w:val="000000"/>
          <w:spacing w:val="0"/>
          <w:w w:val="100"/>
          <w:position w:val="0"/>
          <w:sz w:val="18"/>
          <w:szCs w:val="18"/>
        </w:rPr>
        <w:t>2006</w:t>
      </w:r>
      <w:r>
        <w:rPr>
          <w:color w:val="000000"/>
          <w:spacing w:val="0"/>
          <w:w w:val="100"/>
          <w:position w:val="0"/>
        </w:rPr>
        <w:t>年和</w:t>
      </w:r>
      <w:r>
        <w:rPr>
          <w:color w:val="000000"/>
          <w:spacing w:val="0"/>
          <w:w w:val="100"/>
          <w:position w:val="0"/>
          <w:sz w:val="18"/>
          <w:szCs w:val="18"/>
        </w:rPr>
        <w:t>2011</w:t>
      </w:r>
      <w:r>
        <w:rPr>
          <w:color w:val="000000"/>
          <w:spacing w:val="0"/>
          <w:w w:val="100"/>
          <w:position w:val="0"/>
        </w:rPr>
        <w:t>年经营处于较好状态时，进行了两次重要转型，实现了公司从电子秤解 决方案提供商，向“智能硬件</w:t>
      </w:r>
      <w:r>
        <w:rPr>
          <w:color w:val="000000"/>
          <w:spacing w:val="0"/>
          <w:w w:val="100"/>
          <w:position w:val="0"/>
          <w:sz w:val="18"/>
          <w:szCs w:val="18"/>
        </w:rPr>
        <w:t>+</w:t>
      </w:r>
      <w:r>
        <w:rPr>
          <w:color w:val="000000"/>
          <w:spacing w:val="0"/>
          <w:w w:val="100"/>
          <w:position w:val="0"/>
        </w:rPr>
        <w:t>服务”提供商的转变。公司开展海外</w:t>
      </w:r>
      <w:r>
        <w:rPr>
          <w:color w:val="000000"/>
          <w:spacing w:val="0"/>
          <w:w w:val="100"/>
          <w:position w:val="0"/>
          <w:sz w:val="18"/>
          <w:szCs w:val="18"/>
        </w:rPr>
        <w:t>ODM</w:t>
      </w:r>
      <w:r>
        <w:rPr>
          <w:color w:val="000000"/>
          <w:spacing w:val="0"/>
          <w:w w:val="100"/>
          <w:position w:val="0"/>
        </w:rPr>
        <w:t>业务多年，积累的大量优质高端客户，为公司带来的 前沿行业和技术资讯，进一步提升了公司的敏锐感知和应变能力。</w:t>
      </w:r>
    </w:p>
    <w:p>
      <w:pPr>
        <w:pStyle w:val="Style12"/>
        <w:keepNext w:val="0"/>
        <w:keepLines w:val="0"/>
        <w:widowControl w:val="0"/>
        <w:shd w:val="clear" w:color="auto" w:fill="auto"/>
        <w:tabs>
          <w:tab w:pos="373" w:val="left"/>
        </w:tabs>
        <w:bidi w:val="0"/>
        <w:spacing w:before="0" w:after="140" w:line="240" w:lineRule="auto"/>
        <w:ind w:left="0" w:right="0" w:firstLine="0"/>
        <w:jc w:val="both"/>
        <w:rPr>
          <w:sz w:val="20"/>
          <w:szCs w:val="20"/>
        </w:rPr>
      </w:pPr>
      <w:bookmarkStart w:id="77" w:name="bookmark77"/>
      <w:r>
        <w:rPr>
          <w:color w:val="000000"/>
          <w:spacing w:val="0"/>
          <w:w w:val="100"/>
          <w:position w:val="0"/>
          <w:sz w:val="20"/>
          <w:szCs w:val="20"/>
        </w:rPr>
        <w:t>2</w:t>
      </w:r>
      <w:bookmarkEnd w:id="77"/>
      <w:r>
        <w:rPr>
          <w:color w:val="000000"/>
          <w:spacing w:val="0"/>
          <w:w w:val="100"/>
          <w:position w:val="0"/>
          <w:sz w:val="20"/>
          <w:szCs w:val="20"/>
        </w:rPr>
        <w:t>、</w:t>
        <w:tab/>
        <w:t>跨界创新能力</w:t>
      </w:r>
    </w:p>
    <w:p>
      <w:pPr>
        <w:pStyle w:val="Style21"/>
        <w:keepNext w:val="0"/>
        <w:keepLines w:val="0"/>
        <w:widowControl w:val="0"/>
        <w:shd w:val="clear" w:color="auto" w:fill="auto"/>
        <w:bidi w:val="0"/>
        <w:spacing w:before="0" w:after="400" w:line="463" w:lineRule="exact"/>
        <w:ind w:left="0" w:right="0" w:firstLine="380"/>
        <w:jc w:val="both"/>
      </w:pPr>
      <w:r>
        <w:rPr>
          <w:color w:val="000000"/>
          <w:spacing w:val="0"/>
          <w:w w:val="100"/>
          <w:position w:val="0"/>
        </w:rPr>
        <w:t>跨界有利于创新。经过多年的探索和积累，公司逐步形成了 “硬件</w:t>
      </w:r>
      <w:r>
        <w:rPr>
          <w:color w:val="000000"/>
          <w:spacing w:val="0"/>
          <w:w w:val="100"/>
          <w:position w:val="0"/>
          <w:sz w:val="18"/>
          <w:szCs w:val="18"/>
        </w:rPr>
        <w:t>+</w:t>
      </w:r>
      <w:r>
        <w:rPr>
          <w:color w:val="000000"/>
          <w:spacing w:val="0"/>
          <w:w w:val="100"/>
          <w:position w:val="0"/>
        </w:rPr>
        <w:t>算法</w:t>
      </w:r>
      <w:r>
        <w:rPr>
          <w:color w:val="000000"/>
          <w:spacing w:val="0"/>
          <w:w w:val="100"/>
          <w:position w:val="0"/>
          <w:sz w:val="18"/>
          <w:szCs w:val="18"/>
        </w:rPr>
        <w:t>+</w:t>
      </w:r>
      <w:r>
        <w:rPr>
          <w:color w:val="000000"/>
          <w:spacing w:val="0"/>
          <w:w w:val="100"/>
          <w:position w:val="0"/>
        </w:rPr>
        <w:t>平台</w:t>
      </w:r>
      <w:r>
        <w:rPr>
          <w:color w:val="000000"/>
          <w:spacing w:val="0"/>
          <w:w w:val="100"/>
          <w:position w:val="0"/>
          <w:sz w:val="18"/>
          <w:szCs w:val="18"/>
        </w:rPr>
        <w:t>+APP+</w:t>
      </w:r>
      <w:r>
        <w:rPr>
          <w:color w:val="000000"/>
          <w:spacing w:val="0"/>
          <w:w w:val="100"/>
          <w:position w:val="0"/>
        </w:rPr>
        <w:t>运营”的跨界经营组合，确立了跨 界经营模式。公司汇聚了来自不同专业、不同行业背景的专业技术、营销和管理人才，形成跨界联合体，共同经营乐心健康 管理事业。跨界创新能力使公司对新技术、新模式有更强的理解和风险识别能力，可更好切中用户痛点，解决用户问题。</w:t>
      </w:r>
    </w:p>
    <w:p>
      <w:pPr>
        <w:pStyle w:val="Style12"/>
        <w:keepNext w:val="0"/>
        <w:keepLines w:val="0"/>
        <w:widowControl w:val="0"/>
        <w:shd w:val="clear" w:color="auto" w:fill="auto"/>
        <w:tabs>
          <w:tab w:pos="373" w:val="left"/>
        </w:tabs>
        <w:bidi w:val="0"/>
        <w:spacing w:before="0" w:after="140" w:line="240" w:lineRule="auto"/>
        <w:ind w:left="0" w:right="0" w:firstLine="0"/>
        <w:jc w:val="left"/>
        <w:rPr>
          <w:sz w:val="20"/>
          <w:szCs w:val="20"/>
        </w:rPr>
      </w:pPr>
      <w:bookmarkStart w:id="78" w:name="bookmark78"/>
      <w:r>
        <w:rPr>
          <w:color w:val="000000"/>
          <w:spacing w:val="0"/>
          <w:w w:val="100"/>
          <w:position w:val="0"/>
          <w:sz w:val="20"/>
          <w:szCs w:val="20"/>
        </w:rPr>
        <w:t>3</w:t>
      </w:r>
      <w:bookmarkEnd w:id="78"/>
      <w:r>
        <w:rPr>
          <w:color w:val="000000"/>
          <w:spacing w:val="0"/>
          <w:w w:val="100"/>
          <w:position w:val="0"/>
          <w:sz w:val="20"/>
          <w:szCs w:val="20"/>
        </w:rPr>
        <w:t>、</w:t>
        <w:tab/>
        <w:t>优秀的产品研发设计能力</w:t>
      </w:r>
    </w:p>
    <w:p>
      <w:pPr>
        <w:pStyle w:val="Style21"/>
        <w:keepNext w:val="0"/>
        <w:keepLines w:val="0"/>
        <w:widowControl w:val="0"/>
        <w:shd w:val="clear" w:color="auto" w:fill="auto"/>
        <w:bidi w:val="0"/>
        <w:spacing w:before="0" w:after="400" w:line="468" w:lineRule="exact"/>
        <w:ind w:left="0" w:right="0" w:firstLine="380"/>
        <w:jc w:val="left"/>
      </w:pPr>
      <w:r>
        <w:rPr>
          <w:color w:val="000000"/>
          <w:spacing w:val="0"/>
          <w:w w:val="100"/>
          <w:position w:val="0"/>
        </w:rPr>
        <w:t>公司组建了总计</w:t>
      </w:r>
      <w:r>
        <w:rPr>
          <w:color w:val="000000"/>
          <w:spacing w:val="0"/>
          <w:w w:val="100"/>
          <w:position w:val="0"/>
          <w:sz w:val="18"/>
          <w:szCs w:val="18"/>
        </w:rPr>
        <w:t>330</w:t>
      </w:r>
      <w:r>
        <w:rPr>
          <w:color w:val="000000"/>
          <w:spacing w:val="0"/>
          <w:w w:val="100"/>
          <w:position w:val="0"/>
        </w:rPr>
        <w:t>多人的研发团队，涵盖工业设计，软硬件产品，基础研究和算法，云端和</w:t>
      </w:r>
      <w:r>
        <w:rPr>
          <w:color w:val="000000"/>
          <w:spacing w:val="0"/>
          <w:w w:val="100"/>
          <w:position w:val="0"/>
          <w:sz w:val="18"/>
          <w:szCs w:val="18"/>
        </w:rPr>
        <w:t>APP,</w:t>
      </w:r>
      <w:r>
        <w:rPr>
          <w:color w:val="000000"/>
          <w:spacing w:val="0"/>
          <w:w w:val="100"/>
          <w:position w:val="0"/>
        </w:rPr>
        <w:t>工程和认证等多个领 域，地域遍布中山，广州，深圳，上海、香港和美国，形成了公司特有的产品研发流程和模式。公司注重研发投入，</w:t>
      </w:r>
      <w:r>
        <w:rPr>
          <w:color w:val="000000"/>
          <w:spacing w:val="0"/>
          <w:w w:val="100"/>
          <w:position w:val="0"/>
          <w:sz w:val="18"/>
          <w:szCs w:val="18"/>
        </w:rPr>
        <w:t xml:space="preserve">2013 </w:t>
      </w:r>
      <w:r>
        <w:rPr>
          <w:color w:val="000000"/>
          <w:spacing w:val="0"/>
          <w:w w:val="100"/>
          <w:position w:val="0"/>
        </w:rPr>
        <w:t>至</w:t>
      </w:r>
      <w:r>
        <w:rPr>
          <w:color w:val="000000"/>
          <w:spacing w:val="0"/>
          <w:w w:val="100"/>
          <w:position w:val="0"/>
          <w:sz w:val="18"/>
          <w:szCs w:val="18"/>
        </w:rPr>
        <w:t>2016</w:t>
      </w:r>
      <w:r>
        <w:rPr>
          <w:color w:val="000000"/>
          <w:spacing w:val="0"/>
          <w:w w:val="100"/>
          <w:position w:val="0"/>
        </w:rPr>
        <w:t>年研发费用投入年均复合增长率达</w:t>
      </w:r>
      <w:r>
        <w:rPr>
          <w:color w:val="000000"/>
          <w:spacing w:val="0"/>
          <w:w w:val="100"/>
          <w:position w:val="0"/>
          <w:sz w:val="18"/>
          <w:szCs w:val="18"/>
        </w:rPr>
        <w:t>63.75%，2016</w:t>
      </w:r>
      <w:r>
        <w:rPr>
          <w:color w:val="000000"/>
          <w:spacing w:val="0"/>
          <w:w w:val="100"/>
          <w:position w:val="0"/>
        </w:rPr>
        <w:t>年研发费用占营业收入</w:t>
      </w:r>
      <w:r>
        <w:rPr>
          <w:color w:val="000000"/>
          <w:spacing w:val="0"/>
          <w:w w:val="100"/>
          <w:position w:val="0"/>
          <w:sz w:val="18"/>
          <w:szCs w:val="18"/>
        </w:rPr>
        <w:t>7.7%,</w:t>
      </w:r>
      <w:r>
        <w:rPr>
          <w:color w:val="000000"/>
          <w:spacing w:val="0"/>
          <w:w w:val="100"/>
          <w:position w:val="0"/>
        </w:rPr>
        <w:t>截止报告期末公司拥有专利</w:t>
      </w:r>
      <w:r>
        <w:rPr>
          <w:color w:val="000000"/>
          <w:spacing w:val="0"/>
          <w:w w:val="100"/>
          <w:position w:val="0"/>
          <w:sz w:val="18"/>
          <w:szCs w:val="18"/>
        </w:rPr>
        <w:t>209</w:t>
      </w:r>
      <w:r>
        <w:rPr>
          <w:color w:val="000000"/>
          <w:spacing w:val="0"/>
          <w:w w:val="100"/>
          <w:position w:val="0"/>
        </w:rPr>
        <w:t>项。</w:t>
      </w:r>
      <w:r>
        <w:rPr>
          <w:color w:val="000000"/>
          <w:spacing w:val="0"/>
          <w:w w:val="100"/>
          <w:position w:val="0"/>
          <w:sz w:val="18"/>
          <w:szCs w:val="18"/>
        </w:rPr>
        <w:t xml:space="preserve">2017 </w:t>
      </w:r>
      <w:r>
        <w:rPr>
          <w:color w:val="000000"/>
          <w:spacing w:val="0"/>
          <w:w w:val="100"/>
          <w:position w:val="0"/>
        </w:rPr>
        <w:t>年公司将进一步加强研发投入，保持并增强这一优势。</w:t>
      </w:r>
    </w:p>
    <w:p>
      <w:pPr>
        <w:pStyle w:val="Style12"/>
        <w:keepNext w:val="0"/>
        <w:keepLines w:val="0"/>
        <w:widowControl w:val="0"/>
        <w:shd w:val="clear" w:color="auto" w:fill="auto"/>
        <w:tabs>
          <w:tab w:pos="378" w:val="left"/>
        </w:tabs>
        <w:bidi w:val="0"/>
        <w:spacing w:before="0" w:after="140" w:line="240" w:lineRule="auto"/>
        <w:ind w:left="0" w:right="0" w:firstLine="0"/>
        <w:jc w:val="left"/>
        <w:rPr>
          <w:sz w:val="20"/>
          <w:szCs w:val="20"/>
        </w:rPr>
      </w:pPr>
      <w:bookmarkStart w:id="79" w:name="bookmark79"/>
      <w:r>
        <w:rPr>
          <w:color w:val="000000"/>
          <w:spacing w:val="0"/>
          <w:w w:val="100"/>
          <w:position w:val="0"/>
          <w:sz w:val="20"/>
          <w:szCs w:val="20"/>
        </w:rPr>
        <w:t>4</w:t>
      </w:r>
      <w:bookmarkEnd w:id="79"/>
      <w:r>
        <w:rPr>
          <w:color w:val="000000"/>
          <w:spacing w:val="0"/>
          <w:w w:val="100"/>
          <w:position w:val="0"/>
          <w:sz w:val="20"/>
          <w:szCs w:val="20"/>
        </w:rPr>
        <w:t>、</w:t>
        <w:tab/>
        <w:t>供应链整合优势</w:t>
      </w:r>
    </w:p>
    <w:p>
      <w:pPr>
        <w:pStyle w:val="Style21"/>
        <w:keepNext w:val="0"/>
        <w:keepLines w:val="0"/>
        <w:widowControl w:val="0"/>
        <w:shd w:val="clear" w:color="auto" w:fill="auto"/>
        <w:bidi w:val="0"/>
        <w:spacing w:before="0" w:after="400" w:line="468" w:lineRule="exact"/>
        <w:ind w:left="0" w:right="0" w:firstLine="380"/>
        <w:jc w:val="left"/>
      </w:pPr>
      <w:r>
        <w:rPr>
          <w:color w:val="000000"/>
          <w:spacing w:val="0"/>
          <w:w w:val="100"/>
          <w:position w:val="0"/>
        </w:rPr>
        <w:t>公司具备专业的医疗级制造能力，获得国际领先医疗器械品牌贴牌生产背书。公司通过对外定制方式采购绝大多数物料、 自行生产核心零部件，最后组织成品组装，完成硬件产品的生产。这种自有工厂的模式对产品的品质控制、交期响应、成本 控制、新材料新工艺应用的支持，保证了供应链整合能力和快速响应能力。</w:t>
      </w:r>
    </w:p>
    <w:p>
      <w:pPr>
        <w:pStyle w:val="Style12"/>
        <w:keepNext w:val="0"/>
        <w:keepLines w:val="0"/>
        <w:widowControl w:val="0"/>
        <w:shd w:val="clear" w:color="auto" w:fill="auto"/>
        <w:tabs>
          <w:tab w:pos="378" w:val="left"/>
        </w:tabs>
        <w:bidi w:val="0"/>
        <w:spacing w:before="0" w:after="140" w:line="240" w:lineRule="auto"/>
        <w:ind w:left="0" w:right="0" w:firstLine="0"/>
        <w:jc w:val="left"/>
        <w:rPr>
          <w:sz w:val="20"/>
          <w:szCs w:val="20"/>
        </w:rPr>
      </w:pPr>
      <w:bookmarkStart w:id="80" w:name="bookmark80"/>
      <w:r>
        <w:rPr>
          <w:color w:val="000000"/>
          <w:spacing w:val="0"/>
          <w:w w:val="100"/>
          <w:position w:val="0"/>
          <w:sz w:val="20"/>
          <w:szCs w:val="20"/>
        </w:rPr>
        <w:t>5</w:t>
      </w:r>
      <w:bookmarkEnd w:id="80"/>
      <w:r>
        <w:rPr>
          <w:color w:val="000000"/>
          <w:spacing w:val="0"/>
          <w:w w:val="100"/>
          <w:position w:val="0"/>
          <w:sz w:val="20"/>
          <w:szCs w:val="20"/>
        </w:rPr>
        <w:t>、</w:t>
        <w:tab/>
        <w:t>人力资源优势</w:t>
      </w:r>
    </w:p>
    <w:p>
      <w:pPr>
        <w:pStyle w:val="Style21"/>
        <w:keepNext w:val="0"/>
        <w:keepLines w:val="0"/>
        <w:widowControl w:val="0"/>
        <w:shd w:val="clear" w:color="auto" w:fill="auto"/>
        <w:bidi w:val="0"/>
        <w:spacing w:before="0" w:after="260" w:line="470" w:lineRule="exact"/>
        <w:ind w:left="0" w:right="0" w:firstLine="380"/>
        <w:jc w:val="left"/>
        <w:sectPr>
          <w:footnotePr>
            <w:pos w:val="pageBottom"/>
            <w:numFmt w:val="decimal"/>
            <w:numRestart w:val="continuous"/>
          </w:footnotePr>
          <w:pgSz w:w="11900" w:h="16840"/>
          <w:pgMar w:top="1444" w:right="1064" w:bottom="1586" w:left="1064" w:header="0" w:footer="3" w:gutter="0"/>
          <w:cols w:space="720"/>
          <w:noEndnote/>
          <w:rtlGutter w:val="0"/>
          <w:docGrid w:linePitch="360"/>
        </w:sectPr>
      </w:pPr>
      <w:r>
        <w:rPr>
          <w:color w:val="000000"/>
          <w:spacing w:val="0"/>
          <w:w w:val="100"/>
          <w:position w:val="0"/>
        </w:rPr>
        <w:t>公司创始团队年富力强、配合默契、精诚合作，具有丰富的行业经验和前瞻的战略思维。公司开放的企业文化，有利于 不同行业背景的专业和管理人才快速有效融入，进一步巩固公司的跨界创新优势。</w:t>
      </w:r>
    </w:p>
    <w:p>
      <w:pPr>
        <w:pStyle w:val="Style19"/>
        <w:keepNext/>
        <w:keepLines/>
        <w:widowControl w:val="0"/>
        <w:shd w:val="clear" w:color="auto" w:fill="auto"/>
        <w:bidi w:val="0"/>
        <w:spacing w:before="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7"/>
        <w:keepNext/>
        <w:keepLines/>
        <w:widowControl w:val="0"/>
        <w:shd w:val="clear" w:color="auto" w:fill="auto"/>
        <w:bidi w:val="0"/>
        <w:spacing w:before="0" w:after="18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一</w:t>
      </w:r>
      <w:bookmarkEnd w:id="86"/>
      <w:r>
        <w:rPr>
          <w:color w:val="000000"/>
          <w:spacing w:val="0"/>
          <w:w w:val="100"/>
          <w:position w:val="0"/>
        </w:rPr>
        <w:t>、概述</w:t>
      </w:r>
      <w:bookmarkEnd w:id="84"/>
      <w:bookmarkEnd w:id="85"/>
      <w:bookmarkEnd w:id="87"/>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产品与服务的创新、专业、品质，是乐心视为生命的核心价值，为用户创造新一代健康智能生活方式，是乐心孜孜以求 的目标和梦想。</w:t>
      </w:r>
    </w:p>
    <w:p>
      <w:pPr>
        <w:pStyle w:val="Style21"/>
        <w:keepNext w:val="0"/>
        <w:keepLines w:val="0"/>
        <w:widowControl w:val="0"/>
        <w:shd w:val="clear" w:color="auto" w:fill="auto"/>
        <w:bidi w:val="0"/>
        <w:spacing w:before="0" w:after="0" w:line="475" w:lineRule="exact"/>
        <w:ind w:left="0" w:right="0"/>
        <w:jc w:val="left"/>
      </w:pPr>
      <w:r>
        <w:rPr>
          <w:color w:val="000000"/>
          <w:spacing w:val="0"/>
          <w:w w:val="100"/>
          <w:position w:val="0"/>
          <w:sz w:val="18"/>
          <w:szCs w:val="18"/>
        </w:rPr>
        <w:t>2016</w:t>
      </w:r>
      <w:r>
        <w:rPr>
          <w:color w:val="000000"/>
          <w:spacing w:val="0"/>
          <w:w w:val="100"/>
          <w:position w:val="0"/>
        </w:rPr>
        <w:t>年，乐心人怀揣年度经营目标，沉着蓄势、锐意创新，推动公司在业绩增长、销售渠道建设、产品研发与技术创新、 慢病管理探索及资本市场运作等方面，迈上新的台阶。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日，公司成功在深圳证券交易所创业板上市，开创公司 发展的新格局。</w:t>
      </w:r>
    </w:p>
    <w:p>
      <w:pPr>
        <w:pStyle w:val="Style21"/>
        <w:keepNext w:val="0"/>
        <w:keepLines w:val="0"/>
        <w:widowControl w:val="0"/>
        <w:shd w:val="clear" w:color="auto" w:fill="auto"/>
        <w:bidi w:val="0"/>
        <w:spacing w:before="0" w:after="180" w:line="475" w:lineRule="exact"/>
        <w:ind w:left="0" w:right="0" w:firstLine="0"/>
        <w:jc w:val="left"/>
      </w:pPr>
      <w:r>
        <w:rPr>
          <w:color w:val="000000"/>
          <w:spacing w:val="0"/>
          <w:w w:val="100"/>
          <w:position w:val="0"/>
          <w:sz w:val="18"/>
          <w:szCs w:val="18"/>
        </w:rPr>
        <w:t>2016</w:t>
      </w:r>
      <w:r>
        <w:rPr>
          <w:color w:val="000000"/>
          <w:spacing w:val="0"/>
          <w:w w:val="100"/>
          <w:position w:val="0"/>
        </w:rPr>
        <w:t>年主要经营指标完成情况如下：</w:t>
      </w:r>
    </w:p>
    <w:p>
      <w:pPr>
        <w:pStyle w:val="Style29"/>
        <w:keepNext w:val="0"/>
        <w:keepLines w:val="0"/>
        <w:widowControl w:val="0"/>
        <w:shd w:val="clear" w:color="auto" w:fill="auto"/>
        <w:bidi w:val="0"/>
        <w:spacing w:before="0" w:after="0" w:line="240" w:lineRule="auto"/>
        <w:ind w:left="6854" w:right="0" w:firstLine="0"/>
        <w:jc w:val="left"/>
      </w:pPr>
      <w:r>
        <w:rPr>
          <w:color w:val="000000"/>
          <w:spacing w:val="0"/>
          <w:w w:val="100"/>
          <w:position w:val="0"/>
        </w:rPr>
        <w:t>单位：万元</w:t>
      </w:r>
    </w:p>
    <w:tbl>
      <w:tblPr>
        <w:tblOverlap w:val="never"/>
        <w:jc w:val="center"/>
        <w:tblLayout w:type="fixed"/>
      </w:tblPr>
      <w:tblGrid>
        <w:gridCol w:w="2990"/>
        <w:gridCol w:w="1632"/>
        <w:gridCol w:w="1464"/>
        <w:gridCol w:w="1066"/>
        <w:gridCol w:w="1392"/>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年度实际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2015</w:t>
            </w:r>
            <w:r>
              <w:rPr>
                <w:rFonts w:ascii="SimSun" w:eastAsia="SimSun" w:hAnsi="SimSun" w:cs="SimSun"/>
                <w:color w:val="000000"/>
                <w:spacing w:val="0"/>
                <w:w w:val="100"/>
                <w:position w:val="0"/>
                <w:sz w:val="17"/>
                <w:szCs w:val="17"/>
              </w:rPr>
              <w:t>年度实际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增长额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320"/>
              <w:jc w:val="left"/>
              <w:rPr>
                <w:sz w:val="17"/>
                <w:szCs w:val="17"/>
              </w:rPr>
            </w:pPr>
            <w:r>
              <w:rPr>
                <w:rFonts w:ascii="SimSun" w:eastAsia="SimSun" w:hAnsi="SimSun" w:cs="SimSun"/>
                <w:color w:val="000000"/>
                <w:spacing w:val="0"/>
                <w:w w:val="100"/>
                <w:position w:val="0"/>
                <w:sz w:val="17"/>
                <w:szCs w:val="17"/>
              </w:rPr>
              <w:t>较</w:t>
            </w:r>
            <w:r>
              <w:rPr>
                <w:rFonts w:ascii="SimSun" w:eastAsia="SimSun" w:hAnsi="SimSun" w:cs="SimSun"/>
                <w:color w:val="000000"/>
                <w:spacing w:val="0"/>
                <w:w w:val="100"/>
                <w:position w:val="0"/>
                <w:sz w:val="18"/>
                <w:szCs w:val="18"/>
              </w:rPr>
              <w:t>2015</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增长</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22.52%</w:t>
            </w:r>
          </w:p>
        </w:tc>
      </w:tr>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其中：主营业务收入-外销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主营业务收入-内销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53.56%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60.44%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 性损益后的净利润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81.38%</w:t>
            </w:r>
          </w:p>
        </w:tc>
      </w:tr>
      <w:tr>
        <w:trPr>
          <w:trHeight w:val="5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经营活动产生的现金净流量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w:t>
            </w:r>
          </w:p>
        </w:tc>
      </w:tr>
    </w:tbl>
    <w:p>
      <w:pPr>
        <w:pStyle w:val="Style21"/>
        <w:keepNext w:val="0"/>
        <w:keepLines w:val="0"/>
        <w:widowControl w:val="0"/>
        <w:shd w:val="clear" w:color="auto" w:fill="auto"/>
        <w:bidi w:val="0"/>
        <w:spacing w:before="0" w:after="0" w:line="469" w:lineRule="exact"/>
        <w:ind w:left="0" w:right="0" w:firstLine="0"/>
        <w:jc w:val="left"/>
      </w:pPr>
      <w:r>
        <w:rPr>
          <w:b/>
          <w:bCs/>
          <w:color w:val="000000"/>
          <w:spacing w:val="0"/>
          <w:w w:val="100"/>
          <w:position w:val="0"/>
        </w:rPr>
        <w:t>2016年主要经营情况回顾：</w:t>
      </w:r>
    </w:p>
    <w:p>
      <w:pPr>
        <w:pStyle w:val="Style21"/>
        <w:keepNext w:val="0"/>
        <w:keepLines w:val="0"/>
        <w:widowControl w:val="0"/>
        <w:shd w:val="clear" w:color="auto" w:fill="auto"/>
        <w:bidi w:val="0"/>
        <w:spacing w:before="0" w:after="0" w:line="469" w:lineRule="exact"/>
        <w:ind w:left="0" w:right="0" w:firstLine="0"/>
        <w:jc w:val="left"/>
      </w:pPr>
      <w:bookmarkStart w:id="88" w:name="bookmark88"/>
      <w:r>
        <w:rPr>
          <w:b/>
          <w:bCs/>
          <w:color w:val="000000"/>
          <w:spacing w:val="0"/>
          <w:w w:val="100"/>
          <w:position w:val="0"/>
        </w:rPr>
        <w:t>1</w:t>
      </w:r>
      <w:bookmarkEnd w:id="88"/>
      <w:r>
        <w:rPr>
          <w:b/>
          <w:bCs/>
          <w:color w:val="000000"/>
          <w:spacing w:val="0"/>
          <w:w w:val="100"/>
          <w:position w:val="0"/>
        </w:rPr>
        <w:t>、营业收入保持快速增长，营收结构持续优化</w:t>
      </w:r>
    </w:p>
    <w:p>
      <w:pPr>
        <w:pStyle w:val="Style21"/>
        <w:keepNext w:val="0"/>
        <w:keepLines w:val="0"/>
        <w:widowControl w:val="0"/>
        <w:shd w:val="clear" w:color="auto" w:fill="auto"/>
        <w:bidi w:val="0"/>
        <w:spacing w:before="0" w:after="0" w:line="469" w:lineRule="exact"/>
        <w:ind w:left="0" w:right="0"/>
        <w:jc w:val="both"/>
      </w:pPr>
      <w:r>
        <w:rPr>
          <w:color w:val="000000"/>
          <w:spacing w:val="0"/>
          <w:w w:val="100"/>
          <w:position w:val="0"/>
        </w:rPr>
        <w:t>报告期，公司实现营业总收入</w:t>
      </w:r>
      <w:r>
        <w:rPr>
          <w:color w:val="000000"/>
          <w:spacing w:val="0"/>
          <w:w w:val="100"/>
          <w:position w:val="0"/>
          <w:sz w:val="18"/>
          <w:szCs w:val="18"/>
        </w:rPr>
        <w:t>77,064</w:t>
      </w:r>
      <w:r>
        <w:rPr>
          <w:color w:val="000000"/>
          <w:spacing w:val="0"/>
          <w:w w:val="100"/>
          <w:position w:val="0"/>
        </w:rPr>
        <w:t>万元，比</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14,163</w:t>
      </w:r>
      <w:r>
        <w:rPr>
          <w:color w:val="000000"/>
          <w:spacing w:val="0"/>
          <w:w w:val="100"/>
          <w:position w:val="0"/>
        </w:rPr>
        <w:t>万元，增长率</w:t>
      </w:r>
      <w:r>
        <w:rPr>
          <w:color w:val="000000"/>
          <w:spacing w:val="0"/>
          <w:w w:val="100"/>
          <w:position w:val="0"/>
          <w:sz w:val="18"/>
          <w:szCs w:val="18"/>
        </w:rPr>
        <w:t>22.52%</w:t>
      </w:r>
      <w:r>
        <w:rPr>
          <w:color w:val="000000"/>
          <w:spacing w:val="0"/>
          <w:w w:val="100"/>
          <w:position w:val="0"/>
        </w:rPr>
        <w:t>。其中以</w:t>
      </w:r>
      <w:r>
        <w:rPr>
          <w:color w:val="000000"/>
          <w:spacing w:val="0"/>
          <w:w w:val="100"/>
          <w:position w:val="0"/>
          <w:sz w:val="18"/>
          <w:szCs w:val="18"/>
        </w:rPr>
        <w:t>ODM</w:t>
      </w:r>
      <w:r>
        <w:rPr>
          <w:color w:val="000000"/>
          <w:spacing w:val="0"/>
          <w:w w:val="100"/>
          <w:position w:val="0"/>
        </w:rPr>
        <w:t>为主的海外业务实现 营业收入</w:t>
      </w:r>
      <w:r>
        <w:rPr>
          <w:color w:val="000000"/>
          <w:spacing w:val="0"/>
          <w:w w:val="100"/>
          <w:position w:val="0"/>
          <w:sz w:val="18"/>
          <w:szCs w:val="18"/>
        </w:rPr>
        <w:t>44,492</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2,841</w:t>
      </w:r>
      <w:r>
        <w:rPr>
          <w:color w:val="000000"/>
          <w:spacing w:val="0"/>
          <w:w w:val="100"/>
          <w:position w:val="0"/>
        </w:rPr>
        <w:t>万元，增长率</w:t>
      </w:r>
      <w:r>
        <w:rPr>
          <w:color w:val="000000"/>
          <w:spacing w:val="0"/>
          <w:w w:val="100"/>
          <w:position w:val="0"/>
          <w:sz w:val="18"/>
          <w:szCs w:val="18"/>
        </w:rPr>
        <w:t>6.82%；</w:t>
      </w:r>
      <w:r>
        <w:rPr>
          <w:color w:val="000000"/>
          <w:spacing w:val="0"/>
          <w:w w:val="100"/>
          <w:position w:val="0"/>
        </w:rPr>
        <w:t>以自有品牌为主的国内业务实现营业收入</w:t>
      </w:r>
      <w:r>
        <w:rPr>
          <w:color w:val="000000"/>
          <w:spacing w:val="0"/>
          <w:w w:val="100"/>
          <w:position w:val="0"/>
          <w:sz w:val="18"/>
          <w:szCs w:val="18"/>
        </w:rPr>
        <w:t>32,552</w:t>
      </w:r>
      <w:r>
        <w:rPr>
          <w:color w:val="000000"/>
          <w:spacing w:val="0"/>
          <w:w w:val="100"/>
          <w:position w:val="0"/>
        </w:rPr>
        <w:t>万元，较</w:t>
      </w:r>
      <w:r>
        <w:rPr>
          <w:color w:val="000000"/>
          <w:spacing w:val="0"/>
          <w:w w:val="100"/>
          <w:position w:val="0"/>
          <w:sz w:val="18"/>
          <w:szCs w:val="18"/>
        </w:rPr>
        <w:t xml:space="preserve">2015 </w:t>
      </w:r>
      <w:r>
        <w:rPr>
          <w:color w:val="000000"/>
          <w:spacing w:val="0"/>
          <w:w w:val="100"/>
          <w:position w:val="0"/>
        </w:rPr>
        <w:t>年增长</w:t>
      </w:r>
      <w:r>
        <w:rPr>
          <w:color w:val="000000"/>
          <w:spacing w:val="0"/>
          <w:w w:val="100"/>
          <w:position w:val="0"/>
          <w:sz w:val="18"/>
          <w:szCs w:val="18"/>
        </w:rPr>
        <w:t>11,354</w:t>
      </w:r>
      <w:r>
        <w:rPr>
          <w:color w:val="000000"/>
          <w:spacing w:val="0"/>
          <w:w w:val="100"/>
          <w:position w:val="0"/>
        </w:rPr>
        <w:t>万元，增长率</w:t>
      </w:r>
      <w:r>
        <w:rPr>
          <w:color w:val="000000"/>
          <w:spacing w:val="0"/>
          <w:w w:val="100"/>
          <w:position w:val="0"/>
          <w:sz w:val="18"/>
          <w:szCs w:val="18"/>
        </w:rPr>
        <w:t>53.56%</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jc w:val="both"/>
      </w:pPr>
      <w:r>
        <w:rPr>
          <w:color w:val="000000"/>
          <w:spacing w:val="0"/>
          <w:w w:val="100"/>
          <w:position w:val="0"/>
        </w:rPr>
        <w:t>业务结构方面，国内业务占比从</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33.7%</w:t>
      </w:r>
      <w:r>
        <w:rPr>
          <w:color w:val="000000"/>
          <w:spacing w:val="0"/>
          <w:w w:val="100"/>
          <w:position w:val="0"/>
        </w:rPr>
        <w:t>提高至</w:t>
      </w:r>
      <w:r>
        <w:rPr>
          <w:color w:val="000000"/>
          <w:spacing w:val="0"/>
          <w:w w:val="100"/>
          <w:position w:val="0"/>
          <w:sz w:val="18"/>
          <w:szCs w:val="18"/>
        </w:rPr>
        <w:t>2016</w:t>
      </w:r>
      <w:r>
        <w:rPr>
          <w:color w:val="000000"/>
          <w:spacing w:val="0"/>
          <w:w w:val="100"/>
          <w:position w:val="0"/>
        </w:rPr>
        <w:t>年的</w:t>
      </w:r>
      <w:r>
        <w:rPr>
          <w:color w:val="000000"/>
          <w:spacing w:val="0"/>
          <w:w w:val="100"/>
          <w:position w:val="0"/>
          <w:sz w:val="18"/>
          <w:szCs w:val="18"/>
        </w:rPr>
        <w:t>42.24%</w:t>
      </w:r>
      <w:r>
        <w:rPr>
          <w:color w:val="000000"/>
          <w:spacing w:val="0"/>
          <w:w w:val="100"/>
          <w:position w:val="0"/>
        </w:rPr>
        <w:t>，标志着公司持续多年的自有品牌战略取得阶段 性成果。</w:t>
      </w:r>
    </w:p>
    <w:p>
      <w:pPr>
        <w:pStyle w:val="Style21"/>
        <w:keepNext w:val="0"/>
        <w:keepLines w:val="0"/>
        <w:widowControl w:val="0"/>
        <w:shd w:val="clear" w:color="auto" w:fill="auto"/>
        <w:bidi w:val="0"/>
        <w:spacing w:before="0" w:after="180" w:line="469" w:lineRule="exact"/>
        <w:ind w:left="0" w:right="0"/>
        <w:jc w:val="both"/>
        <w:sectPr>
          <w:footnotePr>
            <w:pos w:val="pageBottom"/>
            <w:numFmt w:val="decimal"/>
            <w:numRestart w:val="continuous"/>
          </w:footnotePr>
          <w:pgSz w:w="11900" w:h="16840"/>
          <w:pgMar w:top="1969" w:right="1023" w:bottom="1628" w:left="1109" w:header="0" w:footer="3" w:gutter="0"/>
          <w:cols w:space="720"/>
          <w:noEndnote/>
          <w:rtlGutter w:val="0"/>
          <w:docGrid w:linePitch="360"/>
        </w:sectPr>
      </w:pPr>
      <w:r>
        <w:rPr>
          <w:color w:val="000000"/>
          <w:spacing w:val="0"/>
          <w:w w:val="100"/>
          <w:position w:val="0"/>
        </w:rPr>
        <w:t>产品结构方面，可穿戴运动手环实现销量</w:t>
      </w:r>
      <w:r>
        <w:rPr>
          <w:color w:val="000000"/>
          <w:spacing w:val="0"/>
          <w:w w:val="100"/>
          <w:position w:val="0"/>
          <w:sz w:val="18"/>
          <w:szCs w:val="18"/>
        </w:rPr>
        <w:t>318.2</w:t>
      </w:r>
      <w:r>
        <w:rPr>
          <w:color w:val="000000"/>
          <w:spacing w:val="0"/>
          <w:w w:val="100"/>
          <w:position w:val="0"/>
        </w:rPr>
        <w:t>万台，销售收入</w:t>
      </w:r>
      <w:r>
        <w:rPr>
          <w:color w:val="000000"/>
          <w:spacing w:val="0"/>
          <w:w w:val="100"/>
          <w:position w:val="0"/>
          <w:sz w:val="18"/>
          <w:szCs w:val="18"/>
        </w:rPr>
        <w:t>2.57</w:t>
      </w:r>
      <w:r>
        <w:rPr>
          <w:color w:val="000000"/>
          <w:spacing w:val="0"/>
          <w:w w:val="100"/>
          <w:position w:val="0"/>
        </w:rPr>
        <w:t>亿元，占公司营业收入的</w:t>
      </w:r>
      <w:r>
        <w:rPr>
          <w:color w:val="000000"/>
          <w:spacing w:val="0"/>
          <w:w w:val="100"/>
          <w:position w:val="0"/>
          <w:sz w:val="18"/>
          <w:szCs w:val="18"/>
        </w:rPr>
        <w:t>33.34%</w:t>
      </w:r>
      <w:r>
        <w:rPr>
          <w:color w:val="000000"/>
          <w:spacing w:val="0"/>
          <w:w w:val="100"/>
          <w:position w:val="0"/>
        </w:rPr>
        <w:t>，已成为公司单一 最大品类。可穿戴运动手环营业收入的产品结构趋于优化，高附加值产品的占比增加，其销售数量和金额，分别较</w:t>
      </w:r>
      <w:r>
        <w:rPr>
          <w:color w:val="000000"/>
          <w:spacing w:val="0"/>
          <w:w w:val="100"/>
          <w:position w:val="0"/>
          <w:sz w:val="18"/>
          <w:szCs w:val="18"/>
        </w:rPr>
        <w:t>2015</w:t>
      </w:r>
      <w:r>
        <w:rPr>
          <w:color w:val="000000"/>
          <w:spacing w:val="0"/>
          <w:w w:val="100"/>
          <w:position w:val="0"/>
        </w:rPr>
        <w:t>年增 长</w:t>
      </w:r>
      <w:r>
        <w:rPr>
          <w:color w:val="000000"/>
          <w:spacing w:val="0"/>
          <w:w w:val="100"/>
          <w:position w:val="0"/>
          <w:sz w:val="18"/>
          <w:szCs w:val="18"/>
        </w:rPr>
        <w:t>66%</w:t>
      </w:r>
      <w:r>
        <w:rPr>
          <w:color w:val="000000"/>
          <w:spacing w:val="0"/>
          <w:w w:val="100"/>
          <w:position w:val="0"/>
        </w:rPr>
        <w:t>、</w:t>
      </w:r>
      <w:r>
        <w:rPr>
          <w:color w:val="000000"/>
          <w:spacing w:val="0"/>
          <w:w w:val="100"/>
          <w:position w:val="0"/>
          <w:sz w:val="18"/>
          <w:szCs w:val="18"/>
        </w:rPr>
        <w:t>103.36%</w:t>
      </w:r>
      <w:r>
        <w:rPr>
          <w:color w:val="000000"/>
          <w:spacing w:val="0"/>
          <w:w w:val="100"/>
          <w:position w:val="0"/>
        </w:rPr>
        <w:t>，毛利率达到</w:t>
      </w:r>
      <w:r>
        <w:rPr>
          <w:color w:val="000000"/>
          <w:spacing w:val="0"/>
          <w:w w:val="100"/>
          <w:position w:val="0"/>
          <w:sz w:val="18"/>
          <w:szCs w:val="18"/>
        </w:rPr>
        <w:t>39.15%</w:t>
      </w:r>
      <w:r>
        <w:rPr>
          <w:color w:val="000000"/>
          <w:spacing w:val="0"/>
          <w:w w:val="100"/>
          <w:position w:val="0"/>
        </w:rPr>
        <w:t>，较</w:t>
      </w:r>
      <w:r>
        <w:rPr>
          <w:color w:val="000000"/>
          <w:spacing w:val="0"/>
          <w:w w:val="100"/>
          <w:position w:val="0"/>
          <w:sz w:val="18"/>
          <w:szCs w:val="18"/>
        </w:rPr>
        <w:t>2015</w:t>
      </w:r>
      <w:r>
        <w:rPr>
          <w:color w:val="000000"/>
          <w:spacing w:val="0"/>
          <w:w w:val="100"/>
          <w:position w:val="0"/>
        </w:rPr>
        <w:t>年增长</w:t>
      </w:r>
      <w:r>
        <w:rPr>
          <w:color w:val="000000"/>
          <w:spacing w:val="0"/>
          <w:w w:val="100"/>
          <w:position w:val="0"/>
          <w:sz w:val="18"/>
          <w:szCs w:val="18"/>
        </w:rPr>
        <w:t>10.20</w:t>
      </w:r>
      <w:r>
        <w:rPr>
          <w:color w:val="000000"/>
          <w:spacing w:val="0"/>
          <w:w w:val="100"/>
          <w:position w:val="0"/>
        </w:rPr>
        <w:t>个百分点。</w:t>
      </w:r>
    </w:p>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SimHei" w:eastAsia="SimHei" w:hAnsi="SimHei" w:cs="SimHei"/>
          <w:color w:val="897684"/>
          <w:spacing w:val="0"/>
          <w:w w:val="100"/>
          <w:position w:val="0"/>
          <w:sz w:val="22"/>
          <w:szCs w:val="22"/>
        </w:rPr>
        <w:t>材中乐心医疗</w:t>
      </w:r>
    </w:p>
    <w:p>
      <w:pPr>
        <w:pStyle w:val="Style21"/>
        <w:keepNext w:val="0"/>
        <w:keepLines w:val="0"/>
        <w:widowControl w:val="0"/>
        <w:shd w:val="clear" w:color="auto" w:fill="auto"/>
        <w:bidi w:val="0"/>
        <w:spacing w:before="0" w:after="0" w:line="485" w:lineRule="exact"/>
        <w:ind w:left="0" w:right="0" w:firstLine="380"/>
        <w:jc w:val="both"/>
      </w:pPr>
      <w:r>
        <w:rPr>
          <w:color w:val="000000"/>
          <w:spacing w:val="0"/>
          <w:w w:val="100"/>
          <w:position w:val="0"/>
        </w:rPr>
        <w:t>公司外销业务毛利率提升</w:t>
      </w:r>
      <w:r>
        <w:rPr>
          <w:color w:val="000000"/>
          <w:spacing w:val="0"/>
          <w:w w:val="100"/>
          <w:position w:val="0"/>
          <w:sz w:val="18"/>
          <w:szCs w:val="18"/>
        </w:rPr>
        <w:t>4.18</w:t>
      </w:r>
      <w:r>
        <w:rPr>
          <w:color w:val="000000"/>
          <w:spacing w:val="0"/>
          <w:w w:val="100"/>
          <w:position w:val="0"/>
        </w:rPr>
        <w:t>个百分点，内销业务毛利率提升</w:t>
      </w:r>
      <w:r>
        <w:rPr>
          <w:color w:val="000000"/>
          <w:spacing w:val="0"/>
          <w:w w:val="100"/>
          <w:position w:val="0"/>
          <w:sz w:val="18"/>
          <w:szCs w:val="18"/>
        </w:rPr>
        <w:t>8.99</w:t>
      </w:r>
      <w:r>
        <w:rPr>
          <w:color w:val="000000"/>
          <w:spacing w:val="0"/>
          <w:w w:val="100"/>
          <w:position w:val="0"/>
        </w:rPr>
        <w:t>个百分点，充分说明公司确定的清晰定义高中低档产 品，完善产品组合的策略目标初步达成。</w:t>
      </w:r>
    </w:p>
    <w:p>
      <w:pPr>
        <w:pStyle w:val="Style21"/>
        <w:keepNext w:val="0"/>
        <w:keepLines w:val="0"/>
        <w:widowControl w:val="0"/>
        <w:shd w:val="clear" w:color="auto" w:fill="auto"/>
        <w:tabs>
          <w:tab w:pos="312" w:val="left"/>
        </w:tabs>
        <w:bidi w:val="0"/>
        <w:spacing w:before="0" w:after="0" w:line="473" w:lineRule="exact"/>
        <w:ind w:left="0" w:right="0" w:firstLine="0"/>
        <w:jc w:val="left"/>
      </w:pPr>
      <w:bookmarkStart w:id="89" w:name="bookmark89"/>
      <w:r>
        <w:rPr>
          <w:b/>
          <w:bCs/>
          <w:color w:val="000000"/>
          <w:spacing w:val="0"/>
          <w:w w:val="100"/>
          <w:position w:val="0"/>
        </w:rPr>
        <w:t>2</w:t>
      </w:r>
      <w:bookmarkEnd w:id="89"/>
      <w:r>
        <w:rPr>
          <w:b/>
          <w:bCs/>
          <w:color w:val="000000"/>
          <w:spacing w:val="0"/>
          <w:w w:val="100"/>
          <w:position w:val="0"/>
        </w:rPr>
        <w:t>、</w:t>
        <w:tab/>
        <w:t>公司净利润大幅增长</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sz w:val="18"/>
          <w:szCs w:val="18"/>
        </w:rPr>
        <w:t>2016</w:t>
      </w:r>
      <w:r>
        <w:rPr>
          <w:color w:val="000000"/>
          <w:spacing w:val="0"/>
          <w:w w:val="100"/>
          <w:position w:val="0"/>
        </w:rPr>
        <w:t>年公司净利润</w:t>
      </w:r>
      <w:r>
        <w:rPr>
          <w:color w:val="000000"/>
          <w:spacing w:val="0"/>
          <w:w w:val="100"/>
          <w:position w:val="0"/>
          <w:sz w:val="18"/>
          <w:szCs w:val="18"/>
        </w:rPr>
        <w:t>8,052</w:t>
      </w:r>
      <w:r>
        <w:rPr>
          <w:color w:val="000000"/>
          <w:spacing w:val="0"/>
          <w:w w:val="100"/>
          <w:position w:val="0"/>
        </w:rPr>
        <w:t>万元，较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5,019</w:t>
      </w:r>
      <w:r>
        <w:rPr>
          <w:color w:val="000000"/>
          <w:spacing w:val="0"/>
          <w:w w:val="100"/>
          <w:position w:val="0"/>
        </w:rPr>
        <w:t>万元增长</w:t>
      </w:r>
      <w:r>
        <w:rPr>
          <w:color w:val="000000"/>
          <w:spacing w:val="0"/>
          <w:w w:val="100"/>
          <w:position w:val="0"/>
          <w:sz w:val="18"/>
          <w:szCs w:val="18"/>
        </w:rPr>
        <w:t>3,033</w:t>
      </w:r>
      <w:r>
        <w:rPr>
          <w:color w:val="000000"/>
          <w:spacing w:val="0"/>
          <w:w w:val="100"/>
          <w:position w:val="0"/>
        </w:rPr>
        <w:t>万元，增长率</w:t>
      </w:r>
      <w:r>
        <w:rPr>
          <w:color w:val="000000"/>
          <w:spacing w:val="0"/>
          <w:w w:val="100"/>
          <w:position w:val="0"/>
          <w:sz w:val="18"/>
          <w:szCs w:val="18"/>
        </w:rPr>
        <w:t>60.44%</w:t>
      </w:r>
      <w:r>
        <w:rPr>
          <w:color w:val="000000"/>
          <w:spacing w:val="0"/>
          <w:w w:val="100"/>
          <w:position w:val="0"/>
        </w:rPr>
        <w:t>。公司净利润大幅增长的主要原因是：</w:t>
      </w:r>
    </w:p>
    <w:p>
      <w:pPr>
        <w:pStyle w:val="Style21"/>
        <w:keepNext w:val="0"/>
        <w:keepLines w:val="0"/>
        <w:widowControl w:val="0"/>
        <w:shd w:val="clear" w:color="auto" w:fill="auto"/>
        <w:bidi w:val="0"/>
        <w:spacing w:before="0" w:after="0" w:line="473" w:lineRule="exact"/>
        <w:ind w:left="0" w:right="0" w:firstLine="0"/>
        <w:jc w:val="both"/>
      </w:pPr>
      <w:r>
        <w:rPr>
          <w:color w:val="000000"/>
          <w:spacing w:val="0"/>
          <w:w w:val="100"/>
          <w:position w:val="0"/>
          <w:sz w:val="18"/>
          <w:szCs w:val="18"/>
        </w:rPr>
        <w:t>1）</w:t>
      </w:r>
      <w:r>
        <w:rPr>
          <w:color w:val="000000"/>
          <w:spacing w:val="0"/>
          <w:w w:val="100"/>
          <w:position w:val="0"/>
        </w:rPr>
        <w:t>营业收入特别是国内自有品牌业务营收和毛利率增长带来的利润增长；</w:t>
      </w:r>
      <w:r>
        <w:rPr>
          <w:color w:val="000000"/>
          <w:spacing w:val="0"/>
          <w:w w:val="100"/>
          <w:position w:val="0"/>
          <w:sz w:val="18"/>
          <w:szCs w:val="18"/>
        </w:rPr>
        <w:t>2）</w:t>
      </w:r>
      <w:r>
        <w:rPr>
          <w:color w:val="000000"/>
          <w:spacing w:val="0"/>
          <w:w w:val="100"/>
          <w:position w:val="0"/>
        </w:rPr>
        <w:t>国内自有品牌业务，特别是高附加值可穿戴运 动手环产品占比提升导致毛利率提升；</w:t>
      </w:r>
      <w:r>
        <w:rPr>
          <w:color w:val="000000"/>
          <w:spacing w:val="0"/>
          <w:w w:val="100"/>
          <w:position w:val="0"/>
          <w:sz w:val="18"/>
          <w:szCs w:val="18"/>
        </w:rPr>
        <w:t>3）</w:t>
      </w:r>
      <w:r>
        <w:rPr>
          <w:color w:val="000000"/>
          <w:spacing w:val="0"/>
          <w:w w:val="100"/>
          <w:position w:val="0"/>
        </w:rPr>
        <w:t>产品销量提升特别是单款爆品销量提升，带来的采购和生产规模效益；</w:t>
      </w:r>
      <w:r>
        <w:rPr>
          <w:color w:val="000000"/>
          <w:spacing w:val="0"/>
          <w:w w:val="100"/>
          <w:position w:val="0"/>
          <w:sz w:val="18"/>
          <w:szCs w:val="18"/>
        </w:rPr>
        <w:t>4）</w:t>
      </w:r>
      <w:r>
        <w:rPr>
          <w:color w:val="000000"/>
          <w:spacing w:val="0"/>
          <w:w w:val="100"/>
          <w:position w:val="0"/>
        </w:rPr>
        <w:t>智能产 品用户运营和推广带来的国内业务销售推广费用比率的降低；</w:t>
      </w:r>
      <w:r>
        <w:rPr>
          <w:color w:val="000000"/>
          <w:spacing w:val="0"/>
          <w:w w:val="100"/>
          <w:position w:val="0"/>
          <w:sz w:val="18"/>
          <w:szCs w:val="18"/>
        </w:rPr>
        <w:t>5）</w:t>
      </w:r>
      <w:r>
        <w:rPr>
          <w:color w:val="000000"/>
          <w:spacing w:val="0"/>
          <w:w w:val="100"/>
          <w:position w:val="0"/>
        </w:rPr>
        <w:t>人民币汇率贬值和与高端客户业务合作的加深带来外销业 务盈利能力提升。</w:t>
      </w:r>
    </w:p>
    <w:p>
      <w:pPr>
        <w:pStyle w:val="Style21"/>
        <w:keepNext w:val="0"/>
        <w:keepLines w:val="0"/>
        <w:widowControl w:val="0"/>
        <w:shd w:val="clear" w:color="auto" w:fill="auto"/>
        <w:tabs>
          <w:tab w:pos="312" w:val="left"/>
        </w:tabs>
        <w:bidi w:val="0"/>
        <w:spacing w:before="0" w:after="0" w:line="473" w:lineRule="exact"/>
        <w:ind w:left="0" w:right="0" w:firstLine="0"/>
        <w:jc w:val="both"/>
      </w:pPr>
      <w:bookmarkStart w:id="90" w:name="bookmark90"/>
      <w:r>
        <w:rPr>
          <w:b/>
          <w:bCs/>
          <w:color w:val="000000"/>
          <w:spacing w:val="0"/>
          <w:w w:val="100"/>
          <w:position w:val="0"/>
        </w:rPr>
        <w:t>3</w:t>
      </w:r>
      <w:bookmarkEnd w:id="90"/>
      <w:r>
        <w:rPr>
          <w:b/>
          <w:bCs/>
          <w:color w:val="000000"/>
          <w:spacing w:val="0"/>
          <w:w w:val="100"/>
          <w:position w:val="0"/>
        </w:rPr>
        <w:t>、</w:t>
        <w:tab/>
        <w:t>积极进行渠道建设和市场推广，推动业绩增长</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sz w:val="18"/>
          <w:szCs w:val="18"/>
        </w:rPr>
        <w:t>2016</w:t>
      </w:r>
      <w:r>
        <w:rPr>
          <w:color w:val="000000"/>
          <w:spacing w:val="0"/>
          <w:w w:val="100"/>
          <w:position w:val="0"/>
        </w:rPr>
        <w:t>年公司首次参加国际消费电子产品展（</w:t>
      </w:r>
      <w:r>
        <w:rPr>
          <w:color w:val="000000"/>
          <w:spacing w:val="0"/>
          <w:w w:val="100"/>
          <w:position w:val="0"/>
          <w:sz w:val="18"/>
          <w:szCs w:val="18"/>
        </w:rPr>
        <w:t>CES）</w:t>
      </w:r>
      <w:r>
        <w:rPr>
          <w:color w:val="000000"/>
          <w:spacing w:val="0"/>
          <w:w w:val="100"/>
          <w:position w:val="0"/>
        </w:rPr>
        <w:t>，首次召开面向媒体、乐心粉丝和经销商的新品品鉴会，首次并于年 度内召开了两次大规模经销商会议，加大推广力度，取得了较好市场反响，品牌力得以提升。</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公司积极进行营销渠道建设，特别加强线下经销商渠道建设，集中于</w:t>
      </w:r>
      <w:r>
        <w:rPr>
          <w:color w:val="000000"/>
          <w:spacing w:val="0"/>
          <w:w w:val="100"/>
          <w:position w:val="0"/>
          <w:sz w:val="18"/>
          <w:szCs w:val="18"/>
        </w:rPr>
        <w:t>3C</w:t>
      </w:r>
      <w:r>
        <w:rPr>
          <w:color w:val="000000"/>
          <w:spacing w:val="0"/>
          <w:w w:val="100"/>
          <w:position w:val="0"/>
        </w:rPr>
        <w:t>数码店、移动运营商终端等终端门店，加大产品 曝光力度和覆盖范围，夯实渠道基础。线上，公司对天猫、京东的运营积累了丰富有效的实战经验。</w:t>
      </w:r>
    </w:p>
    <w:p>
      <w:pPr>
        <w:pStyle w:val="Style21"/>
        <w:keepNext w:val="0"/>
        <w:keepLines w:val="0"/>
        <w:widowControl w:val="0"/>
        <w:shd w:val="clear" w:color="auto" w:fill="auto"/>
        <w:tabs>
          <w:tab w:pos="317" w:val="left"/>
        </w:tabs>
        <w:bidi w:val="0"/>
        <w:spacing w:before="0" w:after="0" w:line="473" w:lineRule="exact"/>
        <w:ind w:left="0" w:right="0" w:firstLine="0"/>
        <w:jc w:val="left"/>
      </w:pPr>
      <w:bookmarkStart w:id="91" w:name="bookmark91"/>
      <w:r>
        <w:rPr>
          <w:b/>
          <w:bCs/>
          <w:color w:val="000000"/>
          <w:spacing w:val="0"/>
          <w:w w:val="100"/>
          <w:position w:val="0"/>
        </w:rPr>
        <w:t>4</w:t>
      </w:r>
      <w:bookmarkEnd w:id="91"/>
      <w:r>
        <w:rPr>
          <w:b/>
          <w:bCs/>
          <w:color w:val="000000"/>
          <w:spacing w:val="0"/>
          <w:w w:val="100"/>
          <w:position w:val="0"/>
        </w:rPr>
        <w:t>、</w:t>
        <w:tab/>
        <w:t>注重研发投入，软硬件研发能力和产出明显提升</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公司研发团队进一步健全，涵盖工业设计，软硬件产品，基础研究和算法，云端和</w:t>
      </w:r>
      <w:r>
        <w:rPr>
          <w:color w:val="000000"/>
          <w:spacing w:val="0"/>
          <w:w w:val="100"/>
          <w:position w:val="0"/>
          <w:sz w:val="18"/>
          <w:szCs w:val="18"/>
        </w:rPr>
        <w:t>APP，</w:t>
      </w:r>
      <w:r>
        <w:rPr>
          <w:color w:val="000000"/>
          <w:spacing w:val="0"/>
          <w:w w:val="100"/>
          <w:position w:val="0"/>
        </w:rPr>
        <w:t>工程和认证等多个领域。研发 人员素质提高，产品、硬件、软件的协同能力大幅提升。截止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日，公司有各类研发人员总计</w:t>
      </w:r>
      <w:r>
        <w:rPr>
          <w:color w:val="000000"/>
          <w:spacing w:val="0"/>
          <w:w w:val="100"/>
          <w:position w:val="0"/>
          <w:sz w:val="18"/>
          <w:szCs w:val="18"/>
        </w:rPr>
        <w:t>330</w:t>
      </w:r>
      <w:r>
        <w:rPr>
          <w:color w:val="000000"/>
          <w:spacing w:val="0"/>
          <w:w w:val="100"/>
          <w:position w:val="0"/>
        </w:rPr>
        <w:t>余人。公司从 腾讯、阿里、网易等知名互联网公司大力引进优秀软件研发技术人才，从海外引入优秀算法人才，公司软硬件研发基础能力 得以全面加强。</w:t>
      </w:r>
    </w:p>
    <w:p>
      <w:pPr>
        <w:pStyle w:val="Style21"/>
        <w:keepNext w:val="0"/>
        <w:keepLines w:val="0"/>
        <w:widowControl w:val="0"/>
        <w:shd w:val="clear" w:color="auto" w:fill="auto"/>
        <w:bidi w:val="0"/>
        <w:spacing w:before="0" w:after="0" w:line="478" w:lineRule="exact"/>
        <w:ind w:left="0" w:right="0" w:firstLine="380"/>
        <w:jc w:val="both"/>
      </w:pPr>
      <w:r>
        <w:rPr>
          <w:color w:val="000000"/>
          <w:spacing w:val="0"/>
          <w:w w:val="100"/>
          <w:position w:val="0"/>
          <w:sz w:val="18"/>
          <w:szCs w:val="18"/>
        </w:rPr>
        <w:t>2016</w:t>
      </w:r>
      <w:r>
        <w:rPr>
          <w:color w:val="000000"/>
          <w:spacing w:val="0"/>
          <w:w w:val="100"/>
          <w:position w:val="0"/>
        </w:rPr>
        <w:t xml:space="preserve">年初，公司专门在广州搭建了 </w:t>
      </w:r>
      <w:r>
        <w:rPr>
          <w:color w:val="000000"/>
          <w:spacing w:val="0"/>
          <w:w w:val="100"/>
          <w:position w:val="0"/>
          <w:sz w:val="18"/>
          <w:szCs w:val="18"/>
        </w:rPr>
        <w:t>2,300</w:t>
      </w:r>
      <w:r>
        <w:rPr>
          <w:color w:val="000000"/>
          <w:spacing w:val="0"/>
          <w:w w:val="100"/>
          <w:position w:val="0"/>
        </w:rPr>
        <w:t>多平米的办公场地，将原有分散在多处的软件研发团队集中办公，同时全力招 聘优秀研发人员，团队建设成果显著。报告期内，乐心运动</w:t>
      </w:r>
      <w:r>
        <w:rPr>
          <w:color w:val="000000"/>
          <w:spacing w:val="0"/>
          <w:w w:val="100"/>
          <w:position w:val="0"/>
          <w:sz w:val="18"/>
          <w:szCs w:val="18"/>
        </w:rPr>
        <w:t>APP</w:t>
      </w:r>
      <w:r>
        <w:rPr>
          <w:color w:val="000000"/>
          <w:spacing w:val="0"/>
          <w:w w:val="100"/>
          <w:position w:val="0"/>
        </w:rPr>
        <w:t>、</w:t>
      </w:r>
      <w:r>
        <w:rPr>
          <w:color w:val="000000"/>
          <w:spacing w:val="0"/>
          <w:w w:val="100"/>
          <w:position w:val="0"/>
        </w:rPr>
        <w:t>乐心运动微信公众号、乐心健康微信公众号等移动应用实 现了版本的多次有序迭代升级，增加产品功能，提升用户体验。</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年，公司研发费用投入分别为</w:t>
      </w:r>
      <w:r>
        <w:rPr>
          <w:color w:val="000000"/>
          <w:spacing w:val="0"/>
          <w:w w:val="100"/>
          <w:position w:val="0"/>
          <w:sz w:val="18"/>
          <w:szCs w:val="18"/>
        </w:rPr>
        <w:t>1,352</w:t>
      </w:r>
      <w:r>
        <w:rPr>
          <w:color w:val="000000"/>
          <w:spacing w:val="0"/>
          <w:w w:val="100"/>
          <w:position w:val="0"/>
        </w:rPr>
        <w:t>万元、</w:t>
      </w:r>
      <w:r>
        <w:rPr>
          <w:color w:val="000000"/>
          <w:spacing w:val="0"/>
          <w:w w:val="100"/>
          <w:position w:val="0"/>
          <w:sz w:val="18"/>
          <w:szCs w:val="18"/>
        </w:rPr>
        <w:t>2,339</w:t>
      </w:r>
      <w:r>
        <w:rPr>
          <w:color w:val="000000"/>
          <w:spacing w:val="0"/>
          <w:w w:val="100"/>
          <w:position w:val="0"/>
        </w:rPr>
        <w:t>万元、</w:t>
      </w:r>
      <w:r>
        <w:rPr>
          <w:color w:val="000000"/>
          <w:spacing w:val="0"/>
          <w:w w:val="100"/>
          <w:position w:val="0"/>
          <w:sz w:val="18"/>
          <w:szCs w:val="18"/>
        </w:rPr>
        <w:t>3,754</w:t>
      </w:r>
      <w:r>
        <w:rPr>
          <w:color w:val="000000"/>
          <w:spacing w:val="0"/>
          <w:w w:val="100"/>
          <w:position w:val="0"/>
        </w:rPr>
        <w:t>万元、</w:t>
      </w:r>
      <w:r>
        <w:rPr>
          <w:color w:val="000000"/>
          <w:spacing w:val="0"/>
          <w:w w:val="100"/>
          <w:position w:val="0"/>
          <w:sz w:val="18"/>
          <w:szCs w:val="18"/>
        </w:rPr>
        <w:t>5,935</w:t>
      </w:r>
      <w:r>
        <w:rPr>
          <w:color w:val="000000"/>
          <w:spacing w:val="0"/>
          <w:w w:val="100"/>
          <w:position w:val="0"/>
        </w:rPr>
        <w:t>万元，研发投入持续增长，四年 复合增长率为</w:t>
      </w:r>
      <w:r>
        <w:rPr>
          <w:color w:val="000000"/>
          <w:spacing w:val="0"/>
          <w:w w:val="100"/>
          <w:position w:val="0"/>
          <w:sz w:val="18"/>
          <w:szCs w:val="18"/>
        </w:rPr>
        <w:t>63.75%</w:t>
      </w:r>
      <w:r>
        <w:rPr>
          <w:color w:val="000000"/>
          <w:spacing w:val="0"/>
          <w:w w:val="100"/>
          <w:position w:val="0"/>
        </w:rPr>
        <w:t>。</w:t>
      </w:r>
      <w:r>
        <w:rPr>
          <w:color w:val="000000"/>
          <w:spacing w:val="0"/>
          <w:w w:val="100"/>
          <w:position w:val="0"/>
          <w:sz w:val="18"/>
          <w:szCs w:val="18"/>
        </w:rPr>
        <w:t>2016</w:t>
      </w:r>
      <w:r>
        <w:rPr>
          <w:color w:val="000000"/>
          <w:spacing w:val="0"/>
          <w:w w:val="100"/>
          <w:position w:val="0"/>
        </w:rPr>
        <w:t>年研发费用投入占营业收入的比率达</w:t>
      </w:r>
      <w:r>
        <w:rPr>
          <w:color w:val="000000"/>
          <w:spacing w:val="0"/>
          <w:w w:val="100"/>
          <w:position w:val="0"/>
          <w:sz w:val="18"/>
          <w:szCs w:val="18"/>
        </w:rPr>
        <w:t>7.70%</w:t>
      </w:r>
      <w:r>
        <w:rPr>
          <w:color w:val="000000"/>
          <w:spacing w:val="0"/>
          <w:w w:val="100"/>
          <w:position w:val="0"/>
        </w:rPr>
        <w:t>。报告期内，公司在国内提交了</w:t>
      </w:r>
      <w:r>
        <w:rPr>
          <w:color w:val="000000"/>
          <w:spacing w:val="0"/>
          <w:w w:val="100"/>
          <w:position w:val="0"/>
          <w:sz w:val="18"/>
          <w:szCs w:val="18"/>
        </w:rPr>
        <w:t>67</w:t>
      </w:r>
      <w:r>
        <w:rPr>
          <w:color w:val="000000"/>
          <w:spacing w:val="0"/>
          <w:w w:val="100"/>
          <w:position w:val="0"/>
        </w:rPr>
        <w:t xml:space="preserve">项专利申请，取得 了 </w:t>
      </w:r>
      <w:r>
        <w:rPr>
          <w:color w:val="000000"/>
          <w:spacing w:val="0"/>
          <w:w w:val="100"/>
          <w:position w:val="0"/>
          <w:sz w:val="18"/>
          <w:szCs w:val="18"/>
        </w:rPr>
        <w:t>28</w:t>
      </w:r>
      <w:r>
        <w:rPr>
          <w:color w:val="000000"/>
          <w:spacing w:val="0"/>
          <w:w w:val="100"/>
          <w:position w:val="0"/>
        </w:rPr>
        <w:t>项专利授权（包含报告期前已提交申请的专利）。未来，随着时间积累，公司研发产出还将进一步提升。</w:t>
      </w:r>
    </w:p>
    <w:p>
      <w:pPr>
        <w:pStyle w:val="Style21"/>
        <w:keepNext w:val="0"/>
        <w:keepLines w:val="0"/>
        <w:widowControl w:val="0"/>
        <w:shd w:val="clear" w:color="auto" w:fill="auto"/>
        <w:tabs>
          <w:tab w:pos="317" w:val="left"/>
        </w:tabs>
        <w:bidi w:val="0"/>
        <w:spacing w:before="0" w:after="0" w:line="471" w:lineRule="exact"/>
        <w:ind w:left="0" w:right="0" w:firstLine="0"/>
        <w:jc w:val="left"/>
      </w:pPr>
      <w:bookmarkStart w:id="92" w:name="bookmark92"/>
      <w:r>
        <w:rPr>
          <w:b/>
          <w:bCs/>
          <w:color w:val="000000"/>
          <w:spacing w:val="0"/>
          <w:w w:val="100"/>
          <w:position w:val="0"/>
        </w:rPr>
        <w:t>5</w:t>
      </w:r>
      <w:bookmarkEnd w:id="92"/>
      <w:r>
        <w:rPr>
          <w:b/>
          <w:bCs/>
          <w:color w:val="000000"/>
          <w:spacing w:val="0"/>
          <w:w w:val="100"/>
          <w:position w:val="0"/>
        </w:rPr>
        <w:t>、</w:t>
        <w:tab/>
        <w:t>积极开展慢性病管理模式的探索</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高血压、高血糖等慢性病是严重威胁我国居民健康的一类疾病，已成为影响国家经济社会发展的重大公共卫生问题。通 过对慢性病的提前干预，落实预防为主的方针，是慢性病管理的基本思路。</w:t>
      </w:r>
    </w:p>
    <w:p>
      <w:pPr>
        <w:pStyle w:val="Style21"/>
        <w:keepNext w:val="0"/>
        <w:keepLines w:val="0"/>
        <w:widowControl w:val="0"/>
        <w:shd w:val="clear" w:color="auto" w:fill="auto"/>
        <w:bidi w:val="0"/>
        <w:spacing w:before="0" w:after="0" w:line="471" w:lineRule="exact"/>
        <w:ind w:left="0" w:right="0" w:firstLine="38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公司利用在智能硬件和健康云平台的领先优势，成为社区医疗、慢病管理的先行者。报告期内，公司与深圳罗湖医院集 团、中山市小榄卫生局等医疗机构，成立智慧社区慢病管理创新基地，积极推动慢病管理实践试点，探索商业模式，提出产 品优化建议。公司慢病管理模式探索还在持续进行中。</w:t>
      </w:r>
    </w:p>
    <w:p>
      <w:pPr>
        <w:pStyle w:val="Style27"/>
        <w:keepNext/>
        <w:keepLines/>
        <w:widowControl w:val="0"/>
        <w:shd w:val="clear" w:color="auto" w:fill="auto"/>
        <w:bidi w:val="0"/>
        <w:spacing w:before="8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、主营业务分析</w:t>
      </w:r>
      <w:bookmarkEnd w:id="93"/>
      <w:bookmarkEnd w:id="94"/>
      <w:bookmarkEnd w:id="96"/>
    </w:p>
    <w:p>
      <w:pPr>
        <w:pStyle w:val="Style33"/>
        <w:keepNext/>
        <w:keepLines/>
        <w:widowControl w:val="0"/>
        <w:shd w:val="clear" w:color="auto" w:fill="auto"/>
        <w:tabs>
          <w:tab w:pos="368" w:val="left"/>
        </w:tabs>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参见“经营情况讨论与分析”中的“一、概述”相关内容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0"/>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号一一上市公司从事从事互联网游戏业务》的披露要求:</w:t>
      </w:r>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770,644,439.45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629,005,528.60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22.52%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770,444,166.69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628,502,499.43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200,272.76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271,150,007.36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226,795,805.10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221,412,096.65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252,716,390.04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256,913,110.28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126,332,709.02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21,169,225.16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23,160,624.44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325,522,683.21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211,984,553.21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53.56%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444,921,483.48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416,517,946.22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200,272.76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-60.19%</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40"/>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否</w:t>
      </w:r>
      <w:r>
        <w:br w:type="page"/>
      </w:r>
    </w:p>
    <w:p>
      <w:pPr>
        <w:pStyle w:val="Style12"/>
        <w:keepNext w:val="0"/>
        <w:keepLines w:val="0"/>
        <w:widowControl w:val="0"/>
        <w:shd w:val="clear" w:color="auto" w:fill="auto"/>
        <w:bidi w:val="0"/>
        <w:spacing w:before="0" w:line="350" w:lineRule="exact"/>
        <w:ind w:left="4720" w:right="180" w:firstLine="0"/>
        <w:jc w:val="right"/>
        <w:rPr>
          <w:sz w:val="17"/>
          <w:szCs w:val="17"/>
        </w:rPr>
      </w:pPr>
      <w:r>
        <w:rPr>
          <w:b w:val="0"/>
          <w:bCs w:val="0"/>
          <w:color w:val="000000"/>
          <w:spacing w:val="0"/>
          <w:w w:val="100"/>
          <w:position w:val="0"/>
          <w:sz w:val="20"/>
          <w:szCs w:val="20"/>
        </w:rPr>
        <w:t>广东乐心医疗电子股份有限公司</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 xml:space="preserve">年度报告全文 </w:t>
      </w:r>
      <w:r>
        <w:rPr>
          <w:b w:val="0"/>
          <w:bCs w:val="0"/>
          <w:color w:val="000000"/>
          <w:spacing w:val="0"/>
          <w:w w:val="100"/>
          <w:position w:val="0"/>
          <w:sz w:val="17"/>
          <w:szCs w:val="17"/>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271,150,007.36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187,669,024.05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221,412,096.65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159,395,677.78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256,913,110.28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156,338,531.30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21,169,225.16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12,567,214.70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10.15%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325,522,683.21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213,298,353.67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444,921,483.48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302,664,043.16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200,272.76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58.06%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公司实物销售收入是否大于劳务收入</w:t>
      </w:r>
      <w:bookmarkEnd w:id="113"/>
      <w:bookmarkEnd w:id="114"/>
      <w:bookmarkEnd w:id="116"/>
    </w:p>
    <w:p>
      <w:pPr>
        <w:pStyle w:val="Style29"/>
        <w:keepNext w:val="0"/>
        <w:keepLines w:val="0"/>
        <w:widowControl w:val="0"/>
        <w:shd w:val="clear" w:color="auto" w:fill="auto"/>
        <w:bidi w:val="0"/>
        <w:spacing w:before="0" w:after="0" w:line="240" w:lineRule="auto"/>
        <w:ind w:left="29" w:right="0" w:firstLine="0"/>
        <w:jc w:val="left"/>
      </w:pPr>
      <w:r>
        <w:rPr>
          <w:i/>
          <w:iCs/>
          <w:color w:val="000000"/>
          <w:spacing w:val="0"/>
          <w:w w:val="100"/>
          <w:position w:val="0"/>
        </w:rPr>
        <w:t>」</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22.82%</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1"/>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sz w:val="28"/>
          <w:szCs w:val="28"/>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40"/>
        <w:keepNext/>
        <w:keepLines/>
        <w:widowControl w:val="0"/>
        <w:numPr>
          <w:ilvl w:val="0"/>
          <w:numId w:val="1"/>
        </w:numPr>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公司巳签订的重大销售合同截至本报告期的履行情况</w:t>
      </w:r>
      <w:bookmarkEnd w:id="117"/>
      <w:bookmarkEnd w:id="118"/>
      <w:bookmarkEnd w:id="12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营业成本构成</w:t>
      </w:r>
      <w:bookmarkEnd w:id="121"/>
      <w:bookmarkEnd w:id="122"/>
      <w:bookmarkEnd w:id="12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155,791,496.13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133,291,246.77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12,649,937.88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15,238,138.39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19,227,590.03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16,251,798.27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家用医疗产品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187,669,024.05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164,781,183.42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120,203,812.87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144,333,792.76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13,256,331.73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13,550,613.61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22,728,292.20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26,423,946.35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不得免征和抵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3,207,240.99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4,078,344.47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家用健康产品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159,395,677.78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188,386,697.19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142,968,872.24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81,458,287.48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5,603,809.52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5,573,289.43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7,546,957.64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2,446,425.31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不得免征和抵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218,891.90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智能可穿戴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156,338,531.30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89,760,662.22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10,776,109.29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13,670,762.00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717,499.81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1,065,554.60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1,249,044.37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12,567,214.70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16,100,862.82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515,970,447.83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459,029,405.65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3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公司对上述项目无补充说明的情况。</w:t>
      </w:r>
    </w:p>
    <w:p>
      <w:pPr>
        <w:pStyle w:val="Style40"/>
        <w:keepNext/>
        <w:keepLines/>
        <w:widowControl w:val="0"/>
        <w:numPr>
          <w:ilvl w:val="0"/>
          <w:numId w:val="1"/>
        </w:numPr>
        <w:shd w:val="clear" w:color="auto" w:fill="auto"/>
        <w:bidi w:val="0"/>
        <w:spacing w:before="0" w:line="240" w:lineRule="auto"/>
        <w:ind w:left="0" w:right="0" w:firstLine="220"/>
        <w:jc w:val="left"/>
      </w:pPr>
      <w:bookmarkStart w:id="125" w:name="bookmark125"/>
      <w:bookmarkStart w:id="126" w:name="bookmark126"/>
      <w:bookmarkStart w:id="127" w:name="bookmark127"/>
      <w:bookmarkStart w:id="128" w:name="bookmark128"/>
      <w:bookmarkEnd w:id="127"/>
      <w:r>
        <w:rPr>
          <w:color w:val="000000"/>
          <w:spacing w:val="0"/>
          <w:w w:val="100"/>
          <w:position w:val="0"/>
        </w:rPr>
        <w:t>报告期内合并范围是否发生变动</w:t>
      </w:r>
      <w:bookmarkEnd w:id="125"/>
      <w:bookmarkEnd w:id="126"/>
      <w:bookmarkEnd w:id="128"/>
    </w:p>
    <w:p>
      <w:pPr>
        <w:pStyle w:val="Style2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本期通过设立或投资等方式取得的子公司</w:t>
      </w:r>
    </w:p>
    <w:tbl>
      <w:tblPr>
        <w:tblOverlap w:val="never"/>
        <w:jc w:val="center"/>
        <w:tblLayout w:type="fixed"/>
      </w:tblPr>
      <w:tblGrid>
        <w:gridCol w:w="1646"/>
        <w:gridCol w:w="1219"/>
        <w:gridCol w:w="1589"/>
        <w:gridCol w:w="1094"/>
        <w:gridCol w:w="3389"/>
        <w:gridCol w:w="931"/>
      </w:tblGrid>
      <w:tr>
        <w:trPr>
          <w:trHeight w:val="63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持股比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Lifesense Health</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50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健康硬件产品研发、软件和信息技术服务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香港创源有限公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电子产品的开发和销售、医疗器械产品的 研发、健康管理咨询、投资控股、业务咨 询以及政府许可的其他业务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66" w:right="1027" w:bottom="1286" w:left="1005" w:header="0" w:footer="3" w:gutter="0"/>
          <w:cols w:space="720"/>
          <w:noEndnote/>
          <w:rtlGutter w:val="0"/>
          <w:docGrid w:linePitch="360"/>
        </w:sectPr>
      </w:pPr>
    </w:p>
    <w:p>
      <w:pPr>
        <w:pStyle w:val="Style40"/>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29"/>
      <w:bookmarkEnd w:id="130"/>
      <w:bookmarkEnd w:id="132"/>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3"/>
      <w:bookmarkEnd w:id="134"/>
      <w:bookmarkEnd w:id="13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175,819,118.63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54,944,158.46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38,595,292.45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36,728,036.42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24,844,907.18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20,706,724.12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175,819,118.63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115,097,052.73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29,260,228.54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28,070,604.75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22,925,571.78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17,706,253.69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17,134,393.97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115,097,052.73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42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76,381,549.40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53,017,752.39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销售费用主要随公司内销收入占比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提升及业务规模增长而增加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97,459,071.89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68,524,307.68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管理费用增加系公司研发人员增加 以及公司加大研发投入造成研发费 用增加所致</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-9,571,302.44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-4,863,386.26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财务费用变动重大系因人民币贬值 使以美元计价资产如货币资金及应 收账款产生汇兑收益所致</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line="331" w:lineRule="exact"/>
        <w:ind w:left="0" w:right="0" w:firstLine="380"/>
        <w:jc w:val="left"/>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18"/>
          <w:szCs w:val="18"/>
        </w:rPr>
        <w:t>5,934.58</w:t>
      </w:r>
      <w:r>
        <w:rPr>
          <w:color w:val="000000"/>
          <w:spacing w:val="0"/>
          <w:w w:val="100"/>
          <w:position w:val="0"/>
        </w:rPr>
        <w:t>万元，占营业收入比</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年研发投入增加</w:t>
      </w:r>
      <w:r>
        <w:rPr>
          <w:rFonts w:ascii="Times New Roman" w:eastAsia="Times New Roman" w:hAnsi="Times New Roman" w:cs="Times New Roman"/>
          <w:color w:val="000000"/>
          <w:spacing w:val="0"/>
          <w:w w:val="100"/>
          <w:position w:val="0"/>
          <w:sz w:val="18"/>
          <w:szCs w:val="18"/>
        </w:rPr>
        <w:t>2,180.58</w:t>
      </w:r>
      <w:r>
        <w:rPr>
          <w:color w:val="000000"/>
          <w:spacing w:val="0"/>
          <w:w w:val="100"/>
          <w:position w:val="0"/>
        </w:rPr>
        <w:t>万元，能够保证公司进 一步提高核心竞争力。公司的研发投入在财务核算上均计入研发费用，未有研发费用资本化情况。</w:t>
      </w:r>
    </w:p>
    <w:p>
      <w:pPr>
        <w:pStyle w:val="Style21"/>
        <w:keepNext w:val="0"/>
        <w:keepLines w:val="0"/>
        <w:widowControl w:val="0"/>
        <w:shd w:val="clear" w:color="auto" w:fill="auto"/>
        <w:bidi w:val="0"/>
        <w:spacing w:before="0" w:line="331"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59,345,845.35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37,540,008.35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23,385,441.63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公司一直高度重视产品的研发和创新，以保持产品竞争力，研发投入逐年增加。</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884,119,177.26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718,601,253.74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805,942,162.74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682,633,418.78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78,177,014.52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35,967,834.96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2,409,491.04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2,563,620.10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59,071,217.72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34,028,302.10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73.59%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-56,661,726.68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-31,464,682.00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234,610,721.27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30,411,040.34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14,303,120.00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204,199,680.93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-14,303,120.00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229,681,178.07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-8,476,310.63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-2,809.68%</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tabs>
          <w:tab w:pos="704" w:val="left"/>
        </w:tabs>
        <w:bidi w:val="0"/>
        <w:spacing w:before="0" w:after="0" w:line="470" w:lineRule="exact"/>
        <w:ind w:left="0" w:right="0"/>
        <w:jc w:val="left"/>
      </w:pPr>
      <w:bookmarkStart w:id="149" w:name="bookmark149"/>
      <w:r>
        <w:rPr>
          <w:color w:val="000000"/>
          <w:spacing w:val="0"/>
          <w:w w:val="100"/>
          <w:position w:val="0"/>
          <w:sz w:val="18"/>
          <w:szCs w:val="18"/>
        </w:rPr>
        <w:t>1</w:t>
      </w:r>
      <w:bookmarkEnd w:id="149"/>
      <w:r>
        <w:rPr>
          <w:color w:val="000000"/>
          <w:spacing w:val="0"/>
          <w:w w:val="100"/>
          <w:position w:val="0"/>
        </w:rPr>
        <w:t>、</w:t>
        <w:tab/>
        <w:t>经营活动产生的现金流量净额本报告期较上年同期增加</w:t>
      </w:r>
      <w:r>
        <w:rPr>
          <w:color w:val="000000"/>
          <w:spacing w:val="0"/>
          <w:w w:val="100"/>
          <w:position w:val="0"/>
          <w:sz w:val="18"/>
          <w:szCs w:val="18"/>
        </w:rPr>
        <w:t>42,209,179.56</w:t>
      </w:r>
      <w:r>
        <w:rPr>
          <w:color w:val="000000"/>
          <w:spacing w:val="0"/>
          <w:w w:val="100"/>
          <w:position w:val="0"/>
        </w:rPr>
        <w:t>元，增幅</w:t>
      </w:r>
      <w:r>
        <w:rPr>
          <w:color w:val="000000"/>
          <w:spacing w:val="0"/>
          <w:w w:val="100"/>
          <w:position w:val="0"/>
          <w:sz w:val="18"/>
          <w:szCs w:val="18"/>
        </w:rPr>
        <w:t>117.35%,</w:t>
      </w:r>
      <w:r>
        <w:rPr>
          <w:color w:val="000000"/>
          <w:spacing w:val="0"/>
          <w:w w:val="100"/>
          <w:position w:val="0"/>
        </w:rPr>
        <w:t>主要系本报告期销售收入 增加及销售回款较好所致。</w:t>
      </w:r>
    </w:p>
    <w:p>
      <w:pPr>
        <w:pStyle w:val="Style21"/>
        <w:keepNext w:val="0"/>
        <w:keepLines w:val="0"/>
        <w:widowControl w:val="0"/>
        <w:shd w:val="clear" w:color="auto" w:fill="auto"/>
        <w:tabs>
          <w:tab w:pos="704" w:val="left"/>
        </w:tabs>
        <w:bidi w:val="0"/>
        <w:spacing w:before="0" w:after="0" w:line="470" w:lineRule="exact"/>
        <w:ind w:left="0" w:right="0"/>
        <w:jc w:val="left"/>
      </w:pPr>
      <w:bookmarkStart w:id="150" w:name="bookmark150"/>
      <w:r>
        <w:rPr>
          <w:color w:val="000000"/>
          <w:spacing w:val="0"/>
          <w:w w:val="100"/>
          <w:position w:val="0"/>
          <w:sz w:val="18"/>
          <w:szCs w:val="18"/>
        </w:rPr>
        <w:t>2</w:t>
      </w:r>
      <w:bookmarkEnd w:id="150"/>
      <w:r>
        <w:rPr>
          <w:color w:val="000000"/>
          <w:spacing w:val="0"/>
          <w:w w:val="100"/>
          <w:position w:val="0"/>
        </w:rPr>
        <w:t>、</w:t>
        <w:tab/>
        <w:t>投资活动现金流出小计本报告期较上年同期增加</w:t>
      </w:r>
      <w:r>
        <w:rPr>
          <w:color w:val="000000"/>
          <w:spacing w:val="0"/>
          <w:w w:val="100"/>
          <w:position w:val="0"/>
          <w:sz w:val="18"/>
          <w:szCs w:val="18"/>
        </w:rPr>
        <w:t>25,042,915.62</w:t>
      </w:r>
      <w:r>
        <w:rPr>
          <w:color w:val="000000"/>
          <w:spacing w:val="0"/>
          <w:w w:val="100"/>
          <w:position w:val="0"/>
        </w:rPr>
        <w:t>元，变动幅度</w:t>
      </w:r>
      <w:r>
        <w:rPr>
          <w:color w:val="000000"/>
          <w:spacing w:val="0"/>
          <w:w w:val="100"/>
          <w:position w:val="0"/>
          <w:sz w:val="18"/>
          <w:szCs w:val="18"/>
        </w:rPr>
        <w:t>73.59%,</w:t>
      </w:r>
      <w:r>
        <w:rPr>
          <w:color w:val="000000"/>
          <w:spacing w:val="0"/>
          <w:w w:val="100"/>
          <w:position w:val="0"/>
        </w:rPr>
        <w:t>主要系本报告期投入较多的自 动化生产线及设备和投入新建在建工程所致。</w:t>
      </w:r>
    </w:p>
    <w:p>
      <w:pPr>
        <w:pStyle w:val="Style21"/>
        <w:keepNext w:val="0"/>
        <w:keepLines w:val="0"/>
        <w:widowControl w:val="0"/>
        <w:shd w:val="clear" w:color="auto" w:fill="auto"/>
        <w:tabs>
          <w:tab w:pos="704" w:val="left"/>
        </w:tabs>
        <w:bidi w:val="0"/>
        <w:spacing w:before="0" w:after="0" w:line="470" w:lineRule="exact"/>
        <w:ind w:left="0" w:right="0"/>
        <w:jc w:val="left"/>
      </w:pPr>
      <w:bookmarkStart w:id="151" w:name="bookmark151"/>
      <w:r>
        <w:rPr>
          <w:color w:val="000000"/>
          <w:spacing w:val="0"/>
          <w:w w:val="100"/>
          <w:position w:val="0"/>
          <w:sz w:val="18"/>
          <w:szCs w:val="18"/>
        </w:rPr>
        <w:t>3</w:t>
      </w:r>
      <w:bookmarkEnd w:id="151"/>
      <w:r>
        <w:rPr>
          <w:color w:val="000000"/>
          <w:spacing w:val="0"/>
          <w:w w:val="100"/>
          <w:position w:val="0"/>
        </w:rPr>
        <w:t>、</w:t>
        <w:tab/>
        <w:t>筹资活动现金流入小计本报告期较上年同期增加</w:t>
      </w:r>
      <w:r>
        <w:rPr>
          <w:color w:val="000000"/>
          <w:spacing w:val="0"/>
          <w:w w:val="100"/>
          <w:position w:val="0"/>
          <w:sz w:val="18"/>
          <w:szCs w:val="18"/>
        </w:rPr>
        <w:t>234,610,721.27</w:t>
      </w:r>
      <w:r>
        <w:rPr>
          <w:color w:val="000000"/>
          <w:spacing w:val="0"/>
          <w:w w:val="100"/>
          <w:position w:val="0"/>
        </w:rPr>
        <w:t>元，主要系本报告期公司首次公开发行人民币普通 股</w:t>
      </w:r>
      <w:r>
        <w:rPr>
          <w:color w:val="000000"/>
          <w:spacing w:val="0"/>
          <w:w w:val="100"/>
          <w:position w:val="0"/>
          <w:sz w:val="18"/>
          <w:szCs w:val="18"/>
        </w:rPr>
        <w:t>（A</w:t>
      </w:r>
      <w:r>
        <w:rPr>
          <w:color w:val="000000"/>
          <w:spacing w:val="0"/>
          <w:w w:val="100"/>
          <w:position w:val="0"/>
        </w:rPr>
        <w:t>股）收到募集资金及向银行贷款取得长期借款所致。</w:t>
      </w:r>
    </w:p>
    <w:p>
      <w:pPr>
        <w:pStyle w:val="Style21"/>
        <w:keepNext w:val="0"/>
        <w:keepLines w:val="0"/>
        <w:widowControl w:val="0"/>
        <w:shd w:val="clear" w:color="auto" w:fill="auto"/>
        <w:tabs>
          <w:tab w:pos="608" w:val="left"/>
        </w:tabs>
        <w:bidi w:val="0"/>
        <w:spacing w:before="0" w:after="480" w:line="470" w:lineRule="exact"/>
        <w:ind w:left="0" w:right="0"/>
        <w:jc w:val="left"/>
      </w:pPr>
      <w:bookmarkStart w:id="152" w:name="bookmark152"/>
      <w:r>
        <w:rPr>
          <w:color w:val="000000"/>
          <w:spacing w:val="0"/>
          <w:w w:val="100"/>
          <w:position w:val="0"/>
          <w:sz w:val="18"/>
          <w:szCs w:val="18"/>
        </w:rPr>
        <w:t>4</w:t>
      </w:r>
      <w:bookmarkEnd w:id="152"/>
      <w:r>
        <w:rPr>
          <w:color w:val="000000"/>
          <w:spacing w:val="0"/>
          <w:w w:val="100"/>
          <w:position w:val="0"/>
        </w:rPr>
        <w:t>、</w:t>
        <w:tab/>
        <w:t>筹资活动现金流出小计本报告期较上年同期增加</w:t>
      </w:r>
      <w:r>
        <w:rPr>
          <w:color w:val="000000"/>
          <w:spacing w:val="0"/>
          <w:w w:val="100"/>
          <w:position w:val="0"/>
          <w:sz w:val="18"/>
          <w:szCs w:val="18"/>
        </w:rPr>
        <w:t>16,107,920.24</w:t>
      </w:r>
      <w:r>
        <w:rPr>
          <w:color w:val="000000"/>
          <w:spacing w:val="0"/>
          <w:w w:val="100"/>
          <w:position w:val="0"/>
        </w:rPr>
        <w:t>元，主要系本报告期公司首次公开发行人民币普通股 （</w:t>
      </w:r>
      <w:r>
        <w:rPr>
          <w:color w:val="000000"/>
          <w:spacing w:val="0"/>
          <w:w w:val="100"/>
          <w:position w:val="0"/>
          <w:sz w:val="18"/>
          <w:szCs w:val="18"/>
        </w:rPr>
        <w:t>A</w:t>
      </w:r>
      <w:r>
        <w:rPr>
          <w:color w:val="000000"/>
          <w:spacing w:val="0"/>
          <w:w w:val="100"/>
          <w:position w:val="0"/>
        </w:rPr>
        <w:t>股）支付剩余发行费用所致。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三</w:t>
      </w:r>
      <w:bookmarkEnd w:id="155"/>
      <w:r>
        <w:rPr>
          <w:color w:val="000000"/>
          <w:spacing w:val="0"/>
          <w:w w:val="100"/>
          <w:position w:val="0"/>
        </w:rPr>
        <w:t>、非主营业务情况</w:t>
      </w:r>
      <w:bookmarkEnd w:id="153"/>
      <w:bookmarkEnd w:id="154"/>
      <w:bookmarkEnd w:id="156"/>
    </w:p>
    <w:p>
      <w:pPr>
        <w:pStyle w:val="Style21"/>
        <w:keepNext w:val="0"/>
        <w:keepLines w:val="0"/>
        <w:widowControl w:val="0"/>
        <w:shd w:val="clear" w:color="auto" w:fill="auto"/>
        <w:bidi w:val="0"/>
        <w:spacing w:before="0" w:after="140" w:line="47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-1,406,760.66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报告期前已签订远期外 汇合约，在报告期内交 割，因人民币汇率贬值形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26"/>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成的损失</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680,170.00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以公允价值计量的金融 负债产生的公允价值变 动收益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1,105,966.88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本期新增计提的坏账准 备</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10,592,443.58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本期收到政府补助与嵌 入式软件增值税实际税 负超过</w:t>
            </w:r>
            <w:r>
              <w:rPr>
                <w:color w:val="000000"/>
                <w:spacing w:val="0"/>
                <w:w w:val="100"/>
                <w:position w:val="0"/>
                <w:sz w:val="18"/>
                <w:szCs w:val="18"/>
              </w:rPr>
              <w:t>3%</w:t>
            </w:r>
            <w:r>
              <w:rPr>
                <w:rFonts w:ascii="SimSun" w:eastAsia="SimSun" w:hAnsi="SimSun" w:cs="SimSun"/>
                <w:color w:val="000000"/>
                <w:spacing w:val="0"/>
                <w:w w:val="100"/>
                <w:position w:val="0"/>
                <w:sz w:val="17"/>
                <w:szCs w:val="17"/>
              </w:rPr>
              <w:t>的部分即征即 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政府补助不可持续，嵌入式 软件增值税实际税负超过 </w:t>
            </w:r>
            <w:r>
              <w:rPr>
                <w:color w:val="000000"/>
                <w:spacing w:val="0"/>
                <w:w w:val="100"/>
                <w:position w:val="0"/>
                <w:sz w:val="18"/>
                <w:szCs w:val="18"/>
              </w:rPr>
              <w:t>3%</w:t>
            </w:r>
            <w:r>
              <w:rPr>
                <w:rFonts w:ascii="SimSun" w:eastAsia="SimSun" w:hAnsi="SimSun" w:cs="SimSun"/>
                <w:color w:val="000000"/>
                <w:spacing w:val="0"/>
                <w:w w:val="100"/>
                <w:position w:val="0"/>
                <w:sz w:val="17"/>
                <w:szCs w:val="17"/>
              </w:rPr>
              <w:t>的部分即征即退税可持 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540,263.09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本期非流动资产处置与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捐赠支出所致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四</w:t>
      </w:r>
      <w:bookmarkEnd w:id="159"/>
      <w:r>
        <w:rPr>
          <w:color w:val="000000"/>
          <w:spacing w:val="0"/>
          <w:w w:val="100"/>
          <w:position w:val="0"/>
        </w:rPr>
        <w:t>、资产及负债状况</w:t>
      </w:r>
      <w:bookmarkEnd w:id="157"/>
      <w:bookmarkEnd w:id="158"/>
      <w:bookmarkEnd w:id="160"/>
    </w:p>
    <w:p>
      <w:pPr>
        <w:pStyle w:val="Style33"/>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比重增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319,902,598.</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90,221,420.3</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本期公开发行普通股收到募集资金 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89,176,337.2</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72,686,254.5</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主要系</w:t>
            </w:r>
            <w:r>
              <w:rPr>
                <w:color w:val="000000"/>
                <w:spacing w:val="0"/>
                <w:w w:val="100"/>
                <w:position w:val="0"/>
                <w:sz w:val="18"/>
                <w:szCs w:val="18"/>
              </w:rPr>
              <w:t>2017</w:t>
            </w:r>
            <w:r>
              <w:rPr>
                <w:rFonts w:ascii="SimSun" w:eastAsia="SimSun" w:hAnsi="SimSun" w:cs="SimSun"/>
                <w:color w:val="000000"/>
                <w:spacing w:val="0"/>
                <w:w w:val="100"/>
                <w:position w:val="0"/>
                <w:sz w:val="17"/>
                <w:szCs w:val="17"/>
              </w:rPr>
              <w:t>年春节较早，</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月实现较高营业收入所致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75,626,209.8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40,031,711.0</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年度自有品牌在国内市 场销售扩大，备货量增加及</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年春节较早，备货增加所致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484,668.62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235,842.77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72,159,777.9</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54,962,086.2</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本期投入较多的自动化生产线及设 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38,548,282.8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11,816,157.3</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本期增加投入东利</w:t>
            </w:r>
            <w:r>
              <w:rPr>
                <w:color w:val="000000"/>
                <w:spacing w:val="0"/>
                <w:w w:val="100"/>
                <w:position w:val="0"/>
                <w:sz w:val="18"/>
                <w:szCs w:val="18"/>
              </w:rPr>
              <w:t>15</w:t>
            </w:r>
            <w:r>
              <w:rPr>
                <w:rFonts w:ascii="SimSun" w:eastAsia="SimSun" w:hAnsi="SimSun" w:cs="SimSun"/>
                <w:color w:val="000000"/>
                <w:spacing w:val="0"/>
                <w:w w:val="100"/>
                <w:position w:val="0"/>
                <w:sz w:val="17"/>
                <w:szCs w:val="17"/>
              </w:rPr>
              <w:t>亩地工程以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及民众二期仓库工程所致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3,286,721.27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主要系报告期内公司新增东利</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亩地工程的固定资产贷款，因大部 分使用自有资金，仅用少量贷款额 度所致</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4,901,709.14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10,032,662.0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主要系前期公司以自有资金垫付的 各中介上市发行费用因收到股票发 行溢价收入得以补偿所致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97,370,914.4</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77,952,271.8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主要是公司国内销售增长相应采购 额增加所致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10,618,764.0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4,960,112.34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主要是有订金结算条款的客户订单 量增加所致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26,266,790.0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20,012,595.1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主要系公司员工人数增加及计提员 工年终奖金较上年增加所致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12,159,095.6</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9,692,415.74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主要系企业所得税的增加所致</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2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680,170.00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680,170.00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r>
    </w:tbl>
    <w:p>
      <w:pPr>
        <w:pStyle w:val="Style2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keepLines/>
        <w:widowControl w:val="0"/>
        <w:shd w:val="clear" w:color="auto" w:fill="auto"/>
        <w:bidi w:val="0"/>
        <w:spacing w:before="0" w:after="1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p>
      <w:pPr>
        <w:pStyle w:val="Style21"/>
        <w:keepNext w:val="0"/>
        <w:keepLines w:val="0"/>
        <w:widowControl w:val="0"/>
        <w:shd w:val="clear" w:color="auto" w:fill="auto"/>
        <w:bidi w:val="0"/>
        <w:spacing w:before="0" w:after="480" w:line="470"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日，本公司与中国银行中山分行签订了编号为中型</w:t>
      </w:r>
      <w:r>
        <w:rPr>
          <w:color w:val="000000"/>
          <w:spacing w:val="0"/>
          <w:w w:val="100"/>
          <w:position w:val="0"/>
          <w:sz w:val="18"/>
          <w:szCs w:val="18"/>
        </w:rPr>
        <w:t>-GDY476440120160033</w:t>
      </w:r>
      <w:r>
        <w:rPr>
          <w:color w:val="000000"/>
          <w:spacing w:val="0"/>
          <w:w w:val="100"/>
          <w:position w:val="0"/>
        </w:rPr>
        <w:t>号的最高额抵押合同，将位于中山 市火炬开发区东利村的土地使用权抵押给中国银行（土地面积</w:t>
      </w:r>
      <w:r>
        <w:rPr>
          <w:color w:val="000000"/>
          <w:spacing w:val="0"/>
          <w:w w:val="100"/>
          <w:position w:val="0"/>
          <w:sz w:val="18"/>
          <w:szCs w:val="18"/>
        </w:rPr>
        <w:t>10,410.10</w:t>
      </w:r>
      <w:r>
        <w:rPr>
          <w:color w:val="000000"/>
          <w:spacing w:val="0"/>
          <w:w w:val="100"/>
          <w:position w:val="0"/>
        </w:rPr>
        <w:t>平方米，证号为“中府国用</w:t>
      </w:r>
      <w:r>
        <w:rPr>
          <w:color w:val="000000"/>
          <w:spacing w:val="0"/>
          <w:w w:val="100"/>
          <w:position w:val="0"/>
          <w:sz w:val="18"/>
          <w:szCs w:val="18"/>
        </w:rPr>
        <w:t>（2013）</w:t>
      </w:r>
      <w:r>
        <w:rPr>
          <w:color w:val="000000"/>
          <w:spacing w:val="0"/>
          <w:w w:val="100"/>
          <w:position w:val="0"/>
        </w:rPr>
        <w:t>第易</w:t>
      </w:r>
      <w:r>
        <w:rPr>
          <w:color w:val="000000"/>
          <w:spacing w:val="0"/>
          <w:w w:val="100"/>
          <w:position w:val="0"/>
          <w:sz w:val="18"/>
          <w:szCs w:val="18"/>
        </w:rPr>
        <w:t xml:space="preserve">1507063 </w:t>
      </w:r>
      <w:r>
        <w:rPr>
          <w:color w:val="000000"/>
          <w:spacing w:val="0"/>
          <w:w w:val="100"/>
          <w:position w:val="0"/>
        </w:rPr>
        <w:t>号”）。抵押期限为自抵押生效之日起</w:t>
      </w:r>
      <w:r>
        <w:rPr>
          <w:color w:val="000000"/>
          <w:spacing w:val="0"/>
          <w:w w:val="100"/>
          <w:position w:val="0"/>
          <w:sz w:val="18"/>
          <w:szCs w:val="18"/>
        </w:rPr>
        <w:t>6</w:t>
      </w:r>
      <w:r>
        <w:rPr>
          <w:color w:val="000000"/>
          <w:spacing w:val="0"/>
          <w:w w:val="100"/>
          <w:position w:val="0"/>
        </w:rPr>
        <w:t>年以内。</w:t>
      </w:r>
    </w:p>
    <w:p>
      <w:pPr>
        <w:pStyle w:val="Style27"/>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五</w:t>
      </w:r>
      <w:bookmarkEnd w:id="175"/>
      <w:r>
        <w:rPr>
          <w:color w:val="000000"/>
          <w:spacing w:val="0"/>
          <w:w w:val="100"/>
          <w:position w:val="0"/>
        </w:rPr>
        <w:t>、投资状况分析</w:t>
      </w:r>
      <w:bookmarkEnd w:id="173"/>
      <w:bookmarkEnd w:id="174"/>
      <w:bookmarkEnd w:id="176"/>
    </w:p>
    <w:p>
      <w:pPr>
        <w:pStyle w:val="Style33"/>
        <w:keepNext/>
        <w:keepLines/>
        <w:widowControl w:val="0"/>
        <w:shd w:val="clear" w:color="auto" w:fill="auto"/>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17,208,603.23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2,311,818.85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644.38%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、报告期内获取的重大的股权投资情况</w:t>
      </w:r>
      <w:bookmarkEnd w:id="181"/>
      <w:bookmarkEnd w:id="182"/>
      <w:bookmarkEnd w:id="184"/>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、报告期内正在进行的重大的非股权投资情况</w:t>
      </w:r>
      <w:bookmarkEnd w:id="185"/>
      <w:bookmarkEnd w:id="186"/>
      <w:bookmarkEnd w:id="188"/>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82"/>
        <w:gridCol w:w="782"/>
        <w:gridCol w:w="782"/>
        <w:gridCol w:w="715"/>
        <w:gridCol w:w="715"/>
        <w:gridCol w:w="715"/>
        <w:gridCol w:w="653"/>
        <w:gridCol w:w="653"/>
        <w:gridCol w:w="653"/>
        <w:gridCol w:w="653"/>
        <w:gridCol w:w="653"/>
        <w:gridCol w:w="658"/>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20"/>
              <w:jc w:val="both"/>
              <w:rPr>
                <w:sz w:val="17"/>
                <w:szCs w:val="17"/>
              </w:rPr>
            </w:pPr>
            <w:r>
              <w:rPr>
                <w:rFonts w:ascii="SimSun" w:eastAsia="SimSun" w:hAnsi="SimSun" w:cs="SimSun"/>
                <w:color w:val="000000"/>
                <w:spacing w:val="0"/>
                <w:w w:val="100"/>
                <w:position w:val="0"/>
                <w:sz w:val="17"/>
                <w:szCs w:val="17"/>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both"/>
              <w:rPr>
                <w:sz w:val="17"/>
                <w:szCs w:val="17"/>
              </w:rPr>
            </w:pPr>
            <w:r>
              <w:rPr>
                <w:rFonts w:ascii="SimSun" w:eastAsia="SimSun" w:hAnsi="SimSun" w:cs="SimSun"/>
                <w:color w:val="000000"/>
                <w:spacing w:val="0"/>
                <w:w w:val="100"/>
                <w:position w:val="0"/>
                <w:sz w:val="17"/>
                <w:szCs w:val="17"/>
              </w:rPr>
              <w:t>截至 报告 期末 累计 实际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140" w:right="0" w:firstLine="0"/>
              <w:jc w:val="left"/>
              <w:rPr>
                <w:sz w:val="17"/>
                <w:szCs w:val="17"/>
              </w:rPr>
            </w:pPr>
            <w:r>
              <w:rPr>
                <w:rFonts w:ascii="SimSun" w:eastAsia="SimSun" w:hAnsi="SimSun" w:cs="SimSun"/>
                <w:color w:val="000000"/>
                <w:spacing w:val="0"/>
                <w:w w:val="100"/>
                <w:position w:val="0"/>
                <w:sz w:val="17"/>
                <w:szCs w:val="17"/>
              </w:rPr>
              <w:t>截止 报告 期末 累计 实现 的收</w:t>
            </w:r>
          </w:p>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未达 到计 划进 度和 预计 收益 的原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披露 日期</w:t>
            </w:r>
          </w:p>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披露 索引</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东利村</w:t>
            </w:r>
            <w:r>
              <w:rPr>
                <w:color w:val="000000"/>
                <w:spacing w:val="0"/>
                <w:w w:val="100"/>
                <w:position w:val="0"/>
                <w:sz w:val="18"/>
                <w:szCs w:val="18"/>
              </w:rPr>
              <w:t>15</w:t>
            </w:r>
            <w:r>
              <w:rPr>
                <w:rFonts w:ascii="SimSun" w:eastAsia="SimSun" w:hAnsi="SimSun" w:cs="SimSun"/>
                <w:color w:val="000000"/>
                <w:spacing w:val="0"/>
                <w:w w:val="100"/>
                <w:position w:val="0"/>
                <w:sz w:val="17"/>
                <w:szCs w:val="17"/>
              </w:rPr>
              <w:t>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家用医 疗器械 产品生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11,928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,751.8</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13,413</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,718.3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尚未 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东利村</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电子健 康产 品、家 用医疗 器械产 品生产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自筹 资金 和募 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尚未 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,603.2</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19,520</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,422.0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0"/>
        <w:keepNext/>
        <w:keepLines/>
        <w:widowControl w:val="0"/>
        <w:shd w:val="clear" w:color="auto" w:fill="auto"/>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已累计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尚未使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尚未使</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闲置两</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份</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使用募 集资金 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更用途 的募集 资金总 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用募集 资金用 途及去 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年以上 募集资 金金额</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发行新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20,926.0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未使用 的募集 资金仍 在募集 资金专 户银行 中管理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20,926.0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20,706.2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widowControl w:val="0"/>
        <w:spacing w:after="79" w:line="1" w:lineRule="exact"/>
      </w:pPr>
    </w:p>
    <w:p>
      <w:pPr>
        <w:pStyle w:val="Style21"/>
        <w:keepNext w:val="0"/>
        <w:keepLines w:val="0"/>
        <w:widowControl w:val="0"/>
        <w:pBdr>
          <w:top w:val="single" w:sz="4" w:space="0" w:color="auto"/>
        </w:pBdr>
        <w:shd w:val="clear" w:color="auto" w:fill="auto"/>
        <w:tabs>
          <w:tab w:pos="295" w:val="left"/>
        </w:tabs>
        <w:bidi w:val="0"/>
        <w:spacing w:before="0" w:after="0" w:line="315" w:lineRule="exact"/>
        <w:ind w:left="0" w:right="0" w:firstLine="0"/>
        <w:jc w:val="left"/>
      </w:pPr>
      <w:bookmarkStart w:id="201" w:name="bookmark201"/>
      <w:r>
        <w:rPr>
          <w:rFonts w:ascii="Times New Roman" w:eastAsia="Times New Roman" w:hAnsi="Times New Roman" w:cs="Times New Roman"/>
          <w:color w:val="000000"/>
          <w:spacing w:val="0"/>
          <w:w w:val="100"/>
          <w:position w:val="0"/>
          <w:sz w:val="18"/>
          <w:szCs w:val="18"/>
        </w:rPr>
        <w:t>1</w:t>
      </w:r>
      <w:bookmarkEnd w:id="201"/>
      <w:r>
        <w:rPr>
          <w:color w:val="000000"/>
          <w:spacing w:val="0"/>
          <w:w w:val="100"/>
          <w:position w:val="0"/>
        </w:rPr>
        <w:t>、</w:t>
        <w:tab/>
        <w:t>募集资金情况</w:t>
      </w:r>
    </w:p>
    <w:p>
      <w:pPr>
        <w:pStyle w:val="Style21"/>
        <w:keepNext w:val="0"/>
        <w:keepLines w:val="0"/>
        <w:widowControl w:val="0"/>
        <w:shd w:val="clear" w:color="auto" w:fill="auto"/>
        <w:bidi w:val="0"/>
        <w:spacing w:before="0" w:after="0" w:line="310" w:lineRule="exact"/>
        <w:ind w:left="0" w:right="0" w:firstLine="46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18"/>
          <w:szCs w:val="18"/>
        </w:rPr>
        <w:t>[2016]2432</w:t>
      </w:r>
      <w:r>
        <w:rPr>
          <w:color w:val="000000"/>
          <w:spacing w:val="0"/>
          <w:w w:val="100"/>
          <w:position w:val="0"/>
        </w:rPr>
        <w:t>号”《关于核准广东乐心医疗电子股份有限公司首次公开发行股 票的批复》核准，公司向社会公众公开发行人民币普通股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14,800,000.00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 价为人民币</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231,324,000.00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22,063,900.00</w:t>
      </w:r>
      <w:r>
        <w:rPr>
          <w:color w:val="000000"/>
          <w:spacing w:val="0"/>
          <w:w w:val="100"/>
          <w:position w:val="0"/>
        </w:rPr>
        <w:t>元，实际募集资金 净额为人民币</w:t>
      </w:r>
      <w:r>
        <w:rPr>
          <w:rFonts w:ascii="Times New Roman" w:eastAsia="Times New Roman" w:hAnsi="Times New Roman" w:cs="Times New Roman"/>
          <w:color w:val="000000"/>
          <w:spacing w:val="0"/>
          <w:w w:val="100"/>
          <w:position w:val="0"/>
          <w:sz w:val="18"/>
          <w:szCs w:val="18"/>
        </w:rPr>
        <w:t>209,260,100.00</w:t>
      </w:r>
      <w:r>
        <w:rPr>
          <w:color w:val="000000"/>
          <w:spacing w:val="0"/>
          <w:w w:val="100"/>
          <w:position w:val="0"/>
        </w:rPr>
        <w:t>元。</w:t>
      </w:r>
    </w:p>
    <w:p>
      <w:pPr>
        <w:pStyle w:val="Style21"/>
        <w:keepNext w:val="0"/>
        <w:keepLines w:val="0"/>
        <w:widowControl w:val="0"/>
        <w:shd w:val="clear" w:color="auto" w:fill="auto"/>
        <w:tabs>
          <w:tab w:pos="315" w:val="left"/>
        </w:tabs>
        <w:bidi w:val="0"/>
        <w:spacing w:before="0" w:after="420" w:line="319" w:lineRule="exact"/>
        <w:ind w:left="0" w:right="0" w:firstLine="0"/>
        <w:jc w:val="left"/>
      </w:pPr>
      <w:bookmarkStart w:id="202" w:name="bookmark202"/>
      <w:r>
        <w:rPr>
          <w:rFonts w:ascii="Times New Roman" w:eastAsia="Times New Roman" w:hAnsi="Times New Roman" w:cs="Times New Roman"/>
          <w:color w:val="000000"/>
          <w:spacing w:val="0"/>
          <w:w w:val="100"/>
          <w:position w:val="0"/>
          <w:sz w:val="18"/>
          <w:szCs w:val="18"/>
        </w:rPr>
        <w:t>2</w:t>
      </w:r>
      <w:bookmarkEnd w:id="2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2,198,054.73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 xml:space="preserve">342,728.37 </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207,404,773.64</w:t>
      </w:r>
      <w:r>
        <w:rPr>
          <w:color w:val="000000"/>
          <w:spacing w:val="0"/>
          <w:w w:val="100"/>
          <w:position w:val="0"/>
        </w:rPr>
        <w:t>元(包括收到的银行存款利息扣除银行手续费等的 净额)。</w:t>
      </w:r>
    </w:p>
    <w:p>
      <w:pPr>
        <w:pStyle w:val="Style40"/>
        <w:keepNext/>
        <w:keepLines/>
        <w:widowControl w:val="0"/>
        <w:numPr>
          <w:ilvl w:val="0"/>
          <w:numId w:val="3"/>
        </w:numPr>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是否已 变更项 目</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p>
          <w:p>
            <w:pPr>
              <w:pStyle w:val="Style2"/>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sz w:val="17"/>
                <w:szCs w:val="17"/>
              </w:rPr>
              <w:t>部分变 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rPr>
                <w:sz w:val="17"/>
                <w:szCs w:val="17"/>
              </w:rPr>
            </w:pPr>
            <w:r>
              <w:rPr>
                <w:rFonts w:ascii="SimSun" w:eastAsia="SimSun" w:hAnsi="SimSun" w:cs="SimSun"/>
                <w:color w:val="000000"/>
                <w:spacing w:val="0"/>
                <w:w w:val="100"/>
                <w:position w:val="0"/>
                <w:sz w:val="17"/>
                <w:szCs w:val="17"/>
              </w:rPr>
              <w:t>截至期 末投资 进度</w:t>
            </w:r>
          </w:p>
          <w:p>
            <w:pPr>
              <w:pStyle w:val="Style2"/>
              <w:keepNext w:val="0"/>
              <w:keepLines w:val="0"/>
              <w:widowControl w:val="0"/>
              <w:shd w:val="clear" w:color="auto" w:fill="auto"/>
              <w:bidi w:val="0"/>
              <w:spacing w:before="0" w:after="0" w:line="360" w:lineRule="auto"/>
              <w:ind w:left="0" w:right="0" w:firstLine="1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13,654.</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13,654.</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5,708.7</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5,708.7</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营销网络优化建设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1,562.3</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1,562.3</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219.81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219.81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实施方式调整情况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先期投入及置换情 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 时补充流动资金情 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 资金结余的金额及 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2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 金用途及去向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未使用的募集资金仍在募集资金专户银行中管理。</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报告期无</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b w:val="0"/>
          <w:bCs w:val="0"/>
          <w:color w:val="000000"/>
          <w:spacing w:val="0"/>
          <w:w w:val="100"/>
          <w:position w:val="0"/>
        </w:rPr>
        <w:t>（</w:t>
      </w:r>
      <w:bookmarkEnd w:id="209"/>
      <w:r>
        <w:rPr>
          <w:rFonts w:ascii="Times New Roman" w:eastAsia="Times New Roman" w:hAnsi="Times New Roman" w:cs="Times New Roman"/>
          <w:b w:val="0"/>
          <w:bCs w:val="0"/>
          <w:color w:val="000000"/>
          <w:spacing w:val="0"/>
          <w:w w:val="100"/>
          <w:position w:val="0"/>
        </w:rPr>
        <w:t>3</w:t>
      </w:r>
      <w:r>
        <w:rPr>
          <w:color w:val="000000"/>
          <w:spacing w:val="0"/>
          <w:w w:val="100"/>
          <w:position w:val="0"/>
        </w:rPr>
        <w:t>）募集资金变更项目情况</w:t>
      </w:r>
      <w:bookmarkEnd w:id="207"/>
      <w:bookmarkEnd w:id="208"/>
      <w:bookmarkEnd w:id="21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六</w:t>
      </w:r>
      <w:bookmarkEnd w:id="213"/>
      <w:r>
        <w:rPr>
          <w:color w:val="000000"/>
          <w:spacing w:val="0"/>
          <w:w w:val="100"/>
          <w:position w:val="0"/>
        </w:rPr>
        <w:t>、</w:t>
        <w:tab/>
        <w:t>重大资产和股权出售</w:t>
      </w:r>
      <w:bookmarkEnd w:id="211"/>
      <w:bookmarkEnd w:id="212"/>
      <w:bookmarkEnd w:id="214"/>
    </w:p>
    <w:p>
      <w:pPr>
        <w:pStyle w:val="Style33"/>
        <w:keepNext/>
        <w:keepLines/>
        <w:widowControl w:val="0"/>
        <w:shd w:val="clear" w:color="auto" w:fill="auto"/>
        <w:tabs>
          <w:tab w:pos="406"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6" w:val="left"/>
        </w:tabs>
        <w:bidi w:val="0"/>
        <w:spacing w:before="0" w:after="38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七</w:t>
      </w:r>
      <w:bookmarkEnd w:id="225"/>
      <w:r>
        <w:rPr>
          <w:color w:val="000000"/>
          <w:spacing w:val="0"/>
          <w:w w:val="100"/>
          <w:position w:val="0"/>
        </w:rPr>
        <w:t>、</w:t>
        <w:tab/>
        <w:t>主要控股参股公司分析</w:t>
      </w:r>
      <w:bookmarkEnd w:id="223"/>
      <w:bookmarkEnd w:id="224"/>
      <w:bookmarkEnd w:id="22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5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中山市创 源传感器</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核心配件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8,534,788.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4,137,570.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29,484,945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1,194,036.</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815,152.46</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01</w:t>
            </w: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2,973,656.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2,921,562.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4,309,720.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1,405,443.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1,062,125.</w:t>
            </w:r>
          </w:p>
        </w:tc>
      </w:tr>
      <w:tr>
        <w:trPr>
          <w:trHeight w:val="29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源贸易有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产品销售</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07</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国内自有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心医疗电 子有限公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品牌产品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61,738,647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862,922.14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321,223,67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1,194,036.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2,193,777.</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w:t>
            </w:r>
          </w:p>
        </w:tc>
      </w:tr>
      <w:tr>
        <w:trPr>
          <w:trHeight w:val="43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销售平台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11,910,111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-8,971,487.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-8,873,180.</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产品研发、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82,493,250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11,383,283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280,815,01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4,503,210.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4,674,198.</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Lifesense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产品软件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3,438,385.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957,909.52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863,292.24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-519,917.2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-518,987.3</w:t>
            </w:r>
          </w:p>
        </w:tc>
      </w:tr>
      <w:tr>
        <w:trPr>
          <w:trHeight w:val="13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Health Inc</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9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Lifesense Health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报告期内对净利润影响</w:t>
            </w:r>
            <w:r>
              <w:rPr>
                <w:color w:val="000000"/>
                <w:spacing w:val="0"/>
                <w:w w:val="100"/>
                <w:position w:val="0"/>
              </w:rPr>
              <w:t>-518,987.37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66" w:right="1027" w:bottom="1286" w:left="1005" w:header="0" w:footer="3" w:gutter="0"/>
          <w:cols w:space="720"/>
          <w:noEndnote/>
          <w:rtlGutter w:val="0"/>
          <w:docGrid w:linePitch="360"/>
        </w:sectPr>
      </w:pPr>
    </w:p>
    <w:p>
      <w:pPr>
        <w:pStyle w:val="Style2"/>
        <w:keepNext w:val="0"/>
        <w:keepLines w:val="0"/>
        <w:widowControl w:val="0"/>
        <w:shd w:val="clear" w:color="auto" w:fill="auto"/>
        <w:bidi w:val="0"/>
        <w:spacing w:before="0" w:after="240" w:line="240" w:lineRule="auto"/>
        <w:ind w:left="0" w:right="0" w:firstLine="160"/>
        <w:jc w:val="left"/>
        <w:rPr>
          <w:sz w:val="22"/>
          <w:szCs w:val="22"/>
        </w:rPr>
      </w:pPr>
      <w:r>
        <w:rPr>
          <w:rFonts w:ascii="SimHei" w:eastAsia="SimHei" w:hAnsi="SimHei" w:cs="SimHei"/>
          <w:color w:val="897684"/>
          <w:spacing w:val="0"/>
          <w:w w:val="100"/>
          <w:position w:val="0"/>
          <w:sz w:val="22"/>
          <w:szCs w:val="22"/>
        </w:rPr>
        <w:t>材#乐心医疗</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主要控股参股公司情况说明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91" w:val="left"/>
        </w:tabs>
        <w:bidi w:val="0"/>
        <w:spacing w:before="0" w:after="10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八</w:t>
      </w:r>
      <w:bookmarkEnd w:id="229"/>
      <w:r>
        <w:rPr>
          <w:color w:val="000000"/>
          <w:spacing w:val="0"/>
          <w:w w:val="100"/>
          <w:position w:val="0"/>
        </w:rPr>
        <w:t>、</w:t>
        <w:tab/>
        <w:t>公司控制的结构化主体情况</w:t>
      </w:r>
      <w:bookmarkEnd w:id="227"/>
      <w:bookmarkEnd w:id="228"/>
      <w:bookmarkEnd w:id="230"/>
    </w:p>
    <w:p>
      <w:pPr>
        <w:pStyle w:val="Style21"/>
        <w:keepNext w:val="0"/>
        <w:keepLines w:val="0"/>
        <w:widowControl w:val="0"/>
        <w:shd w:val="clear" w:color="auto" w:fill="auto"/>
        <w:bidi w:val="0"/>
        <w:spacing w:before="0" w:after="38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1" w:val="left"/>
        </w:tabs>
        <w:bidi w:val="0"/>
        <w:spacing w:before="0" w:after="1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九</w:t>
      </w:r>
      <w:bookmarkEnd w:id="233"/>
      <w:r>
        <w:rPr>
          <w:color w:val="000000"/>
          <w:spacing w:val="0"/>
          <w:w w:val="100"/>
          <w:position w:val="0"/>
        </w:rPr>
        <w:t>、</w:t>
        <w:tab/>
        <w:t>公司未来发展的展望</w:t>
      </w:r>
      <w:bookmarkEnd w:id="231"/>
      <w:bookmarkEnd w:id="232"/>
      <w:bookmarkEnd w:id="234"/>
    </w:p>
    <w:p>
      <w:pPr>
        <w:pStyle w:val="Style21"/>
        <w:keepNext w:val="0"/>
        <w:keepLines w:val="0"/>
        <w:widowControl w:val="0"/>
        <w:shd w:val="clear" w:color="auto" w:fill="auto"/>
        <w:tabs>
          <w:tab w:pos="515" w:val="left"/>
        </w:tabs>
        <w:bidi w:val="0"/>
        <w:spacing w:before="0" w:line="468" w:lineRule="exact"/>
        <w:ind w:left="0" w:right="0" w:firstLine="0"/>
        <w:jc w:val="left"/>
      </w:pPr>
      <w:bookmarkStart w:id="235" w:name="bookmark235"/>
      <w:r>
        <w:rPr>
          <w:b/>
          <w:bCs/>
          <w:color w:val="000000"/>
          <w:spacing w:val="0"/>
          <w:w w:val="100"/>
          <w:position w:val="0"/>
        </w:rPr>
        <w:t>（</w:t>
      </w:r>
      <w:bookmarkEnd w:id="235"/>
      <w:r>
        <w:rPr>
          <w:b/>
          <w:bCs/>
          <w:color w:val="000000"/>
          <w:spacing w:val="0"/>
          <w:w w:val="100"/>
          <w:position w:val="0"/>
        </w:rPr>
        <w:t>一）</w:t>
        <w:tab/>
        <w:t>行业发展趋势</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公司聚焦运动瘦身和慢病管理，所属行业市场需求巨大。以国内市场为例，中国有高血压病患者</w:t>
      </w:r>
      <w:r>
        <w:rPr>
          <w:color w:val="000000"/>
          <w:spacing w:val="0"/>
          <w:w w:val="100"/>
          <w:position w:val="0"/>
          <w:sz w:val="18"/>
          <w:szCs w:val="18"/>
        </w:rPr>
        <w:t>2.2</w:t>
      </w:r>
      <w:r>
        <w:rPr>
          <w:color w:val="000000"/>
          <w:spacing w:val="0"/>
          <w:w w:val="100"/>
          <w:position w:val="0"/>
        </w:rPr>
        <w:t xml:space="preserve">亿人，糖尿病患者 </w:t>
      </w:r>
      <w:r>
        <w:rPr>
          <w:color w:val="000000"/>
          <w:spacing w:val="0"/>
          <w:w w:val="100"/>
          <w:position w:val="0"/>
          <w:sz w:val="18"/>
          <w:szCs w:val="18"/>
        </w:rPr>
        <w:t>9,240</w:t>
      </w:r>
      <w:r>
        <w:rPr>
          <w:color w:val="000000"/>
          <w:spacing w:val="0"/>
          <w:w w:val="100"/>
          <w:position w:val="0"/>
        </w:rPr>
        <w:t>万人，糖尿病前期人员</w:t>
      </w:r>
      <w:r>
        <w:rPr>
          <w:color w:val="000000"/>
          <w:spacing w:val="0"/>
          <w:w w:val="100"/>
          <w:position w:val="0"/>
          <w:sz w:val="18"/>
          <w:szCs w:val="18"/>
        </w:rPr>
        <w:t>1.5</w:t>
      </w:r>
      <w:r>
        <w:rPr>
          <w:color w:val="000000"/>
          <w:spacing w:val="0"/>
          <w:w w:val="100"/>
          <w:position w:val="0"/>
        </w:rPr>
        <w:t>亿人，超重人数</w:t>
      </w:r>
      <w:r>
        <w:rPr>
          <w:color w:val="000000"/>
          <w:spacing w:val="0"/>
          <w:w w:val="100"/>
          <w:position w:val="0"/>
          <w:sz w:val="18"/>
          <w:szCs w:val="18"/>
        </w:rPr>
        <w:t>3.2</w:t>
      </w:r>
      <w:r>
        <w:rPr>
          <w:color w:val="000000"/>
          <w:spacing w:val="0"/>
          <w:w w:val="100"/>
          <w:position w:val="0"/>
        </w:rPr>
        <w:t>亿人，肥胖人数</w:t>
      </w:r>
      <w:r>
        <w:rPr>
          <w:color w:val="000000"/>
          <w:spacing w:val="0"/>
          <w:w w:val="100"/>
          <w:position w:val="0"/>
          <w:sz w:val="18"/>
          <w:szCs w:val="18"/>
        </w:rPr>
        <w:t>1</w:t>
      </w:r>
      <w:r>
        <w:rPr>
          <w:color w:val="000000"/>
          <w:spacing w:val="0"/>
          <w:w w:val="100"/>
          <w:position w:val="0"/>
        </w:rPr>
        <w:t>亿人。同时，中国成年人运动不足率达</w:t>
      </w:r>
      <w:r>
        <w:rPr>
          <w:color w:val="000000"/>
          <w:spacing w:val="0"/>
          <w:w w:val="100"/>
          <w:position w:val="0"/>
          <w:sz w:val="18"/>
          <w:szCs w:val="18"/>
        </w:rPr>
        <w:t>90% （</w:t>
      </w:r>
      <w:r>
        <w:rPr>
          <w:color w:val="000000"/>
          <w:spacing w:val="0"/>
          <w:w w:val="100"/>
          <w:position w:val="0"/>
        </w:rPr>
        <w:t>注：数据 来源：中国高血压防治指南</w:t>
      </w:r>
      <w:r>
        <w:rPr>
          <w:color w:val="000000"/>
          <w:spacing w:val="0"/>
          <w:w w:val="100"/>
          <w:position w:val="0"/>
          <w:sz w:val="18"/>
          <w:szCs w:val="18"/>
        </w:rPr>
        <w:t>2016</w:t>
      </w:r>
      <w:r>
        <w:rPr>
          <w:color w:val="000000"/>
          <w:spacing w:val="0"/>
          <w:w w:val="100"/>
          <w:position w:val="0"/>
        </w:rPr>
        <w:t>修订版；中国</w:t>
      </w:r>
      <w:r>
        <w:rPr>
          <w:color w:val="000000"/>
          <w:spacing w:val="0"/>
          <w:w w:val="100"/>
          <w:position w:val="0"/>
          <w:sz w:val="18"/>
          <w:szCs w:val="18"/>
        </w:rPr>
        <w:t>2</w:t>
      </w:r>
      <w:r>
        <w:rPr>
          <w:color w:val="000000"/>
          <w:spacing w:val="0"/>
          <w:w w:val="100"/>
          <w:position w:val="0"/>
        </w:rPr>
        <w:t>型糖尿病防治指南</w:t>
      </w:r>
      <w:r>
        <w:rPr>
          <w:color w:val="000000"/>
          <w:spacing w:val="0"/>
          <w:w w:val="100"/>
          <w:position w:val="0"/>
          <w:sz w:val="18"/>
          <w:szCs w:val="18"/>
        </w:rPr>
        <w:t>（2013</w:t>
      </w:r>
      <w:r>
        <w:rPr>
          <w:color w:val="000000"/>
          <w:spacing w:val="0"/>
          <w:w w:val="100"/>
          <w:position w:val="0"/>
        </w:rPr>
        <w:t>年版）；</w:t>
      </w:r>
      <w:r>
        <w:rPr>
          <w:color w:val="000000"/>
          <w:spacing w:val="0"/>
          <w:w w:val="100"/>
          <w:position w:val="0"/>
          <w:sz w:val="18"/>
          <w:szCs w:val="18"/>
        </w:rPr>
        <w:t>2010</w:t>
      </w:r>
      <w:r>
        <w:rPr>
          <w:color w:val="000000"/>
          <w:spacing w:val="0"/>
          <w:w w:val="100"/>
          <w:position w:val="0"/>
        </w:rPr>
        <w:t>年中国国民体质监测；国家体育总局</w:t>
      </w:r>
      <w:r>
        <w:rPr>
          <w:color w:val="000000"/>
          <w:spacing w:val="0"/>
          <w:w w:val="100"/>
          <w:position w:val="0"/>
          <w:sz w:val="18"/>
          <w:szCs w:val="18"/>
        </w:rPr>
        <w:t xml:space="preserve">2013 </w:t>
      </w:r>
      <w:r>
        <w:rPr>
          <w:color w:val="000000"/>
          <w:spacing w:val="0"/>
          <w:w w:val="100"/>
          <w:position w:val="0"/>
        </w:rPr>
        <w:t>数据）。而国家对运动瘦身、慢病管理出台了大量的政策支持，如《中国防治慢性病中长期规划（</w:t>
      </w:r>
      <w:r>
        <w:rPr>
          <w:color w:val="000000"/>
          <w:spacing w:val="0"/>
          <w:w w:val="100"/>
          <w:position w:val="0"/>
          <w:sz w:val="18"/>
          <w:szCs w:val="18"/>
        </w:rPr>
        <w:t>2017—2025）</w:t>
      </w:r>
      <w:r>
        <w:rPr>
          <w:color w:val="000000"/>
          <w:spacing w:val="0"/>
          <w:w w:val="100"/>
          <w:position w:val="0"/>
        </w:rPr>
        <w:t>》、《“健康中 国</w:t>
      </w:r>
      <w:r>
        <w:rPr>
          <w:color w:val="000000"/>
          <w:spacing w:val="0"/>
          <w:w w:val="100"/>
          <w:position w:val="0"/>
          <w:sz w:val="18"/>
          <w:szCs w:val="18"/>
        </w:rPr>
        <w:t>2030”</w:t>
      </w:r>
      <w:r>
        <w:rPr>
          <w:color w:val="000000"/>
          <w:spacing w:val="0"/>
          <w:w w:val="100"/>
          <w:position w:val="0"/>
        </w:rPr>
        <w:t>规划纲要》、《关于加快发展健身休闲产业的指导意见》、《中国制造</w:t>
      </w:r>
      <w:r>
        <w:rPr>
          <w:color w:val="000000"/>
          <w:spacing w:val="0"/>
          <w:w w:val="100"/>
          <w:position w:val="0"/>
          <w:sz w:val="18"/>
          <w:szCs w:val="18"/>
        </w:rPr>
        <w:t>2025</w:t>
      </w:r>
      <w:r>
        <w:rPr>
          <w:color w:val="000000"/>
          <w:spacing w:val="0"/>
          <w:w w:val="100"/>
          <w:position w:val="0"/>
        </w:rPr>
        <w:t>》（关于可穿戴、远程诊疗方向）、《关于促 进健康服务业发展的若干意见》等系列政策。</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公司的主要硬件产品为电子健康秤（分为电子体重秤和电子厨房秤）、脂肪测量仪、可穿戴运动手环（手表）、电子血压 计等。对国内自有品牌业务，公司还提供乐心云平台、</w:t>
      </w:r>
      <w:r>
        <w:rPr>
          <w:color w:val="000000"/>
          <w:spacing w:val="0"/>
          <w:w w:val="100"/>
          <w:position w:val="0"/>
          <w:sz w:val="18"/>
          <w:szCs w:val="18"/>
        </w:rPr>
        <w:t>APP</w:t>
      </w:r>
      <w:r>
        <w:rPr>
          <w:color w:val="000000"/>
          <w:spacing w:val="0"/>
          <w:w w:val="100"/>
          <w:position w:val="0"/>
        </w:rPr>
        <w:t>客户端等互联网产品，针对运动瘦身和慢病管理领域提供软件和 智能硬件一体化解决方案。公司业务跨越医疗器械，智能可穿戴设备，智能健康医疗等多个行业或领域。而围绕健康管理事 业的具有内在逻辑性的业务跨界，正是公司区别于同业者的鲜明特点。</w:t>
      </w:r>
    </w:p>
    <w:p>
      <w:pPr>
        <w:pStyle w:val="Style21"/>
        <w:keepNext w:val="0"/>
        <w:keepLines w:val="0"/>
        <w:widowControl w:val="0"/>
        <w:shd w:val="clear" w:color="auto" w:fill="auto"/>
        <w:bidi w:val="0"/>
        <w:spacing w:before="0" w:after="160" w:line="468" w:lineRule="exact"/>
        <w:ind w:left="0" w:right="0" w:firstLine="380"/>
        <w:jc w:val="both"/>
      </w:pPr>
      <w:r>
        <w:rPr>
          <w:color w:val="000000"/>
          <w:spacing w:val="0"/>
          <w:w w:val="100"/>
          <w:position w:val="0"/>
        </w:rPr>
        <w:t>公司的医疗器械产品主要为家用医疗器械，产品具有操作简单、携带方便等特点，行业发展趋于成熟，目前正朝着智能 化、可穿戴、多功能及互联网医疗方向发展。以可穿戴运动手环（手表）为代表的智能可穿戴设备在</w:t>
      </w:r>
      <w:r>
        <w:rPr>
          <w:color w:val="000000"/>
          <w:spacing w:val="0"/>
          <w:w w:val="100"/>
          <w:position w:val="0"/>
          <w:sz w:val="18"/>
          <w:szCs w:val="18"/>
        </w:rPr>
        <w:t>2015</w:t>
      </w:r>
      <w:r>
        <w:rPr>
          <w:color w:val="000000"/>
          <w:spacing w:val="0"/>
          <w:w w:val="100"/>
          <w:position w:val="0"/>
        </w:rPr>
        <w:t>年爆发并迅猛增长, 在</w:t>
      </w:r>
      <w:r>
        <w:rPr>
          <w:color w:val="000000"/>
          <w:spacing w:val="0"/>
          <w:w w:val="100"/>
          <w:position w:val="0"/>
          <w:sz w:val="18"/>
          <w:szCs w:val="18"/>
        </w:rPr>
        <w:t>2016</w:t>
      </w:r>
      <w:r>
        <w:rPr>
          <w:color w:val="000000"/>
          <w:spacing w:val="0"/>
          <w:w w:val="100"/>
          <w:position w:val="0"/>
        </w:rPr>
        <w:t>年下半年进入调整期，但行业增速仍然较快，产品附加值不断提升，随着技术和模式的创新加速必将取得新一波爆发 式增长。以“智能硬件+软件+服务”组合的智能健康医疗，通过智能硬件和软件的结合，通过数据监测、存储、分析、反馈、 共享、激励和干预，最终实现医疗保健价值，目前还处于模式研究和数据积累期，需重点探索行业商业模式和盈利模式，未 来具备巨大的市场空间。</w:t>
      </w:r>
    </w:p>
    <w:p>
      <w:pPr>
        <w:pStyle w:val="Style21"/>
        <w:keepNext w:val="0"/>
        <w:keepLines w:val="0"/>
        <w:widowControl w:val="0"/>
        <w:shd w:val="clear" w:color="auto" w:fill="auto"/>
        <w:tabs>
          <w:tab w:pos="515" w:val="left"/>
        </w:tabs>
        <w:bidi w:val="0"/>
        <w:spacing w:before="0" w:after="160" w:line="468" w:lineRule="exact"/>
        <w:ind w:left="0" w:right="0" w:firstLine="0"/>
        <w:jc w:val="left"/>
      </w:pPr>
      <w:bookmarkStart w:id="236" w:name="bookmark236"/>
      <w:r>
        <w:rPr>
          <w:b/>
          <w:bCs/>
          <w:color w:val="000000"/>
          <w:spacing w:val="0"/>
          <w:w w:val="100"/>
          <w:position w:val="0"/>
        </w:rPr>
        <w:t>（</w:t>
      </w:r>
      <w:bookmarkEnd w:id="236"/>
      <w:r>
        <w:rPr>
          <w:b/>
          <w:bCs/>
          <w:color w:val="000000"/>
          <w:spacing w:val="0"/>
          <w:w w:val="100"/>
          <w:position w:val="0"/>
        </w:rPr>
        <w:t>二）</w:t>
        <w:tab/>
        <w:t>公司发展战略</w:t>
      </w:r>
    </w:p>
    <w:p>
      <w:pPr>
        <w:pStyle w:val="Style21"/>
        <w:keepNext w:val="0"/>
        <w:keepLines w:val="0"/>
        <w:widowControl w:val="0"/>
        <w:shd w:val="clear" w:color="auto" w:fill="auto"/>
        <w:bidi w:val="0"/>
        <w:spacing w:before="0" w:after="0" w:line="451" w:lineRule="exact"/>
        <w:ind w:left="0" w:right="0" w:firstLine="380"/>
        <w:jc w:val="both"/>
      </w:pPr>
      <w:r>
        <w:rPr>
          <w:color w:val="000000"/>
          <w:spacing w:val="0"/>
          <w:w w:val="100"/>
          <w:position w:val="0"/>
        </w:rPr>
        <w:t>公司将继续致力于健康管理事业，在国内市场大力发展自有品牌，顺应行业发展趋势并结合公司先发优势，大力提升智 能产品市场份额，在国外市场保持以</w:t>
      </w:r>
      <w:r>
        <w:rPr>
          <w:color w:val="000000"/>
          <w:spacing w:val="0"/>
          <w:w w:val="100"/>
          <w:position w:val="0"/>
          <w:sz w:val="18"/>
          <w:szCs w:val="18"/>
        </w:rPr>
        <w:t>ODM</w:t>
      </w:r>
      <w:r>
        <w:rPr>
          <w:color w:val="000000"/>
          <w:spacing w:val="0"/>
          <w:w w:val="100"/>
          <w:position w:val="0"/>
        </w:rPr>
        <w:t>模式为主的外销业务稳定增长。</w:t>
      </w:r>
    </w:p>
    <w:p>
      <w:pPr>
        <w:pStyle w:val="Style21"/>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公司以基于移动互联网的智能产品为入口，加大乐心健康云平台的建设，通过自身并联合第三方健康医疗服务机构为用 户提供个性化增值服务，实施运动瘦身和慢病管理，进而全面实施个人健康管理的闭环。</w:t>
      </w:r>
    </w:p>
    <w:p>
      <w:pPr>
        <w:pStyle w:val="Style21"/>
        <w:keepNext w:val="0"/>
        <w:keepLines w:val="0"/>
        <w:widowControl w:val="0"/>
        <w:shd w:val="clear" w:color="auto" w:fill="auto"/>
        <w:bidi w:val="0"/>
        <w:spacing w:before="0" w:after="160" w:line="475" w:lineRule="exact"/>
        <w:ind w:left="0" w:right="0" w:firstLine="38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公司立足现实，着眼长远，厚积薄发。未来几年内硬件设备销售仍然是公司营业收入的主要构成。持续加强研发投入，</w:t>
      </w:r>
    </w:p>
    <w:p>
      <w:pPr>
        <w:pStyle w:val="Style2"/>
        <w:keepNext w:val="0"/>
        <w:keepLines w:val="0"/>
        <w:widowControl w:val="0"/>
        <w:shd w:val="clear" w:color="auto" w:fill="auto"/>
        <w:bidi w:val="0"/>
        <w:spacing w:before="0" w:after="40" w:line="240" w:lineRule="auto"/>
        <w:ind w:left="0" w:right="0" w:firstLine="160"/>
        <w:jc w:val="left"/>
        <w:rPr>
          <w:sz w:val="22"/>
          <w:szCs w:val="22"/>
        </w:rPr>
      </w:pPr>
      <w:r>
        <w:rPr>
          <w:rFonts w:ascii="SimHei" w:eastAsia="SimHei" w:hAnsi="SimHei" w:cs="SimHei"/>
          <w:color w:val="897684"/>
          <w:spacing w:val="0"/>
          <w:w w:val="100"/>
          <w:position w:val="0"/>
          <w:sz w:val="22"/>
          <w:szCs w:val="22"/>
        </w:rPr>
        <w:t>材#乐心医疗</w:t>
      </w:r>
    </w:p>
    <w:p>
      <w:pPr>
        <w:pStyle w:val="Style21"/>
        <w:keepNext w:val="0"/>
        <w:keepLines w:val="0"/>
        <w:widowControl w:val="0"/>
        <w:shd w:val="clear" w:color="auto" w:fill="auto"/>
        <w:bidi w:val="0"/>
        <w:spacing w:before="0" w:after="140" w:line="471" w:lineRule="exact"/>
        <w:ind w:left="0" w:right="0" w:firstLine="0"/>
        <w:jc w:val="left"/>
      </w:pPr>
      <w:r>
        <w:rPr>
          <w:color w:val="000000"/>
          <w:spacing w:val="0"/>
          <w:w w:val="100"/>
          <w:position w:val="0"/>
        </w:rPr>
        <w:t>确定技术、产品/服务和模式的持续创新是公司长远发展的基础。</w:t>
      </w:r>
    </w:p>
    <w:p>
      <w:pPr>
        <w:pStyle w:val="Style21"/>
        <w:keepNext w:val="0"/>
        <w:keepLines w:val="0"/>
        <w:widowControl w:val="0"/>
        <w:shd w:val="clear" w:color="auto" w:fill="auto"/>
        <w:tabs>
          <w:tab w:pos="527" w:val="left"/>
        </w:tabs>
        <w:bidi w:val="0"/>
        <w:spacing w:before="0" w:after="140" w:line="471" w:lineRule="exact"/>
        <w:ind w:left="0" w:right="0" w:firstLine="0"/>
        <w:jc w:val="left"/>
      </w:pPr>
      <w:bookmarkStart w:id="237" w:name="bookmark237"/>
      <w:r>
        <w:rPr>
          <w:b/>
          <w:bCs/>
          <w:color w:val="000000"/>
          <w:spacing w:val="0"/>
          <w:w w:val="100"/>
          <w:position w:val="0"/>
        </w:rPr>
        <w:t>（</w:t>
      </w:r>
      <w:bookmarkEnd w:id="237"/>
      <w:r>
        <w:rPr>
          <w:b/>
          <w:bCs/>
          <w:color w:val="000000"/>
          <w:spacing w:val="0"/>
          <w:w w:val="100"/>
          <w:position w:val="0"/>
        </w:rPr>
        <w:t>三）</w:t>
        <w:tab/>
        <w:t>2017年度经营计划</w:t>
      </w:r>
    </w:p>
    <w:p>
      <w:pPr>
        <w:pStyle w:val="Style21"/>
        <w:keepNext w:val="0"/>
        <w:keepLines w:val="0"/>
        <w:widowControl w:val="0"/>
        <w:shd w:val="clear" w:color="auto" w:fill="auto"/>
        <w:tabs>
          <w:tab w:pos="320" w:val="left"/>
        </w:tabs>
        <w:bidi w:val="0"/>
        <w:spacing w:before="0" w:after="0" w:line="471" w:lineRule="exact"/>
        <w:ind w:left="0" w:right="0" w:firstLine="0"/>
        <w:jc w:val="left"/>
      </w:pPr>
      <w:bookmarkStart w:id="238" w:name="bookmark238"/>
      <w:r>
        <w:rPr>
          <w:color w:val="000000"/>
          <w:spacing w:val="0"/>
          <w:w w:val="100"/>
          <w:position w:val="0"/>
          <w:sz w:val="18"/>
          <w:szCs w:val="18"/>
        </w:rPr>
        <w:t>1</w:t>
      </w:r>
      <w:bookmarkEnd w:id="238"/>
      <w:r>
        <w:rPr>
          <w:color w:val="000000"/>
          <w:spacing w:val="0"/>
          <w:w w:val="100"/>
          <w:position w:val="0"/>
        </w:rPr>
        <w:t>、</w:t>
        <w:tab/>
        <w:t>加大营销推广力度，积极提升营收规模，保持营收和利润的积极健康增长。</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公司将增加对海外业务在研发、供应链、营销推广方面的投入，确保海外业务健康稳定增长，扭转过去几年因公司资源 有限对海外业务投入不足，海外业务营收增长放缓的局面。国内业务仍然是公司</w:t>
      </w:r>
      <w:r>
        <w:rPr>
          <w:color w:val="000000"/>
          <w:spacing w:val="0"/>
          <w:w w:val="100"/>
          <w:position w:val="0"/>
          <w:sz w:val="18"/>
          <w:szCs w:val="18"/>
        </w:rPr>
        <w:t>2017</w:t>
      </w:r>
      <w:r>
        <w:rPr>
          <w:color w:val="000000"/>
          <w:spacing w:val="0"/>
          <w:w w:val="100"/>
          <w:position w:val="0"/>
        </w:rPr>
        <w:t>年经营目标的重点，公司将全面保持线 上渠道的优势，积极拓展并深入运营线下渠道，打造完备的线下经销商体系，支持公司长期业绩增长。通过营收的提升，增 加销售毛利，以更好承接公司研发、销售、市场推广等费用的增加。</w:t>
      </w:r>
    </w:p>
    <w:p>
      <w:pPr>
        <w:pStyle w:val="Style21"/>
        <w:keepNext w:val="0"/>
        <w:keepLines w:val="0"/>
        <w:widowControl w:val="0"/>
        <w:shd w:val="clear" w:color="auto" w:fill="auto"/>
        <w:tabs>
          <w:tab w:pos="330" w:val="left"/>
        </w:tabs>
        <w:bidi w:val="0"/>
        <w:spacing w:before="0" w:after="0" w:line="471" w:lineRule="exact"/>
        <w:ind w:left="0" w:right="0" w:firstLine="0"/>
        <w:jc w:val="left"/>
      </w:pPr>
      <w:bookmarkStart w:id="239" w:name="bookmark239"/>
      <w:r>
        <w:rPr>
          <w:color w:val="000000"/>
          <w:spacing w:val="0"/>
          <w:w w:val="100"/>
          <w:position w:val="0"/>
          <w:sz w:val="18"/>
          <w:szCs w:val="18"/>
        </w:rPr>
        <w:t>2</w:t>
      </w:r>
      <w:bookmarkEnd w:id="239"/>
      <w:r>
        <w:rPr>
          <w:color w:val="000000"/>
          <w:spacing w:val="0"/>
          <w:w w:val="100"/>
          <w:position w:val="0"/>
        </w:rPr>
        <w:t>、</w:t>
        <w:tab/>
        <w:t>加大研发投入，优化研发布局，支持公司年度经营目标和长期发展。</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公司以技术和创新立业，一直注重研发投入。在</w:t>
      </w:r>
      <w:r>
        <w:rPr>
          <w:color w:val="000000"/>
          <w:spacing w:val="0"/>
          <w:w w:val="100"/>
          <w:position w:val="0"/>
          <w:sz w:val="18"/>
          <w:szCs w:val="18"/>
        </w:rPr>
        <w:t>2016</w:t>
      </w:r>
      <w:r>
        <w:rPr>
          <w:color w:val="000000"/>
          <w:spacing w:val="0"/>
          <w:w w:val="100"/>
          <w:position w:val="0"/>
        </w:rPr>
        <w:t>年基础上，公司</w:t>
      </w:r>
      <w:r>
        <w:rPr>
          <w:color w:val="000000"/>
          <w:spacing w:val="0"/>
          <w:w w:val="100"/>
          <w:position w:val="0"/>
          <w:sz w:val="18"/>
          <w:szCs w:val="18"/>
        </w:rPr>
        <w:t>2017</w:t>
      </w:r>
      <w:r>
        <w:rPr>
          <w:color w:val="000000"/>
          <w:spacing w:val="0"/>
          <w:w w:val="100"/>
          <w:position w:val="0"/>
        </w:rPr>
        <w:t>年研发投入金额将进一步加大，并通过对研发 体系的不断优化，提升研发产出水平。公司研发人员已涵盖工业设计，软硬件产品，基础研究和算法，云端和</w:t>
      </w:r>
      <w:r>
        <w:rPr>
          <w:color w:val="000000"/>
          <w:spacing w:val="0"/>
          <w:w w:val="100"/>
          <w:position w:val="0"/>
          <w:sz w:val="18"/>
          <w:szCs w:val="18"/>
        </w:rPr>
        <w:t>APP,</w:t>
      </w:r>
      <w:r>
        <w:rPr>
          <w:color w:val="000000"/>
          <w:spacing w:val="0"/>
          <w:w w:val="100"/>
          <w:position w:val="0"/>
        </w:rPr>
        <w:t>工程和 认证等多个领域。</w:t>
      </w:r>
      <w:r>
        <w:rPr>
          <w:color w:val="000000"/>
          <w:spacing w:val="0"/>
          <w:w w:val="100"/>
          <w:position w:val="0"/>
          <w:sz w:val="18"/>
          <w:szCs w:val="18"/>
        </w:rPr>
        <w:t>2017</w:t>
      </w:r>
      <w:r>
        <w:rPr>
          <w:color w:val="000000"/>
          <w:spacing w:val="0"/>
          <w:w w:val="100"/>
          <w:position w:val="0"/>
        </w:rPr>
        <w:t>年，公司将进一步提升产品品质和体验，进一步加强算法和基础研究，提升对多个硬件设备采集的数 据及其之间关系的研究和应用能力。同时，对公司探索的新业务、新模式提供产品和技术支持。</w:t>
      </w:r>
    </w:p>
    <w:p>
      <w:pPr>
        <w:pStyle w:val="Style21"/>
        <w:keepNext w:val="0"/>
        <w:keepLines w:val="0"/>
        <w:widowControl w:val="0"/>
        <w:shd w:val="clear" w:color="auto" w:fill="auto"/>
        <w:tabs>
          <w:tab w:pos="330" w:val="left"/>
        </w:tabs>
        <w:bidi w:val="0"/>
        <w:spacing w:before="0" w:after="0" w:line="471" w:lineRule="exact"/>
        <w:ind w:left="0" w:right="0" w:firstLine="0"/>
        <w:jc w:val="left"/>
      </w:pPr>
      <w:bookmarkStart w:id="240" w:name="bookmark240"/>
      <w:r>
        <w:rPr>
          <w:color w:val="000000"/>
          <w:spacing w:val="0"/>
          <w:w w:val="100"/>
          <w:position w:val="0"/>
          <w:sz w:val="18"/>
          <w:szCs w:val="18"/>
        </w:rPr>
        <w:t>3</w:t>
      </w:r>
      <w:bookmarkEnd w:id="240"/>
      <w:r>
        <w:rPr>
          <w:color w:val="000000"/>
          <w:spacing w:val="0"/>
          <w:w w:val="100"/>
          <w:position w:val="0"/>
        </w:rPr>
        <w:t>、</w:t>
        <w:tab/>
        <w:t>提升品牌形象，加大推广力度</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公司注重研发投入，而品牌方面投入较少。公司自有品牌产品面向</w:t>
      </w:r>
      <w:r>
        <w:rPr>
          <w:color w:val="000000"/>
          <w:spacing w:val="0"/>
          <w:w w:val="100"/>
          <w:position w:val="0"/>
          <w:sz w:val="18"/>
          <w:szCs w:val="18"/>
        </w:rPr>
        <w:t>C</w:t>
      </w:r>
      <w:r>
        <w:rPr>
          <w:color w:val="000000"/>
          <w:spacing w:val="0"/>
          <w:w w:val="100"/>
          <w:position w:val="0"/>
        </w:rPr>
        <w:t>端市场，品牌知名度和美誉度对消费者认知、转化 率、消费者获得感都有重大影响。</w:t>
      </w:r>
      <w:r>
        <w:rPr>
          <w:color w:val="000000"/>
          <w:spacing w:val="0"/>
          <w:w w:val="100"/>
          <w:position w:val="0"/>
          <w:sz w:val="18"/>
          <w:szCs w:val="18"/>
        </w:rPr>
        <w:t>2017</w:t>
      </w:r>
      <w:r>
        <w:rPr>
          <w:color w:val="000000"/>
          <w:spacing w:val="0"/>
          <w:w w:val="100"/>
          <w:position w:val="0"/>
        </w:rPr>
        <w:t>年，公司通过品牌视觉更新，官网重建，年度品牌推广和策划计划的执行，创新推广 手段等多种方式，大幅提升品牌形象，借助公司在创业板上市这一契机，力争</w:t>
      </w:r>
      <w:r>
        <w:rPr>
          <w:color w:val="000000"/>
          <w:spacing w:val="0"/>
          <w:w w:val="100"/>
          <w:position w:val="0"/>
          <w:sz w:val="18"/>
          <w:szCs w:val="18"/>
        </w:rPr>
        <w:t>2017</w:t>
      </w:r>
      <w:r>
        <w:rPr>
          <w:color w:val="000000"/>
          <w:spacing w:val="0"/>
          <w:w w:val="100"/>
          <w:position w:val="0"/>
        </w:rPr>
        <w:t>年将主品牌“乐心”打造为国内知名的健 康智能品牌，尽快填补公司在自有品牌建设方面的短板。</w:t>
      </w:r>
    </w:p>
    <w:p>
      <w:pPr>
        <w:pStyle w:val="Style21"/>
        <w:keepNext w:val="0"/>
        <w:keepLines w:val="0"/>
        <w:widowControl w:val="0"/>
        <w:shd w:val="clear" w:color="auto" w:fill="auto"/>
        <w:tabs>
          <w:tab w:pos="335" w:val="left"/>
        </w:tabs>
        <w:bidi w:val="0"/>
        <w:spacing w:before="0" w:after="0" w:line="471" w:lineRule="exact"/>
        <w:ind w:left="0" w:right="0" w:firstLine="0"/>
        <w:jc w:val="left"/>
      </w:pPr>
      <w:bookmarkStart w:id="241" w:name="bookmark241"/>
      <w:r>
        <w:rPr>
          <w:color w:val="000000"/>
          <w:spacing w:val="0"/>
          <w:w w:val="100"/>
          <w:position w:val="0"/>
          <w:sz w:val="18"/>
          <w:szCs w:val="18"/>
        </w:rPr>
        <w:t>4</w:t>
      </w:r>
      <w:bookmarkEnd w:id="241"/>
      <w:r>
        <w:rPr>
          <w:color w:val="000000"/>
          <w:spacing w:val="0"/>
          <w:w w:val="100"/>
          <w:position w:val="0"/>
        </w:rPr>
        <w:t>、</w:t>
        <w:tab/>
        <w:t>积极拓展外延式发展</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做大做强主业是公司管理层的一贯宗旨。但运动瘦身和慢病管理领域，技术涉及面广，利益关系复杂，有必要借助外部 优势力量。公司将积极寻求同公司主业相关，可发挥公司优势，实现资源整合，具有协同效应的项目，开展包括股权在内的 深度合作。公司基于过往</w:t>
      </w:r>
      <w:r>
        <w:rPr>
          <w:color w:val="000000"/>
          <w:spacing w:val="0"/>
          <w:w w:val="100"/>
          <w:position w:val="0"/>
          <w:sz w:val="18"/>
          <w:szCs w:val="18"/>
        </w:rPr>
        <w:t>15</w:t>
      </w:r>
      <w:r>
        <w:rPr>
          <w:color w:val="000000"/>
          <w:spacing w:val="0"/>
          <w:w w:val="100"/>
          <w:position w:val="0"/>
        </w:rPr>
        <w:t>年的发展和多次成功转型，对行业和技术发展趋势有充分的理解，有能力甄别项目实质，识别项 目风险。</w:t>
      </w:r>
    </w:p>
    <w:p>
      <w:pPr>
        <w:pStyle w:val="Style21"/>
        <w:keepNext w:val="0"/>
        <w:keepLines w:val="0"/>
        <w:widowControl w:val="0"/>
        <w:shd w:val="clear" w:color="auto" w:fill="auto"/>
        <w:tabs>
          <w:tab w:pos="335" w:val="left"/>
        </w:tabs>
        <w:bidi w:val="0"/>
        <w:spacing w:before="0" w:after="0" w:line="471" w:lineRule="exact"/>
        <w:ind w:left="0" w:right="0" w:firstLine="0"/>
        <w:jc w:val="left"/>
      </w:pPr>
      <w:bookmarkStart w:id="242" w:name="bookmark242"/>
      <w:r>
        <w:rPr>
          <w:color w:val="000000"/>
          <w:spacing w:val="0"/>
          <w:w w:val="100"/>
          <w:position w:val="0"/>
          <w:sz w:val="18"/>
          <w:szCs w:val="18"/>
        </w:rPr>
        <w:t>5</w:t>
      </w:r>
      <w:bookmarkEnd w:id="242"/>
      <w:r>
        <w:rPr>
          <w:color w:val="000000"/>
          <w:spacing w:val="0"/>
          <w:w w:val="100"/>
          <w:position w:val="0"/>
        </w:rPr>
        <w:t>、</w:t>
        <w:tab/>
        <w:t>积极推进募投项目建设</w:t>
      </w:r>
    </w:p>
    <w:p>
      <w:pPr>
        <w:pStyle w:val="Style21"/>
        <w:keepNext w:val="0"/>
        <w:keepLines w:val="0"/>
        <w:widowControl w:val="0"/>
        <w:shd w:val="clear" w:color="auto" w:fill="auto"/>
        <w:bidi w:val="0"/>
        <w:spacing w:before="0" w:after="140" w:line="490" w:lineRule="exact"/>
        <w:ind w:left="0" w:right="0" w:firstLine="380"/>
        <w:jc w:val="both"/>
      </w:pPr>
      <w:r>
        <w:rPr>
          <w:color w:val="000000"/>
          <w:spacing w:val="0"/>
          <w:w w:val="100"/>
          <w:position w:val="0"/>
        </w:rPr>
        <w:t>公司</w:t>
      </w:r>
      <w:r>
        <w:rPr>
          <w:color w:val="000000"/>
          <w:spacing w:val="0"/>
          <w:w w:val="100"/>
          <w:position w:val="0"/>
          <w:sz w:val="18"/>
          <w:szCs w:val="18"/>
        </w:rPr>
        <w:t>IP</w:t>
      </w:r>
      <w:r>
        <w:rPr>
          <w:color w:val="000000"/>
          <w:spacing w:val="0"/>
          <w:w w:val="100"/>
          <w:position w:val="0"/>
        </w:rPr>
        <w:t>。</w:t>
      </w:r>
      <w:r>
        <w:rPr>
          <w:color w:val="000000"/>
          <w:spacing w:val="0"/>
          <w:w w:val="100"/>
          <w:position w:val="0"/>
        </w:rPr>
        <w:t>募集资金将投向生产基地建设、研发中心建设、营销网络优化</w:t>
      </w:r>
      <w:r>
        <w:rPr>
          <w:color w:val="000000"/>
          <w:spacing w:val="0"/>
          <w:w w:val="100"/>
          <w:position w:val="0"/>
          <w:sz w:val="18"/>
          <w:szCs w:val="18"/>
        </w:rPr>
        <w:t>3</w:t>
      </w:r>
      <w:r>
        <w:rPr>
          <w:color w:val="000000"/>
          <w:spacing w:val="0"/>
          <w:w w:val="100"/>
          <w:position w:val="0"/>
        </w:rPr>
        <w:t>个募投项目。目前各项工作正在有序进行，公司 将积极推进募投项目尽早建设完成，投产使用。</w:t>
      </w:r>
    </w:p>
    <w:p>
      <w:pPr>
        <w:pStyle w:val="Style21"/>
        <w:keepNext w:val="0"/>
        <w:keepLines w:val="0"/>
        <w:widowControl w:val="0"/>
        <w:shd w:val="clear" w:color="auto" w:fill="auto"/>
        <w:tabs>
          <w:tab w:pos="527" w:val="left"/>
        </w:tabs>
        <w:bidi w:val="0"/>
        <w:spacing w:before="0" w:after="140" w:line="471" w:lineRule="exact"/>
        <w:ind w:left="0" w:right="0" w:firstLine="0"/>
        <w:jc w:val="left"/>
      </w:pPr>
      <w:bookmarkStart w:id="243" w:name="bookmark243"/>
      <w:r>
        <w:rPr>
          <w:b/>
          <w:bCs/>
          <w:color w:val="000000"/>
          <w:spacing w:val="0"/>
          <w:w w:val="100"/>
          <w:position w:val="0"/>
        </w:rPr>
        <w:t>（</w:t>
      </w:r>
      <w:bookmarkEnd w:id="243"/>
      <w:r>
        <w:rPr>
          <w:b/>
          <w:bCs/>
          <w:color w:val="000000"/>
          <w:spacing w:val="0"/>
          <w:w w:val="100"/>
          <w:position w:val="0"/>
        </w:rPr>
        <w:t>四）</w:t>
        <w:tab/>
        <w:t>可能面临的风险</w:t>
      </w:r>
    </w:p>
    <w:p>
      <w:pPr>
        <w:pStyle w:val="Style21"/>
        <w:keepNext w:val="0"/>
        <w:keepLines w:val="0"/>
        <w:widowControl w:val="0"/>
        <w:shd w:val="clear" w:color="auto" w:fill="auto"/>
        <w:bidi w:val="0"/>
        <w:spacing w:before="0" w:after="0" w:line="471" w:lineRule="exact"/>
        <w:ind w:left="0" w:right="0" w:firstLine="0"/>
        <w:jc w:val="left"/>
      </w:pPr>
      <w:r>
        <w:rPr>
          <w:color w:val="000000"/>
          <w:spacing w:val="0"/>
          <w:w w:val="100"/>
          <w:position w:val="0"/>
          <w:sz w:val="18"/>
          <w:szCs w:val="18"/>
        </w:rPr>
        <w:t>1</w:t>
      </w:r>
      <w:r>
        <w:rPr>
          <w:color w:val="000000"/>
          <w:spacing w:val="0"/>
          <w:w w:val="100"/>
          <w:position w:val="0"/>
        </w:rPr>
        <w:t>、国际市场风险</w:t>
      </w:r>
    </w:p>
    <w:p>
      <w:pPr>
        <w:pStyle w:val="Style21"/>
        <w:keepNext w:val="0"/>
        <w:keepLines w:val="0"/>
        <w:widowControl w:val="0"/>
        <w:shd w:val="clear" w:color="auto" w:fill="auto"/>
        <w:bidi w:val="0"/>
        <w:spacing w:before="0" w:after="140" w:line="471" w:lineRule="exact"/>
        <w:ind w:left="0" w:right="0" w:firstLine="380"/>
        <w:jc w:val="both"/>
        <w:sectPr>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公司的出口业务以</w:t>
      </w:r>
      <w:r>
        <w:rPr>
          <w:color w:val="000000"/>
          <w:spacing w:val="0"/>
          <w:w w:val="100"/>
          <w:position w:val="0"/>
          <w:sz w:val="18"/>
          <w:szCs w:val="18"/>
        </w:rPr>
        <w:t>ODM</w:t>
      </w:r>
      <w:r>
        <w:rPr>
          <w:color w:val="000000"/>
          <w:spacing w:val="0"/>
          <w:w w:val="100"/>
          <w:position w:val="0"/>
        </w:rPr>
        <w:t>模式主要在欧、美、日、韩等经济发达地区展开，且业务收入占总营收比重较大。如因主要进口</w:t>
      </w:r>
    </w:p>
    <w:p>
      <w:pPr>
        <w:pStyle w:val="Style2"/>
        <w:keepNext w:val="0"/>
        <w:keepLines w:val="0"/>
        <w:widowControl w:val="0"/>
        <w:shd w:val="clear" w:color="auto" w:fill="auto"/>
        <w:bidi w:val="0"/>
        <w:spacing w:before="0" w:after="0" w:line="240" w:lineRule="auto"/>
        <w:ind w:left="0" w:right="0" w:firstLine="160"/>
        <w:jc w:val="both"/>
        <w:rPr>
          <w:sz w:val="22"/>
          <w:szCs w:val="22"/>
        </w:rPr>
      </w:pPr>
      <w:r>
        <w:rPr>
          <w:rFonts w:ascii="SimHei" w:eastAsia="SimHei" w:hAnsi="SimHei" w:cs="SimHei"/>
          <w:color w:val="897684"/>
          <w:spacing w:val="0"/>
          <w:w w:val="100"/>
          <w:position w:val="0"/>
          <w:sz w:val="22"/>
          <w:szCs w:val="22"/>
        </w:rPr>
        <w:t>材#乐心医疗</w:t>
      </w:r>
    </w:p>
    <w:p>
      <w:pPr>
        <w:pStyle w:val="Style21"/>
        <w:keepNext w:val="0"/>
        <w:keepLines w:val="0"/>
        <w:widowControl w:val="0"/>
        <w:shd w:val="clear" w:color="auto" w:fill="auto"/>
        <w:bidi w:val="0"/>
        <w:spacing w:before="0" w:after="0" w:line="467" w:lineRule="exact"/>
        <w:ind w:left="0" w:right="0" w:firstLine="0"/>
        <w:jc w:val="both"/>
      </w:pPr>
      <w:r>
        <w:rPr>
          <w:color w:val="000000"/>
          <w:spacing w:val="0"/>
          <w:w w:val="100"/>
          <w:position w:val="0"/>
        </w:rPr>
        <w:t>国贸易政策和经济形势等发生重大不利变化，或因产品价格、品质、新产品开发能力等不能满足客户需求，导致新业务开拓 失败甚至固有客户流失，影响</w:t>
      </w:r>
      <w:r>
        <w:rPr>
          <w:color w:val="000000"/>
          <w:spacing w:val="0"/>
          <w:w w:val="100"/>
          <w:position w:val="0"/>
          <w:sz w:val="18"/>
          <w:szCs w:val="18"/>
        </w:rPr>
        <w:t>ODM</w:t>
      </w:r>
      <w:r>
        <w:rPr>
          <w:color w:val="000000"/>
          <w:spacing w:val="0"/>
          <w:w w:val="100"/>
          <w:position w:val="0"/>
        </w:rPr>
        <w:t>业务健康稳定发展，是公司在海外市场可能面临的主要风险。</w:t>
      </w:r>
    </w:p>
    <w:p>
      <w:pPr>
        <w:pStyle w:val="Style21"/>
        <w:keepNext w:val="0"/>
        <w:keepLines w:val="0"/>
        <w:widowControl w:val="0"/>
        <w:shd w:val="clear" w:color="auto" w:fill="auto"/>
        <w:tabs>
          <w:tab w:pos="343" w:val="left"/>
        </w:tabs>
        <w:bidi w:val="0"/>
        <w:spacing w:before="0" w:after="0" w:line="467" w:lineRule="exact"/>
        <w:ind w:left="0" w:right="0" w:firstLine="0"/>
        <w:jc w:val="both"/>
      </w:pPr>
      <w:bookmarkStart w:id="244" w:name="bookmark244"/>
      <w:r>
        <w:rPr>
          <w:color w:val="000000"/>
          <w:spacing w:val="0"/>
          <w:w w:val="100"/>
          <w:position w:val="0"/>
          <w:sz w:val="18"/>
          <w:szCs w:val="18"/>
        </w:rPr>
        <w:t>2</w:t>
      </w:r>
      <w:bookmarkEnd w:id="244"/>
      <w:r>
        <w:rPr>
          <w:color w:val="000000"/>
          <w:spacing w:val="0"/>
          <w:w w:val="100"/>
          <w:position w:val="0"/>
        </w:rPr>
        <w:t>、</w:t>
        <w:tab/>
        <w:t>国内市场风险</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公司在国内市场的业务主要以自有品牌的形式展开，市场竞争激烈。竞争对手新品的推出，价格策略的变化，促销政策 和市场推广政策的调整都会对公司国内业务的开展形成风险。同时，若公司市场推广未达到预期效果，线下经销商模式下拓 展终端门店的速度和单店产出不达预期，亦将给国内市场业务发展形成风险。</w:t>
      </w:r>
    </w:p>
    <w:p>
      <w:pPr>
        <w:pStyle w:val="Style21"/>
        <w:keepNext w:val="0"/>
        <w:keepLines w:val="0"/>
        <w:widowControl w:val="0"/>
        <w:shd w:val="clear" w:color="auto" w:fill="auto"/>
        <w:tabs>
          <w:tab w:pos="343" w:val="left"/>
        </w:tabs>
        <w:bidi w:val="0"/>
        <w:spacing w:before="0" w:after="0" w:line="467" w:lineRule="exact"/>
        <w:ind w:left="0" w:right="0" w:firstLine="0"/>
        <w:jc w:val="both"/>
      </w:pPr>
      <w:bookmarkStart w:id="245" w:name="bookmark245"/>
      <w:r>
        <w:rPr>
          <w:color w:val="000000"/>
          <w:spacing w:val="0"/>
          <w:w w:val="100"/>
          <w:position w:val="0"/>
          <w:sz w:val="18"/>
          <w:szCs w:val="18"/>
        </w:rPr>
        <w:t>3</w:t>
      </w:r>
      <w:bookmarkEnd w:id="245"/>
      <w:r>
        <w:rPr>
          <w:color w:val="000000"/>
          <w:spacing w:val="0"/>
          <w:w w:val="100"/>
          <w:position w:val="0"/>
        </w:rPr>
        <w:t>、</w:t>
        <w:tab/>
        <w:t>成本与费用增加影响利润的风险</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公司产品生产过程中所需要的原材料价格存在不确定性，部分材料采购价格、直接人工工资水平受国家产业政策和最低 工资调整等因素影响，其价格提升直接增加公司经营成本，削弱公司产品竞争力，将对公司成本控制和净利润目标达成产生 不利影响，导致成本与费用增加影响利润的风险。</w:t>
      </w:r>
    </w:p>
    <w:p>
      <w:pPr>
        <w:pStyle w:val="Style21"/>
        <w:keepNext w:val="0"/>
        <w:keepLines w:val="0"/>
        <w:widowControl w:val="0"/>
        <w:shd w:val="clear" w:color="auto" w:fill="auto"/>
        <w:tabs>
          <w:tab w:pos="347" w:val="left"/>
        </w:tabs>
        <w:bidi w:val="0"/>
        <w:spacing w:before="0" w:after="0" w:line="467" w:lineRule="exact"/>
        <w:ind w:left="0" w:right="0" w:firstLine="0"/>
        <w:jc w:val="both"/>
      </w:pPr>
      <w:bookmarkStart w:id="246" w:name="bookmark246"/>
      <w:r>
        <w:rPr>
          <w:color w:val="000000"/>
          <w:spacing w:val="0"/>
          <w:w w:val="100"/>
          <w:position w:val="0"/>
          <w:sz w:val="18"/>
          <w:szCs w:val="18"/>
        </w:rPr>
        <w:t>4</w:t>
      </w:r>
      <w:bookmarkEnd w:id="246"/>
      <w:r>
        <w:rPr>
          <w:color w:val="000000"/>
          <w:spacing w:val="0"/>
          <w:w w:val="100"/>
          <w:position w:val="0"/>
        </w:rPr>
        <w:t>、</w:t>
        <w:tab/>
        <w:t>管理风险</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随着业务规模的迅速扩大，公司对管理、技术、营销、业务等方面的中高级人才需求急剧增加，这给公司管理团队的管 理水平及驾驭经营风险的能力带来一定程度的挑战。若公司的技术管理、营销管理、质量控制等能力不能适应公司业务迅速 扩张的要求，人才培养、组织模式和管理制度不能进一步健全和完善，将会导致相应的管理风险。</w:t>
      </w:r>
    </w:p>
    <w:p>
      <w:pPr>
        <w:pStyle w:val="Style21"/>
        <w:keepNext w:val="0"/>
        <w:keepLines w:val="0"/>
        <w:widowControl w:val="0"/>
        <w:shd w:val="clear" w:color="auto" w:fill="auto"/>
        <w:tabs>
          <w:tab w:pos="347" w:val="left"/>
        </w:tabs>
        <w:bidi w:val="0"/>
        <w:spacing w:before="0" w:after="0" w:line="467" w:lineRule="exact"/>
        <w:ind w:left="0" w:right="0" w:firstLine="0"/>
        <w:jc w:val="both"/>
      </w:pPr>
      <w:bookmarkStart w:id="247" w:name="bookmark247"/>
      <w:r>
        <w:rPr>
          <w:color w:val="000000"/>
          <w:spacing w:val="0"/>
          <w:w w:val="100"/>
          <w:position w:val="0"/>
          <w:sz w:val="18"/>
          <w:szCs w:val="18"/>
        </w:rPr>
        <w:t>5</w:t>
      </w:r>
      <w:bookmarkEnd w:id="247"/>
      <w:r>
        <w:rPr>
          <w:color w:val="000000"/>
          <w:spacing w:val="0"/>
          <w:w w:val="100"/>
          <w:position w:val="0"/>
        </w:rPr>
        <w:t>、</w:t>
        <w:tab/>
        <w:t>汇率波动风险</w:t>
      </w:r>
    </w:p>
    <w:p>
      <w:pPr>
        <w:pStyle w:val="Style21"/>
        <w:keepNext w:val="0"/>
        <w:keepLines w:val="0"/>
        <w:widowControl w:val="0"/>
        <w:shd w:val="clear" w:color="auto" w:fill="auto"/>
        <w:bidi w:val="0"/>
        <w:spacing w:before="0" w:after="460" w:line="467" w:lineRule="exact"/>
        <w:ind w:left="0" w:right="0" w:firstLine="380"/>
        <w:jc w:val="both"/>
      </w:pPr>
      <w:r>
        <w:rPr>
          <w:color w:val="000000"/>
          <w:spacing w:val="0"/>
          <w:w w:val="100"/>
          <w:position w:val="0"/>
        </w:rPr>
        <w:t>现阶段，公司的出口业务整体规模较大，报告期内，公司实现出口销售额</w:t>
      </w:r>
      <w:r>
        <w:rPr>
          <w:color w:val="000000"/>
          <w:spacing w:val="0"/>
          <w:w w:val="100"/>
          <w:position w:val="0"/>
          <w:sz w:val="18"/>
          <w:szCs w:val="18"/>
        </w:rPr>
        <w:t>44,492</w:t>
      </w:r>
      <w:r>
        <w:rPr>
          <w:color w:val="000000"/>
          <w:spacing w:val="0"/>
          <w:w w:val="100"/>
          <w:position w:val="0"/>
        </w:rPr>
        <w:t>万元，占总主营收的</w:t>
      </w:r>
      <w:r>
        <w:rPr>
          <w:color w:val="000000"/>
          <w:spacing w:val="0"/>
          <w:w w:val="100"/>
          <w:position w:val="0"/>
          <w:sz w:val="18"/>
          <w:szCs w:val="18"/>
        </w:rPr>
        <w:t>57.75%</w:t>
      </w:r>
      <w:r>
        <w:rPr>
          <w:color w:val="000000"/>
          <w:spacing w:val="0"/>
          <w:w w:val="100"/>
          <w:position w:val="0"/>
        </w:rPr>
        <w:t>。未来，公 司在大力发展自有品牌的同时，国际高端品牌</w:t>
      </w:r>
      <w:r>
        <w:rPr>
          <w:color w:val="000000"/>
          <w:spacing w:val="0"/>
          <w:w w:val="100"/>
          <w:position w:val="0"/>
          <w:sz w:val="18"/>
          <w:szCs w:val="18"/>
        </w:rPr>
        <w:t>ODM</w:t>
      </w:r>
      <w:r>
        <w:rPr>
          <w:color w:val="000000"/>
          <w:spacing w:val="0"/>
          <w:w w:val="100"/>
          <w:position w:val="0"/>
        </w:rPr>
        <w:t>贴牌业务规模也继续保持增长，而外汇汇率的波动将影响公司产品定价或 盈利水平，从而影响到公司产品的价格竞争力，为公司带来一定风险。如果未来我国汇率政策发生重大变化，或者未来人民 币的汇率出现大幅波动，将影响企业汇兑损益，并对净利润产生直接的影响。</w:t>
      </w:r>
    </w:p>
    <w:p>
      <w:pPr>
        <w:pStyle w:val="Style27"/>
        <w:keepNext/>
        <w:keepLines/>
        <w:widowControl w:val="0"/>
        <w:shd w:val="clear" w:color="auto" w:fill="auto"/>
        <w:bidi w:val="0"/>
        <w:spacing w:before="0" w:line="240" w:lineRule="auto"/>
        <w:ind w:left="0" w:right="0" w:firstLine="0"/>
        <w:jc w:val="both"/>
      </w:pPr>
      <w:bookmarkStart w:id="248" w:name="bookmark248"/>
      <w:bookmarkStart w:id="249" w:name="bookmark249"/>
      <w:bookmarkStart w:id="250" w:name="bookmark250"/>
      <w:r>
        <w:rPr>
          <w:color w:val="000000"/>
          <w:spacing w:val="0"/>
          <w:w w:val="100"/>
          <w:position w:val="0"/>
        </w:rPr>
        <w:t>十、接待调研、沟通、采访等活动登记表</w:t>
      </w:r>
      <w:bookmarkEnd w:id="248"/>
      <w:bookmarkEnd w:id="249"/>
      <w:bookmarkEnd w:id="250"/>
    </w:p>
    <w:p>
      <w:pPr>
        <w:pStyle w:val="Style33"/>
        <w:keepNext/>
        <w:keepLines/>
        <w:widowControl w:val="0"/>
        <w:shd w:val="clear" w:color="auto" w:fill="auto"/>
        <w:bidi w:val="0"/>
        <w:spacing w:before="0" w:line="240" w:lineRule="auto"/>
        <w:ind w:left="0" w:right="0" w:firstLine="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、报告期内接待调研、沟通、采访等活动登记表</w:t>
      </w:r>
      <w:bookmarkEnd w:id="251"/>
      <w:bookmarkEnd w:id="252"/>
      <w:bookmarkEnd w:id="254"/>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5" w:lineRule="exact"/>
              <w:ind w:left="0" w:right="0" w:firstLine="0"/>
              <w:jc w:val="both"/>
              <w:rPr>
                <w:sz w:val="17"/>
                <w:szCs w:val="17"/>
              </w:rPr>
            </w:pPr>
            <w:r>
              <w:rPr>
                <w:rFonts w:ascii="SimSun" w:eastAsia="SimSun" w:hAnsi="SimSun" w:cs="SimSun"/>
                <w:color w:val="000000"/>
                <w:spacing w:val="0"/>
                <w:w w:val="100"/>
                <w:position w:val="0"/>
                <w:sz w:val="17"/>
                <w:szCs w:val="17"/>
              </w:rPr>
              <w:t>详见公司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日披露于 巨潮资讯网“投资者关系信息”栏目 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日投资者关系活 动记录表》</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(http://www. cninfo. </w:t>
            </w:r>
            <w:r>
              <w:rPr>
                <w:color w:val="000000"/>
                <w:spacing w:val="0"/>
                <w:w w:val="100"/>
                <w:position w:val="0"/>
              </w:rPr>
              <w:t>com.cn/finalpage/2</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016-12-12Z1202870881.DOC)</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详见公司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日披露于 巨潮资讯网''投资者关系信息”栏目</w:t>
            </w:r>
          </w:p>
        </w:tc>
      </w:tr>
    </w:tbl>
    <w:p>
      <w:pPr>
        <w:sectPr>
          <w:footnotePr>
            <w:pos w:val="pageBottom"/>
            <w:numFmt w:val="decimal"/>
            <w:numRestart w:val="continuous"/>
          </w:footnotePr>
          <w:pgSz w:w="11900" w:h="16840"/>
          <w:pgMar w:top="932" w:right="1109" w:bottom="1201" w:left="1104" w:header="0" w:footer="3" w:gutter="0"/>
          <w:cols w:space="720"/>
          <w:noEndnote/>
          <w:rtlGutter w:val="0"/>
          <w:docGrid w:linePitch="360"/>
        </w:sectPr>
      </w:pPr>
    </w:p>
    <w:tbl>
      <w:tblPr>
        <w:tblOverlap w:val="never"/>
        <w:jc w:val="center"/>
        <w:tblLayout w:type="fixed"/>
      </w:tblPr>
      <w:tblGrid>
        <w:gridCol w:w="2184"/>
        <w:gridCol w:w="2174"/>
        <w:gridCol w:w="2179"/>
        <w:gridCol w:w="304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rPr>
                <w:sz w:val="17"/>
                <w:szCs w:val="17"/>
              </w:rPr>
            </w:pPr>
            <w:r>
              <w:rPr>
                <w:rFonts w:ascii="SimSun" w:eastAsia="SimSun" w:hAnsi="SimSun" w:cs="SimSun"/>
                <w:color w:val="000000"/>
                <w:spacing w:val="0"/>
                <w:w w:val="100"/>
                <w:position w:val="0"/>
                <w:sz w:val="17"/>
                <w:szCs w:val="17"/>
              </w:rPr>
              <w:t>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日投资者关系 活动记录表》</w:t>
            </w:r>
          </w:p>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rPr>
              <w:t xml:space="preserve">(http://www. cninfo. </w:t>
            </w:r>
            <w:r>
              <w:rPr>
                <w:color w:val="000000"/>
                <w:spacing w:val="0"/>
                <w:w w:val="100"/>
                <w:position w:val="0"/>
              </w:rPr>
              <w:t>com.cn/finalpage/2</w:t>
            </w:r>
          </w:p>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rPr>
              <w:t>016-12-14/1202875065.DOC)</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5" w:lineRule="exact"/>
              <w:ind w:left="0" w:right="0" w:firstLine="0"/>
              <w:jc w:val="left"/>
              <w:rPr>
                <w:sz w:val="17"/>
                <w:szCs w:val="17"/>
              </w:rPr>
            </w:pPr>
            <w:r>
              <w:rPr>
                <w:rFonts w:ascii="SimSun" w:eastAsia="SimSun" w:hAnsi="SimSun" w:cs="SimSun"/>
                <w:color w:val="000000"/>
                <w:spacing w:val="0"/>
                <w:w w:val="100"/>
                <w:position w:val="0"/>
                <w:sz w:val="17"/>
                <w:szCs w:val="17"/>
              </w:rPr>
              <w:t>详见公司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日披露于 巨潮资讯网“投资者关系信息”栏目 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日投资者关系 活动记录表》</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http://www. </w:t>
            </w:r>
            <w:r>
              <w:rPr>
                <w:color w:val="000000"/>
                <w:spacing w:val="0"/>
                <w:w w:val="100"/>
                <w:position w:val="0"/>
              </w:rPr>
              <w:t>cninfo.com.cn/finalpage/2</w:t>
            </w:r>
          </w:p>
          <w:p>
            <w:pPr>
              <w:pStyle w:val="Style2"/>
              <w:keepNext w:val="0"/>
              <w:keepLines w:val="0"/>
              <w:widowControl w:val="0"/>
              <w:shd w:val="clear" w:color="auto" w:fill="auto"/>
              <w:bidi w:val="0"/>
              <w:spacing w:before="0" w:after="40" w:line="360" w:lineRule="auto"/>
              <w:ind w:left="0" w:right="0" w:firstLine="0"/>
              <w:jc w:val="left"/>
            </w:pPr>
            <w:r>
              <w:rPr>
                <w:color w:val="000000"/>
                <w:spacing w:val="0"/>
                <w:w w:val="100"/>
                <w:position w:val="0"/>
              </w:rPr>
              <w:t>016-12-22/1202942852.DOC</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196" w:bottom="1441" w:left="1124" w:header="0" w:footer="3" w:gutter="0"/>
          <w:cols w:space="720"/>
          <w:noEndnote/>
          <w:rtlGutter w:val="0"/>
          <w:docGrid w:linePitch="360"/>
        </w:sectPr>
      </w:pPr>
    </w:p>
    <w:p>
      <w:pPr>
        <w:pStyle w:val="Style19"/>
        <w:keepNext/>
        <w:keepLines/>
        <w:widowControl w:val="0"/>
        <w:shd w:val="clear" w:color="auto" w:fill="auto"/>
        <w:bidi w:val="0"/>
        <w:spacing w:before="580" w:line="240" w:lineRule="auto"/>
        <w:ind w:left="0" w:right="0" w:firstLine="0"/>
        <w:jc w:val="center"/>
      </w:pPr>
      <w:bookmarkStart w:id="255" w:name="bookmark255"/>
      <w:bookmarkStart w:id="256" w:name="bookmark256"/>
      <w:bookmarkStart w:id="257" w:name="bookmark257"/>
      <w:r>
        <w:rPr>
          <w:color w:val="000000"/>
          <w:spacing w:val="0"/>
          <w:w w:val="100"/>
          <w:position w:val="0"/>
        </w:rPr>
        <w:t>第五节重要事项</w:t>
      </w:r>
      <w:bookmarkEnd w:id="255"/>
      <w:bookmarkEnd w:id="256"/>
      <w:bookmarkEnd w:id="257"/>
    </w:p>
    <w:p>
      <w:pPr>
        <w:pStyle w:val="Style27"/>
        <w:keepNext/>
        <w:keepLines/>
        <w:widowControl w:val="0"/>
        <w:shd w:val="clear" w:color="auto" w:fill="auto"/>
        <w:bidi w:val="0"/>
        <w:spacing w:before="0" w:after="38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一</w:t>
      </w:r>
      <w:bookmarkEnd w:id="260"/>
      <w:r>
        <w:rPr>
          <w:color w:val="000000"/>
          <w:spacing w:val="0"/>
          <w:w w:val="100"/>
          <w:position w:val="0"/>
        </w:rPr>
        <w:t>、公司普通股利润分配及资本公积金转增股本情况</w:t>
      </w:r>
      <w:bookmarkEnd w:id="258"/>
      <w:bookmarkEnd w:id="259"/>
      <w:bookmarkEnd w:id="261"/>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"口适用口不适用</w:t>
      </w:r>
    </w:p>
    <w:p>
      <w:pPr>
        <w:pStyle w:val="Style21"/>
        <w:keepNext w:val="0"/>
        <w:keepLines w:val="0"/>
        <w:widowControl w:val="0"/>
        <w:shd w:val="clear" w:color="auto" w:fill="auto"/>
        <w:bidi w:val="0"/>
        <w:spacing w:before="0" w:after="140" w:line="470"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年度股东大会并作出决议，以公司股本总数</w:t>
      </w:r>
      <w:r>
        <w:rPr>
          <w:color w:val="000000"/>
          <w:spacing w:val="0"/>
          <w:w w:val="100"/>
          <w:position w:val="0"/>
          <w:sz w:val="18"/>
          <w:szCs w:val="18"/>
        </w:rPr>
        <w:t>4,420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股派送现金股利</w:t>
      </w:r>
      <w:r>
        <w:rPr>
          <w:color w:val="000000"/>
          <w:spacing w:val="0"/>
          <w:w w:val="100"/>
          <w:position w:val="0"/>
          <w:sz w:val="18"/>
          <w:szCs w:val="18"/>
        </w:rPr>
        <w:t>1</w:t>
      </w:r>
      <w:r>
        <w:rPr>
          <w:color w:val="000000"/>
          <w:spacing w:val="0"/>
          <w:w w:val="100"/>
          <w:position w:val="0"/>
          <w:sz w:val="18"/>
          <w:szCs w:val="18"/>
        </w:rPr>
        <w:t xml:space="preserve">.8737 </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合计派发现金股利人民币</w:t>
      </w:r>
      <w:r>
        <w:rPr>
          <w:color w:val="000000"/>
          <w:spacing w:val="0"/>
          <w:w w:val="100"/>
          <w:position w:val="0"/>
          <w:sz w:val="18"/>
          <w:szCs w:val="18"/>
        </w:rPr>
        <w:t>828.18</w:t>
      </w:r>
      <w:r>
        <w:rPr>
          <w:color w:val="000000"/>
          <w:spacing w:val="0"/>
          <w:w w:val="100"/>
          <w:position w:val="0"/>
        </w:rPr>
        <w:t>万元。上述利润分配涉及的自然人股东个人所得税已由公司按规定代扣代缴。</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80" w:line="33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172,289,087.53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以公司股本总数</w:t>
            </w:r>
            <w:r>
              <w:rPr>
                <w:color w:val="000000"/>
                <w:spacing w:val="0"/>
                <w:w w:val="100"/>
                <w:position w:val="0"/>
                <w:sz w:val="18"/>
                <w:szCs w:val="18"/>
              </w:rPr>
              <w:t>5,900</w:t>
            </w:r>
            <w:r>
              <w:rPr>
                <w:rFonts w:ascii="SimSun" w:eastAsia="SimSun" w:hAnsi="SimSun" w:cs="SimSun"/>
                <w:color w:val="000000"/>
                <w:spacing w:val="0"/>
                <w:w w:val="100"/>
                <w:position w:val="0"/>
                <w:sz w:val="17"/>
                <w:szCs w:val="17"/>
              </w:rPr>
              <w:t>万股为基数，每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股派送现金股利</w:t>
            </w:r>
            <w:r>
              <w:rPr>
                <w:color w:val="000000"/>
                <w:spacing w:val="0"/>
                <w:w w:val="100"/>
                <w:position w:val="0"/>
                <w:sz w:val="18"/>
                <w:szCs w:val="18"/>
              </w:rPr>
              <w:t>2.00</w:t>
            </w:r>
            <w:r>
              <w:rPr>
                <w:rFonts w:ascii="SimSun" w:eastAsia="SimSun" w:hAnsi="SimSun" w:cs="SimSun"/>
                <w:color w:val="000000"/>
                <w:spacing w:val="0"/>
                <w:w w:val="100"/>
                <w:position w:val="0"/>
                <w:sz w:val="17"/>
                <w:szCs w:val="17"/>
              </w:rPr>
              <w:t>元（含税），</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年度现金股利共计人民币</w:t>
            </w:r>
            <w:r>
              <w:rPr>
                <w:color w:val="000000"/>
                <w:spacing w:val="0"/>
                <w:w w:val="100"/>
                <w:position w:val="0"/>
                <w:sz w:val="18"/>
                <w:szCs w:val="18"/>
              </w:rPr>
              <w:t xml:space="preserve">11,800,000.00 </w:t>
            </w:r>
            <w:r>
              <w:rPr>
                <w:rFonts w:ascii="SimSun" w:eastAsia="SimSun" w:hAnsi="SimSun" w:cs="SimSun"/>
                <w:color w:val="000000"/>
                <w:spacing w:val="0"/>
                <w:w w:val="100"/>
                <w:position w:val="0"/>
                <w:sz w:val="17"/>
                <w:szCs w:val="17"/>
              </w:rPr>
              <w:t>元。除此之外，公司还将进行资本公积转增股本，以公司股本</w:t>
            </w:r>
            <w:r>
              <w:rPr>
                <w:color w:val="000000"/>
                <w:spacing w:val="0"/>
                <w:w w:val="100"/>
                <w:position w:val="0"/>
                <w:sz w:val="18"/>
                <w:szCs w:val="18"/>
              </w:rPr>
              <w:t>5,900</w:t>
            </w:r>
            <w:r>
              <w:rPr>
                <w:rFonts w:ascii="SimSun" w:eastAsia="SimSun" w:hAnsi="SimSun" w:cs="SimSun"/>
                <w:color w:val="000000"/>
                <w:spacing w:val="0"/>
                <w:w w:val="100"/>
                <w:position w:val="0"/>
                <w:sz w:val="17"/>
                <w:szCs w:val="17"/>
              </w:rPr>
              <w:t>万股为基数，每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22</w:t>
            </w:r>
            <w:r>
              <w:rPr>
                <w:rFonts w:ascii="SimSun" w:eastAsia="SimSun" w:hAnsi="SimSun" w:cs="SimSun"/>
                <w:color w:val="000000"/>
                <w:spacing w:val="0"/>
                <w:w w:val="100"/>
                <w:position w:val="0"/>
                <w:sz w:val="17"/>
                <w:szCs w:val="17"/>
              </w:rPr>
              <w:t>股，合计转增</w:t>
            </w:r>
            <w:r>
              <w:rPr>
                <w:color w:val="000000"/>
                <w:spacing w:val="0"/>
                <w:w w:val="100"/>
                <w:position w:val="0"/>
                <w:sz w:val="18"/>
                <w:szCs w:val="18"/>
              </w:rPr>
              <w:t xml:space="preserve">129,800,000.00 </w:t>
            </w:r>
            <w:r>
              <w:rPr>
                <w:rFonts w:ascii="SimSun" w:eastAsia="SimSun" w:hAnsi="SimSun" w:cs="SimSun"/>
                <w:color w:val="000000"/>
                <w:spacing w:val="0"/>
                <w:w w:val="100"/>
                <w:position w:val="0"/>
                <w:sz w:val="17"/>
                <w:szCs w:val="17"/>
              </w:rPr>
              <w:t>股。本预案需提交公司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年度股东大会审议批准后方可实施。</w:t>
            </w:r>
          </w:p>
        </w:tc>
      </w:tr>
    </w:tbl>
    <w:p>
      <w:pPr>
        <w:pStyle w:val="Style2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1"/>
        <w:keepNext w:val="0"/>
        <w:keepLines w:val="0"/>
        <w:widowControl w:val="0"/>
        <w:shd w:val="clear" w:color="auto" w:fill="auto"/>
        <w:bidi w:val="0"/>
        <w:spacing w:before="0" w:after="260" w:line="240" w:lineRule="auto"/>
        <w:ind w:left="0" w:right="0"/>
        <w:jc w:val="left"/>
      </w:pPr>
      <w:r>
        <w:rPr>
          <w:color w:val="000000"/>
          <w:spacing w:val="0"/>
          <w:w w:val="100"/>
          <w:position w:val="0"/>
          <w:sz w:val="18"/>
          <w:szCs w:val="18"/>
        </w:rPr>
        <w:t>2014</w:t>
      </w:r>
      <w:r>
        <w:rPr>
          <w:color w:val="000000"/>
          <w:spacing w:val="0"/>
          <w:w w:val="100"/>
          <w:position w:val="0"/>
        </w:rPr>
        <w:t>年度，以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4,420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3.236</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现金</w:t>
      </w:r>
      <w:r>
        <w:rPr>
          <w:color w:val="000000"/>
          <w:spacing w:val="0"/>
          <w:w w:val="100"/>
          <w:position w:val="0"/>
          <w:sz w:val="18"/>
          <w:szCs w:val="18"/>
        </w:rPr>
        <w:t>1,430.31</w:t>
      </w:r>
      <w:r>
        <w:rPr>
          <w:color w:val="000000"/>
          <w:spacing w:val="0"/>
          <w:w w:val="100"/>
          <w:position w:val="0"/>
        </w:rPr>
        <w:t>万元人民币。</w:t>
      </w:r>
    </w:p>
    <w:p>
      <w:pPr>
        <w:pStyle w:val="Style21"/>
        <w:keepNext w:val="0"/>
        <w:keepLines w:val="0"/>
        <w:widowControl w:val="0"/>
        <w:shd w:val="clear" w:color="auto" w:fill="auto"/>
        <w:bidi w:val="0"/>
        <w:spacing w:before="0" w:after="260" w:line="240" w:lineRule="auto"/>
        <w:ind w:left="0" w:right="0"/>
        <w:jc w:val="left"/>
      </w:pPr>
      <w:r>
        <w:rPr>
          <w:color w:val="000000"/>
          <w:spacing w:val="0"/>
          <w:w w:val="100"/>
          <w:position w:val="0"/>
          <w:sz w:val="18"/>
          <w:szCs w:val="18"/>
        </w:rPr>
        <w:t>2015</w:t>
      </w:r>
      <w:r>
        <w:rPr>
          <w:color w:val="000000"/>
          <w:spacing w:val="0"/>
          <w:w w:val="100"/>
          <w:position w:val="0"/>
        </w:rPr>
        <w:t>年度，以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4,420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股派送现金股利</w:t>
      </w:r>
      <w:r>
        <w:rPr>
          <w:color w:val="000000"/>
          <w:spacing w:val="0"/>
          <w:w w:val="100"/>
          <w:position w:val="0"/>
          <w:sz w:val="18"/>
          <w:szCs w:val="18"/>
        </w:rPr>
        <w:t>1.8737</w:t>
      </w:r>
      <w:r>
        <w:rPr>
          <w:color w:val="000000"/>
          <w:spacing w:val="0"/>
          <w:w w:val="100"/>
          <w:position w:val="0"/>
        </w:rPr>
        <w:t>元（含税），合计派发现金股利</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人民币</w:t>
      </w:r>
      <w:r>
        <w:rPr>
          <w:color w:val="000000"/>
          <w:spacing w:val="0"/>
          <w:w w:val="100"/>
          <w:position w:val="0"/>
          <w:sz w:val="18"/>
          <w:szCs w:val="18"/>
        </w:rPr>
        <w:t>828.18</w:t>
      </w:r>
      <w:r>
        <w:rPr>
          <w:color w:val="000000"/>
          <w:spacing w:val="0"/>
          <w:w w:val="100"/>
          <w:position w:val="0"/>
        </w:rPr>
        <w:t>万元人民币。</w:t>
      </w:r>
    </w:p>
    <w:p>
      <w:pPr>
        <w:pStyle w:val="Style21"/>
        <w:keepNext w:val="0"/>
        <w:keepLines w:val="0"/>
        <w:widowControl w:val="0"/>
        <w:shd w:val="clear" w:color="auto" w:fill="auto"/>
        <w:bidi w:val="0"/>
        <w:spacing w:before="0" w:after="260" w:line="240" w:lineRule="auto"/>
        <w:ind w:left="0" w:right="0"/>
        <w:jc w:val="left"/>
      </w:pPr>
      <w:r>
        <w:rPr>
          <w:color w:val="000000"/>
          <w:spacing w:val="0"/>
          <w:w w:val="100"/>
          <w:position w:val="0"/>
          <w:sz w:val="18"/>
          <w:szCs w:val="18"/>
        </w:rPr>
        <w:t>2016</w:t>
      </w:r>
      <w:r>
        <w:rPr>
          <w:color w:val="000000"/>
          <w:spacing w:val="0"/>
          <w:w w:val="100"/>
          <w:position w:val="0"/>
        </w:rPr>
        <w:t>年度（预案），以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5,900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股派送现金股利</w:t>
      </w:r>
      <w:r>
        <w:rPr>
          <w:color w:val="000000"/>
          <w:spacing w:val="0"/>
          <w:w w:val="100"/>
          <w:position w:val="0"/>
          <w:sz w:val="18"/>
          <w:szCs w:val="18"/>
        </w:rPr>
        <w:t>2.00</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合计派发现</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金股利共计人民币</w:t>
      </w:r>
      <w:r>
        <w:rPr>
          <w:color w:val="000000"/>
          <w:spacing w:val="0"/>
          <w:w w:val="100"/>
          <w:position w:val="0"/>
          <w:sz w:val="18"/>
          <w:szCs w:val="18"/>
        </w:rPr>
        <w:t>1,18 0</w:t>
      </w:r>
      <w:r>
        <w:rPr>
          <w:color w:val="000000"/>
          <w:spacing w:val="0"/>
          <w:w w:val="100"/>
          <w:position w:val="0"/>
        </w:rPr>
        <w:t>万元人民币；资本公积金转增股本，以每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22</w:t>
      </w:r>
      <w:r>
        <w:rPr>
          <w:color w:val="000000"/>
          <w:spacing w:val="0"/>
          <w:w w:val="100"/>
          <w:position w:val="0"/>
        </w:rPr>
        <w:t>股，合计转增</w:t>
      </w:r>
      <w:r>
        <w:rPr>
          <w:color w:val="000000"/>
          <w:spacing w:val="0"/>
          <w:w w:val="100"/>
          <w:position w:val="0"/>
          <w:sz w:val="18"/>
          <w:szCs w:val="18"/>
        </w:rPr>
        <w:t>12,980.00</w:t>
      </w:r>
      <w:r>
        <w:rPr>
          <w:color w:val="000000"/>
          <w:spacing w:val="0"/>
          <w:w w:val="100"/>
          <w:position w:val="0"/>
        </w:rPr>
        <w:t>万股。</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440"/>
              <w:jc w:val="left"/>
              <w:rPr>
                <w:sz w:val="17"/>
                <w:szCs w:val="17"/>
              </w:rPr>
            </w:pPr>
            <w:r>
              <w:rPr>
                <w:rFonts w:ascii="SimSun" w:eastAsia="SimSun" w:hAnsi="SimSun" w:cs="SimSun"/>
                <w:color w:val="000000"/>
                <w:spacing w:val="0"/>
                <w:w w:val="100"/>
                <w:position w:val="0"/>
                <w:sz w:val="17"/>
                <w:szCs w:val="17"/>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80,520,708.66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8,281,800.00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50,188,819.66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14,303,100.00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45,339,976.07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二</w:t>
      </w:r>
      <w:bookmarkEnd w:id="264"/>
      <w:r>
        <w:rPr>
          <w:color w:val="000000"/>
          <w:spacing w:val="0"/>
          <w:w w:val="100"/>
          <w:position w:val="0"/>
        </w:rPr>
        <w:t>、承诺事项履行情况</w:t>
      </w:r>
      <w:bookmarkEnd w:id="262"/>
      <w:bookmarkEnd w:id="263"/>
      <w:bookmarkEnd w:id="265"/>
    </w:p>
    <w:p>
      <w:pPr>
        <w:pStyle w:val="Style33"/>
        <w:keepNext/>
        <w:keepLines/>
        <w:widowControl w:val="0"/>
        <w:shd w:val="clear" w:color="auto" w:fill="auto"/>
        <w:bidi w:val="0"/>
        <w:spacing w:before="0" w:after="38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、公司实际控制人、股东、关联方、收购人以及公司等承诺相关方在报告期内履行完毕及截至报告期末 尚未履行完毕的承诺事项</w:t>
      </w:r>
      <w:bookmarkEnd w:id="266"/>
      <w:bookmarkEnd w:id="267"/>
      <w:bookmarkEnd w:id="269"/>
    </w:p>
    <w:p>
      <w:pPr>
        <w:pStyle w:val="Style29"/>
        <w:keepNext w:val="0"/>
        <w:keepLines w:val="0"/>
        <w:widowControl w:val="0"/>
        <w:shd w:val="clear" w:color="auto" w:fill="auto"/>
        <w:bidi w:val="0"/>
        <w:spacing w:before="0" w:after="0" w:line="240" w:lineRule="auto"/>
        <w:ind w:left="202" w:right="0" w:firstLine="0"/>
        <w:jc w:val="left"/>
      </w:pPr>
      <w:r>
        <w:rPr>
          <w:color w:val="000000"/>
          <w:spacing w:val="0"/>
          <w:w w:val="100"/>
          <w:position w:val="0"/>
        </w:rPr>
        <w:t>适用 □ 不适用</w:t>
      </w:r>
    </w:p>
    <w:tbl>
      <w:tblPr>
        <w:tblOverlap w:val="never"/>
        <w:jc w:val="center"/>
        <w:tblLayout w:type="fixed"/>
      </w:tblPr>
      <w:tblGrid>
        <w:gridCol w:w="1714"/>
        <w:gridCol w:w="1032"/>
        <w:gridCol w:w="840"/>
        <w:gridCol w:w="3346"/>
        <w:gridCol w:w="826"/>
        <w:gridCol w:w="902"/>
        <w:gridCol w:w="9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承诺期</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履行情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收购报告书或权益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变动报告书中所作</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首次公开发行或再 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公司控股股东、实际控制人潘伟潮承诺， 自公司首次公开发行股票并在创业板上 市之日起三十六个月内，不转让或者委 托他人管理其持有的公司股份，也不由 公司回购其持有的股份。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黄瑜</w:t>
            </w:r>
            <w:r>
              <w:rPr>
                <w:color w:val="000000"/>
                <w:spacing w:val="0"/>
                <w:w w:val="100"/>
                <w:position w:val="0"/>
                <w:sz w:val="18"/>
                <w:szCs w:val="18"/>
              </w:rPr>
              <w:t>;</w:t>
            </w:r>
            <w:r>
              <w:rPr>
                <w:rFonts w:ascii="SimSun" w:eastAsia="SimSun" w:hAnsi="SimSun" w:cs="SimSun"/>
                <w:color w:val="000000"/>
                <w:spacing w:val="0"/>
                <w:w w:val="100"/>
                <w:position w:val="0"/>
                <w:sz w:val="17"/>
                <w:szCs w:val="17"/>
              </w:rPr>
              <w:t>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自公司首次公开发行股票并在创业板上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宏</w:t>
            </w:r>
            <w:r>
              <w:rPr>
                <w:color w:val="000000"/>
                <w:spacing w:val="0"/>
                <w:w w:val="100"/>
                <w:position w:val="0"/>
                <w:sz w:val="18"/>
                <w:szCs w:val="18"/>
              </w:rPr>
              <w:t>;</w:t>
            </w:r>
            <w:r>
              <w:rPr>
                <w:rFonts w:ascii="SimSun" w:eastAsia="SimSun" w:hAnsi="SimSun" w:cs="SimSun"/>
                <w:color w:val="000000"/>
                <w:spacing w:val="0"/>
                <w:w w:val="100"/>
                <w:position w:val="0"/>
                <w:sz w:val="17"/>
                <w:szCs w:val="17"/>
              </w:rPr>
              <w:t>麦炯 章</w:t>
            </w:r>
            <w:r>
              <w:rPr>
                <w:color w:val="000000"/>
                <w:spacing w:val="0"/>
                <w:w w:val="100"/>
                <w:position w:val="0"/>
                <w:sz w:val="18"/>
                <w:szCs w:val="18"/>
              </w:rPr>
              <w:t>;</w:t>
            </w:r>
            <w:r>
              <w:rPr>
                <w:rFonts w:ascii="SimSun" w:eastAsia="SimSun" w:hAnsi="SimSun" w:cs="SimSun"/>
                <w:color w:val="000000"/>
                <w:spacing w:val="0"/>
                <w:w w:val="100"/>
                <w:position w:val="0"/>
                <w:sz w:val="17"/>
                <w:szCs w:val="17"/>
              </w:rPr>
              <w:t>欧高 良</w:t>
            </w:r>
            <w:r>
              <w:rPr>
                <w:color w:val="000000"/>
                <w:spacing w:val="0"/>
                <w:w w:val="100"/>
                <w:position w:val="0"/>
                <w:sz w:val="18"/>
                <w:szCs w:val="18"/>
              </w:rPr>
              <w:t>;</w:t>
            </w:r>
            <w:r>
              <w:rPr>
                <w:rFonts w:ascii="SimSun" w:eastAsia="SimSun" w:hAnsi="SimSun" w:cs="SimSun"/>
                <w:color w:val="000000"/>
                <w:spacing w:val="0"/>
                <w:w w:val="100"/>
                <w:position w:val="0"/>
                <w:sz w:val="17"/>
                <w:szCs w:val="17"/>
              </w:rPr>
              <w:t>沙华 海</w:t>
            </w:r>
            <w:r>
              <w:rPr>
                <w:color w:val="000000"/>
                <w:spacing w:val="0"/>
                <w:w w:val="100"/>
                <w:position w:val="0"/>
                <w:sz w:val="18"/>
                <w:szCs w:val="18"/>
              </w:rPr>
              <w:t>;</w:t>
            </w:r>
            <w:r>
              <w:rPr>
                <w:rFonts w:ascii="SimSun" w:eastAsia="SimSun" w:hAnsi="SimSun" w:cs="SimSun"/>
                <w:color w:val="000000"/>
                <w:spacing w:val="0"/>
                <w:w w:val="100"/>
                <w:position w:val="0"/>
                <w:sz w:val="17"/>
                <w:szCs w:val="17"/>
              </w:rPr>
              <w:t>中山市 汇康股权 投资合伙 企业（有限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中 山市协润 股权投资 合伙企业</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 伙）凋康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市之日起十二个月内，不转让或者委托 他人管理其直接或间接持有的公司股 份，也不由公司回购其直接或间接持有 的股份。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高榕资本</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（深圳）投 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自取得的公司股份完成工商变更登记之 日（</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不转让或者委托他人管理其持有的公司 股份，也不由公司回购其持有的股份； 自公司首次公开发行股票并在创业板上 市之日起十二个月内，不转让或者委托 他人管理其持有的公司股份，也不由公 司回购其持有的股份。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696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黄瑜</w:t>
            </w:r>
            <w:r>
              <w:rPr>
                <w:color w:val="000000"/>
                <w:spacing w:val="0"/>
                <w:w w:val="100"/>
                <w:position w:val="0"/>
                <w:sz w:val="18"/>
                <w:szCs w:val="18"/>
              </w:rPr>
              <w:t>;</w:t>
            </w:r>
            <w:r>
              <w:rPr>
                <w:rFonts w:ascii="SimSun" w:eastAsia="SimSun" w:hAnsi="SimSun" w:cs="SimSun"/>
                <w:color w:val="000000"/>
                <w:spacing w:val="0"/>
                <w:w w:val="100"/>
                <w:position w:val="0"/>
                <w:sz w:val="17"/>
                <w:szCs w:val="17"/>
              </w:rPr>
              <w:t>梁启 光</w:t>
            </w:r>
            <w:r>
              <w:rPr>
                <w:color w:val="000000"/>
                <w:spacing w:val="0"/>
                <w:w w:val="100"/>
                <w:position w:val="0"/>
                <w:sz w:val="18"/>
                <w:szCs w:val="18"/>
              </w:rPr>
              <w:t>;</w:t>
            </w:r>
            <w:r>
              <w:rPr>
                <w:rFonts w:ascii="SimSun" w:eastAsia="SimSun" w:hAnsi="SimSun" w:cs="SimSun"/>
                <w:color w:val="000000"/>
                <w:spacing w:val="0"/>
                <w:w w:val="100"/>
                <w:position w:val="0"/>
                <w:sz w:val="17"/>
                <w:szCs w:val="17"/>
              </w:rPr>
              <w:t>吕宏</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麦炯章</w:t>
            </w:r>
            <w:r>
              <w:rPr>
                <w:color w:val="000000"/>
                <w:spacing w:val="0"/>
                <w:w w:val="100"/>
                <w:position w:val="0"/>
                <w:sz w:val="18"/>
                <w:szCs w:val="18"/>
              </w:rPr>
              <w:t>;</w:t>
            </w:r>
            <w:r>
              <w:rPr>
                <w:rFonts w:ascii="SimSun" w:eastAsia="SimSun" w:hAnsi="SimSun" w:cs="SimSun"/>
                <w:color w:val="000000"/>
                <w:spacing w:val="0"/>
                <w:w w:val="100"/>
                <w:position w:val="0"/>
                <w:sz w:val="17"/>
                <w:szCs w:val="17"/>
              </w:rPr>
              <w:t>欧 高良</w:t>
            </w:r>
            <w:r>
              <w:rPr>
                <w:color w:val="000000"/>
                <w:spacing w:val="0"/>
                <w:w w:val="100"/>
                <w:position w:val="0"/>
                <w:sz w:val="18"/>
                <w:szCs w:val="18"/>
              </w:rPr>
              <w:t>;</w:t>
            </w:r>
            <w:r>
              <w:rPr>
                <w:rFonts w:ascii="SimSun" w:eastAsia="SimSun" w:hAnsi="SimSun" w:cs="SimSun"/>
                <w:color w:val="000000"/>
                <w:spacing w:val="0"/>
                <w:w w:val="100"/>
                <w:position w:val="0"/>
                <w:sz w:val="17"/>
                <w:szCs w:val="17"/>
              </w:rPr>
              <w:t>潘农 菲</w:t>
            </w:r>
            <w:r>
              <w:rPr>
                <w:color w:val="000000"/>
                <w:spacing w:val="0"/>
                <w:w w:val="100"/>
                <w:position w:val="0"/>
                <w:sz w:val="18"/>
                <w:szCs w:val="18"/>
              </w:rPr>
              <w:t>;</w:t>
            </w:r>
            <w:r>
              <w:rPr>
                <w:rFonts w:ascii="SimSun" w:eastAsia="SimSun" w:hAnsi="SimSun" w:cs="SimSun"/>
                <w:color w:val="000000"/>
                <w:spacing w:val="0"/>
                <w:w w:val="100"/>
                <w:position w:val="0"/>
                <w:sz w:val="17"/>
                <w:szCs w:val="17"/>
              </w:rPr>
              <w:t>潘伟 潮</w:t>
            </w:r>
            <w:r>
              <w:rPr>
                <w:color w:val="000000"/>
                <w:spacing w:val="0"/>
                <w:w w:val="100"/>
                <w:position w:val="0"/>
                <w:sz w:val="18"/>
                <w:szCs w:val="18"/>
              </w:rPr>
              <w:t>;</w:t>
            </w:r>
            <w:r>
              <w:rPr>
                <w:rFonts w:ascii="SimSun" w:eastAsia="SimSun" w:hAnsi="SimSun" w:cs="SimSun"/>
                <w:color w:val="000000"/>
                <w:spacing w:val="0"/>
                <w:w w:val="100"/>
                <w:position w:val="0"/>
                <w:sz w:val="17"/>
                <w:szCs w:val="17"/>
              </w:rPr>
              <w:t>沙华 海</w:t>
            </w:r>
            <w:r>
              <w:rPr>
                <w:color w:val="000000"/>
                <w:spacing w:val="0"/>
                <w:w w:val="100"/>
                <w:position w:val="0"/>
                <w:sz w:val="18"/>
                <w:szCs w:val="18"/>
              </w:rPr>
              <w:t>;</w:t>
            </w:r>
            <w:r>
              <w:rPr>
                <w:rFonts w:ascii="SimSun" w:eastAsia="SimSun" w:hAnsi="SimSun" w:cs="SimSun"/>
                <w:color w:val="000000"/>
                <w:spacing w:val="0"/>
                <w:w w:val="100"/>
                <w:position w:val="0"/>
                <w:sz w:val="17"/>
                <w:szCs w:val="17"/>
              </w:rPr>
              <w:t>万卫 东</w:t>
            </w:r>
            <w:r>
              <w:rPr>
                <w:color w:val="000000"/>
                <w:spacing w:val="0"/>
                <w:w w:val="100"/>
                <w:position w:val="0"/>
                <w:sz w:val="18"/>
                <w:szCs w:val="18"/>
              </w:rPr>
              <w:t>;</w:t>
            </w:r>
            <w:r>
              <w:rPr>
                <w:rFonts w:ascii="SimSun" w:eastAsia="SimSun" w:hAnsi="SimSun" w:cs="SimSun"/>
                <w:color w:val="000000"/>
                <w:spacing w:val="0"/>
                <w:w w:val="100"/>
                <w:position w:val="0"/>
                <w:sz w:val="17"/>
                <w:szCs w:val="17"/>
              </w:rPr>
              <w:t>许迎 丰</w:t>
            </w:r>
            <w:r>
              <w:rPr>
                <w:color w:val="000000"/>
                <w:spacing w:val="0"/>
                <w:w w:val="100"/>
                <w:position w:val="0"/>
                <w:sz w:val="18"/>
                <w:szCs w:val="18"/>
              </w:rPr>
              <w:t>;</w:t>
            </w:r>
            <w:r>
              <w:rPr>
                <w:rFonts w:ascii="SimSun" w:eastAsia="SimSun" w:hAnsi="SimSun" w:cs="SimSun"/>
                <w:color w:val="000000"/>
                <w:spacing w:val="0"/>
                <w:w w:val="100"/>
                <w:position w:val="0"/>
                <w:sz w:val="17"/>
                <w:szCs w:val="17"/>
              </w:rPr>
              <w:t>钟前荣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公司董事、监事、高级管理人员潘伟潮、 麦炯章、沙华海、欧高良、吕宏、钟前 荣、万卫东、梁启光、许迎丰、黄瑜、 潘农菲承诺：（</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）在上述承诺的限售期 届满后，在公司担任董事、监事、高级 管理人员期间，每年转让的股份比例不 超过其直接或间接所持公司股份总数的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）若其在公司首次公开发行股票 并在创业板上市之日起六个月内申报离 职，自申报离职之日起十八个月内不转 让其直接或间接持有的公司股份；若其 在公司首次公开发行股票并在创业板上 市之日起第七个月至第十二个月之间申 报离职，自申报离职之日起十二个月内 不转让其直接或间接持有的公司股份； 若其在公司首次公开发行股票并在创业 板上市之日起十二个月后申报离职，自 申报离职之日起六个月内不转让其直接 或间接持有的公司股份。（</w:t>
            </w:r>
            <w:r>
              <w:rPr>
                <w:color w:val="000000"/>
                <w:spacing w:val="0"/>
                <w:w w:val="100"/>
                <w:position w:val="0"/>
                <w:sz w:val="18"/>
                <w:szCs w:val="18"/>
              </w:rPr>
              <w:t>3</w:t>
            </w:r>
            <w:r>
              <w:rPr>
                <w:rFonts w:ascii="SimSun" w:eastAsia="SimSun" w:hAnsi="SimSun" w:cs="SimSun"/>
                <w:color w:val="000000"/>
                <w:spacing w:val="0"/>
                <w:w w:val="100"/>
                <w:position w:val="0"/>
                <w:sz w:val="17"/>
                <w:szCs w:val="17"/>
              </w:rPr>
              <w:t>）因公司进 行分红送股等导致其直接或间接持有的 公司股份发生变化的，仍应遵守上述规 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445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黄瑜</w:t>
            </w:r>
            <w:r>
              <w:rPr>
                <w:color w:val="000000"/>
                <w:spacing w:val="0"/>
                <w:w w:val="100"/>
                <w:position w:val="0"/>
                <w:sz w:val="18"/>
                <w:szCs w:val="18"/>
              </w:rPr>
              <w:t>;</w:t>
            </w:r>
            <w:r>
              <w:rPr>
                <w:rFonts w:ascii="SimSun" w:eastAsia="SimSun" w:hAnsi="SimSun" w:cs="SimSun"/>
                <w:color w:val="000000"/>
                <w:spacing w:val="0"/>
                <w:w w:val="100"/>
                <w:position w:val="0"/>
                <w:sz w:val="17"/>
                <w:szCs w:val="17"/>
              </w:rPr>
              <w:t>梁启 光</w:t>
            </w:r>
            <w:r>
              <w:rPr>
                <w:color w:val="000000"/>
                <w:spacing w:val="0"/>
                <w:w w:val="100"/>
                <w:position w:val="0"/>
                <w:sz w:val="18"/>
                <w:szCs w:val="18"/>
              </w:rPr>
              <w:t>;</w:t>
            </w:r>
            <w:r>
              <w:rPr>
                <w:rFonts w:ascii="SimSun" w:eastAsia="SimSun" w:hAnsi="SimSun" w:cs="SimSun"/>
                <w:color w:val="000000"/>
                <w:spacing w:val="0"/>
                <w:w w:val="100"/>
                <w:position w:val="0"/>
                <w:sz w:val="17"/>
                <w:szCs w:val="17"/>
              </w:rPr>
              <w:t>麦炯 章</w:t>
            </w:r>
            <w:r>
              <w:rPr>
                <w:color w:val="000000"/>
                <w:spacing w:val="0"/>
                <w:w w:val="100"/>
                <w:position w:val="0"/>
                <w:sz w:val="18"/>
                <w:szCs w:val="18"/>
              </w:rPr>
              <w:t>;</w:t>
            </w:r>
            <w:r>
              <w:rPr>
                <w:rFonts w:ascii="SimSun" w:eastAsia="SimSun" w:hAnsi="SimSun" w:cs="SimSun"/>
                <w:color w:val="000000"/>
                <w:spacing w:val="0"/>
                <w:w w:val="100"/>
                <w:position w:val="0"/>
                <w:sz w:val="17"/>
                <w:szCs w:val="17"/>
              </w:rPr>
              <w:t>潘农 菲</w:t>
            </w:r>
            <w:r>
              <w:rPr>
                <w:color w:val="000000"/>
                <w:spacing w:val="0"/>
                <w:w w:val="100"/>
                <w:position w:val="0"/>
                <w:sz w:val="18"/>
                <w:szCs w:val="18"/>
              </w:rPr>
              <w:t>;</w:t>
            </w:r>
            <w:r>
              <w:rPr>
                <w:rFonts w:ascii="SimSun" w:eastAsia="SimSun" w:hAnsi="SimSun" w:cs="SimSun"/>
                <w:color w:val="000000"/>
                <w:spacing w:val="0"/>
                <w:w w:val="100"/>
                <w:position w:val="0"/>
                <w:sz w:val="17"/>
                <w:szCs w:val="17"/>
              </w:rPr>
              <w:t>潘伟 潮</w:t>
            </w:r>
            <w:r>
              <w:rPr>
                <w:color w:val="000000"/>
                <w:spacing w:val="0"/>
                <w:w w:val="100"/>
                <w:position w:val="0"/>
                <w:sz w:val="18"/>
                <w:szCs w:val="18"/>
              </w:rPr>
              <w:t>;</w:t>
            </w:r>
            <w:r>
              <w:rPr>
                <w:rFonts w:ascii="SimSun" w:eastAsia="SimSun" w:hAnsi="SimSun" w:cs="SimSun"/>
                <w:color w:val="000000"/>
                <w:spacing w:val="0"/>
                <w:w w:val="100"/>
                <w:position w:val="0"/>
                <w:sz w:val="17"/>
                <w:szCs w:val="17"/>
              </w:rPr>
              <w:t>沙华 海</w:t>
            </w:r>
            <w:r>
              <w:rPr>
                <w:color w:val="000000"/>
                <w:spacing w:val="0"/>
                <w:w w:val="100"/>
                <w:position w:val="0"/>
                <w:sz w:val="18"/>
                <w:szCs w:val="18"/>
              </w:rPr>
              <w:t>;</w:t>
            </w:r>
            <w:r>
              <w:rPr>
                <w:rFonts w:ascii="SimSun" w:eastAsia="SimSun" w:hAnsi="SimSun" w:cs="SimSun"/>
                <w:color w:val="000000"/>
                <w:spacing w:val="0"/>
                <w:w w:val="100"/>
                <w:position w:val="0"/>
                <w:sz w:val="17"/>
                <w:szCs w:val="17"/>
              </w:rPr>
              <w:t>万卫 东</w:t>
            </w:r>
            <w:r>
              <w:rPr>
                <w:color w:val="000000"/>
                <w:spacing w:val="0"/>
                <w:w w:val="100"/>
                <w:position w:val="0"/>
                <w:sz w:val="18"/>
                <w:szCs w:val="18"/>
              </w:rPr>
              <w:t>;</w:t>
            </w:r>
            <w:r>
              <w:rPr>
                <w:rFonts w:ascii="SimSun" w:eastAsia="SimSun" w:hAnsi="SimSun" w:cs="SimSun"/>
                <w:color w:val="000000"/>
                <w:spacing w:val="0"/>
                <w:w w:val="100"/>
                <w:position w:val="0"/>
                <w:sz w:val="17"/>
                <w:szCs w:val="17"/>
              </w:rPr>
              <w:t>许迎丰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公司控股股东、实际控制人潘伟潮及董 事、高级管理人员麦炯章、沙华海、万 卫东、梁启光、许迎丰、黄瑜、潘农菲 承诺，其直接或间接所持公司股票在锁 定期满后两年内减持的，减持价格不低 于发行价。公司股票上市后六个月内（至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日）如公司股票连续二 十个交易日的收盘价均低于发行价，或 者上市后六个月期末（</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日）收盘价低于发行价，其所持有公司 股票的锁定期限自动延长六个月。若公 司股票在此期间发生除权、除息的，发 行价格将作相应调整，其不因职务变更、 离职等原因而放弃履行上述承诺。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本人持有的本次发行前的公司股份在承 诺的锁定期届满后，在满足以下条件的 前提下，方可进行减持：</w:t>
            </w:r>
            <w:r>
              <w:rPr>
                <w:color w:val="000000"/>
                <w:spacing w:val="0"/>
                <w:w w:val="100"/>
                <w:position w:val="0"/>
                <w:sz w:val="18"/>
                <w:szCs w:val="18"/>
              </w:rPr>
              <w:t>1</w:t>
            </w:r>
            <w:r>
              <w:rPr>
                <w:rFonts w:ascii="SimSun" w:eastAsia="SimSun" w:hAnsi="SimSun" w:cs="SimSun"/>
                <w:color w:val="000000"/>
                <w:spacing w:val="0"/>
                <w:w w:val="100"/>
                <w:position w:val="0"/>
                <w:sz w:val="17"/>
                <w:szCs w:val="17"/>
              </w:rPr>
              <w:t>、上述锁定期 届满且没有延长锁定期的相关情形，如 有锁定延长期，则顺延；</w:t>
            </w:r>
            <w:r>
              <w:rPr>
                <w:color w:val="000000"/>
                <w:spacing w:val="0"/>
                <w:w w:val="100"/>
                <w:position w:val="0"/>
                <w:sz w:val="18"/>
                <w:szCs w:val="18"/>
              </w:rPr>
              <w:t>2</w:t>
            </w:r>
            <w:r>
              <w:rPr>
                <w:rFonts w:ascii="SimSun" w:eastAsia="SimSun" w:hAnsi="SimSun" w:cs="SimSun"/>
                <w:color w:val="000000"/>
                <w:spacing w:val="0"/>
                <w:w w:val="100"/>
                <w:position w:val="0"/>
                <w:sz w:val="17"/>
                <w:szCs w:val="17"/>
              </w:rPr>
              <w:t>、如发生本人 需向投资者进行赔偿的情形，本人已经 承担赔偿责任；本人持有的本次公开发 行前的公司股份在承诺的锁定期满后减 持的，将提前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个交易日向公司提交减 持原因、减持数量、未来减持计划、减 持对公司治理结构及持续经营影响的说 明，并由公司在减持前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个交易日予以 公告。对于本人持有的本次公开发行前 的公司股份，本人将严格遵守已做出的 关于所持公司股份流通限制及自愿锁定 的承诺，在锁定期内不予以出售；如本 人在上述锁定期满后两年内减持本人持 有的本次公开发行前的公司股份，每年 转让的股份不超过本人持有的公司股份 的</w:t>
            </w:r>
            <w:r>
              <w:rPr>
                <w:color w:val="000000"/>
                <w:spacing w:val="0"/>
                <w:w w:val="100"/>
                <w:position w:val="0"/>
                <w:sz w:val="18"/>
                <w:szCs w:val="18"/>
              </w:rPr>
              <w:t>15%</w:t>
            </w:r>
            <w:r>
              <w:rPr>
                <w:rFonts w:ascii="SimSun" w:eastAsia="SimSun" w:hAnsi="SimSun" w:cs="SimSun"/>
                <w:color w:val="000000"/>
                <w:spacing w:val="0"/>
                <w:w w:val="100"/>
                <w:position w:val="0"/>
                <w:sz w:val="17"/>
                <w:szCs w:val="17"/>
              </w:rPr>
              <w:t>，且减持价格不低于本次发行的 发行价，如自公司首次公开发行股票至 上述减持公告之日公司发生过派息、送 股、资本公积转增股本等除权除息事项 的，发行价格应相应调整；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麦炯章</w:t>
            </w:r>
            <w:r>
              <w:rPr>
                <w:color w:val="000000"/>
                <w:spacing w:val="0"/>
                <w:w w:val="100"/>
                <w:position w:val="0"/>
                <w:sz w:val="18"/>
                <w:szCs w:val="18"/>
              </w:rPr>
              <w:t>;</w:t>
            </w:r>
            <w:r>
              <w:rPr>
                <w:rFonts w:ascii="SimSun" w:eastAsia="SimSun" w:hAnsi="SimSun" w:cs="SimSun"/>
                <w:color w:val="000000"/>
                <w:spacing w:val="0"/>
                <w:w w:val="100"/>
                <w:position w:val="0"/>
                <w:sz w:val="17"/>
                <w:szCs w:val="17"/>
              </w:rPr>
              <w:t>沙 华海</w:t>
            </w:r>
            <w:r>
              <w:rPr>
                <w:color w:val="000000"/>
                <w:spacing w:val="0"/>
                <w:w w:val="100"/>
                <w:position w:val="0"/>
                <w:sz w:val="18"/>
                <w:szCs w:val="18"/>
              </w:rPr>
              <w:t>;</w:t>
            </w:r>
            <w:r>
              <w:rPr>
                <w:rFonts w:ascii="SimSun" w:eastAsia="SimSun" w:hAnsi="SimSun" w:cs="SimSun"/>
                <w:color w:val="000000"/>
                <w:spacing w:val="0"/>
                <w:w w:val="100"/>
                <w:position w:val="0"/>
                <w:sz w:val="17"/>
                <w:szCs w:val="17"/>
              </w:rPr>
              <w:t>中山 市汇康股 权投资合 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本合伙企业直接、间接持有的本次 发行前的公司股份在承诺的锁定期届满 后，在满足以下条件的前提下，方可进 行减持：</w:t>
            </w:r>
            <w:r>
              <w:rPr>
                <w:color w:val="000000"/>
                <w:spacing w:val="0"/>
                <w:w w:val="100"/>
                <w:position w:val="0"/>
                <w:sz w:val="18"/>
                <w:szCs w:val="18"/>
              </w:rPr>
              <w:t>1</w:t>
            </w:r>
            <w:r>
              <w:rPr>
                <w:rFonts w:ascii="SimSun" w:eastAsia="SimSun" w:hAnsi="SimSun" w:cs="SimSun"/>
                <w:color w:val="000000"/>
                <w:spacing w:val="0"/>
                <w:w w:val="100"/>
                <w:position w:val="0"/>
                <w:sz w:val="17"/>
                <w:szCs w:val="17"/>
              </w:rPr>
              <w:t>、上述锁定期届满且没有延长 锁定期的相关情形，如有锁定延长期，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限合伙）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中山市协 润股权投 资合伙企 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则顺延；</w:t>
            </w:r>
            <w:r>
              <w:rPr>
                <w:color w:val="000000"/>
                <w:spacing w:val="0"/>
                <w:w w:val="100"/>
                <w:position w:val="0"/>
                <w:sz w:val="18"/>
                <w:szCs w:val="18"/>
              </w:rPr>
              <w:t>2</w:t>
            </w:r>
            <w:r>
              <w:rPr>
                <w:rFonts w:ascii="SimSun" w:eastAsia="SimSun" w:hAnsi="SimSun" w:cs="SimSun"/>
                <w:color w:val="000000"/>
                <w:spacing w:val="0"/>
                <w:w w:val="100"/>
                <w:position w:val="0"/>
                <w:sz w:val="17"/>
                <w:szCs w:val="17"/>
              </w:rPr>
              <w:t>、如发生本人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本合伙企业需向 投资者进行赔偿的情形，本人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 业已经承担赔偿责任；本人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本合伙企业 直接、间接持有的本次公开发行前的公 司股份在承诺的锁定期满后减持的，将 提前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个交易日向公司提交减持原因、 减持数量、未来减持计划、减持对公司 治理结构及持续经营影响的说明，并由 公司在减持前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个交易日予以公告。对 于本人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本合伙企业直接、间接持有的本 次公开发行前的公司股份，本人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 企业将严格遵守已做出的关于所持公司 股份流通限制及自愿锁定的承诺，在锁 定期内不予以出售；如本人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本合伙企业 在上述锁定期满后两年内减持本人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 伙企业直接、间接持有的本次公开发行 前的公司股份，每年转让的股份不超过 其本人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本合伙企业持有的公司股份的 </w:t>
            </w:r>
            <w:r>
              <w:rPr>
                <w:color w:val="000000"/>
                <w:spacing w:val="0"/>
                <w:w w:val="100"/>
                <w:position w:val="0"/>
                <w:sz w:val="18"/>
                <w:szCs w:val="18"/>
              </w:rPr>
              <w:t>25%</w:t>
            </w:r>
            <w:r>
              <w:rPr>
                <w:rFonts w:ascii="SimSun" w:eastAsia="SimSun" w:hAnsi="SimSun" w:cs="SimSun"/>
                <w:color w:val="000000"/>
                <w:spacing w:val="0"/>
                <w:w w:val="100"/>
                <w:position w:val="0"/>
                <w:sz w:val="17"/>
                <w:szCs w:val="17"/>
              </w:rPr>
              <w:t>，且减持价格不低于本次发行的发行 价，如自公司首次公开发行股票至上述 减持公告之日公司发生过派息、送股、 资本公积转增股本等除权除息事项的， 发行价格应相应调整；</w:t>
            </w:r>
            <w:r>
              <w:rPr>
                <w:color w:val="000000"/>
                <w:spacing w:val="0"/>
                <w:w w:val="100"/>
                <w:position w:val="0"/>
                <w:sz w:val="18"/>
                <w:szCs w:val="18"/>
              </w:rPr>
              <w:t>3</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本合伙企 业减持公司股票时，将依照《公司法》、</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《证券法》、中国证监会和深交所的相关 规定执行；本人不因职务变更、离职等 原因，而放弃履行上述承诺。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广东乐心 医疗电子 股份有限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黄 瑜</w:t>
            </w:r>
            <w:r>
              <w:rPr>
                <w:color w:val="000000"/>
                <w:spacing w:val="0"/>
                <w:w w:val="100"/>
                <w:position w:val="0"/>
                <w:sz w:val="18"/>
                <w:szCs w:val="18"/>
              </w:rPr>
              <w:t>;</w:t>
            </w:r>
            <w:r>
              <w:rPr>
                <w:rFonts w:ascii="SimSun" w:eastAsia="SimSun" w:hAnsi="SimSun" w:cs="SimSun"/>
                <w:color w:val="000000"/>
                <w:spacing w:val="0"/>
                <w:w w:val="100"/>
                <w:position w:val="0"/>
                <w:sz w:val="17"/>
                <w:szCs w:val="17"/>
              </w:rPr>
              <w:t>李延 兵</w:t>
            </w:r>
            <w:r>
              <w:rPr>
                <w:color w:val="000000"/>
                <w:spacing w:val="0"/>
                <w:w w:val="100"/>
                <w:position w:val="0"/>
                <w:sz w:val="18"/>
                <w:szCs w:val="18"/>
              </w:rPr>
              <w:t>;</w:t>
            </w:r>
            <w:r>
              <w:rPr>
                <w:rFonts w:ascii="SimSun" w:eastAsia="SimSun" w:hAnsi="SimSun" w:cs="SimSun"/>
                <w:color w:val="000000"/>
                <w:spacing w:val="0"/>
                <w:w w:val="100"/>
                <w:position w:val="0"/>
                <w:sz w:val="17"/>
                <w:szCs w:val="17"/>
              </w:rPr>
              <w:t>梁启 光</w:t>
            </w:r>
            <w:r>
              <w:rPr>
                <w:color w:val="000000"/>
                <w:spacing w:val="0"/>
                <w:w w:val="100"/>
                <w:position w:val="0"/>
                <w:sz w:val="18"/>
                <w:szCs w:val="18"/>
              </w:rPr>
              <w:t>;</w:t>
            </w:r>
            <w:r>
              <w:rPr>
                <w:rFonts w:ascii="SimSun" w:eastAsia="SimSun" w:hAnsi="SimSun" w:cs="SimSun"/>
                <w:color w:val="000000"/>
                <w:spacing w:val="0"/>
                <w:w w:val="100"/>
                <w:position w:val="0"/>
                <w:sz w:val="17"/>
                <w:szCs w:val="17"/>
              </w:rPr>
              <w:t>麦炯 章</w:t>
            </w:r>
            <w:r>
              <w:rPr>
                <w:color w:val="000000"/>
                <w:spacing w:val="0"/>
                <w:w w:val="100"/>
                <w:position w:val="0"/>
                <w:sz w:val="18"/>
                <w:szCs w:val="18"/>
              </w:rPr>
              <w:t>;</w:t>
            </w:r>
            <w:r>
              <w:rPr>
                <w:rFonts w:ascii="SimSun" w:eastAsia="SimSun" w:hAnsi="SimSun" w:cs="SimSun"/>
                <w:color w:val="000000"/>
                <w:spacing w:val="0"/>
                <w:w w:val="100"/>
                <w:position w:val="0"/>
                <w:sz w:val="17"/>
                <w:szCs w:val="17"/>
              </w:rPr>
              <w:t>潘农 菲</w:t>
            </w:r>
            <w:r>
              <w:rPr>
                <w:color w:val="000000"/>
                <w:spacing w:val="0"/>
                <w:w w:val="100"/>
                <w:position w:val="0"/>
                <w:sz w:val="18"/>
                <w:szCs w:val="18"/>
              </w:rPr>
              <w:t>;</w:t>
            </w:r>
            <w:r>
              <w:rPr>
                <w:rFonts w:ascii="SimSun" w:eastAsia="SimSun" w:hAnsi="SimSun" w:cs="SimSun"/>
                <w:color w:val="000000"/>
                <w:spacing w:val="0"/>
                <w:w w:val="100"/>
                <w:position w:val="0"/>
                <w:sz w:val="17"/>
                <w:szCs w:val="17"/>
              </w:rPr>
              <w:t>潘伟 潮</w:t>
            </w:r>
            <w:r>
              <w:rPr>
                <w:color w:val="000000"/>
                <w:spacing w:val="0"/>
                <w:w w:val="100"/>
                <w:position w:val="0"/>
                <w:sz w:val="18"/>
                <w:szCs w:val="18"/>
              </w:rPr>
              <w:t>;</w:t>
            </w:r>
            <w:r>
              <w:rPr>
                <w:rFonts w:ascii="SimSun" w:eastAsia="SimSun" w:hAnsi="SimSun" w:cs="SimSun"/>
                <w:color w:val="000000"/>
                <w:spacing w:val="0"/>
                <w:w w:val="100"/>
                <w:position w:val="0"/>
                <w:sz w:val="17"/>
                <w:szCs w:val="17"/>
              </w:rPr>
              <w:t>沙华 海</w:t>
            </w:r>
            <w:r>
              <w:rPr>
                <w:color w:val="000000"/>
                <w:spacing w:val="0"/>
                <w:w w:val="100"/>
                <w:position w:val="0"/>
                <w:sz w:val="18"/>
                <w:szCs w:val="18"/>
              </w:rPr>
              <w:t>;</w:t>
            </w:r>
            <w:r>
              <w:rPr>
                <w:rFonts w:ascii="SimSun" w:eastAsia="SimSun" w:hAnsi="SimSun" w:cs="SimSun"/>
                <w:color w:val="000000"/>
                <w:spacing w:val="0"/>
                <w:w w:val="100"/>
                <w:position w:val="0"/>
                <w:sz w:val="17"/>
                <w:szCs w:val="17"/>
              </w:rPr>
              <w:t>万卫 东</w:t>
            </w:r>
            <w:r>
              <w:rPr>
                <w:color w:val="000000"/>
                <w:spacing w:val="0"/>
                <w:w w:val="100"/>
                <w:position w:val="0"/>
                <w:sz w:val="18"/>
                <w:szCs w:val="18"/>
              </w:rPr>
              <w:t>;</w:t>
            </w:r>
            <w:r>
              <w:rPr>
                <w:rFonts w:ascii="SimSun" w:eastAsia="SimSun" w:hAnsi="SimSun" w:cs="SimSun"/>
                <w:color w:val="000000"/>
                <w:spacing w:val="0"/>
                <w:w w:val="100"/>
                <w:position w:val="0"/>
                <w:sz w:val="17"/>
                <w:szCs w:val="17"/>
              </w:rPr>
              <w:t>许迎丰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定股价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为维护公众投资者的利益，公司及其控 股股东、实际控制人，董事及高级管理 人员承诺，如果首次公开发行上市后三 年内公司股价（指收盘价）出现低于上 一年度末经审计的每股净资产（若因除 权除息等事项致使上述股票收盘价与公 司上一会计年度末经审计的每股净资产 不具可比性的，上述每股净资产应做相 应调整，下同）的情况时，其将依据法 律、法规及公司章程的规定，在不影响 公司上市条件的前提下将启动稳定股价 的措施，具体如下：（一）启动稳定股价 措施的具体条件</w:t>
            </w:r>
            <w:r>
              <w:rPr>
                <w:color w:val="000000"/>
                <w:spacing w:val="0"/>
                <w:w w:val="100"/>
                <w:position w:val="0"/>
                <w:sz w:val="18"/>
                <w:szCs w:val="18"/>
              </w:rPr>
              <w:t>1</w:t>
            </w:r>
            <w:r>
              <w:rPr>
                <w:rFonts w:ascii="SimSun" w:eastAsia="SimSun" w:hAnsi="SimSun" w:cs="SimSun"/>
                <w:color w:val="000000"/>
                <w:spacing w:val="0"/>
                <w:w w:val="100"/>
                <w:position w:val="0"/>
                <w:sz w:val="17"/>
                <w:szCs w:val="17"/>
              </w:rPr>
              <w:t>、预警条件一旦出现公 司股票连续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个交易日的收盘价低于上 一年度末经审计的每股净资产的</w:t>
            </w:r>
            <w:r>
              <w:rPr>
                <w:color w:val="000000"/>
                <w:spacing w:val="0"/>
                <w:w w:val="100"/>
                <w:position w:val="0"/>
                <w:sz w:val="18"/>
                <w:szCs w:val="18"/>
              </w:rPr>
              <w:t xml:space="preserve">120% </w:t>
            </w:r>
            <w:r>
              <w:rPr>
                <w:rFonts w:ascii="SimSun" w:eastAsia="SimSun" w:hAnsi="SimSun" w:cs="SimSun"/>
                <w:color w:val="000000"/>
                <w:spacing w:val="0"/>
                <w:w w:val="100"/>
                <w:position w:val="0"/>
                <w:sz w:val="17"/>
                <w:szCs w:val="17"/>
              </w:rPr>
              <w:t>时，在</w:t>
            </w:r>
            <w:r>
              <w:rPr>
                <w:color w:val="000000"/>
                <w:spacing w:val="0"/>
                <w:w w:val="100"/>
                <w:position w:val="0"/>
                <w:sz w:val="18"/>
                <w:szCs w:val="18"/>
              </w:rPr>
              <w:t>10</w:t>
            </w:r>
            <w:r>
              <w:rPr>
                <w:rFonts w:ascii="SimSun" w:eastAsia="SimSun" w:hAnsi="SimSun" w:cs="SimSun"/>
                <w:color w:val="000000"/>
                <w:spacing w:val="0"/>
                <w:w w:val="100"/>
                <w:position w:val="0"/>
                <w:sz w:val="17"/>
                <w:szCs w:val="17"/>
              </w:rPr>
              <w:t>个工作日内召开情况说明会， 与投资者就上市公司经营状况、财务指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正常履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行中</w:t>
            </w: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标、发展战略进行深入沟通。</w:t>
            </w:r>
            <w:r>
              <w:rPr>
                <w:color w:val="000000"/>
                <w:spacing w:val="0"/>
                <w:w w:val="100"/>
                <w:position w:val="0"/>
                <w:sz w:val="18"/>
                <w:szCs w:val="18"/>
              </w:rPr>
              <w:t>2</w:t>
            </w:r>
            <w:r>
              <w:rPr>
                <w:rFonts w:ascii="SimSun" w:eastAsia="SimSun" w:hAnsi="SimSun" w:cs="SimSun"/>
                <w:color w:val="000000"/>
                <w:spacing w:val="0"/>
                <w:w w:val="100"/>
                <w:position w:val="0"/>
                <w:sz w:val="17"/>
                <w:szCs w:val="17"/>
              </w:rPr>
              <w:t>、启动条 件一旦出现公司股票连续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 收盘价低于上一年度末经审计的每股净 资产时，应当在</w:t>
            </w:r>
            <w:r>
              <w:rPr>
                <w:color w:val="000000"/>
                <w:spacing w:val="0"/>
                <w:w w:val="100"/>
                <w:position w:val="0"/>
                <w:sz w:val="18"/>
                <w:szCs w:val="18"/>
              </w:rPr>
              <w:t>30</w:t>
            </w:r>
            <w:r>
              <w:rPr>
                <w:rFonts w:ascii="SimSun" w:eastAsia="SimSun" w:hAnsi="SimSun" w:cs="SimSun"/>
                <w:color w:val="000000"/>
                <w:spacing w:val="0"/>
                <w:w w:val="100"/>
                <w:position w:val="0"/>
                <w:sz w:val="17"/>
                <w:szCs w:val="17"/>
              </w:rPr>
              <w:t>日内开始实施相关稳 定股价的方案，并应提前公告具体实施 方案。</w:t>
            </w:r>
            <w:r>
              <w:rPr>
                <w:color w:val="000000"/>
                <w:spacing w:val="0"/>
                <w:w w:val="100"/>
                <w:position w:val="0"/>
                <w:sz w:val="18"/>
                <w:szCs w:val="18"/>
              </w:rPr>
              <w:t>3</w:t>
            </w:r>
            <w:r>
              <w:rPr>
                <w:rFonts w:ascii="SimSun" w:eastAsia="SimSun" w:hAnsi="SimSun" w:cs="SimSun"/>
                <w:color w:val="000000"/>
                <w:spacing w:val="0"/>
                <w:w w:val="100"/>
                <w:position w:val="0"/>
                <w:sz w:val="17"/>
                <w:szCs w:val="17"/>
              </w:rPr>
              <w:t>、停止条件在上述第</w:t>
            </w:r>
            <w:r>
              <w:rPr>
                <w:color w:val="000000"/>
                <w:spacing w:val="0"/>
                <w:w w:val="100"/>
                <w:position w:val="0"/>
                <w:sz w:val="18"/>
                <w:szCs w:val="18"/>
              </w:rPr>
              <w:t>2</w:t>
            </w:r>
            <w:r>
              <w:rPr>
                <w:rFonts w:ascii="SimSun" w:eastAsia="SimSun" w:hAnsi="SimSun" w:cs="SimSun"/>
                <w:color w:val="000000"/>
                <w:spacing w:val="0"/>
                <w:w w:val="100"/>
                <w:position w:val="0"/>
                <w:sz w:val="17"/>
                <w:szCs w:val="17"/>
              </w:rPr>
              <w:t>项稳定股 价具体方案的实施期间内或实施前，如 公司股票连续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个交易日收盘价高于上 一年度末经审计的每股净资产时，将停 止实施稳定股价措施。上述第</w:t>
            </w:r>
            <w:r>
              <w:rPr>
                <w:color w:val="000000"/>
                <w:spacing w:val="0"/>
                <w:w w:val="100"/>
                <w:position w:val="0"/>
                <w:sz w:val="18"/>
                <w:szCs w:val="18"/>
              </w:rPr>
              <w:t>2</w:t>
            </w:r>
            <w:r>
              <w:rPr>
                <w:rFonts w:ascii="SimSun" w:eastAsia="SimSun" w:hAnsi="SimSun" w:cs="SimSun"/>
                <w:color w:val="000000"/>
                <w:spacing w:val="0"/>
                <w:w w:val="100"/>
                <w:position w:val="0"/>
                <w:sz w:val="17"/>
                <w:szCs w:val="17"/>
              </w:rPr>
              <w:t>项稳定 股价具体方案实施完毕或停止实施后， 如再次发生上述第</w:t>
            </w:r>
            <w:r>
              <w:rPr>
                <w:color w:val="000000"/>
                <w:spacing w:val="0"/>
                <w:w w:val="100"/>
                <w:position w:val="0"/>
                <w:sz w:val="18"/>
                <w:szCs w:val="18"/>
              </w:rPr>
              <w:t>2</w:t>
            </w:r>
            <w:r>
              <w:rPr>
                <w:rFonts w:ascii="SimSun" w:eastAsia="SimSun" w:hAnsi="SimSun" w:cs="SimSun"/>
                <w:color w:val="000000"/>
                <w:spacing w:val="0"/>
                <w:w w:val="100"/>
                <w:position w:val="0"/>
                <w:sz w:val="17"/>
                <w:szCs w:val="17"/>
              </w:rPr>
              <w:t>项的启动条件，则 再次启动稳定股价措施。（二）稳定股价 的具体措施当上述启动稳定股价措施的 条件成就时，将依次开展公司回购，控 股股东、实际控制人增持，董事、高级 管理人员增持等工作以稳定公司股价， 回购或增持价格不超过公司上一年度末 经审计的每股净资产，控股股东、实际 控制人及董事、高级管理人员在公司出 现需稳定股价的情形时，必须履行所承 诺的增持义务，在履行完强制增持义务 后，可选择自愿增持。如该等方案、措 施需要提交董事会、股东大会审议的， 则控股股东、实际控制人以及其他担任 董事、监事、高级管理人员的股东应予 以支持。</w:t>
            </w:r>
            <w:r>
              <w:rPr>
                <w:color w:val="000000"/>
                <w:spacing w:val="0"/>
                <w:w w:val="100"/>
                <w:position w:val="0"/>
                <w:sz w:val="18"/>
                <w:szCs w:val="18"/>
              </w:rPr>
              <w:t>1</w:t>
            </w:r>
            <w:r>
              <w:rPr>
                <w:rFonts w:ascii="SimSun" w:eastAsia="SimSun" w:hAnsi="SimSun" w:cs="SimSun"/>
                <w:color w:val="000000"/>
                <w:spacing w:val="0"/>
                <w:w w:val="100"/>
                <w:position w:val="0"/>
                <w:sz w:val="17"/>
                <w:szCs w:val="17"/>
              </w:rPr>
              <w:t>、由公司回购股票如公司出 现连续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个交易日的收盘价低于上一年 度未经审计的净资产时，公司可自愿采 取回购股票的措施以稳定公司股价：（</w:t>
            </w:r>
            <w:r>
              <w:rPr>
                <w:color w:val="000000"/>
                <w:spacing w:val="0"/>
                <w:w w:val="100"/>
                <w:position w:val="0"/>
                <w:sz w:val="18"/>
                <w:szCs w:val="18"/>
              </w:rPr>
              <w:t>1</w:t>
            </w:r>
            <w:r>
              <w:rPr>
                <w:rFonts w:ascii="SimSun" w:eastAsia="SimSun" w:hAnsi="SimSun" w:cs="SimSun"/>
                <w:color w:val="000000"/>
                <w:spacing w:val="0"/>
                <w:w w:val="100"/>
                <w:position w:val="0"/>
                <w:sz w:val="17"/>
                <w:szCs w:val="17"/>
              </w:rPr>
              <w:t>） 公司为稳定股价之目的回购股份，应符 合《上市公司回购社会公众股份管理办 法（试行）》及《关于上市公司以集中竞 价交易方式回购股份的补充规定》等相 关法律、法规的规定，且不应导致公司 股权分布不符合上市条件；（</w:t>
            </w:r>
            <w:r>
              <w:rPr>
                <w:color w:val="000000"/>
                <w:spacing w:val="0"/>
                <w:w w:val="100"/>
                <w:position w:val="0"/>
                <w:sz w:val="18"/>
                <w:szCs w:val="18"/>
              </w:rPr>
              <w:t>2</w:t>
            </w:r>
            <w:r>
              <w:rPr>
                <w:rFonts w:ascii="SimSun" w:eastAsia="SimSun" w:hAnsi="SimSun" w:cs="SimSun"/>
                <w:color w:val="000000"/>
                <w:spacing w:val="0"/>
                <w:w w:val="100"/>
                <w:position w:val="0"/>
                <w:sz w:val="17"/>
                <w:szCs w:val="17"/>
              </w:rPr>
              <w:t>）公司股 东大会对回购股份做出决议，须经出席 会议的股东所持表决权的三分之二以上 通过；（</w:t>
            </w:r>
            <w:r>
              <w:rPr>
                <w:color w:val="000000"/>
                <w:spacing w:val="0"/>
                <w:w w:val="100"/>
                <w:position w:val="0"/>
                <w:sz w:val="18"/>
                <w:szCs w:val="18"/>
              </w:rPr>
              <w:t>3</w:t>
            </w:r>
            <w:r>
              <w:rPr>
                <w:rFonts w:ascii="SimSun" w:eastAsia="SimSun" w:hAnsi="SimSun" w:cs="SimSun"/>
                <w:color w:val="000000"/>
                <w:spacing w:val="0"/>
                <w:w w:val="100"/>
                <w:position w:val="0"/>
                <w:sz w:val="17"/>
                <w:szCs w:val="17"/>
              </w:rPr>
              <w:t>）公司为稳定股价之目的进行 股份回购的，除应符合相关法律法规之 要求之外，还应符合下列各项：①公司 单次用于回购股份数量最大限额为公司 股本总额的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；②</w:t>
            </w:r>
            <w:r>
              <w:rPr>
                <w:color w:val="000000"/>
                <w:spacing w:val="0"/>
                <w:w w:val="100"/>
                <w:position w:val="0"/>
                <w:sz w:val="18"/>
                <w:szCs w:val="18"/>
              </w:rPr>
              <w:t>1</w:t>
            </w:r>
            <w:r>
              <w:rPr>
                <w:rFonts w:ascii="SimSun" w:eastAsia="SimSun" w:hAnsi="SimSun" w:cs="SimSun"/>
                <w:color w:val="000000"/>
                <w:spacing w:val="0"/>
                <w:w w:val="100"/>
                <w:position w:val="0"/>
                <w:sz w:val="17"/>
                <w:szCs w:val="17"/>
              </w:rPr>
              <w:t>个月内公司回购股 份数量最大限额为公司股本总额的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③公司董事会公告回购股份预案后，公 司股票若连续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个交易日的收盘价超过 公司上一财务年度未经审计的除权后每 股净资产值，公司董事会应做出决议终 止本次回购股份事宜，且在未来</w:t>
            </w:r>
            <w:r>
              <w:rPr>
                <w:color w:val="000000"/>
                <w:spacing w:val="0"/>
                <w:w w:val="100"/>
                <w:position w:val="0"/>
                <w:sz w:val="18"/>
                <w:szCs w:val="18"/>
              </w:rPr>
              <w:t>3</w:t>
            </w:r>
            <w:r>
              <w:rPr>
                <w:rFonts w:ascii="SimSun" w:eastAsia="SimSun" w:hAnsi="SimSun" w:cs="SimSun"/>
                <w:color w:val="000000"/>
                <w:spacing w:val="0"/>
                <w:w w:val="100"/>
                <w:position w:val="0"/>
                <w:sz w:val="17"/>
                <w:szCs w:val="17"/>
              </w:rPr>
              <w:t>个月 内不再启动股份回购事宜。</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 实际控制人增持在公司回购股票措施完 成后，如仍未达到“公司股票连续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 交易日的收盘价均高于上一年度末经审 计的每股净资产”，则启动公司控股股 东、实际控制人增持股票：（</w:t>
            </w:r>
            <w:r>
              <w:rPr>
                <w:color w:val="000000"/>
                <w:spacing w:val="0"/>
                <w:w w:val="100"/>
                <w:position w:val="0"/>
                <w:sz w:val="18"/>
                <w:szCs w:val="18"/>
              </w:rPr>
              <w:t>1</w:t>
            </w:r>
            <w:r>
              <w:rPr>
                <w:rFonts w:ascii="SimSun" w:eastAsia="SimSun" w:hAnsi="SimSun" w:cs="SimSun"/>
                <w:color w:val="000000"/>
                <w:spacing w:val="0"/>
                <w:w w:val="100"/>
                <w:position w:val="0"/>
                <w:sz w:val="17"/>
                <w:szCs w:val="17"/>
              </w:rPr>
              <w:t>）公司控 股股东、实际控制人应在符合《上市公 司收购管理办法》及《创业板信息披露 业务备忘录第</w:t>
            </w:r>
            <w:r>
              <w:rPr>
                <w:color w:val="000000"/>
                <w:spacing w:val="0"/>
                <w:w w:val="100"/>
                <w:position w:val="0"/>
                <w:sz w:val="18"/>
                <w:szCs w:val="18"/>
              </w:rPr>
              <w:t>5</w:t>
            </w:r>
            <w:r>
              <w:rPr>
                <w:rFonts w:ascii="SimSun" w:eastAsia="SimSun" w:hAnsi="SimSun" w:cs="SimSun"/>
                <w:color w:val="000000"/>
                <w:spacing w:val="0"/>
                <w:w w:val="100"/>
                <w:position w:val="0"/>
                <w:sz w:val="17"/>
                <w:szCs w:val="17"/>
              </w:rPr>
              <w:t>号一股东及其一致行动 人增持股份业务管理》等法律法规的条 件和要求的前提下，对公司股票进行增 持；（</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）控股股东或实际控制人单次增 持股份的金额不低于上一年度获得的公 司现金分红金额的</w:t>
            </w:r>
            <w:r>
              <w:rPr>
                <w:color w:val="000000"/>
                <w:spacing w:val="0"/>
                <w:w w:val="100"/>
                <w:position w:val="0"/>
                <w:sz w:val="18"/>
                <w:szCs w:val="18"/>
              </w:rPr>
              <w:t>20%</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 控股股东、实际控制人增持股份的金额 不高于上一年度获得的公司现金分红金 额的</w:t>
            </w:r>
            <w:r>
              <w:rPr>
                <w:color w:val="000000"/>
                <w:spacing w:val="0"/>
                <w:w w:val="100"/>
                <w:position w:val="0"/>
                <w:sz w:val="18"/>
                <w:szCs w:val="18"/>
              </w:rPr>
              <w:t>60%</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、董事、高级管理人员增持 在公司回购股票措施完成，且公司控股 股东、实际控制人单次增持股份数量达 到最大限额之日后，如仍未达到“公司 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个交易日的收盘价均高于上 一年度末经审计的每股净资产”，则启动 董事、高级管理人员增持：（</w:t>
            </w:r>
            <w:r>
              <w:rPr>
                <w:color w:val="000000"/>
                <w:spacing w:val="0"/>
                <w:w w:val="100"/>
                <w:position w:val="0"/>
                <w:sz w:val="18"/>
                <w:szCs w:val="18"/>
              </w:rPr>
              <w:t>1</w:t>
            </w:r>
            <w:r>
              <w:rPr>
                <w:rFonts w:ascii="SimSun" w:eastAsia="SimSun" w:hAnsi="SimSun" w:cs="SimSun"/>
                <w:color w:val="000000"/>
                <w:spacing w:val="0"/>
                <w:w w:val="100"/>
                <w:position w:val="0"/>
                <w:sz w:val="17"/>
                <w:szCs w:val="17"/>
              </w:rPr>
              <w:t>）在公司 任职并领取薪酬的公司董事（不包括独 立董事）、高级管理人员应在符合《上市 公司收购管理办法》及《上市公司董事、 监事和高级管理人员所持本公司股份及 其变动管理规则》等法律法规的条件和 要求的前提下，对公司股票进行增持；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）公司上市后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个月内，若公司新 聘任董事（不包括独立董事）、高级管理 人员的，公司将要求该等新聘任的董事、 高级管理人员履行本公司上市时董事、 高级管理人员已作出的相应承诺。（三） 稳定股价措施的启动程序</w:t>
            </w:r>
            <w:r>
              <w:rPr>
                <w:color w:val="000000"/>
                <w:spacing w:val="0"/>
                <w:w w:val="100"/>
                <w:position w:val="0"/>
                <w:sz w:val="18"/>
                <w:szCs w:val="18"/>
              </w:rPr>
              <w:t>1</w:t>
            </w:r>
            <w:r>
              <w:rPr>
                <w:rFonts w:ascii="SimSun" w:eastAsia="SimSun" w:hAnsi="SimSun" w:cs="SimSun"/>
                <w:color w:val="000000"/>
                <w:spacing w:val="0"/>
                <w:w w:val="100"/>
                <w:position w:val="0"/>
                <w:sz w:val="17"/>
                <w:szCs w:val="17"/>
              </w:rPr>
              <w:t>、公司回购</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）公司董事会应在上述公司回购启动 条件触发之日起的</w:t>
            </w:r>
            <w:r>
              <w:rPr>
                <w:color w:val="000000"/>
                <w:spacing w:val="0"/>
                <w:w w:val="100"/>
                <w:position w:val="0"/>
                <w:sz w:val="18"/>
                <w:szCs w:val="18"/>
              </w:rPr>
              <w:t>15</w:t>
            </w:r>
            <w:r>
              <w:rPr>
                <w:rFonts w:ascii="SimSun" w:eastAsia="SimSun" w:hAnsi="SimSun" w:cs="SimSun"/>
                <w:color w:val="000000"/>
                <w:spacing w:val="0"/>
                <w:w w:val="100"/>
                <w:position w:val="0"/>
                <w:sz w:val="17"/>
                <w:szCs w:val="17"/>
              </w:rPr>
              <w:t>个工作日内做出是 否回购股份的决议；（</w:t>
            </w:r>
            <w:r>
              <w:rPr>
                <w:color w:val="000000"/>
                <w:spacing w:val="0"/>
                <w:w w:val="100"/>
                <w:position w:val="0"/>
                <w:sz w:val="18"/>
                <w:szCs w:val="18"/>
              </w:rPr>
              <w:t>2</w:t>
            </w:r>
            <w:r>
              <w:rPr>
                <w:rFonts w:ascii="SimSun" w:eastAsia="SimSun" w:hAnsi="SimSun" w:cs="SimSun"/>
                <w:color w:val="000000"/>
                <w:spacing w:val="0"/>
                <w:w w:val="100"/>
                <w:position w:val="0"/>
                <w:sz w:val="17"/>
                <w:szCs w:val="17"/>
              </w:rPr>
              <w:t>）公司董事会应 当在做出是否回购股份决议后的</w:t>
            </w:r>
            <w:r>
              <w:rPr>
                <w:color w:val="000000"/>
                <w:spacing w:val="0"/>
                <w:w w:val="100"/>
                <w:position w:val="0"/>
                <w:sz w:val="18"/>
                <w:szCs w:val="18"/>
              </w:rPr>
              <w:t>2</w:t>
            </w:r>
            <w:r>
              <w:rPr>
                <w:rFonts w:ascii="SimSun" w:eastAsia="SimSun" w:hAnsi="SimSun" w:cs="SimSun"/>
                <w:color w:val="000000"/>
                <w:spacing w:val="0"/>
                <w:w w:val="100"/>
                <w:position w:val="0"/>
                <w:sz w:val="17"/>
                <w:szCs w:val="17"/>
              </w:rPr>
              <w:t>个工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1032"/>
        <w:gridCol w:w="840"/>
        <w:gridCol w:w="3346"/>
        <w:gridCol w:w="826"/>
        <w:gridCol w:w="902"/>
        <w:gridCol w:w="922"/>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作日内公告董事会决议，如不回购需公 告理由，如回购还需公告回购股份预案， 并发布召开股东大会的通知；（</w:t>
            </w:r>
            <w:r>
              <w:rPr>
                <w:color w:val="000000"/>
                <w:spacing w:val="0"/>
                <w:w w:val="100"/>
                <w:position w:val="0"/>
                <w:sz w:val="18"/>
                <w:szCs w:val="18"/>
              </w:rPr>
              <w:t>3</w:t>
            </w:r>
            <w:r>
              <w:rPr>
                <w:rFonts w:ascii="SimSun" w:eastAsia="SimSun" w:hAnsi="SimSun" w:cs="SimSun"/>
                <w:color w:val="000000"/>
                <w:spacing w:val="0"/>
                <w:w w:val="100"/>
                <w:position w:val="0"/>
                <w:sz w:val="17"/>
                <w:szCs w:val="17"/>
              </w:rPr>
              <w:t>）公司 回购应在公司股东大会决议做出之日起 次一交易日开始启动回购，并应在履行 相关法定手续后，</w:t>
            </w:r>
            <w:r>
              <w:rPr>
                <w:color w:val="000000"/>
                <w:spacing w:val="0"/>
                <w:w w:val="100"/>
                <w:position w:val="0"/>
                <w:sz w:val="18"/>
                <w:szCs w:val="18"/>
              </w:rPr>
              <w:t>30</w:t>
            </w:r>
            <w:r>
              <w:rPr>
                <w:rFonts w:ascii="SimSun" w:eastAsia="SimSun" w:hAnsi="SimSun" w:cs="SimSun"/>
                <w:color w:val="000000"/>
                <w:spacing w:val="0"/>
                <w:w w:val="100"/>
                <w:position w:val="0"/>
                <w:sz w:val="17"/>
                <w:szCs w:val="17"/>
              </w:rPr>
              <w:t>个交易日内实施完 毕；（</w:t>
            </w:r>
            <w:r>
              <w:rPr>
                <w:color w:val="000000"/>
                <w:spacing w:val="0"/>
                <w:w w:val="100"/>
                <w:position w:val="0"/>
                <w:sz w:val="18"/>
                <w:szCs w:val="18"/>
              </w:rPr>
              <w:t>4</w:t>
            </w:r>
            <w:r>
              <w:rPr>
                <w:rFonts w:ascii="SimSun" w:eastAsia="SimSun" w:hAnsi="SimSun" w:cs="SimSun"/>
                <w:color w:val="000000"/>
                <w:spacing w:val="0"/>
                <w:w w:val="100"/>
                <w:position w:val="0"/>
                <w:sz w:val="17"/>
                <w:szCs w:val="17"/>
              </w:rPr>
              <w:t>）公司回购方案实施完毕后，应 在</w:t>
            </w:r>
            <w:r>
              <w:rPr>
                <w:color w:val="000000"/>
                <w:spacing w:val="0"/>
                <w:w w:val="100"/>
                <w:position w:val="0"/>
                <w:sz w:val="18"/>
                <w:szCs w:val="18"/>
              </w:rPr>
              <w:t>2</w:t>
            </w:r>
            <w:r>
              <w:rPr>
                <w:rFonts w:ascii="SimSun" w:eastAsia="SimSun" w:hAnsi="SimSun" w:cs="SimSun"/>
                <w:color w:val="000000"/>
                <w:spacing w:val="0"/>
                <w:w w:val="100"/>
                <w:position w:val="0"/>
                <w:sz w:val="17"/>
                <w:szCs w:val="17"/>
              </w:rPr>
              <w:t>个工作日内公告公司股份变动报告， 并在</w:t>
            </w:r>
            <w:r>
              <w:rPr>
                <w:color w:val="000000"/>
                <w:spacing w:val="0"/>
                <w:w w:val="100"/>
                <w:position w:val="0"/>
                <w:sz w:val="18"/>
                <w:szCs w:val="18"/>
              </w:rPr>
              <w:t>10</w:t>
            </w:r>
            <w:r>
              <w:rPr>
                <w:rFonts w:ascii="SimSun" w:eastAsia="SimSun" w:hAnsi="SimSun" w:cs="SimSun"/>
                <w:color w:val="000000"/>
                <w:spacing w:val="0"/>
                <w:w w:val="100"/>
                <w:position w:val="0"/>
                <w:sz w:val="17"/>
                <w:szCs w:val="17"/>
              </w:rPr>
              <w:t>日内依法注销所回购的股份，办 理工商变更登记手续。</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、控股股东及董 事、高级管理人员增持（</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）公司董事会 应在控股股东及董事、高级管理人员增 持启动条件触发之日起</w:t>
            </w:r>
            <w:r>
              <w:rPr>
                <w:color w:val="000000"/>
                <w:spacing w:val="0"/>
                <w:w w:val="100"/>
                <w:position w:val="0"/>
                <w:sz w:val="18"/>
                <w:szCs w:val="18"/>
              </w:rPr>
              <w:t>2</w:t>
            </w:r>
            <w:r>
              <w:rPr>
                <w:rFonts w:ascii="SimSun" w:eastAsia="SimSun" w:hAnsi="SimSun" w:cs="SimSun"/>
                <w:color w:val="000000"/>
                <w:spacing w:val="0"/>
                <w:w w:val="100"/>
                <w:position w:val="0"/>
                <w:sz w:val="17"/>
                <w:szCs w:val="17"/>
              </w:rPr>
              <w:t>个交易日内做 出增持公告；（</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）控股股东及董事、高 级管理人员应在增持公告做出之日起次 一交易日开始启动增持，并应在履行相 关法定手续后的</w:t>
            </w:r>
            <w:r>
              <w:rPr>
                <w:color w:val="000000"/>
                <w:spacing w:val="0"/>
                <w:w w:val="100"/>
                <w:position w:val="0"/>
                <w:sz w:val="18"/>
                <w:szCs w:val="18"/>
              </w:rPr>
              <w:t>30</w:t>
            </w:r>
            <w:r>
              <w:rPr>
                <w:rFonts w:ascii="SimSun" w:eastAsia="SimSun" w:hAnsi="SimSun" w:cs="SimSun"/>
                <w:color w:val="000000"/>
                <w:spacing w:val="0"/>
                <w:w w:val="100"/>
                <w:position w:val="0"/>
                <w:sz w:val="17"/>
                <w:szCs w:val="17"/>
              </w:rPr>
              <w:t>个交易日内实施完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其他对公司中小股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3"/>
        <w:keepNext/>
        <w:keepLines/>
        <w:widowControl w:val="0"/>
        <w:shd w:val="clear" w:color="auto" w:fill="auto"/>
        <w:bidi w:val="0"/>
        <w:spacing w:before="0" w:after="380" w:line="317" w:lineRule="exact"/>
        <w:ind w:left="0" w:right="0" w:firstLine="0"/>
        <w:jc w:val="both"/>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、公司资产或项目存在盈利预测，且报告期仍处在盈利预测期间，公司就资产或项目达到原盈利预测及 其原因做出说明</w:t>
      </w:r>
      <w:bookmarkEnd w:id="270"/>
      <w:bookmarkEnd w:id="271"/>
      <w:bookmarkEnd w:id="273"/>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三</w:t>
      </w:r>
      <w:bookmarkEnd w:id="276"/>
      <w:r>
        <w:rPr>
          <w:color w:val="000000"/>
          <w:spacing w:val="0"/>
          <w:w w:val="100"/>
          <w:position w:val="0"/>
        </w:rPr>
        <w:t>、</w:t>
        <w:tab/>
        <w:t>控股股东及其关联方对上市公司的非经营性占用资金情况</w:t>
      </w:r>
      <w:bookmarkEnd w:id="274"/>
      <w:bookmarkEnd w:id="275"/>
      <w:bookmarkEnd w:id="277"/>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38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四</w:t>
      </w:r>
      <w:bookmarkEnd w:id="280"/>
      <w:r>
        <w:rPr>
          <w:color w:val="000000"/>
          <w:spacing w:val="0"/>
          <w:w w:val="100"/>
          <w:position w:val="0"/>
        </w:rPr>
        <w:t>、</w:t>
        <w:tab/>
        <w:t>董事会对最近一期“非标准审计报告”相关情况的说明</w:t>
      </w:r>
      <w:bookmarkEnd w:id="278"/>
      <w:bookmarkEnd w:id="279"/>
      <w:bookmarkEnd w:id="281"/>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331" w:lineRule="exact"/>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五</w:t>
      </w:r>
      <w:bookmarkEnd w:id="284"/>
      <w:r>
        <w:rPr>
          <w:color w:val="000000"/>
          <w:spacing w:val="0"/>
          <w:w w:val="100"/>
          <w:position w:val="0"/>
        </w:rPr>
        <w:t>、董事会、监事会、独立董事（如有）对会计师事务所本报告期“非标准审计报告”的说 明</w:t>
      </w:r>
      <w:bookmarkEnd w:id="282"/>
      <w:bookmarkEnd w:id="283"/>
      <w:bookmarkEnd w:id="285"/>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六</w:t>
      </w:r>
      <w:bookmarkEnd w:id="288"/>
      <w:r>
        <w:rPr>
          <w:color w:val="000000"/>
          <w:spacing w:val="0"/>
          <w:w w:val="100"/>
          <w:position w:val="0"/>
        </w:rPr>
        <w:t>、董事会关于报告期会计政策、会计估计变更或重大会计差错更正的说明</w:t>
      </w:r>
      <w:bookmarkEnd w:id="286"/>
      <w:bookmarkEnd w:id="287"/>
      <w:bookmarkEnd w:id="289"/>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tabs>
          <w:tab w:pos="794" w:val="left"/>
        </w:tabs>
        <w:bidi w:val="0"/>
        <w:spacing w:before="0" w:after="0" w:line="472" w:lineRule="exact"/>
        <w:ind w:left="0" w:right="0" w:firstLine="460"/>
        <w:jc w:val="left"/>
      </w:pPr>
      <w:bookmarkStart w:id="290" w:name="bookmark290"/>
      <w:r>
        <w:rPr>
          <w:color w:val="000000"/>
          <w:spacing w:val="0"/>
          <w:w w:val="100"/>
          <w:position w:val="0"/>
          <w:sz w:val="18"/>
          <w:szCs w:val="18"/>
        </w:rPr>
        <w:t>1</w:t>
      </w:r>
      <w:bookmarkEnd w:id="290"/>
      <w:r>
        <w:rPr>
          <w:color w:val="000000"/>
          <w:spacing w:val="0"/>
          <w:w w:val="100"/>
          <w:position w:val="0"/>
        </w:rPr>
        <w:t>、</w:t>
        <w:tab/>
        <w:t>会计政策变更的原因</w:t>
      </w:r>
    </w:p>
    <w:p>
      <w:pPr>
        <w:pStyle w:val="Style21"/>
        <w:keepNext w:val="0"/>
        <w:keepLines w:val="0"/>
        <w:widowControl w:val="0"/>
        <w:shd w:val="clear" w:color="auto" w:fill="auto"/>
        <w:bidi w:val="0"/>
        <w:spacing w:before="0" w:after="0" w:line="472" w:lineRule="exact"/>
        <w:ind w:left="0" w:right="0" w:firstLine="460"/>
        <w:jc w:val="left"/>
      </w:pPr>
      <w:r>
        <w:rPr>
          <w:color w:val="000000"/>
          <w:spacing w:val="0"/>
          <w:w w:val="100"/>
          <w:position w:val="0"/>
        </w:rPr>
        <w:t>为进一步规范增值税会计处理，促进《关于全面推开营业税改征增值税试点的通知》（财税〔</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36</w:t>
      </w:r>
      <w:r>
        <w:rPr>
          <w:color w:val="000000"/>
          <w:spacing w:val="0"/>
          <w:w w:val="100"/>
          <w:position w:val="0"/>
        </w:rPr>
        <w:t>号）的贯彻落实, 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22</w:t>
      </w:r>
      <w:r>
        <w:rPr>
          <w:color w:val="000000"/>
          <w:spacing w:val="0"/>
          <w:w w:val="100"/>
          <w:position w:val="0"/>
        </w:rPr>
        <w:t>号）。该规定自发布之日起施行。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日至 该规定施行之间发生的交易由于该规定而影响资产、负债等金额的，应按该规定调整。</w:t>
      </w:r>
    </w:p>
    <w:p>
      <w:pPr>
        <w:pStyle w:val="Style21"/>
        <w:keepNext w:val="0"/>
        <w:keepLines w:val="0"/>
        <w:widowControl w:val="0"/>
        <w:shd w:val="clear" w:color="auto" w:fill="auto"/>
        <w:tabs>
          <w:tab w:pos="804" w:val="left"/>
        </w:tabs>
        <w:bidi w:val="0"/>
        <w:spacing w:before="0" w:after="0" w:line="472" w:lineRule="exact"/>
        <w:ind w:left="0" w:right="0" w:firstLine="460"/>
        <w:jc w:val="both"/>
      </w:pPr>
      <w:bookmarkStart w:id="291" w:name="bookmark291"/>
      <w:r>
        <w:rPr>
          <w:color w:val="000000"/>
          <w:spacing w:val="0"/>
          <w:w w:val="100"/>
          <w:position w:val="0"/>
          <w:sz w:val="18"/>
          <w:szCs w:val="18"/>
        </w:rPr>
        <w:t>2</w:t>
      </w:r>
      <w:bookmarkEnd w:id="291"/>
      <w:r>
        <w:rPr>
          <w:color w:val="000000"/>
          <w:spacing w:val="0"/>
          <w:w w:val="100"/>
          <w:position w:val="0"/>
        </w:rPr>
        <w:t>、</w:t>
        <w:tab/>
        <w:t>会计政策变更的影响</w:t>
      </w:r>
    </w:p>
    <w:p>
      <w:pPr>
        <w:pStyle w:val="Style21"/>
        <w:keepNext w:val="0"/>
        <w:keepLines w:val="0"/>
        <w:widowControl w:val="0"/>
        <w:shd w:val="clear" w:color="auto" w:fill="auto"/>
        <w:tabs>
          <w:tab w:pos="809" w:val="left"/>
        </w:tabs>
        <w:bidi w:val="0"/>
        <w:spacing w:before="0" w:after="0" w:line="472" w:lineRule="exact"/>
        <w:ind w:left="0" w:right="0" w:firstLine="460"/>
        <w:jc w:val="left"/>
      </w:pPr>
      <w:bookmarkStart w:id="292" w:name="bookmark292"/>
      <w:r>
        <w:rPr>
          <w:color w:val="000000"/>
          <w:spacing w:val="0"/>
          <w:w w:val="100"/>
          <w:position w:val="0"/>
          <w:sz w:val="18"/>
          <w:szCs w:val="18"/>
        </w:rPr>
        <w:t>1</w:t>
      </w:r>
      <w:bookmarkEnd w:id="292"/>
      <w:r>
        <w:rPr>
          <w:color w:val="000000"/>
          <w:spacing w:val="0"/>
          <w:w w:val="100"/>
          <w:position w:val="0"/>
          <w:sz w:val="18"/>
          <w:szCs w:val="18"/>
        </w:rPr>
        <w:t>）</w:t>
        <w:tab/>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日起，公司将利润表中的“营业税金及附加”项目调整为“税金及附加”项目。</w:t>
      </w:r>
    </w:p>
    <w:p>
      <w:pPr>
        <w:pStyle w:val="Style21"/>
        <w:keepNext w:val="0"/>
        <w:keepLines w:val="0"/>
        <w:widowControl w:val="0"/>
        <w:shd w:val="clear" w:color="auto" w:fill="auto"/>
        <w:tabs>
          <w:tab w:pos="685" w:val="left"/>
        </w:tabs>
        <w:bidi w:val="0"/>
        <w:spacing w:before="0" w:after="0" w:line="472" w:lineRule="exact"/>
        <w:ind w:left="0" w:right="0" w:firstLine="460"/>
        <w:jc w:val="left"/>
      </w:pPr>
      <w:bookmarkStart w:id="293" w:name="bookmark293"/>
      <w:r>
        <w:rPr>
          <w:color w:val="000000"/>
          <w:spacing w:val="0"/>
          <w:w w:val="100"/>
          <w:position w:val="0"/>
          <w:sz w:val="18"/>
          <w:szCs w:val="18"/>
        </w:rPr>
        <w:t>2</w:t>
      </w:r>
      <w:bookmarkEnd w:id="293"/>
      <w:r>
        <w:rPr>
          <w:color w:val="000000"/>
          <w:spacing w:val="0"/>
          <w:w w:val="100"/>
          <w:position w:val="0"/>
          <w:sz w:val="18"/>
          <w:szCs w:val="18"/>
        </w:rPr>
        <w:t>）</w:t>
        <w:tab/>
      </w:r>
      <w:r>
        <w:rPr>
          <w:color w:val="000000"/>
          <w:spacing w:val="0"/>
          <w:w w:val="100"/>
          <w:position w:val="0"/>
        </w:rPr>
        <w:t>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日起企业经营活动发生的房产税、土地使用税、车船使用税、印花税从“管理费用”项目重分类至 “税金及附加”项目，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日之前发生的税费不予调整。比较数据不予调整。</w:t>
      </w:r>
    </w:p>
    <w:p>
      <w:pPr>
        <w:pStyle w:val="Style21"/>
        <w:keepNext w:val="0"/>
        <w:keepLines w:val="0"/>
        <w:widowControl w:val="0"/>
        <w:shd w:val="clear" w:color="auto" w:fill="auto"/>
        <w:bidi w:val="0"/>
        <w:spacing w:before="0" w:after="460" w:line="472" w:lineRule="exact"/>
        <w:ind w:left="0" w:right="0" w:firstLine="460"/>
        <w:jc w:val="left"/>
      </w:pPr>
      <w:r>
        <w:rPr>
          <w:color w:val="000000"/>
          <w:spacing w:val="0"/>
          <w:w w:val="100"/>
          <w:position w:val="0"/>
        </w:rPr>
        <w:t>除上述外，对公司无其他重大影响，对当期及前期列报净损益亦无影响。</w:t>
      </w:r>
    </w:p>
    <w:p>
      <w:pPr>
        <w:pStyle w:val="Style27"/>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七</w:t>
      </w:r>
      <w:bookmarkEnd w:id="296"/>
      <w:r>
        <w:rPr>
          <w:color w:val="000000"/>
          <w:spacing w:val="0"/>
          <w:w w:val="100"/>
          <w:position w:val="0"/>
        </w:rPr>
        <w:t>、与上年度财务报告相比，合并报表范围发生变化的情况说明</w:t>
      </w:r>
      <w:bookmarkEnd w:id="294"/>
      <w:bookmarkEnd w:id="295"/>
      <w:bookmarkEnd w:id="297"/>
    </w:p>
    <w:p>
      <w:pPr>
        <w:pStyle w:val="Style21"/>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139" w:right="0" w:firstLine="0"/>
        <w:jc w:val="left"/>
      </w:pPr>
      <w:r>
        <w:rPr>
          <w:color w:val="000000"/>
          <w:spacing w:val="0"/>
          <w:w w:val="100"/>
          <w:position w:val="0"/>
        </w:rPr>
        <w:t>报告期内通过设立或投资等方式取得的子公司</w:t>
      </w:r>
    </w:p>
    <w:tbl>
      <w:tblPr>
        <w:tblOverlap w:val="never"/>
        <w:jc w:val="center"/>
        <w:tblLayout w:type="fixed"/>
      </w:tblPr>
      <w:tblGrid>
        <w:gridCol w:w="1646"/>
        <w:gridCol w:w="1219"/>
        <w:gridCol w:w="1589"/>
        <w:gridCol w:w="1094"/>
        <w:gridCol w:w="3389"/>
        <w:gridCol w:w="931"/>
      </w:tblGrid>
      <w:tr>
        <w:trPr>
          <w:trHeight w:val="63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持股比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Lifesense Health</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50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健康硬件产品研发、软件和信息技术服务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香港创源有限公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电子产品的开发和销售、医疗器械产品的 研发、健康管理咨询、投资控股、业务咨 询以及政府许可的其他业务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八</w:t>
      </w:r>
      <w:bookmarkEnd w:id="300"/>
      <w:r>
        <w:rPr>
          <w:color w:val="000000"/>
          <w:spacing w:val="0"/>
          <w:w w:val="100"/>
          <w:position w:val="0"/>
        </w:rPr>
        <w:t>、聘任、解聘会计师事务所情况</w:t>
      </w:r>
      <w:bookmarkEnd w:id="298"/>
      <w:bookmarkEnd w:id="299"/>
      <w:bookmarkEnd w:id="30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陈勇波、梁谦海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p>
      <w:pPr>
        <w:widowControl w:val="0"/>
        <w:spacing w:line="1" w:lineRule="exact"/>
      </w:pPr>
      <w:r>
        <mc:AlternateContent>
          <mc:Choice Requires="wps">
            <w:drawing>
              <wp:anchor distT="73025" distB="60960" distL="0" distR="0" simplePos="0" relativeHeight="125829378" behindDoc="0" locked="0" layoutInCell="1" allowOverlap="1">
                <wp:simplePos x="0" y="0"/>
                <wp:positionH relativeFrom="page">
                  <wp:posOffset>741045</wp:posOffset>
                </wp:positionH>
                <wp:positionV relativeFrom="paragraph">
                  <wp:posOffset>73025</wp:posOffset>
                </wp:positionV>
                <wp:extent cx="2194560" cy="149225"/>
                <wp:wrapTopAndBottom/>
                <wp:docPr id="66" name="Shape 66"/>
                <a:graphic xmlns:a="http://schemas.openxmlformats.org/drawingml/2006/main">
                  <a:graphicData uri="http://schemas.microsoft.com/office/word/2010/wordprocessingShape">
                    <wps:wsp>
                      <wps:cNvSpPr txBox="1"/>
                      <wps:spPr>
                        <a:xfrm>
                          <a:ext cx="2194560" cy="149225"/>
                        </a:xfrm>
                        <a:prstGeom prst="rect"/>
                        <a:noFill/>
                      </wps:spPr>
                      <wps:txbx>
                        <w:txbxContent>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xbxContent>
                      </wps:txbx>
                      <wps:bodyPr wrap="none" lIns="0" tIns="0" rIns="0" bIns="0">
                        <a:noAutoFit/>
                      </wps:bodyPr>
                    </wps:wsp>
                  </a:graphicData>
                </a:graphic>
              </wp:anchor>
            </w:drawing>
          </mc:Choice>
          <mc:Fallback>
            <w:pict>
              <v:shape id="_x0000_s1092" type="#_x0000_t202" style="position:absolute;margin-left:58.350000000000001pt;margin-top:5.75pt;width:172.80000000000001pt;height:11.75pt;z-index:-125829375;mso-wrap-distance-left:0;mso-wrap-distance-top:5.75pt;mso-wrap-distance-right:0;mso-wrap-distance-bottom:4.7999999999999998pt;mso-position-horizontal-relative:page" filled="f" stroked="f">
                <v:textbox inset="0,0,0,0">
                  <w:txbxContent>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xbxContent>
                </v:textbox>
                <w10:wrap type="topAndBottom" anchorx="page"/>
              </v:shape>
            </w:pict>
          </mc:Fallback>
        </mc:AlternateContent>
      </w:r>
      <w:r>
        <w:drawing>
          <wp:anchor distT="0" distB="0" distL="0" distR="0" simplePos="0" relativeHeight="125829380" behindDoc="0" locked="0" layoutInCell="1" allowOverlap="1">
            <wp:simplePos x="0" y="0"/>
            <wp:positionH relativeFrom="page">
              <wp:posOffset>3136900</wp:posOffset>
            </wp:positionH>
            <wp:positionV relativeFrom="paragraph">
              <wp:posOffset>0</wp:posOffset>
            </wp:positionV>
            <wp:extent cx="3639185" cy="28638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1"/>
                    <a:stretch/>
                  </pic:blipFill>
                  <pic:spPr>
                    <a:xfrm>
                      <a:ext cx="3639185" cy="286385"/>
                    </a:xfrm>
                    <a:prstGeom prst="rect"/>
                  </pic:spPr>
                </pic:pic>
              </a:graphicData>
            </a:graphic>
          </wp:anchor>
        </w:drawing>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是否改聘会计师事务所 </w:t>
      </w:r>
      <w:r>
        <w:rPr>
          <w:color w:val="000000"/>
          <w:spacing w:val="0"/>
          <w:w w:val="100"/>
          <w:position w:val="0"/>
        </w:rPr>
        <w:t xml:space="preserve">口 </w:t>
      </w:r>
      <w:r>
        <w:rPr>
          <w:color w:val="000000"/>
          <w:spacing w:val="0"/>
          <w:w w:val="100"/>
          <w:position w:val="0"/>
        </w:rPr>
        <w:t xml:space="preserve">是］否 </w:t>
      </w:r>
      <w:r>
        <w:rPr>
          <w:color w:val="000000"/>
          <w:spacing w:val="0"/>
          <w:w w:val="100"/>
          <w:position w:val="0"/>
        </w:rPr>
        <w:t xml:space="preserve">聘请内部控制审计会计师事务所、财务顾问或保荐人情况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九</w:t>
      </w:r>
      <w:bookmarkEnd w:id="304"/>
      <w:r>
        <w:rPr>
          <w:color w:val="000000"/>
          <w:spacing w:val="0"/>
          <w:w w:val="100"/>
          <w:position w:val="0"/>
        </w:rPr>
        <w:t>、年度报告披露后面临暂停上市和终止上市情况</w:t>
      </w:r>
      <w:bookmarkEnd w:id="302"/>
      <w:bookmarkEnd w:id="303"/>
      <w:bookmarkEnd w:id="30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r>
        <w:rPr>
          <w:color w:val="000000"/>
          <w:spacing w:val="0"/>
          <w:w w:val="100"/>
          <w:position w:val="0"/>
        </w:rPr>
        <w:t>十、破产重整相关事项</w:t>
      </w:r>
      <w:bookmarkEnd w:id="306"/>
      <w:bookmarkEnd w:id="307"/>
      <w:bookmarkEnd w:id="308"/>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rPr>
        <w:t>十一、重大诉讼、仲裁事项</w:t>
      </w:r>
      <w:bookmarkEnd w:id="309"/>
      <w:bookmarkEnd w:id="310"/>
      <w:bookmarkEnd w:id="31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本年度公司无重大诉讼、仲裁事项。</w:t>
      </w:r>
    </w:p>
    <w:p>
      <w:pPr>
        <w:pStyle w:val="Style27"/>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rPr>
        <w:t>十二、处罚及整改情况</w:t>
      </w:r>
      <w:bookmarkEnd w:id="312"/>
      <w:bookmarkEnd w:id="313"/>
      <w:bookmarkEnd w:id="31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rPr>
        <w:t>十三、公司及其控股股东、实际控制人的诚信状况</w:t>
      </w:r>
      <w:bookmarkEnd w:id="315"/>
      <w:bookmarkEnd w:id="316"/>
      <w:bookmarkEnd w:id="317"/>
    </w:p>
    <w:p>
      <w:pPr>
        <w:pStyle w:val="Style21"/>
        <w:keepNext w:val="0"/>
        <w:keepLines w:val="0"/>
        <w:widowControl w:val="0"/>
        <w:shd w:val="clear" w:color="auto" w:fill="auto"/>
        <w:bidi w:val="0"/>
        <w:spacing w:before="0" w:after="40" w:line="240" w:lineRule="auto"/>
        <w:ind w:left="0" w:right="0" w:firstLine="280"/>
        <w:jc w:val="left"/>
      </w:pPr>
      <w:r>
        <w:rPr>
          <w:color w:val="000000"/>
          <w:spacing w:val="0"/>
          <w:w w:val="100"/>
          <w:position w:val="0"/>
        </w:rPr>
        <w:t>适用 □ 不适用</w:t>
      </w:r>
    </w:p>
    <w:p>
      <w:pPr>
        <w:pStyle w:val="Style21"/>
        <w:keepNext w:val="0"/>
        <w:keepLines w:val="0"/>
        <w:widowControl w:val="0"/>
        <w:shd w:val="clear" w:color="auto" w:fill="auto"/>
        <w:bidi w:val="0"/>
        <w:spacing w:before="0" w:after="360" w:line="317" w:lineRule="exact"/>
        <w:ind w:left="0" w:right="0"/>
        <w:jc w:val="left"/>
      </w:pPr>
      <w:r>
        <w:rPr>
          <w:color w:val="000000"/>
          <w:spacing w:val="0"/>
          <w:w w:val="100"/>
          <w:position w:val="0"/>
        </w:rPr>
        <w:t>报告期内，公司及控股股东、实际控制人均不存在作为一方当事人的重大诉讼或仲裁事项，不存在未履行法院生效判决、 所属数额较大的债务到期未清偿，不存在重大违法行为等情况。</w:t>
      </w:r>
    </w:p>
    <w:p>
      <w:pPr>
        <w:pStyle w:val="Style27"/>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rPr>
        <w:t>十四、公司股权激励计划、员工持股计划或其他员工激励措施的实施情况</w:t>
      </w:r>
      <w:bookmarkEnd w:id="318"/>
      <w:bookmarkEnd w:id="319"/>
      <w:bookmarkEnd w:id="32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rPr>
        <w:t>十五、重大关联交易</w:t>
      </w:r>
      <w:bookmarkEnd w:id="321"/>
      <w:bookmarkEnd w:id="322"/>
      <w:bookmarkEnd w:id="323"/>
    </w:p>
    <w:p>
      <w:pPr>
        <w:pStyle w:val="Style33"/>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、与日常经营相关的关联交易</w:t>
      </w:r>
      <w:bookmarkEnd w:id="324"/>
      <w:bookmarkEnd w:id="325"/>
      <w:bookmarkEnd w:id="32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公司报告期未发生与日常经营相关的关联交易。</w:t>
      </w:r>
    </w:p>
    <w:p>
      <w:pPr>
        <w:pStyle w:val="Style33"/>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、资产或股权收购、出售发生的关联交易</w:t>
      </w:r>
      <w:bookmarkEnd w:id="328"/>
      <w:bookmarkEnd w:id="329"/>
      <w:bookmarkEnd w:id="331"/>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共同对外投资的关联交易</w:t>
      </w:r>
      <w:bookmarkEnd w:id="332"/>
      <w:bookmarkEnd w:id="333"/>
      <w:bookmarkEnd w:id="33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本公司作为被担保方：</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日，潘伟潮与建设银行中山市分行签订了合同编号为</w:t>
      </w:r>
      <w:r>
        <w:rPr>
          <w:color w:val="000000"/>
          <w:spacing w:val="0"/>
          <w:w w:val="100"/>
          <w:position w:val="0"/>
          <w:sz w:val="18"/>
          <w:szCs w:val="18"/>
        </w:rPr>
        <w:t>2013</w:t>
      </w:r>
      <w:r>
        <w:rPr>
          <w:color w:val="000000"/>
          <w:spacing w:val="0"/>
          <w:w w:val="100"/>
          <w:position w:val="0"/>
        </w:rPr>
        <w:t>年保字第</w:t>
      </w:r>
      <w:r>
        <w:rPr>
          <w:color w:val="000000"/>
          <w:spacing w:val="0"/>
          <w:w w:val="100"/>
          <w:position w:val="0"/>
          <w:sz w:val="18"/>
          <w:szCs w:val="18"/>
        </w:rPr>
        <w:t>54</w:t>
      </w:r>
      <w:r>
        <w:rPr>
          <w:color w:val="000000"/>
          <w:spacing w:val="0"/>
          <w:w w:val="100"/>
          <w:position w:val="0"/>
        </w:rPr>
        <w:t>号最高额担保 合同，为本公司与建设银行中山市分行在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日期间内签订的主合同项下的一系列债务，提供最高额 为</w:t>
      </w:r>
      <w:r>
        <w:rPr>
          <w:color w:val="000000"/>
          <w:spacing w:val="0"/>
          <w:w w:val="100"/>
          <w:position w:val="0"/>
          <w:sz w:val="18"/>
          <w:szCs w:val="18"/>
        </w:rPr>
        <w:t>3,300</w:t>
      </w:r>
      <w:r>
        <w:rPr>
          <w:color w:val="000000"/>
          <w:spacing w:val="0"/>
          <w:w w:val="100"/>
          <w:position w:val="0"/>
        </w:rPr>
        <w:t>万元的连带责任保证。</w:t>
      </w:r>
    </w:p>
    <w:p>
      <w:pPr>
        <w:pStyle w:val="Style21"/>
        <w:keepNext w:val="0"/>
        <w:keepLines w:val="0"/>
        <w:widowControl w:val="0"/>
        <w:shd w:val="clear" w:color="auto" w:fill="auto"/>
        <w:bidi w:val="0"/>
        <w:spacing w:before="0" w:after="460" w:line="475"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日，麦炯章与建设银行中山市分行签订了合同编号为</w:t>
      </w:r>
      <w:r>
        <w:rPr>
          <w:color w:val="000000"/>
          <w:spacing w:val="0"/>
          <w:w w:val="100"/>
          <w:position w:val="0"/>
          <w:sz w:val="18"/>
          <w:szCs w:val="18"/>
        </w:rPr>
        <w:t>2013</w:t>
      </w:r>
      <w:r>
        <w:rPr>
          <w:color w:val="000000"/>
          <w:spacing w:val="0"/>
          <w:w w:val="100"/>
          <w:position w:val="0"/>
        </w:rPr>
        <w:t>年保字第</w:t>
      </w:r>
      <w:r>
        <w:rPr>
          <w:color w:val="000000"/>
          <w:spacing w:val="0"/>
          <w:w w:val="100"/>
          <w:position w:val="0"/>
          <w:sz w:val="18"/>
          <w:szCs w:val="18"/>
        </w:rPr>
        <w:t>53</w:t>
      </w:r>
      <w:r>
        <w:rPr>
          <w:color w:val="000000"/>
          <w:spacing w:val="0"/>
          <w:w w:val="100"/>
          <w:position w:val="0"/>
        </w:rPr>
        <w:t>号最高额担保合同，为本公司与建设 银行中山市分行在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日期间内签订的主合同项下的一系列债务，提供最高额为</w:t>
      </w:r>
      <w:r>
        <w:rPr>
          <w:color w:val="000000"/>
          <w:spacing w:val="0"/>
          <w:w w:val="100"/>
          <w:position w:val="0"/>
          <w:sz w:val="18"/>
          <w:szCs w:val="18"/>
        </w:rPr>
        <w:t>3,300</w:t>
      </w:r>
      <w:r>
        <w:rPr>
          <w:color w:val="000000"/>
          <w:spacing w:val="0"/>
          <w:w w:val="100"/>
          <w:position w:val="0"/>
        </w:rPr>
        <w:t>万元的连带责 任保证。</w:t>
      </w:r>
    </w:p>
    <w:p>
      <w:pPr>
        <w:pStyle w:val="Style27"/>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r>
        <w:rPr>
          <w:color w:val="000000"/>
          <w:spacing w:val="0"/>
          <w:w w:val="100"/>
          <w:position w:val="0"/>
        </w:rPr>
        <w:t>十六、重大合同及其履行情况</w:t>
      </w:r>
      <w:bookmarkEnd w:id="344"/>
      <w:bookmarkEnd w:id="345"/>
      <w:bookmarkEnd w:id="346"/>
    </w:p>
    <w:p>
      <w:pPr>
        <w:pStyle w:val="Style33"/>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、托管、承包、租赁事项情况</w:t>
      </w:r>
      <w:bookmarkEnd w:id="347"/>
      <w:bookmarkEnd w:id="348"/>
      <w:bookmarkEnd w:id="350"/>
    </w:p>
    <w:p>
      <w:pPr>
        <w:pStyle w:val="Style33"/>
        <w:keepNext/>
        <w:keepLines/>
        <w:widowControl w:val="0"/>
        <w:numPr>
          <w:ilvl w:val="0"/>
          <w:numId w:val="5"/>
        </w:numPr>
        <w:shd w:val="clear" w:color="auto" w:fill="auto"/>
        <w:tabs>
          <w:tab w:pos="493" w:val="left"/>
        </w:tabs>
        <w:bidi w:val="0"/>
        <w:spacing w:before="0" w:line="240" w:lineRule="auto"/>
        <w:ind w:left="0" w:right="0" w:firstLine="0"/>
        <w:jc w:val="left"/>
      </w:pPr>
      <w:bookmarkStart w:id="347" w:name="bookmark347"/>
      <w:bookmarkStart w:id="348" w:name="bookmark348"/>
      <w:bookmarkStart w:id="351" w:name="bookmark351"/>
      <w:bookmarkStart w:id="352" w:name="bookmark352"/>
      <w:bookmarkEnd w:id="351"/>
      <w:r>
        <w:rPr>
          <w:color w:val="000000"/>
          <w:spacing w:val="0"/>
          <w:w w:val="100"/>
          <w:position w:val="0"/>
        </w:rPr>
        <w:t>托管情况</w:t>
      </w:r>
      <w:bookmarkEnd w:id="347"/>
      <w:bookmarkEnd w:id="348"/>
      <w:bookmarkEnd w:id="35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12"/>
        <w:keepNext w:val="0"/>
        <w:keepLines w:val="0"/>
        <w:widowControl w:val="0"/>
        <w:numPr>
          <w:ilvl w:val="0"/>
          <w:numId w:val="5"/>
        </w:numPr>
        <w:shd w:val="clear" w:color="auto" w:fill="auto"/>
        <w:tabs>
          <w:tab w:pos="493" w:val="left"/>
        </w:tabs>
        <w:bidi w:val="0"/>
        <w:spacing w:before="0" w:after="360" w:line="240" w:lineRule="auto"/>
        <w:ind w:left="0" w:right="0" w:firstLine="0"/>
        <w:jc w:val="left"/>
        <w:rPr>
          <w:sz w:val="20"/>
          <w:szCs w:val="20"/>
        </w:rPr>
      </w:pPr>
      <w:bookmarkStart w:id="353" w:name="bookmark353"/>
      <w:bookmarkStart w:id="354" w:name="bookmark354"/>
      <w:bookmarkEnd w:id="353"/>
      <w:r>
        <w:rPr>
          <w:color w:val="000000"/>
          <w:spacing w:val="0"/>
          <w:w w:val="100"/>
          <w:position w:val="0"/>
          <w:sz w:val="20"/>
          <w:szCs w:val="20"/>
        </w:rPr>
        <w:t>承包情况</w:t>
      </w:r>
      <w:bookmarkEnd w:id="354"/>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55"/>
      <w:bookmarkEnd w:id="356"/>
      <w:bookmarkEnd w:id="358"/>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租赁情况说明</w:t>
      </w:r>
    </w:p>
    <w:p>
      <w:pPr>
        <w:pStyle w:val="Style21"/>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公司作为承租方，主要租赁房屋用作办公场所。</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3"/>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、重大担保</w:t>
      </w:r>
      <w:bookmarkEnd w:id="359"/>
      <w:bookmarkEnd w:id="360"/>
      <w:bookmarkEnd w:id="36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3"/>
      <w:bookmarkEnd w:id="364"/>
      <w:bookmarkEnd w:id="36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、委托他人进行现金资产管理情况</w:t>
      </w:r>
      <w:bookmarkEnd w:id="367"/>
      <w:bookmarkEnd w:id="368"/>
      <w:bookmarkEnd w:id="370"/>
    </w:p>
    <w:p>
      <w:pPr>
        <w:pStyle w:val="Style40"/>
        <w:keepNext/>
        <w:keepLines/>
        <w:widowControl w:val="0"/>
        <w:shd w:val="clear" w:color="auto" w:fill="auto"/>
        <w:tabs>
          <w:tab w:pos="493" w:val="left"/>
        </w:tabs>
        <w:bidi w:val="0"/>
        <w:spacing w:before="0" w:after="2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1"/>
      <w:bookmarkEnd w:id="372"/>
      <w:bookmarkEnd w:id="374"/>
    </w:p>
    <w:p>
      <w:pPr>
        <w:pStyle w:val="Style21"/>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28"/>
          <w:szCs w:val="28"/>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5"/>
      <w:bookmarkEnd w:id="376"/>
      <w:bookmarkEnd w:id="378"/>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、其他重大合同</w:t>
      </w:r>
      <w:bookmarkEnd w:id="379"/>
      <w:bookmarkEnd w:id="380"/>
      <w:bookmarkEnd w:id="38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r>
        <w:rPr>
          <w:color w:val="000000"/>
          <w:spacing w:val="0"/>
          <w:w w:val="100"/>
          <w:position w:val="0"/>
        </w:rPr>
        <w:t>十七、社会责任情况</w:t>
      </w:r>
      <w:bookmarkEnd w:id="383"/>
      <w:bookmarkEnd w:id="384"/>
      <w:bookmarkEnd w:id="385"/>
    </w:p>
    <w:p>
      <w:pPr>
        <w:pStyle w:val="Style33"/>
        <w:keepNext/>
        <w:keepLines/>
        <w:widowControl w:val="0"/>
        <w:shd w:val="clear" w:color="auto" w:fill="auto"/>
        <w:tabs>
          <w:tab w:pos="368" w:val="left"/>
        </w:tabs>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履行精准扶贫社会责任情况</w:t>
      </w:r>
      <w:bookmarkEnd w:id="386"/>
      <w:bookmarkEnd w:id="387"/>
      <w:bookmarkEnd w:id="38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4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履行其他社会责任的情况</w:t>
      </w:r>
      <w:bookmarkEnd w:id="390"/>
      <w:bookmarkEnd w:id="391"/>
      <w:bookmarkEnd w:id="393"/>
    </w:p>
    <w:p>
      <w:pPr>
        <w:pStyle w:val="Style21"/>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公司的发展离不开社会的支持，回报社会是公司的责任和使命。公司在不断为股东创造价值的同时，也积极承担对职工、</w:t>
      </w:r>
    </w:p>
    <w:p>
      <w:pPr>
        <w:pStyle w:val="Style2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25" w:bottom="1413" w:left="1007" w:header="0" w:footer="3" w:gutter="0"/>
          <w:cols w:space="720"/>
          <w:noEndnote/>
          <w:rtlGutter w:val="0"/>
          <w:docGrid w:linePitch="360"/>
        </w:sectPr>
      </w:pPr>
      <w:r>
        <w:rPr>
          <w:color w:val="000000"/>
          <w:spacing w:val="0"/>
          <w:w w:val="100"/>
          <w:position w:val="0"/>
        </w:rPr>
        <w:t>客户、社会等其他利益相关者的责任。公司一直坚持以负责任的态度对待自己、家人、同事、商业伙伴乃至整个社会。</w:t>
      </w:r>
    </w:p>
    <w:p>
      <w:pPr>
        <w:pStyle w:val="Style59"/>
        <w:keepNext w:val="0"/>
        <w:keepLines w:val="0"/>
        <w:widowControl w:val="0"/>
        <w:shd w:val="clear" w:color="auto" w:fill="auto"/>
        <w:bidi w:val="0"/>
        <w:spacing w:before="0" w:after="0" w:line="240" w:lineRule="auto"/>
        <w:ind w:left="0" w:right="0" w:firstLine="140"/>
        <w:jc w:val="left"/>
      </w:pPr>
      <w:r>
        <w:rPr>
          <w:spacing w:val="0"/>
          <w:w w:val="100"/>
          <w:position w:val="0"/>
        </w:rPr>
        <w:t>材#乐心医疗</w:t>
      </w:r>
    </w:p>
    <w:p>
      <w:pPr>
        <w:pStyle w:val="Style21"/>
        <w:keepNext w:val="0"/>
        <w:keepLines w:val="0"/>
        <w:widowControl w:val="0"/>
        <w:shd w:val="clear" w:color="auto" w:fill="auto"/>
        <w:bidi w:val="0"/>
        <w:spacing w:before="0" w:after="0" w:line="472" w:lineRule="exact"/>
        <w:ind w:left="0" w:right="0"/>
        <w:jc w:val="both"/>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求，及时、准确、真实、完整地进行信息披露，通过投资者电话、电子邮箱、公司网站和投资者关系互动平台等多种方式与 投资者进行沟通交流，提高了公司的透明度和诚信度。</w:t>
      </w:r>
    </w:p>
    <w:p>
      <w:pPr>
        <w:pStyle w:val="Style21"/>
        <w:keepNext w:val="0"/>
        <w:keepLines w:val="0"/>
        <w:widowControl w:val="0"/>
        <w:shd w:val="clear" w:color="auto" w:fill="auto"/>
        <w:bidi w:val="0"/>
        <w:spacing w:before="0" w:after="0" w:line="472" w:lineRule="exact"/>
        <w:ind w:left="0" w:right="0"/>
        <w:jc w:val="both"/>
      </w:pPr>
      <w:r>
        <w:rPr>
          <w:color w:val="000000"/>
          <w:spacing w:val="0"/>
          <w:w w:val="100"/>
          <w:position w:val="0"/>
        </w:rPr>
        <w:t>公司尊重和维护员工的个人权益，关注员工健康，定期为员工提供免费体检的福利；公司通过为员工提供知识技能等方 面的培训，提升员工的工作和学习能力。</w:t>
      </w:r>
    </w:p>
    <w:p>
      <w:pPr>
        <w:pStyle w:val="Style21"/>
        <w:keepNext w:val="0"/>
        <w:keepLines w:val="0"/>
        <w:widowControl w:val="0"/>
        <w:shd w:val="clear" w:color="auto" w:fill="auto"/>
        <w:bidi w:val="0"/>
        <w:spacing w:before="0" w:after="480" w:line="472" w:lineRule="exact"/>
        <w:ind w:left="0" w:right="0"/>
        <w:jc w:val="both"/>
      </w:pPr>
      <w:r>
        <w:rPr>
          <w:color w:val="000000"/>
          <w:spacing w:val="0"/>
          <w:w w:val="100"/>
          <w:position w:val="0"/>
        </w:rPr>
        <w:t>公司积极参加当地民政部门的捐赠活动，关注弱势群体的帮扶工作。公司始终践行守法诚信经营的道德规范，荣获“守 合同重信用企业”等荣誉。</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是否发布社会责任报告</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7"/>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rPr>
        <w:t>十八、其他重大事项的说明</w:t>
      </w:r>
      <w:bookmarkEnd w:id="394"/>
      <w:bookmarkEnd w:id="395"/>
      <w:bookmarkEnd w:id="39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100" w:line="240" w:lineRule="auto"/>
        <w:ind w:left="0" w:right="0" w:firstLine="0"/>
        <w:jc w:val="left"/>
      </w:pPr>
      <w:bookmarkStart w:id="397" w:name="bookmark397"/>
      <w:bookmarkStart w:id="398" w:name="bookmark398"/>
      <w:bookmarkStart w:id="399" w:name="bookmark399"/>
      <w:r>
        <w:rPr>
          <w:color w:val="000000"/>
          <w:spacing w:val="0"/>
          <w:w w:val="100"/>
          <w:position w:val="0"/>
        </w:rPr>
        <w:t>十九、公司子公司重大事项</w:t>
      </w:r>
      <w:bookmarkEnd w:id="397"/>
      <w:bookmarkEnd w:id="398"/>
      <w:bookmarkEnd w:id="399"/>
    </w:p>
    <w:p>
      <w:pPr>
        <w:pStyle w:val="Style21"/>
        <w:keepNext w:val="0"/>
        <w:keepLines w:val="0"/>
        <w:widowControl w:val="0"/>
        <w:shd w:val="clear" w:color="auto" w:fill="auto"/>
        <w:bidi w:val="0"/>
        <w:spacing w:before="0" w:after="160" w:line="472" w:lineRule="exact"/>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932" w:right="1109" w:bottom="1201" w:left="11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480" w:after="540" w:line="240" w:lineRule="auto"/>
        <w:ind w:left="0" w:right="0" w:firstLine="0"/>
        <w:jc w:val="center"/>
      </w:pPr>
      <w:bookmarkStart w:id="400" w:name="bookmark400"/>
      <w:bookmarkStart w:id="401" w:name="bookmark401"/>
      <w:bookmarkStart w:id="402" w:name="bookmark402"/>
      <w:r>
        <w:rPr>
          <w:color w:val="000000"/>
          <w:spacing w:val="0"/>
          <w:w w:val="100"/>
          <w:position w:val="0"/>
        </w:rPr>
        <w:t>第六节股份变动及股东情况</w:t>
      </w:r>
      <w:bookmarkEnd w:id="400"/>
      <w:bookmarkEnd w:id="401"/>
      <w:bookmarkEnd w:id="402"/>
    </w:p>
    <w:p>
      <w:pPr>
        <w:pStyle w:val="Style27"/>
        <w:keepNext/>
        <w:keepLines/>
        <w:widowControl w:val="0"/>
        <w:shd w:val="clear" w:color="auto" w:fill="auto"/>
        <w:bidi w:val="0"/>
        <w:spacing w:before="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、股份变动情况</w:t>
      </w:r>
      <w:bookmarkEnd w:id="403"/>
      <w:bookmarkEnd w:id="404"/>
      <w:bookmarkEnd w:id="406"/>
    </w:p>
    <w:p>
      <w:pPr>
        <w:pStyle w:val="Style33"/>
        <w:keepNext/>
        <w:keepLines/>
        <w:widowControl w:val="0"/>
        <w:shd w:val="clear" w:color="auto" w:fill="auto"/>
        <w:bidi w:val="0"/>
        <w:spacing w:before="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、股份变动情况</w:t>
      </w:r>
      <w:bookmarkEnd w:id="407"/>
      <w:bookmarkEnd w:id="408"/>
      <w:bookmarkEnd w:id="4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44,200,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44,200,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7,660,0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36,540,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44,200,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480" w:line="467" w:lineRule="exact"/>
        <w:ind w:left="0" w:right="0" w:firstLine="380"/>
        <w:jc w:val="both"/>
      </w:pPr>
      <w:r>
        <w:rPr>
          <w:color w:val="000000"/>
          <w:spacing w:val="0"/>
          <w:w w:val="100"/>
          <w:position w:val="0"/>
        </w:rPr>
        <w:t>根据中国证券监督管理委员会于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日签发的证监许可</w:t>
      </w:r>
      <w:r>
        <w:rPr>
          <w:color w:val="000000"/>
          <w:spacing w:val="0"/>
          <w:w w:val="100"/>
          <w:position w:val="0"/>
          <w:sz w:val="18"/>
          <w:szCs w:val="18"/>
        </w:rPr>
        <w:t>[2016]2432</w:t>
      </w:r>
      <w:r>
        <w:rPr>
          <w:color w:val="000000"/>
          <w:spacing w:val="0"/>
          <w:w w:val="100"/>
          <w:position w:val="0"/>
        </w:rPr>
        <w:t>号文《关于核准广东乐心医疗电子股份有限 公司首次公开发行股票的批复》，公司获准向社会公开发行人民币普通股</w:t>
      </w:r>
      <w:r>
        <w:rPr>
          <w:color w:val="000000"/>
          <w:spacing w:val="0"/>
          <w:w w:val="100"/>
          <w:position w:val="0"/>
          <w:sz w:val="18"/>
          <w:szCs w:val="18"/>
        </w:rPr>
        <w:t>1,480</w:t>
      </w:r>
      <w:r>
        <w:rPr>
          <w:color w:val="000000"/>
          <w:spacing w:val="0"/>
          <w:w w:val="100"/>
          <w:position w:val="0"/>
        </w:rPr>
        <w:t>万股，公司首次公开发行的</w:t>
      </w:r>
      <w:r>
        <w:rPr>
          <w:color w:val="000000"/>
          <w:spacing w:val="0"/>
          <w:w w:val="100"/>
          <w:position w:val="0"/>
          <w:sz w:val="18"/>
          <w:szCs w:val="18"/>
        </w:rPr>
        <w:t>1,480</w:t>
      </w:r>
      <w:r>
        <w:rPr>
          <w:color w:val="000000"/>
          <w:spacing w:val="0"/>
          <w:w w:val="100"/>
          <w:position w:val="0"/>
        </w:rPr>
        <w:t>万股人民币 普通股</w:t>
      </w:r>
      <w:r>
        <w:rPr>
          <w:color w:val="000000"/>
          <w:spacing w:val="0"/>
          <w:w w:val="100"/>
          <w:position w:val="0"/>
          <w:sz w:val="18"/>
          <w:szCs w:val="18"/>
        </w:rPr>
        <w:t>（A</w:t>
      </w:r>
      <w:r>
        <w:rPr>
          <w:color w:val="000000"/>
          <w:spacing w:val="0"/>
          <w:w w:val="100"/>
          <w:position w:val="0"/>
        </w:rPr>
        <w:t>股）股票于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日在深圳证券交易所创业板上市交易。首次公开发行后，公司总股本由</w:t>
      </w:r>
      <w:r>
        <w:rPr>
          <w:color w:val="000000"/>
          <w:spacing w:val="0"/>
          <w:w w:val="100"/>
          <w:position w:val="0"/>
          <w:sz w:val="18"/>
          <w:szCs w:val="18"/>
        </w:rPr>
        <w:t>4,420</w:t>
      </w:r>
      <w:r>
        <w:rPr>
          <w:color w:val="000000"/>
          <w:spacing w:val="0"/>
          <w:w w:val="100"/>
          <w:position w:val="0"/>
        </w:rPr>
        <w:t xml:space="preserve">万股增加至 </w:t>
      </w:r>
      <w:r>
        <w:rPr>
          <w:color w:val="000000"/>
          <w:spacing w:val="0"/>
          <w:w w:val="100"/>
          <w:position w:val="0"/>
          <w:sz w:val="18"/>
          <w:szCs w:val="18"/>
        </w:rPr>
        <w:t>5,900</w:t>
      </w:r>
      <w:r>
        <w:rPr>
          <w:color w:val="000000"/>
          <w:spacing w:val="0"/>
          <w:w w:val="100"/>
          <w:position w:val="0"/>
        </w:rPr>
        <w:t>万股，注册资本由人民币</w:t>
      </w:r>
      <w:r>
        <w:rPr>
          <w:color w:val="000000"/>
          <w:spacing w:val="0"/>
          <w:w w:val="100"/>
          <w:position w:val="0"/>
          <w:sz w:val="18"/>
          <w:szCs w:val="18"/>
        </w:rPr>
        <w:t>4,420</w:t>
      </w:r>
      <w:r>
        <w:rPr>
          <w:color w:val="000000"/>
          <w:spacing w:val="0"/>
          <w:w w:val="100"/>
          <w:position w:val="0"/>
        </w:rPr>
        <w:t>万元增加至</w:t>
      </w:r>
      <w:r>
        <w:rPr>
          <w:color w:val="000000"/>
          <w:spacing w:val="0"/>
          <w:w w:val="100"/>
          <w:position w:val="0"/>
          <w:sz w:val="18"/>
          <w:szCs w:val="18"/>
        </w:rPr>
        <w:t>5,900</w:t>
      </w:r>
      <w:r>
        <w:rPr>
          <w:color w:val="000000"/>
          <w:spacing w:val="0"/>
          <w:w w:val="100"/>
          <w:position w:val="0"/>
        </w:rPr>
        <w:t>万元。</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480" w:line="461" w:lineRule="exact"/>
        <w:ind w:left="0" w:right="0" w:firstLine="380"/>
        <w:jc w:val="both"/>
      </w:pPr>
      <w:r>
        <w:rPr>
          <w:color w:val="000000"/>
          <w:spacing w:val="0"/>
          <w:w w:val="100"/>
          <w:position w:val="0"/>
        </w:rPr>
        <w:t>经中国证券监督管理委员会《关于核准广东乐心医疗电子股份有限公司首次公开发行股票的批复》（证监许可</w:t>
      </w:r>
      <w:r>
        <w:rPr>
          <w:color w:val="000000"/>
          <w:spacing w:val="0"/>
          <w:w w:val="100"/>
          <w:position w:val="0"/>
          <w:sz w:val="18"/>
          <w:szCs w:val="18"/>
        </w:rPr>
        <w:t xml:space="preserve">[2016]2432 </w:t>
      </w:r>
      <w:r>
        <w:rPr>
          <w:color w:val="000000"/>
          <w:spacing w:val="0"/>
          <w:w w:val="100"/>
          <w:position w:val="0"/>
        </w:rPr>
        <w:t>号）核准，公司首次公开发行</w:t>
      </w:r>
      <w:r>
        <w:rPr>
          <w:color w:val="000000"/>
          <w:spacing w:val="0"/>
          <w:w w:val="100"/>
          <w:position w:val="0"/>
          <w:sz w:val="18"/>
          <w:szCs w:val="18"/>
        </w:rPr>
        <w:t>1,480</w:t>
      </w:r>
      <w:r>
        <w:rPr>
          <w:color w:val="000000"/>
          <w:spacing w:val="0"/>
          <w:w w:val="100"/>
          <w:position w:val="0"/>
        </w:rPr>
        <w:t xml:space="preserve">万股新股，及经深圳证券交易所《关于广东乐心医疗电子股份有限公司人民币普通股股 </w:t>
      </w:r>
      <w:r>
        <w:rPr>
          <w:color w:val="000000"/>
          <w:spacing w:val="0"/>
          <w:w w:val="100"/>
          <w:position w:val="0"/>
        </w:rPr>
        <w:t>票在创业板上市的通知》（深证上</w:t>
      </w:r>
      <w:r>
        <w:rPr>
          <w:color w:val="000000"/>
          <w:spacing w:val="0"/>
          <w:w w:val="100"/>
          <w:position w:val="0"/>
          <w:sz w:val="18"/>
          <w:szCs w:val="18"/>
        </w:rPr>
        <w:t>[2016]800</w:t>
      </w:r>
      <w:r>
        <w:rPr>
          <w:color w:val="000000"/>
          <w:spacing w:val="0"/>
          <w:w w:val="100"/>
          <w:position w:val="0"/>
        </w:rPr>
        <w:t>号）同意，公司此次发行新股于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日起上市交易。</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line="610" w:lineRule="exact"/>
        <w:ind w:left="0" w:right="0" w:firstLine="380"/>
        <w:jc w:val="left"/>
      </w:pPr>
      <w:r>
        <w:rPr>
          <w:color w:val="000000"/>
          <w:spacing w:val="0"/>
          <w:w w:val="100"/>
          <w:position w:val="0"/>
        </w:rPr>
        <w:t>公司首次公开发行的</w:t>
      </w:r>
      <w:r>
        <w:rPr>
          <w:color w:val="000000"/>
          <w:spacing w:val="0"/>
          <w:w w:val="100"/>
          <w:position w:val="0"/>
          <w:sz w:val="18"/>
          <w:szCs w:val="18"/>
        </w:rPr>
        <w:t>1,480</w:t>
      </w:r>
      <w:r>
        <w:rPr>
          <w:color w:val="000000"/>
          <w:spacing w:val="0"/>
          <w:w w:val="100"/>
          <w:position w:val="0"/>
        </w:rPr>
        <w:t>万股新股股票已全部在中国证券登记结算有限责任公司深圳分公司办理了证券登记手续。 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480" w:line="474" w:lineRule="exact"/>
        <w:ind w:left="0" w:right="0" w:firstLine="380"/>
        <w:jc w:val="left"/>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月公开发行新股，股本有</w:t>
      </w:r>
      <w:r>
        <w:rPr>
          <w:color w:val="000000"/>
          <w:spacing w:val="0"/>
          <w:w w:val="100"/>
          <w:position w:val="0"/>
          <w:sz w:val="18"/>
          <w:szCs w:val="18"/>
        </w:rPr>
        <w:t>4,420</w:t>
      </w:r>
      <w:r>
        <w:rPr>
          <w:color w:val="000000"/>
          <w:spacing w:val="0"/>
          <w:w w:val="100"/>
          <w:position w:val="0"/>
        </w:rPr>
        <w:t>万股增加至</w:t>
      </w:r>
      <w:r>
        <w:rPr>
          <w:color w:val="000000"/>
          <w:spacing w:val="0"/>
          <w:w w:val="100"/>
          <w:position w:val="0"/>
          <w:sz w:val="18"/>
          <w:szCs w:val="18"/>
        </w:rPr>
        <w:t>5,900</w:t>
      </w:r>
      <w:r>
        <w:rPr>
          <w:color w:val="000000"/>
          <w:spacing w:val="0"/>
          <w:w w:val="100"/>
          <w:position w:val="0"/>
        </w:rPr>
        <w:t>万股，对最近一年和最近一期基本每股收益和稀释每股 收益、归属于公司普通股股东的每股净资产等财务指标的影响为:报告期内公司基本每股收益为</w:t>
      </w:r>
      <w:r>
        <w:rPr>
          <w:color w:val="000000"/>
          <w:spacing w:val="0"/>
          <w:w w:val="100"/>
          <w:position w:val="0"/>
          <w:sz w:val="18"/>
          <w:szCs w:val="18"/>
        </w:rPr>
        <w:t>1.77</w:t>
      </w:r>
      <w:r>
        <w:rPr>
          <w:color w:val="000000"/>
          <w:spacing w:val="0"/>
          <w:w w:val="100"/>
          <w:position w:val="0"/>
        </w:rPr>
        <w:t>元</w:t>
      </w:r>
      <w:r>
        <w:rPr>
          <w:color w:val="000000"/>
          <w:spacing w:val="0"/>
          <w:w w:val="100"/>
          <w:position w:val="0"/>
          <w:sz w:val="18"/>
          <w:szCs w:val="18"/>
        </w:rPr>
        <w:t>/</w:t>
      </w:r>
      <w:r>
        <w:rPr>
          <w:color w:val="000000"/>
          <w:spacing w:val="0"/>
          <w:w w:val="100"/>
          <w:position w:val="0"/>
        </w:rPr>
        <w:t>股，同比增长</w:t>
      </w:r>
      <w:r>
        <w:rPr>
          <w:color w:val="000000"/>
          <w:spacing w:val="0"/>
          <w:w w:val="100"/>
          <w:position w:val="0"/>
          <w:sz w:val="18"/>
          <w:szCs w:val="18"/>
        </w:rPr>
        <w:t xml:space="preserve">55.26%； </w:t>
      </w:r>
      <w:r>
        <w:rPr>
          <w:color w:val="000000"/>
          <w:spacing w:val="0"/>
          <w:w w:val="100"/>
          <w:position w:val="0"/>
        </w:rPr>
        <w:t>稀释每股收益为</w:t>
      </w:r>
      <w:r>
        <w:rPr>
          <w:color w:val="000000"/>
          <w:spacing w:val="0"/>
          <w:w w:val="100"/>
          <w:position w:val="0"/>
          <w:sz w:val="18"/>
          <w:szCs w:val="18"/>
        </w:rPr>
        <w:t>1.77</w:t>
      </w:r>
      <w:r>
        <w:rPr>
          <w:color w:val="000000"/>
          <w:spacing w:val="0"/>
          <w:w w:val="100"/>
          <w:position w:val="0"/>
        </w:rPr>
        <w:t>元</w:t>
      </w:r>
      <w:r>
        <w:rPr>
          <w:color w:val="000000"/>
          <w:spacing w:val="0"/>
          <w:w w:val="100"/>
          <w:position w:val="0"/>
          <w:sz w:val="18"/>
          <w:szCs w:val="18"/>
        </w:rPr>
        <w:t>/</w:t>
      </w:r>
      <w:r>
        <w:rPr>
          <w:color w:val="000000"/>
          <w:spacing w:val="0"/>
          <w:w w:val="100"/>
          <w:position w:val="0"/>
        </w:rPr>
        <w:t>股，同比增长</w:t>
      </w:r>
      <w:r>
        <w:rPr>
          <w:color w:val="000000"/>
          <w:spacing w:val="0"/>
          <w:w w:val="100"/>
          <w:position w:val="0"/>
          <w:sz w:val="18"/>
          <w:szCs w:val="18"/>
        </w:rPr>
        <w:t>55.26%</w:t>
      </w:r>
      <w:r>
        <w:rPr>
          <w:color w:val="000000"/>
          <w:spacing w:val="0"/>
          <w:w w:val="100"/>
          <w:position w:val="0"/>
        </w:rPr>
        <w:t>。报告期归属于上市公司股东的每股净资产为</w:t>
      </w:r>
      <w:r>
        <w:rPr>
          <w:color w:val="000000"/>
          <w:spacing w:val="0"/>
          <w:w w:val="100"/>
          <w:position w:val="0"/>
          <w:sz w:val="18"/>
          <w:szCs w:val="18"/>
        </w:rPr>
        <w:t>8.58</w:t>
      </w:r>
      <w:r>
        <w:rPr>
          <w:color w:val="000000"/>
          <w:spacing w:val="0"/>
          <w:w w:val="100"/>
          <w:position w:val="0"/>
        </w:rPr>
        <w:t>元</w:t>
      </w:r>
      <w:r>
        <w:rPr>
          <w:color w:val="000000"/>
          <w:spacing w:val="0"/>
          <w:w w:val="100"/>
          <w:position w:val="0"/>
          <w:sz w:val="18"/>
          <w:szCs w:val="18"/>
        </w:rPr>
        <w:t>/</w:t>
      </w:r>
      <w:r>
        <w:rPr>
          <w:color w:val="000000"/>
          <w:spacing w:val="0"/>
          <w:w w:val="100"/>
          <w:position w:val="0"/>
        </w:rPr>
        <w:t>股，同比增长</w:t>
      </w:r>
      <w:r>
        <w:rPr>
          <w:color w:val="000000"/>
          <w:spacing w:val="0"/>
          <w:w w:val="100"/>
          <w:position w:val="0"/>
          <w:sz w:val="18"/>
          <w:szCs w:val="18"/>
        </w:rPr>
        <w:t>68.81%</w:t>
      </w:r>
      <w:r>
        <w:rPr>
          <w:color w:val="000000"/>
          <w:spacing w:val="0"/>
          <w:w w:val="100"/>
          <w:position w:val="0"/>
        </w:rPr>
        <w:t>，主 要系报告期内公司发行新股净资产大幅增加所致。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、限售股份变动情况</w:t>
      </w:r>
      <w:bookmarkEnd w:id="411"/>
      <w:bookmarkEnd w:id="412"/>
      <w:bookmarkEnd w:id="414"/>
    </w:p>
    <w:p>
      <w:pPr>
        <w:pStyle w:val="Style21"/>
        <w:keepNext w:val="0"/>
        <w:keepLines w:val="0"/>
        <w:widowControl w:val="0"/>
        <w:shd w:val="clear" w:color="auto" w:fill="auto"/>
        <w:bidi w:val="0"/>
        <w:spacing w:before="0" w:after="380" w:line="47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二</w:t>
      </w:r>
      <w:bookmarkEnd w:id="417"/>
      <w:r>
        <w:rPr>
          <w:color w:val="000000"/>
          <w:spacing w:val="0"/>
          <w:w w:val="100"/>
          <w:position w:val="0"/>
        </w:rPr>
        <w:t>、证券发行与上市情况</w:t>
      </w:r>
      <w:bookmarkEnd w:id="415"/>
      <w:bookmarkEnd w:id="416"/>
      <w:bookmarkEnd w:id="418"/>
    </w:p>
    <w:p>
      <w:pPr>
        <w:pStyle w:val="Style33"/>
        <w:keepNext/>
        <w:keepLines/>
        <w:widowControl w:val="0"/>
        <w:shd w:val="clear" w:color="auto" w:fill="auto"/>
        <w:bidi w:val="0"/>
        <w:spacing w:before="0" w:after="10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、报告期内证券发行（不含优先股）情况</w:t>
      </w:r>
      <w:bookmarkEnd w:id="419"/>
      <w:bookmarkEnd w:id="420"/>
      <w:bookmarkEnd w:id="422"/>
    </w:p>
    <w:p>
      <w:pPr>
        <w:pStyle w:val="Style21"/>
        <w:keepNext w:val="0"/>
        <w:keepLines w:val="0"/>
        <w:widowControl w:val="0"/>
        <w:shd w:val="clear" w:color="auto" w:fill="auto"/>
        <w:bidi w:val="0"/>
        <w:spacing w:before="0" w:line="474"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after="120" w:line="467" w:lineRule="exact"/>
        <w:ind w:left="0" w:right="0" w:firstLine="380"/>
        <w:jc w:val="both"/>
      </w:pPr>
      <w:r>
        <w:rPr>
          <w:color w:val="000000"/>
          <w:spacing w:val="0"/>
          <w:w w:val="100"/>
          <w:position w:val="0"/>
        </w:rPr>
        <w:t>经中国证券监督管理委员会证监许可</w:t>
      </w:r>
      <w:r>
        <w:rPr>
          <w:color w:val="000000"/>
          <w:spacing w:val="0"/>
          <w:w w:val="100"/>
          <w:position w:val="0"/>
          <w:sz w:val="18"/>
          <w:szCs w:val="18"/>
        </w:rPr>
        <w:t>[2016]2432</w:t>
      </w:r>
      <w:r>
        <w:rPr>
          <w:color w:val="000000"/>
          <w:spacing w:val="0"/>
          <w:w w:val="100"/>
          <w:position w:val="0"/>
        </w:rPr>
        <w:t>号文核准，公司获准公开发行新股数量不超过</w:t>
      </w:r>
      <w:r>
        <w:rPr>
          <w:color w:val="000000"/>
          <w:spacing w:val="0"/>
          <w:w w:val="100"/>
          <w:position w:val="0"/>
          <w:sz w:val="18"/>
          <w:szCs w:val="18"/>
        </w:rPr>
        <w:t>1,480</w:t>
      </w:r>
      <w:r>
        <w:rPr>
          <w:color w:val="000000"/>
          <w:spacing w:val="0"/>
          <w:w w:val="100"/>
          <w:position w:val="0"/>
        </w:rPr>
        <w:t>万股。经深圳证 券交易所《关于广东乐心医疗电子股份有限公司人民币普通股股票在创业板上市的通知》（深证上</w:t>
      </w:r>
      <w:r>
        <w:rPr>
          <w:color w:val="000000"/>
          <w:spacing w:val="0"/>
          <w:w w:val="100"/>
          <w:position w:val="0"/>
          <w:sz w:val="18"/>
          <w:szCs w:val="18"/>
        </w:rPr>
        <w:t>[2016]800</w:t>
      </w:r>
      <w:r>
        <w:rPr>
          <w:color w:val="000000"/>
          <w:spacing w:val="0"/>
          <w:w w:val="100"/>
          <w:position w:val="0"/>
        </w:rPr>
        <w:t>号）同意，公 司发行的人民币普通股股票在深圳证券交易所创业板上市，股票简称“乐心医疗”，股票代码</w:t>
      </w:r>
      <w:r>
        <w:rPr>
          <w:color w:val="000000"/>
          <w:spacing w:val="0"/>
          <w:w w:val="100"/>
          <w:position w:val="0"/>
          <w:sz w:val="18"/>
          <w:szCs w:val="18"/>
        </w:rPr>
        <w:t>“ 300562”；</w:t>
      </w:r>
      <w:r>
        <w:rPr>
          <w:color w:val="000000"/>
          <w:spacing w:val="0"/>
          <w:w w:val="100"/>
          <w:position w:val="0"/>
        </w:rPr>
        <w:t xml:space="preserve">本次公开发行的 </w:t>
      </w:r>
      <w:r>
        <w:rPr>
          <w:color w:val="000000"/>
          <w:spacing w:val="0"/>
          <w:w w:val="100"/>
          <w:position w:val="0"/>
          <w:sz w:val="18"/>
          <w:szCs w:val="18"/>
        </w:rPr>
        <w:t>1,480</w:t>
      </w:r>
      <w:r>
        <w:rPr>
          <w:color w:val="000000"/>
          <w:spacing w:val="0"/>
          <w:w w:val="100"/>
          <w:position w:val="0"/>
        </w:rPr>
        <w:t>万股股票已于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日起上市交易。</w:t>
      </w:r>
    </w:p>
    <w:p>
      <w:pPr>
        <w:pStyle w:val="Style33"/>
        <w:keepNext/>
        <w:keepLines/>
        <w:widowControl w:val="0"/>
        <w:shd w:val="clear" w:color="auto" w:fill="auto"/>
        <w:bidi w:val="0"/>
        <w:spacing w:before="0" w:after="380" w:line="240" w:lineRule="auto"/>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、公司股份总数及股东结构的变动、公司资产和负债结构的变动情况说明</w:t>
      </w:r>
      <w:bookmarkEnd w:id="423"/>
      <w:bookmarkEnd w:id="424"/>
      <w:bookmarkEnd w:id="426"/>
    </w:p>
    <w:p>
      <w:pPr>
        <w:pStyle w:val="Style2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根据中国证券监督管理委员会证监许可</w:t>
      </w:r>
      <w:r>
        <w:rPr>
          <w:color w:val="000000"/>
          <w:spacing w:val="0"/>
          <w:w w:val="100"/>
          <w:position w:val="0"/>
          <w:sz w:val="18"/>
          <w:szCs w:val="18"/>
        </w:rPr>
        <w:t>[2016]2432</w:t>
      </w:r>
      <w:r>
        <w:rPr>
          <w:color w:val="000000"/>
          <w:spacing w:val="0"/>
          <w:w w:val="100"/>
          <w:position w:val="0"/>
        </w:rPr>
        <w:t>号文《关于核准广东乐心医疗电子股份有限公司首次公开发行股票的</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批复》，本次发行总量为</w:t>
      </w:r>
      <w:r>
        <w:rPr>
          <w:color w:val="000000"/>
          <w:spacing w:val="0"/>
          <w:w w:val="100"/>
          <w:position w:val="0"/>
          <w:sz w:val="18"/>
          <w:szCs w:val="18"/>
        </w:rPr>
        <w:t>1,480</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rPr>
        <w:t>元，每股发行价格为人民币</w:t>
      </w:r>
      <w:r>
        <w:rPr>
          <w:color w:val="000000"/>
          <w:spacing w:val="0"/>
          <w:w w:val="100"/>
          <w:position w:val="0"/>
          <w:sz w:val="18"/>
          <w:szCs w:val="18"/>
        </w:rPr>
        <w:t>15.63</w:t>
      </w:r>
      <w:r>
        <w:rPr>
          <w:color w:val="000000"/>
          <w:spacing w:val="0"/>
          <w:w w:val="100"/>
          <w:position w:val="0"/>
        </w:rPr>
        <w:t>元，募集资金净额人民币</w:t>
      </w:r>
    </w:p>
    <w:p>
      <w:pPr>
        <w:pStyle w:val="Style21"/>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8"/>
          <w:szCs w:val="18"/>
        </w:rPr>
        <w:t>209,260,100.00</w:t>
      </w:r>
      <w:r>
        <w:rPr>
          <w:color w:val="000000"/>
          <w:spacing w:val="0"/>
          <w:w w:val="100"/>
          <w:position w:val="0"/>
        </w:rPr>
        <w:t>元，其中新增注册资本人民币</w:t>
      </w:r>
      <w:r>
        <w:rPr>
          <w:color w:val="000000"/>
          <w:spacing w:val="0"/>
          <w:w w:val="100"/>
          <w:position w:val="0"/>
          <w:sz w:val="18"/>
          <w:szCs w:val="18"/>
        </w:rPr>
        <w:t>14,800,000.0</w:t>
      </w:r>
      <w:r>
        <w:rPr>
          <w:color w:val="000000"/>
          <w:spacing w:val="0"/>
          <w:w w:val="100"/>
          <w:position w:val="0"/>
          <w:sz w:val="18"/>
          <w:szCs w:val="18"/>
        </w:rPr>
        <w:t>0</w:t>
      </w:r>
      <w:r>
        <w:rPr>
          <w:color w:val="000000"/>
          <w:spacing w:val="0"/>
          <w:w w:val="100"/>
          <w:position w:val="0"/>
        </w:rPr>
        <w:t>元，余额计人民币</w:t>
      </w:r>
      <w:r>
        <w:rPr>
          <w:color w:val="000000"/>
          <w:spacing w:val="0"/>
          <w:w w:val="100"/>
          <w:position w:val="0"/>
          <w:sz w:val="18"/>
          <w:szCs w:val="18"/>
        </w:rPr>
        <w:t>194,460,100</w:t>
      </w:r>
      <w:r>
        <w:rPr>
          <w:color w:val="000000"/>
          <w:spacing w:val="0"/>
          <w:w w:val="100"/>
          <w:position w:val="0"/>
        </w:rPr>
        <w:t>元转入资本公积。</w:t>
      </w:r>
    </w:p>
    <w:p>
      <w:pPr>
        <w:pStyle w:val="Style33"/>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、现存的内部职工股情况</w:t>
      </w:r>
      <w:bookmarkEnd w:id="427"/>
      <w:bookmarkEnd w:id="428"/>
      <w:bookmarkEnd w:id="43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、股东和实际控制人情况</w:t>
      </w:r>
      <w:bookmarkEnd w:id="431"/>
      <w:bookmarkEnd w:id="432"/>
      <w:bookmarkEnd w:id="434"/>
    </w:p>
    <w:p>
      <w:pPr>
        <w:pStyle w:val="Style33"/>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、公司股东数量及持股情况</w:t>
      </w:r>
      <w:bookmarkEnd w:id="435"/>
      <w:bookmarkEnd w:id="436"/>
      <w:bookmarkEnd w:id="43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11"/>
        <w:gridCol w:w="816"/>
        <w:gridCol w:w="312"/>
        <w:gridCol w:w="1037"/>
        <w:gridCol w:w="288"/>
        <w:gridCol w:w="1070"/>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12,205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9,197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26,846,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26,846,</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中山市汇康股 权投资合伙企 业（有限合伙）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中山市协润股 权投资合伙企 业（有限合伙）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高榕资本（深 圳）投资中心 （有限合伙）</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沙华海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1,692,6</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1,436,4</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何岸林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357,90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357,90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200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沙华海、欧高良占中山市汇康股权投资合伙企业（有限合伙）的出资比例分别为 </w:t>
            </w:r>
            <w:r>
              <w:rPr>
                <w:color w:val="000000"/>
                <w:spacing w:val="0"/>
                <w:w w:val="100"/>
                <w:position w:val="0"/>
                <w:sz w:val="18"/>
                <w:szCs w:val="18"/>
              </w:rPr>
              <w:t>60.88%</w:t>
            </w:r>
            <w:r>
              <w:rPr>
                <w:rFonts w:ascii="SimSun" w:eastAsia="SimSun" w:hAnsi="SimSun" w:cs="SimSun"/>
                <w:color w:val="000000"/>
                <w:spacing w:val="0"/>
                <w:w w:val="100"/>
                <w:position w:val="0"/>
                <w:sz w:val="17"/>
                <w:szCs w:val="17"/>
              </w:rPr>
              <w:t>、</w:t>
            </w:r>
            <w:r>
              <w:rPr>
                <w:color w:val="000000"/>
                <w:spacing w:val="0"/>
                <w:w w:val="100"/>
                <w:position w:val="0"/>
                <w:sz w:val="18"/>
                <w:szCs w:val="18"/>
              </w:rPr>
              <w:t>0.24%</w:t>
            </w:r>
            <w:r>
              <w:rPr>
                <w:rFonts w:ascii="SimSun" w:eastAsia="SimSun" w:hAnsi="SimSun" w:cs="SimSun"/>
                <w:color w:val="000000"/>
                <w:spacing w:val="0"/>
                <w:w w:val="100"/>
                <w:position w:val="0"/>
                <w:sz w:val="17"/>
                <w:szCs w:val="17"/>
              </w:rPr>
              <w:t>，其中欧高良为汇康投资的执行事务合伙人，因此沙华海、欧高良 和汇康投资为关联股东；</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欧高良、麦炯章占中山市协润股权投资合伙企业（有限合伙）的出资比例分别为 </w:t>
            </w:r>
            <w:r>
              <w:rPr>
                <w:color w:val="000000"/>
                <w:spacing w:val="0"/>
                <w:w w:val="100"/>
                <w:position w:val="0"/>
                <w:sz w:val="18"/>
                <w:szCs w:val="18"/>
              </w:rPr>
              <w:t>41.46%</w:t>
            </w:r>
            <w:r>
              <w:rPr>
                <w:rFonts w:ascii="SimSun" w:eastAsia="SimSun" w:hAnsi="SimSun" w:cs="SimSun"/>
                <w:color w:val="000000"/>
                <w:spacing w:val="0"/>
                <w:w w:val="100"/>
                <w:position w:val="0"/>
                <w:sz w:val="17"/>
                <w:szCs w:val="17"/>
              </w:rPr>
              <w:t>、</w:t>
            </w:r>
            <w:r>
              <w:rPr>
                <w:color w:val="000000"/>
                <w:spacing w:val="0"/>
                <w:w w:val="100"/>
                <w:position w:val="0"/>
                <w:sz w:val="18"/>
                <w:szCs w:val="18"/>
              </w:rPr>
              <w:t>0.28%</w:t>
            </w:r>
            <w:r>
              <w:rPr>
                <w:rFonts w:ascii="SimSun" w:eastAsia="SimSun" w:hAnsi="SimSun" w:cs="SimSun"/>
                <w:color w:val="000000"/>
                <w:spacing w:val="0"/>
                <w:w w:val="100"/>
                <w:position w:val="0"/>
                <w:sz w:val="17"/>
                <w:szCs w:val="17"/>
              </w:rPr>
              <w:t>，其中麦炯章为协润投资的执行事务合伙人，因此欧高良、麦炯章 和协润投资为关联股东。</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何岸林</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357,904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357,904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广东尚伟投资管理有限责任公司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尚泰</w:t>
            </w:r>
            <w:r>
              <w:rPr>
                <w:color w:val="000000"/>
                <w:spacing w:val="0"/>
                <w:w w:val="100"/>
                <w:position w:val="0"/>
                <w:sz w:val="18"/>
                <w:szCs w:val="18"/>
              </w:rPr>
              <w:t>1</w:t>
            </w:r>
            <w:r>
              <w:rPr>
                <w:rFonts w:ascii="SimSun" w:eastAsia="SimSun" w:hAnsi="SimSun" w:cs="SimSun"/>
                <w:color w:val="000000"/>
                <w:spacing w:val="0"/>
                <w:w w:val="100"/>
                <w:position w:val="0"/>
                <w:sz w:val="17"/>
                <w:szCs w:val="17"/>
              </w:rPr>
              <w:t>号证券投资基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326,400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326,400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广东天贝合资产管理有限公司一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天贝合成长</w:t>
            </w:r>
            <w:r>
              <w:rPr>
                <w:color w:val="000000"/>
                <w:spacing w:val="0"/>
                <w:w w:val="100"/>
                <w:position w:val="0"/>
                <w:sz w:val="18"/>
                <w:szCs w:val="18"/>
              </w:rPr>
              <w:t>1</w:t>
            </w:r>
            <w:r>
              <w:rPr>
                <w:rFonts w:ascii="SimSun" w:eastAsia="SimSun" w:hAnsi="SimSun" w:cs="SimSun"/>
                <w:color w:val="000000"/>
                <w:spacing w:val="0"/>
                <w:w w:val="100"/>
                <w:position w:val="0"/>
                <w:sz w:val="17"/>
                <w:szCs w:val="17"/>
              </w:rPr>
              <w:t>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304,949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304,949</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全必树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292,890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292,890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廖永久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229,655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229,655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毕树真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204,800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204,800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129,900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毛向阳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pPr>
            <w:r>
              <w:rPr>
                <w:color w:val="000000"/>
                <w:spacing w:val="0"/>
                <w:w w:val="100"/>
                <w:position w:val="0"/>
              </w:rPr>
              <w:t>123,000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123,000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向军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公司未知上述股东之间是否存在关联关系，也未知是否属于《上市公司收购管理办 法》规定的一致行动人。</w:t>
            </w:r>
          </w:p>
        </w:tc>
      </w:tr>
    </w:tbl>
    <w:p>
      <w:pPr>
        <w:spacing w:lineRule="exact" w:line="1"/>
        <w:rPr>
          <w:sz w:val="2"/>
          <w:szCs w:val="2"/>
        </w:rPr>
      </w:pPr>
      <w:r>
        <w:br w:type="page"/>
      </w:r>
    </w:p>
    <w:tbl>
      <w:tblPr>
        <w:tblOverlap w:val="never"/>
        <w:jc w:val="center"/>
        <w:tblLayout w:type="fixed"/>
      </w:tblPr>
      <w:tblGrid>
        <w:gridCol w:w="2885"/>
        <w:gridCol w:w="6696"/>
      </w:tblGrid>
      <w:tr>
        <w:trPr>
          <w:trHeight w:val="2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公司股东何岸林通过普通证券账户持有</w:t>
            </w:r>
            <w:r>
              <w:rPr>
                <w:color w:val="000000"/>
                <w:spacing w:val="0"/>
                <w:w w:val="100"/>
                <w:position w:val="0"/>
                <w:sz w:val="18"/>
                <w:szCs w:val="18"/>
              </w:rPr>
              <w:t>53,800</w:t>
            </w:r>
            <w:r>
              <w:rPr>
                <w:rFonts w:ascii="SimSun" w:eastAsia="SimSun" w:hAnsi="SimSun" w:cs="SimSun"/>
                <w:color w:val="000000"/>
                <w:spacing w:val="0"/>
                <w:w w:val="100"/>
                <w:position w:val="0"/>
                <w:sz w:val="17"/>
                <w:szCs w:val="17"/>
              </w:rPr>
              <w:t>股，通过中信建投证券股份有限 公司客户信用交易担保证券账户持有</w:t>
            </w:r>
            <w:r>
              <w:rPr>
                <w:color w:val="000000"/>
                <w:spacing w:val="0"/>
                <w:w w:val="100"/>
                <w:position w:val="0"/>
                <w:sz w:val="18"/>
                <w:szCs w:val="18"/>
              </w:rPr>
              <w:t>304,104</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4"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公司股东廖永久通过普通证券账户持有</w:t>
            </w:r>
            <w:r>
              <w:rPr>
                <w:color w:val="000000"/>
                <w:spacing w:val="0"/>
                <w:w w:val="100"/>
                <w:position w:val="0"/>
                <w:sz w:val="18"/>
                <w:szCs w:val="18"/>
              </w:rPr>
              <w:t>109,655</w:t>
            </w:r>
            <w:r>
              <w:rPr>
                <w:rFonts w:ascii="SimSun" w:eastAsia="SimSun" w:hAnsi="SimSun" w:cs="SimSun"/>
                <w:color w:val="000000"/>
                <w:spacing w:val="0"/>
                <w:w w:val="100"/>
                <w:position w:val="0"/>
                <w:sz w:val="17"/>
                <w:szCs w:val="17"/>
              </w:rPr>
              <w:t>股，通过国联证券股份有限公司 客户信用交易担保证券账户持有</w:t>
            </w:r>
            <w:r>
              <w:rPr>
                <w:color w:val="000000"/>
                <w:spacing w:val="0"/>
                <w:w w:val="100"/>
                <w:position w:val="0"/>
                <w:sz w:val="18"/>
                <w:szCs w:val="18"/>
              </w:rPr>
              <w:t>120,000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公司股东陈涌通过普通证券账户持有</w:t>
            </w:r>
            <w:r>
              <w:rPr>
                <w:color w:val="000000"/>
                <w:spacing w:val="0"/>
                <w:w w:val="100"/>
                <w:position w:val="0"/>
                <w:sz w:val="18"/>
                <w:szCs w:val="18"/>
              </w:rPr>
              <w:t>10,000</w:t>
            </w:r>
            <w:r>
              <w:rPr>
                <w:rFonts w:ascii="SimSun" w:eastAsia="SimSun" w:hAnsi="SimSun" w:cs="SimSun"/>
                <w:color w:val="000000"/>
                <w:spacing w:val="0"/>
                <w:w w:val="100"/>
                <w:position w:val="0"/>
                <w:sz w:val="17"/>
                <w:szCs w:val="17"/>
              </w:rPr>
              <w:t>股，通过西藏东方财富证券股份有 限公司客户信用交易担保证券账户持有</w:t>
            </w:r>
            <w:r>
              <w:rPr>
                <w:color w:val="000000"/>
                <w:spacing w:val="0"/>
                <w:w w:val="100"/>
                <w:position w:val="0"/>
                <w:sz w:val="18"/>
                <w:szCs w:val="18"/>
              </w:rPr>
              <w:t>194,800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4" w:val="left"/>
              </w:tabs>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公司股东向军通过普通证券账户持有</w:t>
            </w:r>
            <w:r>
              <w:rPr>
                <w:color w:val="000000"/>
                <w:spacing w:val="0"/>
                <w:w w:val="100"/>
                <w:position w:val="0"/>
                <w:sz w:val="18"/>
                <w:szCs w:val="18"/>
              </w:rPr>
              <w:t>2,100</w:t>
            </w:r>
            <w:r>
              <w:rPr>
                <w:rFonts w:ascii="SimSun" w:eastAsia="SimSun" w:hAnsi="SimSun" w:cs="SimSun"/>
                <w:color w:val="000000"/>
                <w:spacing w:val="0"/>
                <w:w w:val="100"/>
                <w:position w:val="0"/>
                <w:sz w:val="17"/>
                <w:szCs w:val="17"/>
              </w:rPr>
              <w:t>股，通过国泰君安证券股份有限公司 客户信用交易担保证券账户持有</w:t>
            </w:r>
            <w:r>
              <w:rPr>
                <w:color w:val="000000"/>
                <w:spacing w:val="0"/>
                <w:w w:val="100"/>
                <w:position w:val="0"/>
                <w:sz w:val="18"/>
                <w:szCs w:val="18"/>
              </w:rPr>
              <w:t>95,900</w:t>
            </w:r>
            <w:r>
              <w:rPr>
                <w:rFonts w:ascii="SimSun" w:eastAsia="SimSun" w:hAnsi="SimSun" w:cs="SimSun"/>
                <w:color w:val="000000"/>
                <w:spacing w:val="0"/>
                <w:w w:val="100"/>
                <w:position w:val="0"/>
                <w:sz w:val="17"/>
                <w:szCs w:val="17"/>
              </w:rPr>
              <w:t>股。</w:t>
            </w:r>
          </w:p>
        </w:tc>
      </w:tr>
    </w:tbl>
    <w:p>
      <w:pPr>
        <w:pStyle w:val="Style2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p>
    <w:p>
      <w:pPr>
        <w:pStyle w:val="Style21"/>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、公司控股股东情况</w:t>
      </w:r>
      <w:bookmarkEnd w:id="439"/>
      <w:bookmarkEnd w:id="440"/>
      <w:bookmarkEnd w:id="44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担任乐心医疗董事长兼总经理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报告期内不存在控股和参股的其他境内外上市公司的股权情况</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、公司实际控制人情况</w:t>
      </w:r>
      <w:bookmarkEnd w:id="443"/>
      <w:bookmarkEnd w:id="444"/>
      <w:bookmarkEnd w:id="44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担任乐心医疗董事长兼总经理</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年未有控股的境内外上市公司情况</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186563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7"/>
                    <a:stretch/>
                  </pic:blipFill>
                  <pic:spPr>
                    <a:xfrm>
                      <a:ext cx="4590415" cy="1865630"/>
                    </a:xfrm>
                    <a:prstGeom prst="rect"/>
                  </pic:spPr>
                </pic:pic>
              </a:graphicData>
            </a:graphic>
          </wp:inline>
        </w:drawing>
      </w:r>
    </w:p>
    <w:p>
      <w:pPr>
        <w:widowControl w:val="0"/>
        <w:spacing w:after="299" w:line="1" w:lineRule="exact"/>
      </w:pPr>
    </w:p>
    <w:p>
      <w:pPr>
        <w:pStyle w:val="Style12"/>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4</w:t>
      </w:r>
      <w:bookmarkEnd w:id="44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7"/>
      <w:bookmarkEnd w:id="448"/>
      <w:bookmarkEnd w:id="45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5</w:t>
      </w:r>
      <w:bookmarkEnd w:id="453"/>
      <w:r>
        <w:rPr>
          <w:color w:val="000000"/>
          <w:spacing w:val="0"/>
          <w:w w:val="100"/>
          <w:position w:val="0"/>
        </w:rPr>
        <w:t>、控股股东、实际控制人、重组方及其他承诺主体股份限制减持情况</w:t>
      </w:r>
      <w:bookmarkEnd w:id="451"/>
      <w:bookmarkEnd w:id="452"/>
      <w:bookmarkEnd w:id="454"/>
    </w:p>
    <w:p>
      <w:pPr>
        <w:pStyle w:val="Style21"/>
        <w:keepNext w:val="0"/>
        <w:keepLines w:val="0"/>
        <w:widowControl w:val="0"/>
        <w:shd w:val="clear" w:color="auto" w:fill="auto"/>
        <w:bidi w:val="0"/>
        <w:spacing w:before="0" w:after="38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4" w:right="1079" w:bottom="1596" w:left="1048"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pgSz w:w="11900" w:h="16840"/>
          <w:pgMar w:top="1444" w:right="1075" w:bottom="1794" w:left="1053"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81" behindDoc="0" locked="0" layoutInCell="1" allowOverlap="1">
                <wp:simplePos x="0" y="0"/>
                <wp:positionH relativeFrom="page">
                  <wp:posOffset>2713355</wp:posOffset>
                </wp:positionH>
                <wp:positionV relativeFrom="paragraph">
                  <wp:posOffset>0</wp:posOffset>
                </wp:positionV>
                <wp:extent cx="2170430" cy="243840"/>
                <wp:wrapTopAndBottom/>
                <wp:docPr id="91" name="Shape 9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wps:txbx>
                      <wps:bodyPr wrap="none" lIns="0" tIns="0" rIns="0" bIns="0">
                        <a:noAutoFit/>
                      </wps:bodyPr>
                    </wps:wsp>
                  </a:graphicData>
                </a:graphic>
              </wp:anchor>
            </w:drawing>
          </mc:Choice>
          <mc:Fallback>
            <w:pict>
              <v:shape id="_x0000_s1117" type="#_x0000_t202" style="position:absolute;margin-left:213.65000000000001pt;margin-top:0;width:170.90000000000001pt;height:19.199999999999999pt;z-index:-125829372;mso-wrap-distance-left:0;mso-wrap-distance-right:0;mso-wrap-distance-bottom:14.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v:textbox>
                <w10:wrap type="topAndBottom" anchorx="page"/>
              </v:shape>
            </w:pict>
          </mc:Fallback>
        </mc:AlternateContent>
      </w:r>
    </w:p>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9"/>
        <w:keepNext/>
        <w:keepLines/>
        <w:widowControl w:val="0"/>
        <w:shd w:val="clear" w:color="auto" w:fill="auto"/>
        <w:bidi w:val="0"/>
        <w:spacing w:before="0" w:line="240" w:lineRule="auto"/>
        <w:ind w:left="0" w:right="0" w:firstLine="0"/>
        <w:jc w:val="center"/>
      </w:pPr>
      <w:bookmarkStart w:id="458" w:name="bookmark458"/>
      <w:bookmarkStart w:id="459" w:name="bookmark459"/>
      <w:bookmarkStart w:id="460" w:name="bookmark460"/>
      <w:r>
        <w:rPr>
          <w:color w:val="000000"/>
          <w:spacing w:val="0"/>
          <w:w w:val="100"/>
          <w:position w:val="0"/>
        </w:rPr>
        <w:t>第八节董事、监事、高级管理人员和员工情况</w:t>
      </w:r>
      <w:bookmarkEnd w:id="458"/>
      <w:bookmarkEnd w:id="459"/>
      <w:bookmarkEnd w:id="460"/>
    </w:p>
    <w:p>
      <w:pPr>
        <w:pStyle w:val="Style27"/>
        <w:keepNext/>
        <w:keepLines/>
        <w:widowControl w:val="0"/>
        <w:shd w:val="clear" w:color="auto" w:fill="auto"/>
        <w:bidi w:val="0"/>
        <w:spacing w:before="0" w:after="32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一</w:t>
      </w:r>
      <w:bookmarkEnd w:id="463"/>
      <w:r>
        <w:rPr>
          <w:color w:val="000000"/>
          <w:spacing w:val="0"/>
          <w:w w:val="100"/>
          <w:position w:val="0"/>
        </w:rPr>
        <w:t>、董事、监事和高级管理人员持股变动</w:t>
      </w:r>
      <w:bookmarkEnd w:id="461"/>
      <w:bookmarkEnd w:id="462"/>
      <w:bookmarkEnd w:id="464"/>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 长、总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26,846,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 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4,002,6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沙华海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1,692,6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1,692,6</w:t>
            </w:r>
          </w:p>
        </w:tc>
      </w:tr>
      <w:tr>
        <w:trPr>
          <w:trHeight w:val="96" w:hRule="exact"/>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w:t>
            </w:r>
          </w:p>
        </w:tc>
      </w:tr>
      <w:tr>
        <w:trPr>
          <w:trHeight w:val="18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李延兵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余国铮</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1,436,4</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1,386,0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钟前荣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职工代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许迎丰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财务总 监、董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潘农菲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二</w:t>
      </w:r>
      <w:bookmarkEnd w:id="467"/>
      <w:r>
        <w:rPr>
          <w:color w:val="000000"/>
          <w:spacing w:val="0"/>
          <w:w w:val="100"/>
          <w:position w:val="0"/>
        </w:rPr>
        <w:t>、公司董事、监事、高级管理人员变动情况</w:t>
      </w:r>
      <w:bookmarkEnd w:id="465"/>
      <w:bookmarkEnd w:id="466"/>
      <w:bookmarkEnd w:id="468"/>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319" w:line="1" w:lineRule="exact"/>
      </w:pPr>
    </w:p>
    <w:p>
      <w:pPr>
        <w:pStyle w:val="Style27"/>
        <w:keepNext/>
        <w:keepLines/>
        <w:widowControl w:val="0"/>
        <w:shd w:val="clear" w:color="auto" w:fill="auto"/>
        <w:bidi w:val="0"/>
        <w:spacing w:before="0" w:after="10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三</w:t>
      </w:r>
      <w:bookmarkEnd w:id="471"/>
      <w:r>
        <w:rPr>
          <w:color w:val="000000"/>
          <w:spacing w:val="0"/>
          <w:w w:val="100"/>
          <w:position w:val="0"/>
        </w:rPr>
        <w:t>、任职情况</w:t>
      </w:r>
      <w:bookmarkEnd w:id="469"/>
      <w:bookmarkEnd w:id="470"/>
      <w:bookmarkEnd w:id="472"/>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473" w:lineRule="exact"/>
        <w:ind w:left="0" w:right="0" w:firstLine="0"/>
        <w:jc w:val="left"/>
      </w:pPr>
      <w:bookmarkStart w:id="473" w:name="bookmark473"/>
      <w:r>
        <w:rPr>
          <w:color w:val="000000"/>
          <w:spacing w:val="0"/>
          <w:w w:val="100"/>
          <w:position w:val="0"/>
        </w:rPr>
        <w:t>（</w:t>
      </w:r>
      <w:bookmarkEnd w:id="473"/>
      <w:r>
        <w:rPr>
          <w:color w:val="000000"/>
          <w:spacing w:val="0"/>
          <w:w w:val="100"/>
          <w:position w:val="0"/>
        </w:rPr>
        <w:t>一）董事</w:t>
      </w:r>
    </w:p>
    <w:p>
      <w:pPr>
        <w:pStyle w:val="Style21"/>
        <w:keepNext w:val="0"/>
        <w:keepLines w:val="0"/>
        <w:widowControl w:val="0"/>
        <w:shd w:val="clear" w:color="auto" w:fill="auto"/>
        <w:tabs>
          <w:tab w:pos="704" w:val="left"/>
        </w:tabs>
        <w:bidi w:val="0"/>
        <w:spacing w:before="0" w:after="0" w:line="473" w:lineRule="exact"/>
        <w:ind w:left="0" w:right="0"/>
        <w:jc w:val="both"/>
      </w:pPr>
      <w:bookmarkStart w:id="474" w:name="bookmark474"/>
      <w:r>
        <w:rPr>
          <w:color w:val="000000"/>
          <w:spacing w:val="0"/>
          <w:w w:val="100"/>
          <w:position w:val="0"/>
          <w:sz w:val="18"/>
          <w:szCs w:val="18"/>
        </w:rPr>
        <w:t>1</w:t>
      </w:r>
      <w:bookmarkEnd w:id="474"/>
      <w:r>
        <w:rPr>
          <w:color w:val="000000"/>
          <w:spacing w:val="0"/>
          <w:w w:val="100"/>
          <w:position w:val="0"/>
        </w:rPr>
        <w:t>、</w:t>
        <w:tab/>
        <w:t>潘伟潮，男，</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月出生，中国国籍，无境外永久居留权，中欧国际工商学院</w:t>
      </w:r>
      <w:r>
        <w:rPr>
          <w:color w:val="000000"/>
          <w:spacing w:val="0"/>
          <w:w w:val="100"/>
          <w:position w:val="0"/>
          <w:sz w:val="18"/>
          <w:szCs w:val="18"/>
        </w:rPr>
        <w:t>EMBA，</w:t>
      </w:r>
      <w:r>
        <w:rPr>
          <w:color w:val="000000"/>
          <w:spacing w:val="0"/>
          <w:w w:val="100"/>
          <w:position w:val="0"/>
        </w:rPr>
        <w:t>曾任职于中山健威电子有限 公司、中山市读书郎电子有限公司。</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月历任创源电子总经理、执行董事、董事长。自</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 担任本公司董事长、总经理。</w:t>
      </w:r>
    </w:p>
    <w:p>
      <w:pPr>
        <w:pStyle w:val="Style21"/>
        <w:keepNext w:val="0"/>
        <w:keepLines w:val="0"/>
        <w:widowControl w:val="0"/>
        <w:shd w:val="clear" w:color="auto" w:fill="auto"/>
        <w:tabs>
          <w:tab w:pos="704" w:val="left"/>
        </w:tabs>
        <w:bidi w:val="0"/>
        <w:spacing w:before="0" w:after="220" w:line="472" w:lineRule="exact"/>
        <w:ind w:left="0" w:right="0"/>
        <w:jc w:val="both"/>
        <w:sectPr>
          <w:footnotePr>
            <w:pos w:val="pageBottom"/>
            <w:numFmt w:val="decimal"/>
            <w:numRestart w:val="continuous"/>
          </w:footnotePr>
          <w:type w:val="continuous"/>
          <w:pgSz w:w="11900" w:h="16840"/>
          <w:pgMar w:top="1444" w:right="1075" w:bottom="1794" w:left="1053" w:header="0" w:footer="3" w:gutter="0"/>
          <w:cols w:space="720"/>
          <w:noEndnote/>
          <w:rtlGutter w:val="0"/>
          <w:docGrid w:linePitch="360"/>
        </w:sectPr>
      </w:pPr>
      <w:bookmarkStart w:id="475" w:name="bookmark475"/>
      <w:r>
        <w:rPr>
          <w:color w:val="000000"/>
          <w:spacing w:val="0"/>
          <w:w w:val="100"/>
          <w:position w:val="0"/>
          <w:sz w:val="18"/>
          <w:szCs w:val="18"/>
        </w:rPr>
        <w:t>2</w:t>
      </w:r>
      <w:bookmarkEnd w:id="475"/>
      <w:r>
        <w:rPr>
          <w:color w:val="000000"/>
          <w:spacing w:val="0"/>
          <w:w w:val="100"/>
          <w:position w:val="0"/>
        </w:rPr>
        <w:t>、</w:t>
        <w:tab/>
        <w:t>麦炯章，男，</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月出生，中国国籍，无境外永久居留权，大专学历，曾任职于中山市华峰实业公司。</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月历任创源电子经理、副总经理、董事，</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月至今担任本公司董事、副总经理。兼任本公司全资子公司 创源传感器经理、中山市民众商会副会长、中山市私营企业协会民众办事处第九届理事会副会长。自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月起兼任全资 子公司创源贸易执行董事、经理。</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tabs>
          <w:tab w:pos="644" w:val="left"/>
        </w:tabs>
        <w:bidi w:val="0"/>
        <w:spacing w:before="0" w:after="0" w:line="474" w:lineRule="exact"/>
        <w:ind w:left="0" w:right="0" w:firstLine="380"/>
        <w:jc w:val="both"/>
      </w:pPr>
      <w:bookmarkStart w:id="476" w:name="bookmark476"/>
      <w:r>
        <w:rPr>
          <w:color w:val="000000"/>
          <w:spacing w:val="0"/>
          <w:w w:val="100"/>
          <w:position w:val="0"/>
          <w:sz w:val="18"/>
          <w:szCs w:val="18"/>
        </w:rPr>
        <w:t>3</w:t>
      </w:r>
      <w:bookmarkEnd w:id="476"/>
      <w:r>
        <w:rPr>
          <w:color w:val="000000"/>
          <w:spacing w:val="0"/>
          <w:w w:val="100"/>
          <w:position w:val="0"/>
        </w:rPr>
        <w:t>、</w:t>
        <w:tab/>
        <w:t>沙华海，男，</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月出生，中国国籍，无境外永久居留权，本科学历，曾任职于南宁广通软技术有限公司、深圳 骏泰阳软件科技公司。</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月，历任创源电子研发经理、副总经理，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月兼任全资子公 司广州动心执行董事、经理，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月至今担任本公司董事、副总经理，兼任本公司全资子公司深圳乐心执行董事、总经 理，全资子公司创源传感器监事，全资子公司中山乐心监事。</w:t>
      </w:r>
    </w:p>
    <w:p>
      <w:pPr>
        <w:pStyle w:val="Style21"/>
        <w:keepNext w:val="0"/>
        <w:keepLines w:val="0"/>
        <w:widowControl w:val="0"/>
        <w:shd w:val="clear" w:color="auto" w:fill="auto"/>
        <w:tabs>
          <w:tab w:pos="649" w:val="left"/>
        </w:tabs>
        <w:bidi w:val="0"/>
        <w:spacing w:before="0" w:after="0" w:line="474" w:lineRule="exact"/>
        <w:ind w:left="0" w:right="0" w:firstLine="380"/>
        <w:jc w:val="both"/>
      </w:pPr>
      <w:bookmarkStart w:id="477" w:name="bookmark477"/>
      <w:r>
        <w:rPr>
          <w:color w:val="000000"/>
          <w:spacing w:val="0"/>
          <w:w w:val="100"/>
          <w:position w:val="0"/>
          <w:sz w:val="18"/>
          <w:szCs w:val="18"/>
        </w:rPr>
        <w:t>4</w:t>
      </w:r>
      <w:bookmarkEnd w:id="477"/>
      <w:r>
        <w:rPr>
          <w:color w:val="000000"/>
          <w:spacing w:val="0"/>
          <w:w w:val="100"/>
          <w:position w:val="0"/>
        </w:rPr>
        <w:t>、</w:t>
        <w:tab/>
        <w:t>李延兵，女，</w:t>
      </w: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月出生，中国国籍，无境外永久居留权，中山大学博士。长期任职于中山大学附属第一医院， 现任中山大学附属第一医院内分泌科主任、教授、主任医师，兼任广东省医学会糖尿病分会主任委员、中华医学会糖尿病分 会委员、血糖监测学组副组长、广东省健康管理学会代谢与内分泌专业委员会主任委员。</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月至今担任本公司董事。</w:t>
      </w:r>
    </w:p>
    <w:p>
      <w:pPr>
        <w:pStyle w:val="Style21"/>
        <w:keepNext w:val="0"/>
        <w:keepLines w:val="0"/>
        <w:widowControl w:val="0"/>
        <w:shd w:val="clear" w:color="auto" w:fill="auto"/>
        <w:tabs>
          <w:tab w:pos="649" w:val="left"/>
        </w:tabs>
        <w:bidi w:val="0"/>
        <w:spacing w:before="0" w:after="0" w:line="475" w:lineRule="exact"/>
        <w:ind w:left="0" w:right="0" w:firstLine="380"/>
        <w:jc w:val="both"/>
      </w:pPr>
      <w:bookmarkStart w:id="478" w:name="bookmark478"/>
      <w:r>
        <w:rPr>
          <w:color w:val="000000"/>
          <w:spacing w:val="0"/>
          <w:w w:val="100"/>
          <w:position w:val="0"/>
          <w:sz w:val="18"/>
          <w:szCs w:val="18"/>
        </w:rPr>
        <w:t>5</w:t>
      </w:r>
      <w:bookmarkEnd w:id="478"/>
      <w:r>
        <w:rPr>
          <w:color w:val="000000"/>
          <w:spacing w:val="0"/>
          <w:w w:val="100"/>
          <w:position w:val="0"/>
        </w:rPr>
        <w:t>、</w:t>
        <w:tab/>
        <w:t>余国铮，男，</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月出生，中国国籍，无境外永久居留权，中南财经大学硕士研究生。曾任职于招商银行总行信 托投资部、研究发展部、投资银行部、资产管理部。现任招银国际金融有限公司董事总经理，本公司独立董事。</w:t>
      </w:r>
    </w:p>
    <w:p>
      <w:pPr>
        <w:pStyle w:val="Style21"/>
        <w:keepNext w:val="0"/>
        <w:keepLines w:val="0"/>
        <w:widowControl w:val="0"/>
        <w:shd w:val="clear" w:color="auto" w:fill="auto"/>
        <w:tabs>
          <w:tab w:pos="649" w:val="left"/>
        </w:tabs>
        <w:bidi w:val="0"/>
        <w:spacing w:before="0" w:after="0" w:line="470" w:lineRule="exact"/>
        <w:ind w:left="0" w:right="0" w:firstLine="380"/>
        <w:jc w:val="both"/>
      </w:pPr>
      <w:bookmarkStart w:id="479" w:name="bookmark479"/>
      <w:r>
        <w:rPr>
          <w:color w:val="000000"/>
          <w:spacing w:val="0"/>
          <w:w w:val="100"/>
          <w:position w:val="0"/>
          <w:sz w:val="18"/>
          <w:szCs w:val="18"/>
        </w:rPr>
        <w:t>6</w:t>
      </w:r>
      <w:bookmarkEnd w:id="479"/>
      <w:r>
        <w:rPr>
          <w:color w:val="000000"/>
          <w:spacing w:val="0"/>
          <w:w w:val="100"/>
          <w:position w:val="0"/>
        </w:rPr>
        <w:t>、</w:t>
        <w:tab/>
        <w:t>黄洪燕，男，</w:t>
      </w: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月出生，中国国籍，无境外永久居留权，香港国际商学院财务管理硕士，中国注册会计师、中 国注册资产评估师、中国注册税务师、国际内部注册审计师。历任顺德市智信会计师事务所副所长、顺德亿龙电器有限公司 财务总监、佛山市广德会计师事务所合伙人、佛山市远思达管理咨询有限公司总经理、佛山市思达税务师事务所有限责任公 司监事、广东日丰电缆股份有限公司独立董事。现任本公司独立董事、兼任碧桂园控股有限公司独立董事、中顺洁柔纸业股 份有限公司独立董事、广东佳洋投资发展有限公司董事、广东便捷神科技股份有限公司董事、佛山市尚捷投资咨询服务中心 执行事务合伙人、佛山市远思达管理咨询有限公司执行董事兼总经理、广东顺德三合工业自动化设备股份有限公司董事、新 余顺耀投资有限公司副董事长、广东天泓新材料科技有限公司董事、广东煦智雅环保科技有限公司执行董事、法定代表人。</w:t>
      </w:r>
    </w:p>
    <w:p>
      <w:pPr>
        <w:pStyle w:val="Style21"/>
        <w:keepNext w:val="0"/>
        <w:keepLines w:val="0"/>
        <w:widowControl w:val="0"/>
        <w:shd w:val="clear" w:color="auto" w:fill="auto"/>
        <w:tabs>
          <w:tab w:pos="649" w:val="left"/>
        </w:tabs>
        <w:bidi w:val="0"/>
        <w:spacing w:before="0" w:after="0" w:line="473" w:lineRule="exact"/>
        <w:ind w:left="0" w:right="0" w:firstLine="380"/>
        <w:jc w:val="both"/>
      </w:pPr>
      <w:bookmarkStart w:id="480" w:name="bookmark480"/>
      <w:r>
        <w:rPr>
          <w:color w:val="000000"/>
          <w:spacing w:val="0"/>
          <w:w w:val="100"/>
          <w:position w:val="0"/>
          <w:sz w:val="18"/>
          <w:szCs w:val="18"/>
        </w:rPr>
        <w:t>7</w:t>
      </w:r>
      <w:bookmarkEnd w:id="480"/>
      <w:r>
        <w:rPr>
          <w:color w:val="000000"/>
          <w:spacing w:val="0"/>
          <w:w w:val="100"/>
          <w:position w:val="0"/>
        </w:rPr>
        <w:t>、</w:t>
        <w:tab/>
        <w:t>邹晓冬，男，</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月出生，中国国籍，无境外永久居留权，西南财经大学硕士。曾任职于通威股份有限公司、 中兴通讯股份有限公司、广东金唐律师事务所、北京市中伦（深圳）律师事务所。现任上海市锦天城（深圳）律师事务所合 伙人、西藏卫信康医药股份有限公司、广东皮阿诺科学艺术家居股份有限公司及本公司独立董事。</w:t>
      </w:r>
    </w:p>
    <w:p>
      <w:pPr>
        <w:pStyle w:val="Style21"/>
        <w:keepNext w:val="0"/>
        <w:keepLines w:val="0"/>
        <w:widowControl w:val="0"/>
        <w:shd w:val="clear" w:color="auto" w:fill="auto"/>
        <w:bidi w:val="0"/>
        <w:spacing w:before="0" w:after="0" w:line="470" w:lineRule="exact"/>
        <w:ind w:left="0" w:right="0" w:firstLine="0"/>
        <w:jc w:val="left"/>
      </w:pPr>
      <w:bookmarkStart w:id="481" w:name="bookmark481"/>
      <w:r>
        <w:rPr>
          <w:color w:val="000000"/>
          <w:spacing w:val="0"/>
          <w:w w:val="100"/>
          <w:position w:val="0"/>
        </w:rPr>
        <w:t>（</w:t>
      </w:r>
      <w:bookmarkEnd w:id="481"/>
      <w:r>
        <w:rPr>
          <w:color w:val="000000"/>
          <w:spacing w:val="0"/>
          <w:w w:val="100"/>
          <w:position w:val="0"/>
        </w:rPr>
        <w:t>二）监事</w:t>
      </w:r>
    </w:p>
    <w:p>
      <w:pPr>
        <w:pStyle w:val="Style21"/>
        <w:keepNext w:val="0"/>
        <w:keepLines w:val="0"/>
        <w:widowControl w:val="0"/>
        <w:shd w:val="clear" w:color="auto" w:fill="auto"/>
        <w:tabs>
          <w:tab w:pos="644" w:val="left"/>
        </w:tabs>
        <w:bidi w:val="0"/>
        <w:spacing w:before="0" w:after="0" w:line="470" w:lineRule="exact"/>
        <w:ind w:left="0" w:right="0" w:firstLine="380"/>
        <w:jc w:val="both"/>
      </w:pPr>
      <w:bookmarkStart w:id="482" w:name="bookmark482"/>
      <w:r>
        <w:rPr>
          <w:color w:val="000000"/>
          <w:spacing w:val="0"/>
          <w:w w:val="100"/>
          <w:position w:val="0"/>
          <w:sz w:val="18"/>
          <w:szCs w:val="18"/>
        </w:rPr>
        <w:t>1</w:t>
      </w:r>
      <w:bookmarkEnd w:id="482"/>
      <w:r>
        <w:rPr>
          <w:color w:val="000000"/>
          <w:spacing w:val="0"/>
          <w:w w:val="100"/>
          <w:position w:val="0"/>
        </w:rPr>
        <w:t>、</w:t>
        <w:tab/>
        <w:t>欧高良，男，</w:t>
      </w:r>
      <w:r>
        <w:rPr>
          <w:color w:val="000000"/>
          <w:spacing w:val="0"/>
          <w:w w:val="100"/>
          <w:position w:val="0"/>
          <w:sz w:val="18"/>
          <w:szCs w:val="18"/>
        </w:rPr>
        <w:t>1972</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月出生，中国国籍，无境外永久居留权，本科学历，曾任职于重庆机床集团公司、富士康科 技集团（深圳）有限公司。</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月历任创源电子人资部经理、副总经理、执行董事。现任本公司监事会主 席，兼任全资子公司创源传感器执行董事、全资子公司深圳乐心监事、全资子公司创源贸易监事、全资子公司广州动心监事、 全资子公司中山乐心执行董事、经理。</w:t>
      </w:r>
    </w:p>
    <w:p>
      <w:pPr>
        <w:pStyle w:val="Style21"/>
        <w:keepNext w:val="0"/>
        <w:keepLines w:val="0"/>
        <w:widowControl w:val="0"/>
        <w:shd w:val="clear" w:color="auto" w:fill="auto"/>
        <w:tabs>
          <w:tab w:pos="644" w:val="left"/>
        </w:tabs>
        <w:bidi w:val="0"/>
        <w:spacing w:before="0" w:after="0" w:line="469" w:lineRule="exact"/>
        <w:ind w:left="0" w:right="0" w:firstLine="38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932" w:right="1023" w:bottom="1201" w:left="1104" w:header="0" w:footer="3" w:gutter="0"/>
          <w:cols w:space="720"/>
          <w:noEndnote/>
          <w:rtlGutter w:val="0"/>
          <w:docGrid w:linePitch="360"/>
        </w:sectPr>
      </w:pPr>
      <w:bookmarkStart w:id="483" w:name="bookmark483"/>
      <w:r>
        <w:rPr>
          <w:color w:val="000000"/>
          <w:spacing w:val="0"/>
          <w:w w:val="100"/>
          <w:position w:val="0"/>
          <w:sz w:val="18"/>
          <w:szCs w:val="18"/>
        </w:rPr>
        <w:t>2</w:t>
      </w:r>
      <w:bookmarkEnd w:id="483"/>
      <w:r>
        <w:rPr>
          <w:color w:val="000000"/>
          <w:spacing w:val="0"/>
          <w:w w:val="100"/>
          <w:position w:val="0"/>
        </w:rPr>
        <w:t>、</w:t>
        <w:tab/>
        <w:t>吕宏，男，</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月出生，中国国籍，拥有美国永久居留权，中欧国际工商学院</w:t>
      </w:r>
      <w:r>
        <w:rPr>
          <w:color w:val="000000"/>
          <w:spacing w:val="0"/>
          <w:w w:val="100"/>
          <w:position w:val="0"/>
          <w:sz w:val="18"/>
          <w:szCs w:val="18"/>
        </w:rPr>
        <w:t>EMBA，</w:t>
      </w:r>
      <w:r>
        <w:rPr>
          <w:color w:val="000000"/>
          <w:spacing w:val="0"/>
          <w:w w:val="100"/>
          <w:position w:val="0"/>
        </w:rPr>
        <w:t>中国注册会计师，曾任职于 合肥市审计局。历任深圳笔架山会所财务经理、深圳市阳光股份有限公司财务总监、深圳市石岩投资管理公司财务总监、桂 林海威科技有限公司董事、北京导航者智能科技有限公司董事、深圳市远望谷投资管理有限公司执行董事、深圳市射频智能 科技有限公司董事、鲲鹏通讯（昆山）有限公司董事、深圳远望谷信息技术股份有限公司董事、副总裁、财务总监兼董事会 秘书、广州市远望谷信息技术有限公司董事。现任深圳市海恒智能技术有限公司董事长兼总经理、深圳市思鹏飞投资合伙企</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85" w:lineRule="exact"/>
        <w:ind w:left="0" w:right="0" w:firstLine="0"/>
        <w:jc w:val="left"/>
      </w:pPr>
      <w:r>
        <w:rPr>
          <w:color w:val="000000"/>
          <w:spacing w:val="0"/>
          <w:w w:val="100"/>
          <w:position w:val="0"/>
        </w:rPr>
        <w:t>业（有限合伙）执行事务合伙人、北京远望谷投资管理有限公司监事，本公司监事。</w:t>
      </w:r>
    </w:p>
    <w:p>
      <w:pPr>
        <w:pStyle w:val="Style21"/>
        <w:keepNext w:val="0"/>
        <w:keepLines w:val="0"/>
        <w:widowControl w:val="0"/>
        <w:shd w:val="clear" w:color="auto" w:fill="auto"/>
        <w:bidi w:val="0"/>
        <w:spacing w:before="0" w:after="0" w:line="485" w:lineRule="exact"/>
        <w:ind w:left="0" w:right="0" w:firstLine="380"/>
        <w:jc w:val="both"/>
      </w:pPr>
      <w:bookmarkStart w:id="484" w:name="bookmark484"/>
      <w:r>
        <w:rPr>
          <w:color w:val="000000"/>
          <w:spacing w:val="0"/>
          <w:w w:val="100"/>
          <w:position w:val="0"/>
          <w:sz w:val="18"/>
          <w:szCs w:val="18"/>
        </w:rPr>
        <w:t>3</w:t>
      </w:r>
      <w:bookmarkEnd w:id="484"/>
      <w:r>
        <w:rPr>
          <w:color w:val="000000"/>
          <w:spacing w:val="0"/>
          <w:w w:val="100"/>
          <w:position w:val="0"/>
        </w:rPr>
        <w:t>、钟前荣，男，</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月出生，中国国籍，无境外永久居留权，大专学历。历任公司外贸业务员、欧洲区销售经理、 国内事业部运营总监、硬件产品部总监。现任本公司职工代表监事、产品中心总监。</w:t>
      </w:r>
    </w:p>
    <w:p>
      <w:pPr>
        <w:pStyle w:val="Style21"/>
        <w:keepNext w:val="0"/>
        <w:keepLines w:val="0"/>
        <w:widowControl w:val="0"/>
        <w:shd w:val="clear" w:color="auto" w:fill="auto"/>
        <w:bidi w:val="0"/>
        <w:spacing w:before="0" w:after="0" w:line="480" w:lineRule="exact"/>
        <w:ind w:left="0" w:right="0" w:firstLine="0"/>
        <w:jc w:val="both"/>
      </w:pPr>
      <w:bookmarkStart w:id="485" w:name="bookmark485"/>
      <w:r>
        <w:rPr>
          <w:color w:val="000000"/>
          <w:spacing w:val="0"/>
          <w:w w:val="100"/>
          <w:position w:val="0"/>
        </w:rPr>
        <w:t>（</w:t>
      </w:r>
      <w:bookmarkEnd w:id="485"/>
      <w:r>
        <w:rPr>
          <w:color w:val="000000"/>
          <w:spacing w:val="0"/>
          <w:w w:val="100"/>
          <w:position w:val="0"/>
        </w:rPr>
        <w:t>三）高级管理人员</w:t>
      </w:r>
    </w:p>
    <w:p>
      <w:pPr>
        <w:pStyle w:val="Style21"/>
        <w:keepNext w:val="0"/>
        <w:keepLines w:val="0"/>
        <w:widowControl w:val="0"/>
        <w:shd w:val="clear" w:color="auto" w:fill="auto"/>
        <w:tabs>
          <w:tab w:pos="714" w:val="left"/>
        </w:tabs>
        <w:bidi w:val="0"/>
        <w:spacing w:before="0" w:after="0" w:line="480" w:lineRule="exact"/>
        <w:ind w:left="0" w:right="0" w:firstLine="380"/>
        <w:jc w:val="both"/>
      </w:pPr>
      <w:bookmarkStart w:id="486" w:name="bookmark486"/>
      <w:r>
        <w:rPr>
          <w:color w:val="000000"/>
          <w:spacing w:val="0"/>
          <w:w w:val="100"/>
          <w:position w:val="0"/>
          <w:sz w:val="18"/>
          <w:szCs w:val="18"/>
        </w:rPr>
        <w:t>1</w:t>
      </w:r>
      <w:bookmarkEnd w:id="486"/>
      <w:r>
        <w:rPr>
          <w:color w:val="000000"/>
          <w:spacing w:val="0"/>
          <w:w w:val="100"/>
          <w:position w:val="0"/>
        </w:rPr>
        <w:t>、</w:t>
        <w:tab/>
        <w:t>潘伟潮，简历详见"（一）董事部分简介”。</w:t>
      </w:r>
    </w:p>
    <w:p>
      <w:pPr>
        <w:pStyle w:val="Style21"/>
        <w:keepNext w:val="0"/>
        <w:keepLines w:val="0"/>
        <w:widowControl w:val="0"/>
        <w:shd w:val="clear" w:color="auto" w:fill="auto"/>
        <w:tabs>
          <w:tab w:pos="724" w:val="left"/>
        </w:tabs>
        <w:bidi w:val="0"/>
        <w:spacing w:before="0" w:after="0" w:line="480" w:lineRule="exact"/>
        <w:ind w:left="0" w:right="0" w:firstLine="380"/>
        <w:jc w:val="both"/>
      </w:pPr>
      <w:bookmarkStart w:id="487" w:name="bookmark487"/>
      <w:r>
        <w:rPr>
          <w:color w:val="000000"/>
          <w:spacing w:val="0"/>
          <w:w w:val="100"/>
          <w:position w:val="0"/>
          <w:sz w:val="18"/>
          <w:szCs w:val="18"/>
        </w:rPr>
        <w:t>2</w:t>
      </w:r>
      <w:bookmarkEnd w:id="487"/>
      <w:r>
        <w:rPr>
          <w:color w:val="000000"/>
          <w:spacing w:val="0"/>
          <w:w w:val="100"/>
          <w:position w:val="0"/>
        </w:rPr>
        <w:t>、</w:t>
        <w:tab/>
        <w:t>麦炯章，简历详见“（一）董事部分简介”。</w:t>
      </w:r>
    </w:p>
    <w:p>
      <w:pPr>
        <w:pStyle w:val="Style21"/>
        <w:keepNext w:val="0"/>
        <w:keepLines w:val="0"/>
        <w:widowControl w:val="0"/>
        <w:shd w:val="clear" w:color="auto" w:fill="auto"/>
        <w:tabs>
          <w:tab w:pos="724" w:val="left"/>
        </w:tabs>
        <w:bidi w:val="0"/>
        <w:spacing w:before="0" w:after="0" w:line="480" w:lineRule="exact"/>
        <w:ind w:left="0" w:right="0" w:firstLine="380"/>
        <w:jc w:val="both"/>
      </w:pPr>
      <w:bookmarkStart w:id="488" w:name="bookmark488"/>
      <w:r>
        <w:rPr>
          <w:color w:val="000000"/>
          <w:spacing w:val="0"/>
          <w:w w:val="100"/>
          <w:position w:val="0"/>
          <w:sz w:val="18"/>
          <w:szCs w:val="18"/>
        </w:rPr>
        <w:t>3</w:t>
      </w:r>
      <w:bookmarkEnd w:id="488"/>
      <w:r>
        <w:rPr>
          <w:color w:val="000000"/>
          <w:spacing w:val="0"/>
          <w:w w:val="100"/>
          <w:position w:val="0"/>
        </w:rPr>
        <w:t>、</w:t>
        <w:tab/>
        <w:t>沙华海，简历详见“（一）董事部分简介”。</w:t>
      </w:r>
    </w:p>
    <w:p>
      <w:pPr>
        <w:pStyle w:val="Style21"/>
        <w:keepNext w:val="0"/>
        <w:keepLines w:val="0"/>
        <w:widowControl w:val="0"/>
        <w:shd w:val="clear" w:color="auto" w:fill="auto"/>
        <w:tabs>
          <w:tab w:pos="704" w:val="left"/>
        </w:tabs>
        <w:bidi w:val="0"/>
        <w:spacing w:before="0" w:after="0" w:line="480" w:lineRule="exact"/>
        <w:ind w:left="0" w:right="0" w:firstLine="380"/>
        <w:jc w:val="both"/>
      </w:pPr>
      <w:bookmarkStart w:id="489" w:name="bookmark489"/>
      <w:r>
        <w:rPr>
          <w:color w:val="000000"/>
          <w:spacing w:val="0"/>
          <w:w w:val="100"/>
          <w:position w:val="0"/>
          <w:sz w:val="18"/>
          <w:szCs w:val="18"/>
        </w:rPr>
        <w:t>4</w:t>
      </w:r>
      <w:bookmarkEnd w:id="489"/>
      <w:r>
        <w:rPr>
          <w:color w:val="000000"/>
          <w:spacing w:val="0"/>
          <w:w w:val="100"/>
          <w:position w:val="0"/>
        </w:rPr>
        <w:t>、</w:t>
        <w:tab/>
        <w:t>万卫东，男，</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月出生，中国国籍，无境外永久居留权，大专学历，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月入职本公司。曾任职于中山嘉 华电子集团、香山衡器，历任公司健康秤事业部总监，现任公司副总经理。</w:t>
      </w:r>
    </w:p>
    <w:p>
      <w:pPr>
        <w:pStyle w:val="Style21"/>
        <w:keepNext w:val="0"/>
        <w:keepLines w:val="0"/>
        <w:widowControl w:val="0"/>
        <w:shd w:val="clear" w:color="auto" w:fill="auto"/>
        <w:tabs>
          <w:tab w:pos="709" w:val="left"/>
        </w:tabs>
        <w:bidi w:val="0"/>
        <w:spacing w:before="0" w:after="0" w:line="480" w:lineRule="exact"/>
        <w:ind w:left="0" w:right="0" w:firstLine="380"/>
        <w:jc w:val="both"/>
      </w:pPr>
      <w:bookmarkStart w:id="490" w:name="bookmark490"/>
      <w:r>
        <w:rPr>
          <w:color w:val="000000"/>
          <w:spacing w:val="0"/>
          <w:w w:val="100"/>
          <w:position w:val="0"/>
          <w:sz w:val="18"/>
          <w:szCs w:val="18"/>
        </w:rPr>
        <w:t>5</w:t>
      </w:r>
      <w:bookmarkEnd w:id="490"/>
      <w:r>
        <w:rPr>
          <w:color w:val="000000"/>
          <w:spacing w:val="0"/>
          <w:w w:val="100"/>
          <w:position w:val="0"/>
        </w:rPr>
        <w:t>、</w:t>
        <w:tab/>
        <w:t>梁启光，男，</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月出生，中国国籍，无境外永久居留权，大专学历，</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月入职本公司。历任公司软件工 程师、研发部门经理、医疗产品事业部总监、方案研发总监，现任公司副总经理。</w:t>
      </w:r>
    </w:p>
    <w:p>
      <w:pPr>
        <w:pStyle w:val="Style21"/>
        <w:keepNext w:val="0"/>
        <w:keepLines w:val="0"/>
        <w:widowControl w:val="0"/>
        <w:shd w:val="clear" w:color="auto" w:fill="auto"/>
        <w:tabs>
          <w:tab w:pos="709" w:val="left"/>
        </w:tabs>
        <w:bidi w:val="0"/>
        <w:spacing w:before="0" w:after="0" w:line="480" w:lineRule="exact"/>
        <w:ind w:left="0" w:right="0" w:firstLine="380"/>
        <w:jc w:val="both"/>
      </w:pPr>
      <w:bookmarkStart w:id="491" w:name="bookmark491"/>
      <w:r>
        <w:rPr>
          <w:color w:val="000000"/>
          <w:spacing w:val="0"/>
          <w:w w:val="100"/>
          <w:position w:val="0"/>
          <w:sz w:val="18"/>
          <w:szCs w:val="18"/>
        </w:rPr>
        <w:t>6</w:t>
      </w:r>
      <w:bookmarkEnd w:id="491"/>
      <w:r>
        <w:rPr>
          <w:color w:val="000000"/>
          <w:spacing w:val="0"/>
          <w:w w:val="100"/>
          <w:position w:val="0"/>
        </w:rPr>
        <w:t>、</w:t>
        <w:tab/>
        <w:t>许迎丰，男，</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月出生，中国国籍，无境外永久居留权，大专学历、中国注册会计师。曾任职于湖南省沅江市 粮食局、虎彩集团有限公司、虎彩文化用品有限公司，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月入职本公司。现任公司副总经理、董事会秘书、财务总监。</w:t>
      </w:r>
    </w:p>
    <w:p>
      <w:pPr>
        <w:pStyle w:val="Style21"/>
        <w:keepNext w:val="0"/>
        <w:keepLines w:val="0"/>
        <w:widowControl w:val="0"/>
        <w:shd w:val="clear" w:color="auto" w:fill="auto"/>
        <w:tabs>
          <w:tab w:pos="617" w:val="left"/>
        </w:tabs>
        <w:bidi w:val="0"/>
        <w:spacing w:before="0" w:after="0" w:line="474" w:lineRule="exact"/>
        <w:ind w:left="0" w:right="0" w:firstLine="380"/>
        <w:jc w:val="both"/>
      </w:pPr>
      <w:bookmarkStart w:id="492" w:name="bookmark492"/>
      <w:r>
        <w:rPr>
          <w:color w:val="000000"/>
          <w:spacing w:val="0"/>
          <w:w w:val="100"/>
          <w:position w:val="0"/>
          <w:sz w:val="18"/>
          <w:szCs w:val="18"/>
        </w:rPr>
        <w:t>7</w:t>
      </w:r>
      <w:bookmarkEnd w:id="492"/>
      <w:r>
        <w:rPr>
          <w:color w:val="000000"/>
          <w:spacing w:val="0"/>
          <w:w w:val="100"/>
          <w:position w:val="0"/>
        </w:rPr>
        <w:t>、</w:t>
        <w:tab/>
        <w:t>黄瑜，男，</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w:t>
      </w:r>
      <w:r>
        <w:rPr>
          <w:color w:val="000000"/>
          <w:spacing w:val="0"/>
          <w:w w:val="100"/>
          <w:position w:val="0"/>
          <w:sz w:val="18"/>
          <w:szCs w:val="18"/>
        </w:rPr>
        <w:t>EMBA</w:t>
      </w:r>
      <w:r>
        <w:rPr>
          <w:color w:val="000000"/>
          <w:spacing w:val="0"/>
          <w:w w:val="100"/>
          <w:position w:val="0"/>
        </w:rPr>
        <w:t>。</w:t>
      </w:r>
      <w:r>
        <w:rPr>
          <w:color w:val="000000"/>
          <w:spacing w:val="0"/>
          <w:w w:val="100"/>
          <w:position w:val="0"/>
        </w:rPr>
        <w:t>曾任强生（中国）有限公司销售经理，摩托罗拉 （中国）有限公司销售经理，历任苹果电脑贸易（上海）有限公司中国零售部门南区销售总监、大中华区企业部门运营及渠</w:t>
      </w:r>
    </w:p>
    <w:p>
      <w:pPr>
        <w:pStyle w:val="Style21"/>
        <w:keepNext w:val="0"/>
        <w:keepLines w:val="0"/>
        <w:widowControl w:val="0"/>
        <w:shd w:val="clear" w:color="auto" w:fill="auto"/>
        <w:bidi w:val="0"/>
        <w:spacing w:before="0" w:after="0" w:line="474" w:lineRule="exact"/>
        <w:ind w:left="0" w:right="0" w:firstLine="0"/>
        <w:jc w:val="left"/>
      </w:pPr>
      <w:r>
        <w:rPr>
          <w:color w:val="000000"/>
          <w:spacing w:val="0"/>
          <w:w w:val="100"/>
          <w:position w:val="0"/>
        </w:rPr>
        <w:t>道总监等职。</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月至今担任本公司首席运营官，</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月至今担任子公司广州动心信息科技有限公司执行董事、经 理，现任本公司副总经理。</w:t>
      </w:r>
    </w:p>
    <w:p>
      <w:pPr>
        <w:pStyle w:val="Style21"/>
        <w:keepNext w:val="0"/>
        <w:keepLines w:val="0"/>
        <w:widowControl w:val="0"/>
        <w:shd w:val="clear" w:color="auto" w:fill="auto"/>
        <w:tabs>
          <w:tab w:pos="690" w:val="left"/>
        </w:tabs>
        <w:bidi w:val="0"/>
        <w:spacing w:before="0" w:after="480" w:line="474" w:lineRule="exact"/>
        <w:ind w:left="0" w:right="0" w:firstLine="380"/>
        <w:jc w:val="both"/>
      </w:pPr>
      <w:bookmarkStart w:id="493" w:name="bookmark493"/>
      <w:r>
        <w:rPr>
          <w:color w:val="000000"/>
          <w:spacing w:val="0"/>
          <w:w w:val="100"/>
          <w:position w:val="0"/>
          <w:sz w:val="18"/>
          <w:szCs w:val="18"/>
        </w:rPr>
        <w:t>8</w:t>
      </w:r>
      <w:bookmarkEnd w:id="493"/>
      <w:r>
        <w:rPr>
          <w:color w:val="000000"/>
          <w:spacing w:val="0"/>
          <w:w w:val="100"/>
          <w:position w:val="0"/>
        </w:rPr>
        <w:t>、</w:t>
        <w:tab/>
        <w:t>潘农菲，男，</w:t>
      </w: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月出生，中国国籍，无境外永久居留权，硕士学历。曾任长城国际有限公司工程师，大展集 团技术售前顾问，微软公司</w:t>
      </w:r>
      <w:r>
        <w:rPr>
          <w:color w:val="000000"/>
          <w:spacing w:val="0"/>
          <w:w w:val="100"/>
          <w:position w:val="0"/>
          <w:sz w:val="18"/>
          <w:szCs w:val="18"/>
        </w:rPr>
        <w:t>Program Manager</w:t>
      </w:r>
      <w:r>
        <w:rPr>
          <w:color w:val="000000"/>
          <w:spacing w:val="0"/>
          <w:w w:val="100"/>
          <w:position w:val="0"/>
        </w:rPr>
        <w:t>，腾讯公司总监，大疆创新公司副总裁。现任本公司副总经理。</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在其他单位任职情况</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中山市民众镇商会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中山市私营企业协会民众办事处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第九届理 事会副会 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pgSz w:w="11900" w:h="16840"/>
          <w:pgMar w:top="932" w:right="1023" w:bottom="1201" w:left="1104" w:header="0" w:footer="3" w:gutter="0"/>
          <w:cols w:space="720"/>
          <w:noEndnote/>
          <w:rtlGutter w:val="0"/>
          <w:docGrid w:linePitch="360"/>
        </w:sectPr>
      </w:pP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沙华海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深圳市乐心医疗电子有限公司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沙华海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沙华海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中山市创源传感器有限公司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深圳市乐心医疗电子有限公司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中山大学附属第一医院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内分泌科 主任、教 授、主任医 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广东省医学会糖尿病分会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中华医学会糖尿病分会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委员、血糖 监测学组 副组长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广东省健康管理学会代谢与内分泌专 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余国铮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招银国际金融有限公司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1991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佛山市尚捷投资咨询服务中心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广东佳洋投资发展有限公司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广东便捷神科技股份有限公司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碧桂园控股有限公司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中顺洁柔纸业股份有限公司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佛山市远思达管理咨询有限公司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新余顺耀投资有限公司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广东天泓新材料科技有限公司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广东煦智雅环保科技有限公司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执行董事、 法定代表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广东顺德三合工业自动化设备股份有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上海市锦天城（深圳）律师事务所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西藏卫信康医药股份有限公司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广东皮阿诺科学艺术家居股份有限公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深圳市远望谷创业投资有限公司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深圳市海恒智能技术有限公司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深圳市思鹏飞投资合伙企业</w:t>
            </w:r>
            <w:r>
              <w:rPr>
                <w:color w:val="000000"/>
                <w:spacing w:val="0"/>
                <w:w w:val="100"/>
                <w:position w:val="0"/>
              </w:rPr>
              <w:t>（</w:t>
            </w: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北京远望谷投资管理有限公司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四</w:t>
      </w:r>
      <w:bookmarkEnd w:id="496"/>
      <w:r>
        <w:rPr>
          <w:color w:val="000000"/>
          <w:spacing w:val="0"/>
          <w:w w:val="100"/>
          <w:position w:val="0"/>
        </w:rPr>
        <w:t>、董事、监事、高级管理人员报酬情况</w:t>
      </w:r>
      <w:bookmarkEnd w:id="494"/>
      <w:bookmarkEnd w:id="495"/>
      <w:bookmarkEnd w:id="497"/>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240" w:lineRule="auto"/>
        <w:ind w:left="0" w:right="0"/>
        <w:jc w:val="left"/>
      </w:pPr>
      <w:bookmarkStart w:id="498" w:name="bookmark498"/>
      <w:r>
        <w:rPr>
          <w:color w:val="000000"/>
          <w:spacing w:val="0"/>
          <w:w w:val="100"/>
          <w:position w:val="0"/>
          <w:sz w:val="18"/>
          <w:szCs w:val="18"/>
        </w:rPr>
        <w:t>1</w:t>
      </w:r>
      <w:bookmarkEnd w:id="498"/>
      <w:r>
        <w:rPr>
          <w:color w:val="000000"/>
          <w:spacing w:val="0"/>
          <w:w w:val="100"/>
          <w:position w:val="0"/>
        </w:rPr>
        <w:t>、董事、监事和高级管理人员报酬的决策程序：经董事会薪酬与考核委员会审定后提交董事会审议，决策程序符合《公</w:t>
        <w:br w:type="page"/>
      </w:r>
      <w:r>
        <w:rPr>
          <w:color w:val="000000"/>
          <w:spacing w:val="0"/>
          <w:w w:val="100"/>
          <w:position w:val="0"/>
        </w:rPr>
        <w:t>司法》、《公司章程》和《董事会薪酬委员会工作细则》的相关规定。</w:t>
      </w:r>
    </w:p>
    <w:p>
      <w:pPr>
        <w:pStyle w:val="Style21"/>
        <w:keepNext w:val="0"/>
        <w:keepLines w:val="0"/>
        <w:widowControl w:val="0"/>
        <w:shd w:val="clear" w:color="auto" w:fill="auto"/>
        <w:bidi w:val="0"/>
        <w:spacing w:before="0" w:after="480" w:line="475" w:lineRule="exact"/>
        <w:ind w:left="0" w:right="0"/>
        <w:jc w:val="left"/>
      </w:pPr>
      <w:bookmarkStart w:id="499" w:name="bookmark499"/>
      <w:r>
        <w:rPr>
          <w:color w:val="000000"/>
          <w:spacing w:val="0"/>
          <w:w w:val="100"/>
          <w:position w:val="0"/>
          <w:sz w:val="18"/>
          <w:szCs w:val="18"/>
        </w:rPr>
        <w:t>2</w:t>
      </w:r>
      <w:bookmarkEnd w:id="499"/>
      <w:r>
        <w:rPr>
          <w:color w:val="000000"/>
          <w:spacing w:val="0"/>
          <w:w w:val="100"/>
          <w:position w:val="0"/>
        </w:rPr>
        <w:t>、董事、监事和高级管理人员报酬的确定依据：独立董事和非执行董事在公司领取津贴，执行董事、在公司同时担任 其他职务的监事和高级管理人员根据其上年度领取的实际收入水平、工作职责和岗位重要性，结合公司经营目标的完成情况, 确定报酬；月度薪酬由公司财务部负责核算，年度奖金按公司实际经营完成指标，按其岗位绩效进行考评。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联方获取报酬</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沙华海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李延兵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余国铮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欧高良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钟前荣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梁启光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许迎丰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财务总监、董 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潘农菲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五</w:t>
      </w:r>
      <w:bookmarkEnd w:id="502"/>
      <w:r>
        <w:rPr>
          <w:color w:val="000000"/>
          <w:spacing w:val="0"/>
          <w:w w:val="100"/>
          <w:position w:val="0"/>
        </w:rPr>
        <w:t>、公司员工情况</w:t>
      </w:r>
      <w:bookmarkEnd w:id="500"/>
      <w:bookmarkEnd w:id="501"/>
      <w:bookmarkEnd w:id="503"/>
    </w:p>
    <w:p>
      <w:pPr>
        <w:pStyle w:val="Style33"/>
        <w:keepNext/>
        <w:keepLines/>
        <w:widowControl w:val="0"/>
        <w:shd w:val="clear" w:color="auto" w:fill="auto"/>
        <w:bidi w:val="0"/>
        <w:spacing w:before="0" w:after="32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、员工数量、专业构成及教育程度</w:t>
      </w:r>
      <w:bookmarkEnd w:id="504"/>
      <w:bookmarkEnd w:id="505"/>
      <w:bookmarkEnd w:id="50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品质控制人员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2,116</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2,116</w:t>
            </w:r>
          </w:p>
        </w:tc>
      </w:tr>
    </w:tbl>
    <w:p>
      <w:pPr>
        <w:widowControl w:val="0"/>
        <w:spacing w:after="319" w:line="1" w:lineRule="exact"/>
      </w:pPr>
    </w:p>
    <w:p>
      <w:pPr>
        <w:pStyle w:val="Style33"/>
        <w:keepNext/>
        <w:keepLines/>
        <w:widowControl w:val="0"/>
        <w:shd w:val="clear" w:color="auto" w:fill="auto"/>
        <w:tabs>
          <w:tab w:pos="378" w:val="left"/>
        </w:tabs>
        <w:bidi w:val="0"/>
        <w:spacing w:before="0" w:after="26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薪酬政策</w:t>
      </w:r>
      <w:bookmarkEnd w:id="508"/>
      <w:bookmarkEnd w:id="509"/>
      <w:bookmarkEnd w:id="511"/>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为实现公司发展战略，共同分享企业发展所带来的收益，促进员工价值观念的凝合，形成留住人才和吸引人才的机制， 本着公平、竞争、激励、经济、合法的原则，公司人力资源部对不同岗位和部门制定了《薪酬管理规定》，公司财务部门负 责薪酬的计算和发放。同时公司与员工签订劳动合同、为员工购买社会保险及住房公积金，除此之外员工还享有节假日福利、 免费体检等其他福利。</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培训计划</w:t>
      </w:r>
      <w:bookmarkEnd w:id="512"/>
      <w:bookmarkEnd w:id="513"/>
      <w:bookmarkEnd w:id="515"/>
    </w:p>
    <w:p>
      <w:pPr>
        <w:pStyle w:val="Style21"/>
        <w:keepNext w:val="0"/>
        <w:keepLines w:val="0"/>
        <w:widowControl w:val="0"/>
        <w:shd w:val="clear" w:color="auto" w:fill="auto"/>
        <w:bidi w:val="0"/>
        <w:spacing w:before="0" w:after="320" w:line="317" w:lineRule="exact"/>
        <w:ind w:left="0" w:right="0" w:firstLine="380"/>
        <w:jc w:val="left"/>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年的培训立足于全面提升各岗位的专业技能，有针对性的制定了相应年度培训计划，主要分为“研发技术”、 “生产技术”、“工程技术”、“品质管理”、“体系及法规类”等课程，采用内部精英分享及外聘专家相结合的方式开展各类培 训项目。</w:t>
      </w:r>
    </w:p>
    <w:p>
      <w:pPr>
        <w:pStyle w:val="Style2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根据公司的发展需要，</w:t>
      </w:r>
      <w:r>
        <w:rPr>
          <w:color w:val="000000"/>
          <w:spacing w:val="0"/>
          <w:w w:val="100"/>
          <w:position w:val="0"/>
          <w:sz w:val="18"/>
          <w:szCs w:val="18"/>
        </w:rPr>
        <w:t>2017</w:t>
      </w:r>
      <w:r>
        <w:rPr>
          <w:color w:val="000000"/>
          <w:spacing w:val="0"/>
          <w:w w:val="100"/>
          <w:position w:val="0"/>
        </w:rPr>
        <w:t>年公司的培训重心为完善公司的人才培养体系以及“以终为始”完善员工各级培训，使公司 成为学习型企业。</w:t>
      </w:r>
      <w:r>
        <w:rPr>
          <w:color w:val="000000"/>
          <w:spacing w:val="0"/>
          <w:w w:val="100"/>
          <w:position w:val="0"/>
          <w:sz w:val="18"/>
          <w:szCs w:val="18"/>
        </w:rPr>
        <w:t>2017</w:t>
      </w:r>
      <w:r>
        <w:rPr>
          <w:color w:val="000000"/>
          <w:spacing w:val="0"/>
          <w:w w:val="100"/>
          <w:position w:val="0"/>
        </w:rPr>
        <w:t>年，公司将采取在线学习、线下面授、户外拓展、研讨会、交流会等多种学习方式相结合的形式，进 一步深化基层员工技能矩阵，提高一线和中层管理人员的管理能力和综合管理技能；聚焦提升研发技术人员的研发和创新能 力，同时深化实施培训后的效果评估，使培训发挥良好的效果，最大限度支持公司战略目标，促进公司的发展。</w:t>
      </w:r>
    </w:p>
    <w:p>
      <w:pPr>
        <w:pStyle w:val="Style33"/>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、劳务外包情况</w:t>
      </w:r>
      <w:bookmarkEnd w:id="516"/>
      <w:bookmarkEnd w:id="517"/>
      <w:bookmarkEnd w:id="519"/>
    </w:p>
    <w:p>
      <w:pPr>
        <w:pStyle w:val="Style21"/>
        <w:keepNext w:val="0"/>
        <w:keepLines w:val="0"/>
        <w:widowControl w:val="0"/>
        <w:shd w:val="clear" w:color="auto" w:fill="auto"/>
        <w:bidi w:val="0"/>
        <w:spacing w:before="0" w:after="38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34" w:right="1051" w:bottom="1504" w:left="107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center"/>
      </w:pPr>
      <w:bookmarkStart w:id="520" w:name="bookmark520"/>
      <w:bookmarkStart w:id="521" w:name="bookmark521"/>
      <w:bookmarkStart w:id="522" w:name="bookmark522"/>
      <w:r>
        <w:rPr>
          <w:color w:val="000000"/>
          <w:spacing w:val="0"/>
          <w:w w:val="100"/>
          <w:position w:val="0"/>
        </w:rPr>
        <w:t>第九节公司治理</w:t>
      </w:r>
      <w:bookmarkEnd w:id="520"/>
      <w:bookmarkEnd w:id="521"/>
      <w:bookmarkEnd w:id="522"/>
    </w:p>
    <w:p>
      <w:pPr>
        <w:pStyle w:val="Style27"/>
        <w:keepNext/>
        <w:keepLines/>
        <w:widowControl w:val="0"/>
        <w:shd w:val="clear" w:color="auto" w:fill="auto"/>
        <w:bidi w:val="0"/>
        <w:spacing w:before="0" w:after="1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一</w:t>
      </w:r>
      <w:bookmarkEnd w:id="525"/>
      <w:r>
        <w:rPr>
          <w:color w:val="000000"/>
          <w:spacing w:val="0"/>
          <w:w w:val="100"/>
          <w:position w:val="0"/>
        </w:rPr>
        <w:t>、公司治理的基本状况</w:t>
      </w:r>
      <w:bookmarkEnd w:id="523"/>
      <w:bookmarkEnd w:id="524"/>
      <w:bookmarkEnd w:id="526"/>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报告期内，公司严格按照《公司法》、《证券法》、《上市公司治理准则》、《深圳证券交易所股票上市规则》、《深圳证券交 易所创业板上市公司规范运作指引》和中国证监会、深圳证券交易所颁布的相关法律法规的要求，明确了股东大会、董事会、 监事会和管理层之间的职责分工，建立了规范运作的法人治理结构，并制订了一系列公司治理及财务内部控制方面规章制度。 公司治理的实际状况基本符合《上市公司治理准则》、《深圳证券交易所创业板上市公司规范运作指引》等的相关规范性文件 规定。</w:t>
      </w:r>
    </w:p>
    <w:p>
      <w:pPr>
        <w:pStyle w:val="Style21"/>
        <w:keepNext w:val="0"/>
        <w:keepLines w:val="0"/>
        <w:widowControl w:val="0"/>
        <w:shd w:val="clear" w:color="auto" w:fill="auto"/>
        <w:tabs>
          <w:tab w:pos="666" w:val="left"/>
        </w:tabs>
        <w:bidi w:val="0"/>
        <w:spacing w:before="0" w:after="0" w:line="469" w:lineRule="exact"/>
        <w:ind w:left="0" w:right="0" w:firstLine="380"/>
        <w:jc w:val="both"/>
      </w:pPr>
      <w:bookmarkStart w:id="527" w:name="bookmark527"/>
      <w:r>
        <w:rPr>
          <w:b/>
          <w:bCs/>
          <w:color w:val="000000"/>
          <w:spacing w:val="0"/>
          <w:w w:val="100"/>
          <w:position w:val="0"/>
        </w:rPr>
        <w:t>1</w:t>
      </w:r>
      <w:bookmarkEnd w:id="527"/>
      <w:r>
        <w:rPr>
          <w:b/>
          <w:bCs/>
          <w:color w:val="000000"/>
          <w:spacing w:val="0"/>
          <w:w w:val="100"/>
          <w:position w:val="0"/>
        </w:rPr>
        <w:t>、</w:t>
        <w:tab/>
        <w:t>股东及股东大会</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股东大会是公司最高权力机构，由全体股东组成。公司严格遵守法律法规，规范地召集、召开股东大会。历次股东大会 的召集、召开程序、出席股东大会的人员资格及股东大会的表决程序均符合《公司法》、《公司章程》和《股东大会议事规则》 等法律法规等文件的规定，能够确保全体股东尤其是中小股东享有平等地位，充分行使自己的权利。股东认真履行股东义务， 依法行使股东权利。股东大会严格按照《公司法》、《公司章程》、《股东大会议事规则》等规定行使权利。</w:t>
      </w:r>
    </w:p>
    <w:p>
      <w:pPr>
        <w:pStyle w:val="Style21"/>
        <w:keepNext w:val="0"/>
        <w:keepLines w:val="0"/>
        <w:widowControl w:val="0"/>
        <w:shd w:val="clear" w:color="auto" w:fill="auto"/>
        <w:tabs>
          <w:tab w:pos="676" w:val="left"/>
        </w:tabs>
        <w:bidi w:val="0"/>
        <w:spacing w:before="0" w:after="0" w:line="469" w:lineRule="exact"/>
        <w:ind w:left="0" w:right="0" w:firstLine="380"/>
        <w:jc w:val="both"/>
      </w:pPr>
      <w:bookmarkStart w:id="528" w:name="bookmark528"/>
      <w:r>
        <w:rPr>
          <w:b/>
          <w:bCs/>
          <w:color w:val="000000"/>
          <w:spacing w:val="0"/>
          <w:w w:val="100"/>
          <w:position w:val="0"/>
        </w:rPr>
        <w:t>2</w:t>
      </w:r>
      <w:bookmarkEnd w:id="528"/>
      <w:r>
        <w:rPr>
          <w:b/>
          <w:bCs/>
          <w:color w:val="000000"/>
          <w:spacing w:val="0"/>
          <w:w w:val="100"/>
          <w:position w:val="0"/>
        </w:rPr>
        <w:t>、</w:t>
        <w:tab/>
        <w:t>公司与控股股东</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公司控股股东及实际控制人均严格规范自己的行为，没有超越股东大会直接或间接干预公司的决策和经营活动。公司具 备与生产经营有关的主要生产系统、辅助生产系统和配套设施，合法拥有与生产经营有关的主要土地、厂房、机器设备以及 商标、专利、非专利技术的所有权或者使用权，具有独立的原料采购和产品销售系统，具有独立完整的业务和自主经营能力， 在业务、人员、资产、机构、财务上均独立于控股股东及实际控制人。</w:t>
      </w:r>
    </w:p>
    <w:p>
      <w:pPr>
        <w:pStyle w:val="Style21"/>
        <w:keepNext w:val="0"/>
        <w:keepLines w:val="0"/>
        <w:widowControl w:val="0"/>
        <w:shd w:val="clear" w:color="auto" w:fill="auto"/>
        <w:tabs>
          <w:tab w:pos="676" w:val="left"/>
        </w:tabs>
        <w:bidi w:val="0"/>
        <w:spacing w:before="0" w:after="0" w:line="469" w:lineRule="exact"/>
        <w:ind w:left="0" w:right="0" w:firstLine="380"/>
        <w:jc w:val="both"/>
      </w:pPr>
      <w:bookmarkStart w:id="529" w:name="bookmark529"/>
      <w:r>
        <w:rPr>
          <w:b/>
          <w:bCs/>
          <w:color w:val="000000"/>
          <w:spacing w:val="0"/>
          <w:w w:val="100"/>
          <w:position w:val="0"/>
        </w:rPr>
        <w:t>3</w:t>
      </w:r>
      <w:bookmarkEnd w:id="529"/>
      <w:r>
        <w:rPr>
          <w:b/>
          <w:bCs/>
          <w:color w:val="000000"/>
          <w:spacing w:val="0"/>
          <w:w w:val="100"/>
          <w:position w:val="0"/>
        </w:rPr>
        <w:t>、</w:t>
        <w:tab/>
        <w:t>董事及董事会</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根据《公司章程》和《董事会议事规则》的规定，公司设董事会，对股东大会负责。董事会由七名董事组成，其中独立 董事三名。公司设董事长一人，董事长由董事会以全体董事的过半数选举产生。董事任期三年，任期届满，连选可以连任， 但独立董事连续任期不得超过六年。董事会下设审计委员会、战略委员会、提名委员会和薪酬与考核委员会。董事会的人数 和人员符合《公司法》、《公司章程》等规定。公司董事能够依据《董事会议事规则》、《独立董事工作制度》、《深圳证券交易 所创业板上市公司规范运作指引》等开展工作，出席董事会和股东大会，依法行使职权，勤勉尽责地履行职责和义务，能够 持续关注公司经营状况，提高公司治理能力。公司董事会按照《公司法》、《公司章程》和《董事会议事规则》等相关法律法 规规定召开，和履行会议程序，并做好会议资料存档并保证相关信息及时披露、公告。</w:t>
      </w:r>
    </w:p>
    <w:p>
      <w:pPr>
        <w:pStyle w:val="Style21"/>
        <w:keepNext w:val="0"/>
        <w:keepLines w:val="0"/>
        <w:widowControl w:val="0"/>
        <w:shd w:val="clear" w:color="auto" w:fill="auto"/>
        <w:tabs>
          <w:tab w:pos="681" w:val="left"/>
        </w:tabs>
        <w:bidi w:val="0"/>
        <w:spacing w:before="0" w:after="0" w:line="469" w:lineRule="exact"/>
        <w:ind w:left="0" w:right="0" w:firstLine="380"/>
        <w:jc w:val="both"/>
      </w:pPr>
      <w:bookmarkStart w:id="530" w:name="bookmark530"/>
      <w:r>
        <w:rPr>
          <w:b/>
          <w:bCs/>
          <w:color w:val="000000"/>
          <w:spacing w:val="0"/>
          <w:w w:val="100"/>
          <w:position w:val="0"/>
        </w:rPr>
        <w:t>4</w:t>
      </w:r>
      <w:bookmarkEnd w:id="530"/>
      <w:r>
        <w:rPr>
          <w:b/>
          <w:bCs/>
          <w:color w:val="000000"/>
          <w:spacing w:val="0"/>
          <w:w w:val="100"/>
          <w:position w:val="0"/>
        </w:rPr>
        <w:t>、</w:t>
        <w:tab/>
        <w:t>监事和监事会</w:t>
      </w:r>
    </w:p>
    <w:p>
      <w:pPr>
        <w:pStyle w:val="Style21"/>
        <w:keepNext w:val="0"/>
        <w:keepLines w:val="0"/>
        <w:widowControl w:val="0"/>
        <w:shd w:val="clear" w:color="auto" w:fill="auto"/>
        <w:bidi w:val="0"/>
        <w:spacing w:before="0" w:after="0" w:line="469" w:lineRule="exact"/>
        <w:ind w:left="0" w:right="0" w:firstLine="380"/>
        <w:jc w:val="both"/>
        <w:sectPr>
          <w:footnotePr>
            <w:pos w:val="pageBottom"/>
            <w:numFmt w:val="decimal"/>
            <w:numRestart w:val="continuous"/>
          </w:footnotePr>
          <w:pgSz w:w="11900" w:h="16840"/>
          <w:pgMar w:top="1935" w:right="1023" w:bottom="1498" w:left="1104" w:header="0" w:footer="3" w:gutter="0"/>
          <w:cols w:space="720"/>
          <w:noEndnote/>
          <w:rtlGutter w:val="0"/>
          <w:docGrid w:linePitch="360"/>
        </w:sectPr>
      </w:pPr>
      <w:r>
        <w:rPr>
          <w:color w:val="000000"/>
          <w:spacing w:val="0"/>
          <w:w w:val="100"/>
          <w:position w:val="0"/>
        </w:rPr>
        <w:t>公司设监事会，监事会应对公司全体股东负责，维护公司及股东的合法权益。监事会由三名监事组成，其中职工代表监</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事一名。监事会设主席一名，监事会主席由全体监事过半数选举产生。监事会中的职工代表监事由公司职工代表大会民主选 举产生。监事会的人数和人员符合《公司法》、《公司章程》等规定。公司监事认真履行职责，本着对股东负责的态度，对公 司财务以及公司董事、高级管理人员履行职责的合法、合规性进行监督，维护公司及股东的合法权益。监事会会议召集、召 开和表决程序符合《公司法》、《公司章程》和《监事会议事规则》的规定。</w:t>
      </w:r>
    </w:p>
    <w:p>
      <w:pPr>
        <w:pStyle w:val="Style21"/>
        <w:keepNext w:val="0"/>
        <w:keepLines w:val="0"/>
        <w:widowControl w:val="0"/>
        <w:shd w:val="clear" w:color="auto" w:fill="auto"/>
        <w:bidi w:val="0"/>
        <w:spacing w:before="0" w:after="0" w:line="469" w:lineRule="exact"/>
        <w:ind w:left="0" w:right="0" w:firstLine="380"/>
        <w:jc w:val="left"/>
      </w:pPr>
      <w:bookmarkStart w:id="531" w:name="bookmark531"/>
      <w:r>
        <w:rPr>
          <w:b/>
          <w:bCs/>
          <w:color w:val="000000"/>
          <w:spacing w:val="0"/>
          <w:w w:val="100"/>
          <w:position w:val="0"/>
        </w:rPr>
        <w:t>5</w:t>
      </w:r>
      <w:bookmarkEnd w:id="531"/>
      <w:r>
        <w:rPr>
          <w:b/>
          <w:bCs/>
          <w:color w:val="000000"/>
          <w:spacing w:val="0"/>
          <w:w w:val="100"/>
          <w:position w:val="0"/>
        </w:rPr>
        <w:t>、关于信息披露与透明度</w:t>
      </w:r>
    </w:p>
    <w:p>
      <w:pPr>
        <w:pStyle w:val="Style21"/>
        <w:keepNext w:val="0"/>
        <w:keepLines w:val="0"/>
        <w:widowControl w:val="0"/>
        <w:shd w:val="clear" w:color="auto" w:fill="auto"/>
        <w:bidi w:val="0"/>
        <w:spacing w:before="0" w:after="460" w:line="468" w:lineRule="exact"/>
        <w:ind w:left="0" w:right="0" w:firstLine="380"/>
        <w:jc w:val="left"/>
      </w:pPr>
      <w:r>
        <w:rPr>
          <w:color w:val="000000"/>
          <w:spacing w:val="0"/>
          <w:w w:val="100"/>
          <w:position w:val="0"/>
        </w:rPr>
        <w:t>董事会秘书为公司信息披露第一负责人，公司严格按照信息披露的有关法律法规真实、准确、及时、完整的披露信息， 确保所有投资者公平及时的获取公司信息。公司注重与投资者沟通交流，同时还加强了与监管机构的联系和主动沟通，确保 公司信息披露的规范化和合规化。</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1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二</w:t>
      </w:r>
      <w:bookmarkEnd w:id="534"/>
      <w:r>
        <w:rPr>
          <w:color w:val="000000"/>
          <w:spacing w:val="0"/>
          <w:w w:val="100"/>
          <w:position w:val="0"/>
        </w:rPr>
        <w:t>、公司相对于控股股东在业务、人员、资产、机构、财务等方面的独立情况</w:t>
      </w:r>
      <w:bookmarkEnd w:id="532"/>
      <w:bookmarkEnd w:id="533"/>
      <w:bookmarkEnd w:id="535"/>
    </w:p>
    <w:p>
      <w:pPr>
        <w:pStyle w:val="Style21"/>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公司拥有独立完整的采购、生产、销售、研发系统，具备自主经营能力，在业务、人员、资产、机构和财务等方面与控 股股东及实际控制人相互独立。</w:t>
      </w:r>
    </w:p>
    <w:p>
      <w:pPr>
        <w:pStyle w:val="Style21"/>
        <w:keepNext w:val="0"/>
        <w:keepLines w:val="0"/>
        <w:widowControl w:val="0"/>
        <w:shd w:val="clear" w:color="auto" w:fill="auto"/>
        <w:tabs>
          <w:tab w:pos="719" w:val="left"/>
        </w:tabs>
        <w:bidi w:val="0"/>
        <w:spacing w:before="0" w:after="0" w:line="475" w:lineRule="exact"/>
        <w:ind w:left="0" w:right="0" w:firstLine="380"/>
        <w:jc w:val="both"/>
      </w:pPr>
      <w:bookmarkStart w:id="536" w:name="bookmark536"/>
      <w:r>
        <w:rPr>
          <w:b/>
          <w:bCs/>
          <w:color w:val="000000"/>
          <w:spacing w:val="0"/>
          <w:w w:val="100"/>
          <w:position w:val="0"/>
        </w:rPr>
        <w:t>1</w:t>
      </w:r>
      <w:bookmarkEnd w:id="536"/>
      <w:r>
        <w:rPr>
          <w:b/>
          <w:bCs/>
          <w:color w:val="000000"/>
          <w:spacing w:val="0"/>
          <w:w w:val="100"/>
          <w:position w:val="0"/>
        </w:rPr>
        <w:t>、</w:t>
        <w:tab/>
        <w:t>业务方面</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公司的业务独立于控股股东、实际控制人，与控股股东、实际控制人不存在同业竞争或者显失公平的关联交易。</w:t>
      </w:r>
    </w:p>
    <w:p>
      <w:pPr>
        <w:pStyle w:val="Style21"/>
        <w:keepNext w:val="0"/>
        <w:keepLines w:val="0"/>
        <w:widowControl w:val="0"/>
        <w:shd w:val="clear" w:color="auto" w:fill="auto"/>
        <w:tabs>
          <w:tab w:pos="729" w:val="left"/>
        </w:tabs>
        <w:bidi w:val="0"/>
        <w:spacing w:before="0" w:after="0" w:line="469" w:lineRule="exact"/>
        <w:ind w:left="0" w:right="0" w:firstLine="380"/>
        <w:jc w:val="both"/>
      </w:pPr>
      <w:bookmarkStart w:id="537" w:name="bookmark537"/>
      <w:r>
        <w:rPr>
          <w:b/>
          <w:bCs/>
          <w:color w:val="000000"/>
          <w:spacing w:val="0"/>
          <w:w w:val="100"/>
          <w:position w:val="0"/>
        </w:rPr>
        <w:t>2</w:t>
      </w:r>
      <w:bookmarkEnd w:id="537"/>
      <w:r>
        <w:rPr>
          <w:b/>
          <w:bCs/>
          <w:color w:val="000000"/>
          <w:spacing w:val="0"/>
          <w:w w:val="100"/>
          <w:position w:val="0"/>
        </w:rPr>
        <w:t>、</w:t>
        <w:tab/>
        <w:t>人员</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公司的总经理、副总经理、财务负责人和董事会秘书等高级管理人员不在控股股东、实际控制人中担任除董事、监事以 外的其他职务，不在控股股东、实际控制人领薪；公司的财务人员不在控股股东、实际控制人中兼职。</w:t>
      </w:r>
    </w:p>
    <w:p>
      <w:pPr>
        <w:pStyle w:val="Style21"/>
        <w:keepNext w:val="0"/>
        <w:keepLines w:val="0"/>
        <w:widowControl w:val="0"/>
        <w:shd w:val="clear" w:color="auto" w:fill="auto"/>
        <w:tabs>
          <w:tab w:pos="729" w:val="left"/>
        </w:tabs>
        <w:bidi w:val="0"/>
        <w:spacing w:before="0" w:after="0" w:line="469" w:lineRule="exact"/>
        <w:ind w:left="0" w:right="0" w:firstLine="380"/>
        <w:jc w:val="both"/>
      </w:pPr>
      <w:bookmarkStart w:id="538" w:name="bookmark538"/>
      <w:r>
        <w:rPr>
          <w:b/>
          <w:bCs/>
          <w:color w:val="000000"/>
          <w:spacing w:val="0"/>
          <w:w w:val="100"/>
          <w:position w:val="0"/>
        </w:rPr>
        <w:t>3</w:t>
      </w:r>
      <w:bookmarkEnd w:id="538"/>
      <w:r>
        <w:rPr>
          <w:b/>
          <w:bCs/>
          <w:color w:val="000000"/>
          <w:spacing w:val="0"/>
          <w:w w:val="100"/>
          <w:position w:val="0"/>
        </w:rPr>
        <w:t>、</w:t>
        <w:tab/>
        <w:t>资产</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公司具备与生产经营有关的主要生产系统、辅助生产系统和配套设施，合法拥有与生产经营有关的主要土地、厂房、机 器设备以及商标、专利、非专利技术的所有权或者使用权，具有独立的原料采购和产品销售系统。</w:t>
      </w:r>
    </w:p>
    <w:p>
      <w:pPr>
        <w:pStyle w:val="Style21"/>
        <w:keepNext w:val="0"/>
        <w:keepLines w:val="0"/>
        <w:widowControl w:val="0"/>
        <w:shd w:val="clear" w:color="auto" w:fill="auto"/>
        <w:tabs>
          <w:tab w:pos="734" w:val="left"/>
        </w:tabs>
        <w:bidi w:val="0"/>
        <w:spacing w:before="0" w:after="0" w:line="469" w:lineRule="exact"/>
        <w:ind w:left="0" w:right="0" w:firstLine="380"/>
        <w:jc w:val="left"/>
      </w:pPr>
      <w:bookmarkStart w:id="539" w:name="bookmark539"/>
      <w:r>
        <w:rPr>
          <w:b/>
          <w:bCs/>
          <w:color w:val="000000"/>
          <w:spacing w:val="0"/>
          <w:w w:val="100"/>
          <w:position w:val="0"/>
        </w:rPr>
        <w:t>4</w:t>
      </w:r>
      <w:bookmarkEnd w:id="539"/>
      <w:r>
        <w:rPr>
          <w:b/>
          <w:bCs/>
          <w:color w:val="000000"/>
          <w:spacing w:val="0"/>
          <w:w w:val="100"/>
          <w:position w:val="0"/>
        </w:rPr>
        <w:t>、</w:t>
        <w:tab/>
        <w:t>机构</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公司已建立健全内部经营管理机构、独立行使经营管理职权，与控股股东、实际控制人间不存在机构混同的情形。</w:t>
      </w:r>
    </w:p>
    <w:p>
      <w:pPr>
        <w:pStyle w:val="Style21"/>
        <w:keepNext w:val="0"/>
        <w:keepLines w:val="0"/>
        <w:widowControl w:val="0"/>
        <w:shd w:val="clear" w:color="auto" w:fill="auto"/>
        <w:tabs>
          <w:tab w:pos="734" w:val="left"/>
        </w:tabs>
        <w:bidi w:val="0"/>
        <w:spacing w:before="0" w:after="0" w:line="469" w:lineRule="exact"/>
        <w:ind w:left="0" w:right="0" w:firstLine="380"/>
        <w:jc w:val="both"/>
      </w:pPr>
      <w:bookmarkStart w:id="540" w:name="bookmark540"/>
      <w:r>
        <w:rPr>
          <w:b/>
          <w:bCs/>
          <w:color w:val="000000"/>
          <w:spacing w:val="0"/>
          <w:w w:val="100"/>
          <w:position w:val="0"/>
        </w:rPr>
        <w:t>5</w:t>
      </w:r>
      <w:bookmarkEnd w:id="540"/>
      <w:r>
        <w:rPr>
          <w:b/>
          <w:bCs/>
          <w:color w:val="000000"/>
          <w:spacing w:val="0"/>
          <w:w w:val="100"/>
          <w:position w:val="0"/>
        </w:rPr>
        <w:t>、</w:t>
        <w:tab/>
        <w:t>财务</w:t>
      </w:r>
    </w:p>
    <w:p>
      <w:pPr>
        <w:pStyle w:val="Style21"/>
        <w:keepNext w:val="0"/>
        <w:keepLines w:val="0"/>
        <w:widowControl w:val="0"/>
        <w:shd w:val="clear" w:color="auto" w:fill="auto"/>
        <w:bidi w:val="0"/>
        <w:spacing w:before="0" w:after="0" w:line="475" w:lineRule="exact"/>
        <w:ind w:left="0" w:right="0" w:firstLine="38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公司已建立独立的财务核算体系、能够独立作出财务决策、具有规范的财务会计制度和对分公司、子公司的财务管理制 度；公司不存在与控股股东、实际控制人共用银行账户的情形。</w:t>
      </w:r>
    </w:p>
    <w:p>
      <w:pPr>
        <w:pStyle w:val="Style27"/>
        <w:keepNext/>
        <w:keepLines/>
        <w:widowControl w:val="0"/>
        <w:shd w:val="clear" w:color="auto" w:fill="auto"/>
        <w:bidi w:val="0"/>
        <w:spacing w:before="0" w:after="340" w:line="240" w:lineRule="auto"/>
        <w:ind w:left="0" w:right="0" w:firstLine="260"/>
        <w:jc w:val="left"/>
      </w:pPr>
      <w:bookmarkStart w:id="541" w:name="bookmark541"/>
      <w:bookmarkStart w:id="542" w:name="bookmark542"/>
      <w:bookmarkStart w:id="543" w:name="bookmark543"/>
      <w:r>
        <w:rPr>
          <w:color w:val="000000"/>
          <w:spacing w:val="0"/>
          <w:w w:val="100"/>
          <w:position w:val="0"/>
        </w:rPr>
        <w:t>、同业竞争情况</w:t>
      </w:r>
      <w:bookmarkEnd w:id="541"/>
      <w:bookmarkEnd w:id="542"/>
      <w:bookmarkEnd w:id="543"/>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四</w:t>
      </w:r>
      <w:bookmarkEnd w:id="546"/>
      <w:r>
        <w:rPr>
          <w:color w:val="000000"/>
          <w:spacing w:val="0"/>
          <w:w w:val="100"/>
          <w:position w:val="0"/>
        </w:rPr>
        <w:t>、报告期内召开的年度股东大会和临时股东大会的有关情况</w:t>
      </w:r>
      <w:bookmarkEnd w:id="544"/>
      <w:bookmarkEnd w:id="545"/>
      <w:bookmarkEnd w:id="547"/>
    </w:p>
    <w:p>
      <w:pPr>
        <w:pStyle w:val="Style33"/>
        <w:keepNext/>
        <w:keepLines/>
        <w:widowControl w:val="0"/>
        <w:shd w:val="clear" w:color="auto" w:fill="auto"/>
        <w:bidi w:val="0"/>
        <w:spacing w:before="0" w:after="34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、本报告期股东大会情况</w:t>
      </w:r>
      <w:bookmarkEnd w:id="548"/>
      <w:bookmarkEnd w:id="549"/>
      <w:bookmarkEnd w:id="55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http://www. cninfo. 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、表决权恢复的优先股股东请求召开临时股东大会</w:t>
      </w:r>
      <w:bookmarkEnd w:id="552"/>
      <w:bookmarkEnd w:id="553"/>
      <w:bookmarkEnd w:id="555"/>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五</w:t>
      </w:r>
      <w:bookmarkEnd w:id="558"/>
      <w:r>
        <w:rPr>
          <w:color w:val="000000"/>
          <w:spacing w:val="0"/>
          <w:w w:val="100"/>
          <w:position w:val="0"/>
        </w:rPr>
        <w:t>、报告期内独立董事履行职责的情况</w:t>
      </w:r>
      <w:bookmarkEnd w:id="556"/>
      <w:bookmarkEnd w:id="557"/>
      <w:bookmarkEnd w:id="559"/>
    </w:p>
    <w:p>
      <w:pPr>
        <w:pStyle w:val="Style33"/>
        <w:keepNext/>
        <w:keepLines/>
        <w:widowControl w:val="0"/>
        <w:shd w:val="clear" w:color="auto" w:fill="auto"/>
        <w:bidi w:val="0"/>
        <w:spacing w:before="0" w:after="3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、独立董事出席董事会及股东大会的情况</w:t>
      </w:r>
      <w:bookmarkEnd w:id="560"/>
      <w:bookmarkEnd w:id="561"/>
      <w:bookmarkEnd w:id="56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未亲自参加会 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余国铮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邹晓冬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黄洪燕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公司独立董事不存在连续两次未亲自出席董事会的情形。</w:t>
      </w:r>
    </w:p>
    <w:p>
      <w:pPr>
        <w:pStyle w:val="Style33"/>
        <w:keepNext/>
        <w:keepLines/>
        <w:widowControl w:val="0"/>
        <w:shd w:val="clear" w:color="auto" w:fill="auto"/>
        <w:bidi w:val="0"/>
        <w:spacing w:before="0" w:after="40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、独立董事对公司有关事项提出异议的情况</w:t>
      </w:r>
      <w:bookmarkEnd w:id="564"/>
      <w:bookmarkEnd w:id="565"/>
      <w:bookmarkEnd w:id="56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、独立董事履行职责的其他说明</w:t>
      </w:r>
      <w:bookmarkEnd w:id="568"/>
      <w:bookmarkEnd w:id="569"/>
      <w:bookmarkEnd w:id="571"/>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460" w:line="469" w:lineRule="exact"/>
        <w:ind w:left="0" w:right="0"/>
        <w:jc w:val="left"/>
      </w:pPr>
      <w:r>
        <w:rPr>
          <w:color w:val="000000"/>
          <w:spacing w:val="0"/>
          <w:w w:val="100"/>
          <w:position w:val="0"/>
        </w:rPr>
        <w:t>独立董事对公司及全体股东负有诚信和勤勉义务。独立董事按照相关法律法规和《公司章程》的要求，认真履行职责， 维护公司整体利益，尤其关注中小股东的合法权益是否受到损害。独立董事根据《深圳证券交易所创业板股票上市交易规则》、 《深圳深圳证券交易所创业板上市公司规范运作指引》等相关规定对公司重大事项均发表了独立董事事前认可或独立董事意 见，对于独立董事的意见公司均已采纳。</w:t>
      </w:r>
    </w:p>
    <w:p>
      <w:pPr>
        <w:pStyle w:val="Style27"/>
        <w:keepNext/>
        <w:keepLines/>
        <w:widowControl w:val="0"/>
        <w:shd w:val="clear" w:color="auto" w:fill="auto"/>
        <w:tabs>
          <w:tab w:pos="517" w:val="left"/>
        </w:tabs>
        <w:bidi w:val="0"/>
        <w:spacing w:before="0" w:after="1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六</w:t>
      </w:r>
      <w:bookmarkEnd w:id="574"/>
      <w:r>
        <w:rPr>
          <w:color w:val="000000"/>
          <w:spacing w:val="0"/>
          <w:w w:val="100"/>
          <w:position w:val="0"/>
        </w:rPr>
        <w:t>、</w:t>
        <w:tab/>
        <w:t>董事会下设专门委员会在报告期内履行职责情况</w:t>
      </w:r>
      <w:bookmarkEnd w:id="572"/>
      <w:bookmarkEnd w:id="573"/>
      <w:bookmarkEnd w:id="575"/>
    </w:p>
    <w:p>
      <w:pPr>
        <w:pStyle w:val="Style21"/>
        <w:keepNext w:val="0"/>
        <w:keepLines w:val="0"/>
        <w:widowControl w:val="0"/>
        <w:shd w:val="clear" w:color="auto" w:fill="auto"/>
        <w:bidi w:val="0"/>
        <w:spacing w:before="0" w:after="40" w:line="466" w:lineRule="exact"/>
        <w:ind w:left="0" w:right="0"/>
        <w:jc w:val="left"/>
      </w:pPr>
      <w:r>
        <w:rPr>
          <w:color w:val="000000"/>
          <w:spacing w:val="0"/>
          <w:w w:val="100"/>
          <w:position w:val="0"/>
        </w:rPr>
        <w:t>报告期内，公司董事会下设的四个专门委员会严格按照《公司章程》、《董事会议事规则》及各专门委员会的实施细则等 相关规定履行各项职责。现将</w:t>
      </w:r>
      <w:r>
        <w:rPr>
          <w:color w:val="000000"/>
          <w:spacing w:val="0"/>
          <w:w w:val="100"/>
          <w:position w:val="0"/>
          <w:sz w:val="18"/>
          <w:szCs w:val="18"/>
        </w:rPr>
        <w:t>2016</w:t>
      </w:r>
      <w:r>
        <w:rPr>
          <w:color w:val="000000"/>
          <w:spacing w:val="0"/>
          <w:w w:val="100"/>
          <w:position w:val="0"/>
        </w:rPr>
        <w:t>年度公司董事会专门委员会履职情况报告如下：</w:t>
      </w:r>
    </w:p>
    <w:p>
      <w:pPr>
        <w:pStyle w:val="Style21"/>
        <w:keepNext w:val="0"/>
        <w:keepLines w:val="0"/>
        <w:widowControl w:val="0"/>
        <w:shd w:val="clear" w:color="auto" w:fill="auto"/>
        <w:tabs>
          <w:tab w:pos="339" w:val="left"/>
        </w:tabs>
        <w:bidi w:val="0"/>
        <w:spacing w:before="0" w:after="40" w:line="469" w:lineRule="exact"/>
        <w:ind w:left="0" w:right="0" w:firstLine="0"/>
        <w:jc w:val="left"/>
      </w:pPr>
      <w:bookmarkStart w:id="576" w:name="bookmark576"/>
      <w:r>
        <w:rPr>
          <w:b/>
          <w:bCs/>
          <w:color w:val="000000"/>
          <w:spacing w:val="0"/>
          <w:w w:val="100"/>
          <w:position w:val="0"/>
        </w:rPr>
        <w:t>1</w:t>
      </w:r>
      <w:bookmarkEnd w:id="576"/>
      <w:r>
        <w:rPr>
          <w:b/>
          <w:bCs/>
          <w:color w:val="000000"/>
          <w:spacing w:val="0"/>
          <w:w w:val="100"/>
          <w:position w:val="0"/>
        </w:rPr>
        <w:t>、</w:t>
        <w:tab/>
        <w:t>审计委员会</w:t>
      </w:r>
    </w:p>
    <w:p>
      <w:pPr>
        <w:pStyle w:val="Style21"/>
        <w:keepNext w:val="0"/>
        <w:keepLines w:val="0"/>
        <w:widowControl w:val="0"/>
        <w:shd w:val="clear" w:color="auto" w:fill="auto"/>
        <w:bidi w:val="0"/>
        <w:spacing w:before="0" w:after="40" w:line="461" w:lineRule="exact"/>
        <w:ind w:left="0" w:right="0"/>
        <w:jc w:val="left"/>
      </w:pPr>
      <w:r>
        <w:rPr>
          <w:color w:val="000000"/>
          <w:spacing w:val="0"/>
          <w:w w:val="100"/>
          <w:position w:val="0"/>
        </w:rPr>
        <w:t>报告期内，公司董事会审计委员会对公司募集资金使用、财务审计报告、定期报告、审计部工作等相关事项进行了审查 与监督，重点对公司各定期报告工作进行了审核。报告期内，审计委员会共召开</w:t>
      </w:r>
      <w:r>
        <w:rPr>
          <w:color w:val="000000"/>
          <w:spacing w:val="0"/>
          <w:w w:val="100"/>
          <w:position w:val="0"/>
          <w:sz w:val="18"/>
          <w:szCs w:val="18"/>
        </w:rPr>
        <w:t>2</w:t>
      </w:r>
      <w:r>
        <w:rPr>
          <w:color w:val="000000"/>
          <w:spacing w:val="0"/>
          <w:w w:val="100"/>
          <w:position w:val="0"/>
        </w:rPr>
        <w:t>次会议，对相关议案进行审议并形成决议。</w:t>
      </w:r>
    </w:p>
    <w:p>
      <w:pPr>
        <w:pStyle w:val="Style21"/>
        <w:keepNext w:val="0"/>
        <w:keepLines w:val="0"/>
        <w:widowControl w:val="0"/>
        <w:shd w:val="clear" w:color="auto" w:fill="auto"/>
        <w:tabs>
          <w:tab w:pos="349" w:val="left"/>
        </w:tabs>
        <w:bidi w:val="0"/>
        <w:spacing w:before="0" w:after="40" w:line="469" w:lineRule="exact"/>
        <w:ind w:left="0" w:right="0" w:firstLine="0"/>
        <w:jc w:val="left"/>
      </w:pPr>
      <w:bookmarkStart w:id="577" w:name="bookmark577"/>
      <w:r>
        <w:rPr>
          <w:b/>
          <w:bCs/>
          <w:color w:val="000000"/>
          <w:spacing w:val="0"/>
          <w:w w:val="100"/>
          <w:position w:val="0"/>
        </w:rPr>
        <w:t>2</w:t>
      </w:r>
      <w:bookmarkEnd w:id="577"/>
      <w:r>
        <w:rPr>
          <w:b/>
          <w:bCs/>
          <w:color w:val="000000"/>
          <w:spacing w:val="0"/>
          <w:w w:val="100"/>
          <w:position w:val="0"/>
        </w:rPr>
        <w:t>、</w:t>
        <w:tab/>
        <w:t>战略委员会</w:t>
      </w:r>
    </w:p>
    <w:p>
      <w:pPr>
        <w:pStyle w:val="Style21"/>
        <w:keepNext w:val="0"/>
        <w:keepLines w:val="0"/>
        <w:widowControl w:val="0"/>
        <w:shd w:val="clear" w:color="auto" w:fill="auto"/>
        <w:bidi w:val="0"/>
        <w:spacing w:before="0" w:after="40" w:line="469" w:lineRule="exact"/>
        <w:ind w:left="0" w:right="0"/>
        <w:jc w:val="left"/>
      </w:pPr>
      <w:r>
        <w:rPr>
          <w:color w:val="000000"/>
          <w:spacing w:val="0"/>
          <w:w w:val="100"/>
          <w:position w:val="0"/>
        </w:rPr>
        <w:t>报告期内，公司战略委员会召开会议</w:t>
      </w:r>
      <w:r>
        <w:rPr>
          <w:color w:val="000000"/>
          <w:spacing w:val="0"/>
          <w:w w:val="100"/>
          <w:position w:val="0"/>
          <w:sz w:val="18"/>
          <w:szCs w:val="18"/>
        </w:rPr>
        <w:t>1</w:t>
      </w:r>
      <w:r>
        <w:rPr>
          <w:color w:val="000000"/>
          <w:spacing w:val="0"/>
          <w:w w:val="100"/>
          <w:position w:val="0"/>
        </w:rPr>
        <w:t>次，审议通过了有关议案。</w:t>
      </w:r>
    </w:p>
    <w:p>
      <w:pPr>
        <w:pStyle w:val="Style21"/>
        <w:keepNext w:val="0"/>
        <w:keepLines w:val="0"/>
        <w:widowControl w:val="0"/>
        <w:shd w:val="clear" w:color="auto" w:fill="auto"/>
        <w:tabs>
          <w:tab w:pos="349" w:val="left"/>
        </w:tabs>
        <w:bidi w:val="0"/>
        <w:spacing w:before="0" w:after="40" w:line="469" w:lineRule="exact"/>
        <w:ind w:left="0" w:right="0" w:firstLine="0"/>
        <w:jc w:val="left"/>
      </w:pPr>
      <w:bookmarkStart w:id="578" w:name="bookmark578"/>
      <w:r>
        <w:rPr>
          <w:b/>
          <w:bCs/>
          <w:color w:val="000000"/>
          <w:spacing w:val="0"/>
          <w:w w:val="100"/>
          <w:position w:val="0"/>
        </w:rPr>
        <w:t>3</w:t>
      </w:r>
      <w:bookmarkEnd w:id="578"/>
      <w:r>
        <w:rPr>
          <w:b/>
          <w:bCs/>
          <w:color w:val="000000"/>
          <w:spacing w:val="0"/>
          <w:w w:val="100"/>
          <w:position w:val="0"/>
        </w:rPr>
        <w:t>、</w:t>
        <w:tab/>
        <w:t>提名委员会</w:t>
      </w:r>
    </w:p>
    <w:p>
      <w:pPr>
        <w:pStyle w:val="Style21"/>
        <w:keepNext w:val="0"/>
        <w:keepLines w:val="0"/>
        <w:widowControl w:val="0"/>
        <w:shd w:val="clear" w:color="auto" w:fill="auto"/>
        <w:bidi w:val="0"/>
        <w:spacing w:before="0" w:after="820" w:line="469" w:lineRule="exact"/>
        <w:ind w:left="0" w:right="0"/>
        <w:jc w:val="both"/>
      </w:pPr>
      <w:r>
        <w:rPr>
          <w:color w:val="000000"/>
          <w:spacing w:val="0"/>
          <w:w w:val="100"/>
          <w:position w:val="0"/>
        </w:rPr>
        <w:t>报告期内，公司提名委员会召开会议</w:t>
      </w:r>
      <w:r>
        <w:rPr>
          <w:color w:val="000000"/>
          <w:spacing w:val="0"/>
          <w:w w:val="100"/>
          <w:position w:val="0"/>
          <w:sz w:val="18"/>
          <w:szCs w:val="18"/>
        </w:rPr>
        <w:t>1</w:t>
      </w:r>
      <w:r>
        <w:rPr>
          <w:color w:val="000000"/>
          <w:spacing w:val="0"/>
          <w:w w:val="100"/>
          <w:position w:val="0"/>
        </w:rPr>
        <w:t>次。就公司增聘副总经理等高级管理人员召开了专门会议审议，审核无异议。</w:t>
      </w:r>
    </w:p>
    <w:p>
      <w:pPr>
        <w:pStyle w:val="Style27"/>
        <w:keepNext/>
        <w:keepLines/>
        <w:widowControl w:val="0"/>
        <w:shd w:val="clear" w:color="auto" w:fill="auto"/>
        <w:tabs>
          <w:tab w:pos="517" w:val="left"/>
        </w:tabs>
        <w:bidi w:val="0"/>
        <w:spacing w:before="0" w:after="38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七</w:t>
      </w:r>
      <w:bookmarkEnd w:id="581"/>
      <w:r>
        <w:rPr>
          <w:color w:val="000000"/>
          <w:spacing w:val="0"/>
          <w:w w:val="100"/>
          <w:position w:val="0"/>
        </w:rPr>
        <w:t>、</w:t>
        <w:tab/>
        <w:t>监事会工作情况</w:t>
      </w:r>
      <w:bookmarkEnd w:id="579"/>
      <w:bookmarkEnd w:id="580"/>
      <w:bookmarkEnd w:id="58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 </w:t>
      </w:r>
      <w:r>
        <w:rPr>
          <w:color w:val="000000"/>
          <w:spacing w:val="0"/>
          <w:w w:val="100"/>
          <w:position w:val="0"/>
        </w:rPr>
        <w:t>是］否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17" w:val="left"/>
        </w:tabs>
        <w:bidi w:val="0"/>
        <w:spacing w:before="0" w:after="1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八</w:t>
      </w:r>
      <w:bookmarkEnd w:id="585"/>
      <w:r>
        <w:rPr>
          <w:color w:val="000000"/>
          <w:spacing w:val="0"/>
          <w:w w:val="100"/>
          <w:position w:val="0"/>
        </w:rPr>
        <w:t>、</w:t>
        <w:tab/>
        <w:t>高级管理人员的考评及激励情况</w:t>
      </w:r>
      <w:bookmarkEnd w:id="583"/>
      <w:bookmarkEnd w:id="584"/>
      <w:bookmarkEnd w:id="586"/>
    </w:p>
    <w:p>
      <w:pPr>
        <w:pStyle w:val="Style21"/>
        <w:keepNext w:val="0"/>
        <w:keepLines w:val="0"/>
        <w:widowControl w:val="0"/>
        <w:shd w:val="clear" w:color="auto" w:fill="auto"/>
        <w:bidi w:val="0"/>
        <w:spacing w:before="0" w:after="160" w:line="470" w:lineRule="exact"/>
        <w:ind w:left="0" w:right="0"/>
        <w:jc w:val="both"/>
      </w:pPr>
      <w:r>
        <w:rPr>
          <w:color w:val="000000"/>
          <w:spacing w:val="0"/>
          <w:w w:val="100"/>
          <w:position w:val="0"/>
        </w:rPr>
        <w:t>公司高级管理人员均由董事会聘任，董事会薪酬和考核委员会负责对公司高级管理人员的工作能力、履职情况等进行考 评。报告期内，公司根据年度经营目标，从经营指标完成率及能力等方面进行考评。报告期内，公司未建立关于高级管理人 员的股权及其他激励制度。</w:t>
      </w:r>
      <w:r>
        <w:br w:type="page"/>
      </w:r>
    </w:p>
    <w:p>
      <w:pPr>
        <w:pStyle w:val="Style27"/>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九</w:t>
      </w:r>
      <w:bookmarkEnd w:id="589"/>
      <w:r>
        <w:rPr>
          <w:color w:val="000000"/>
          <w:spacing w:val="0"/>
          <w:w w:val="100"/>
          <w:position w:val="0"/>
        </w:rPr>
        <w:t>、内部控制评价报告</w:t>
      </w:r>
      <w:bookmarkEnd w:id="587"/>
      <w:bookmarkEnd w:id="588"/>
      <w:bookmarkEnd w:id="590"/>
    </w:p>
    <w:p>
      <w:pPr>
        <w:pStyle w:val="Style33"/>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、报告期内发现的内部控制重大缺陷的具体情况</w:t>
      </w:r>
      <w:bookmarkEnd w:id="591"/>
      <w:bookmarkEnd w:id="592"/>
      <w:bookmarkEnd w:id="59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3"/>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、内控自我评价报告</w:t>
      </w:r>
      <w:bookmarkEnd w:id="595"/>
      <w:bookmarkEnd w:id="596"/>
      <w:bookmarkEnd w:id="59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① 重大缺陷的认定标准：该缺陷涉及董 事、监事和高级管理人员舞弊。更正已 经公布的财务报表。注册会计师发现当 期财务报表存在重大错报，而内部控制 在运行过程中未能发现该错报。企业审 计委员会和内部审计机构对内部控制的 监督无效。②重要缺陷的认定标准：注 册会计师发现当期财务报告存在一般错 报，而内部控制在运行过程中未发能发 现该错报；企业审计委员会和内部审计 机构对内部控制的监督存在重要缺陷。</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③一般缺陷的认定标准：注册会计师 发现当期财务报告存在小额错报，而内 部控制在运行过程中未能发现该错报。 公司审计委员会和内部审计机构对内部 控制的监督存在一般缺陷。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①重大缺陷的认定标准：公司经营 活动严重违反国家法律法规；媒体负 面新闻频频曝光，对公司声誉造成重 大损害；中高级管理人员和高级技术 人员严重流失；重要业务缺乏制度控 制或制度系统性失效；内部控制评价 的结果特别是重大缺陷或重要缺陷 未得到整改。</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17" w:val="left"/>
              </w:tabs>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以合并财务报表数据为基准，确定公司 合并财务报表错报（包括漏报）重要程 度的定量标准：重大缺陷：错报</w:t>
            </w:r>
            <w:r>
              <w:rPr>
                <w:rFonts w:ascii="SimSun" w:eastAsia="SimSun" w:hAnsi="SimSun" w:cs="SimSun"/>
                <w:color w:val="000000"/>
                <w:spacing w:val="0"/>
                <w:w w:val="100"/>
                <w:position w:val="0"/>
                <w:sz w:val="18"/>
                <w:szCs w:val="18"/>
              </w:rPr>
              <w:t>N</w:t>
            </w:r>
            <w:r>
              <w:rPr>
                <w:rFonts w:ascii="SimSun" w:eastAsia="SimSun" w:hAnsi="SimSun" w:cs="SimSun"/>
                <w:color w:val="000000"/>
                <w:spacing w:val="0"/>
                <w:w w:val="100"/>
                <w:position w:val="0"/>
                <w:sz w:val="17"/>
                <w:szCs w:val="17"/>
              </w:rPr>
              <w:t>税前 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；重要缺陷：税前利润的</w:t>
            </w:r>
            <w:r>
              <w:rPr>
                <w:color w:val="000000"/>
                <w:spacing w:val="0"/>
                <w:w w:val="100"/>
                <w:position w:val="0"/>
                <w:sz w:val="18"/>
                <w:szCs w:val="18"/>
              </w:rPr>
              <w:t xml:space="preserve">2% </w:t>
            </w:r>
            <w:r>
              <w:rPr>
                <w:rFonts w:ascii="SimSun" w:eastAsia="SimSun" w:hAnsi="SimSun" w:cs="SimSun"/>
                <w:color w:val="000000"/>
                <w:spacing w:val="0"/>
                <w:w w:val="100"/>
                <w:position w:val="0"/>
                <w:sz w:val="18"/>
                <w:szCs w:val="18"/>
              </w:rPr>
              <w:t>W</w:t>
            </w:r>
            <w:r>
              <w:rPr>
                <w:rFonts w:ascii="SimSun" w:eastAsia="SimSun" w:hAnsi="SimSun" w:cs="SimSun"/>
                <w:color w:val="000000"/>
                <w:spacing w:val="0"/>
                <w:w w:val="100"/>
                <w:position w:val="0"/>
                <w:sz w:val="17"/>
                <w:szCs w:val="17"/>
              </w:rPr>
              <w:t>错报〈税前利润的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一般缺陷：</w:t>
            </w:r>
          </w:p>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错报〈税前利润的</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重大缺陷：直接损失金额 ＞资产总额 的</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；重要缺陷：资产总额的 </w:t>
            </w:r>
            <w:r>
              <w:rPr>
                <w:color w:val="000000"/>
                <w:spacing w:val="0"/>
                <w:w w:val="100"/>
                <w:position w:val="0"/>
              </w:rPr>
              <w:t>0.2%</w:t>
            </w:r>
            <w:r>
              <w:rPr>
                <w:rFonts w:ascii="SimSun" w:eastAsia="SimSun" w:hAnsi="SimSun" w:cs="SimSun"/>
                <w:color w:val="000000"/>
                <w:spacing w:val="0"/>
                <w:w w:val="100"/>
                <w:position w:val="0"/>
                <w:sz w:val="17"/>
                <w:szCs w:val="17"/>
              </w:rPr>
              <w:t>〈直接损失金额</w:t>
            </w:r>
            <w:r>
              <w:rPr>
                <w:rFonts w:ascii="SimSun" w:eastAsia="SimSun" w:hAnsi="SimSun" w:cs="SimSun"/>
                <w:color w:val="000000"/>
                <w:spacing w:val="0"/>
                <w:w w:val="100"/>
                <w:position w:val="0"/>
              </w:rPr>
              <w:t>W</w:t>
            </w:r>
            <w:r>
              <w:rPr>
                <w:rFonts w:ascii="SimSun" w:eastAsia="SimSun" w:hAnsi="SimSun" w:cs="SimSun"/>
                <w:color w:val="000000"/>
                <w:spacing w:val="0"/>
                <w:w w:val="100"/>
                <w:position w:val="0"/>
                <w:sz w:val="17"/>
                <w:szCs w:val="17"/>
              </w:rPr>
              <w:t xml:space="preserve">资产总额的 </w:t>
            </w:r>
            <w:r>
              <w:rPr>
                <w:color w:val="000000"/>
                <w:spacing w:val="0"/>
                <w:w w:val="100"/>
                <w:position w:val="0"/>
              </w:rPr>
              <w:t>0.5%</w:t>
            </w:r>
            <w:r>
              <w:rPr>
                <w:rFonts w:ascii="SimSun" w:eastAsia="SimSun" w:hAnsi="SimSun" w:cs="SimSun"/>
                <w:color w:val="000000"/>
                <w:spacing w:val="0"/>
                <w:w w:val="100"/>
                <w:position w:val="0"/>
                <w:sz w:val="17"/>
                <w:szCs w:val="17"/>
              </w:rPr>
              <w:t>； 一般缺陷：直接损失金额</w:t>
            </w:r>
            <w:r>
              <w:rPr>
                <w:rFonts w:ascii="SimSun" w:eastAsia="SimSun" w:hAnsi="SimSun" w:cs="SimSun"/>
                <w:color w:val="000000"/>
                <w:spacing w:val="0"/>
                <w:w w:val="100"/>
                <w:position w:val="0"/>
              </w:rPr>
              <w:t>W</w:t>
            </w:r>
            <w:r>
              <w:rPr>
                <w:rFonts w:ascii="SimSun" w:eastAsia="SimSun" w:hAnsi="SimSun" w:cs="SimSun"/>
                <w:color w:val="000000"/>
                <w:spacing w:val="0"/>
                <w:w w:val="100"/>
                <w:position w:val="0"/>
                <w:sz w:val="17"/>
                <w:szCs w:val="17"/>
              </w:rPr>
              <w:t>资 产总额的</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r>
        <w:rPr>
          <w:color w:val="000000"/>
          <w:spacing w:val="0"/>
          <w:w w:val="100"/>
          <w:position w:val="0"/>
        </w:rPr>
        <w:t>十、内部控制审计报告或鉴证报告</w:t>
      </w:r>
      <w:bookmarkEnd w:id="599"/>
      <w:bookmarkEnd w:id="600"/>
      <w:bookmarkEnd w:id="601"/>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106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我们认为，贵公司按照财政部等五部委颁发的《企业内部控制基本规范》及相关规定于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 方面保持了与财务报表相关的有效的内部控制。</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会计师事务所是否出具非标准意见的内部控制鉴证报告</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1"/>
        <w:keepNext w:val="0"/>
        <w:keepLines w:val="0"/>
        <w:widowControl w:val="0"/>
        <w:shd w:val="clear" w:color="auto" w:fill="auto"/>
        <w:bidi w:val="0"/>
        <w:spacing w:before="0" w:after="16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44" w:right="1088" w:bottom="1644" w:left="1044" w:header="0" w:footer="3" w:gutter="0"/>
          <w:cols w:space="720"/>
          <w:noEndnote/>
          <w:rtlGutter w:val="0"/>
          <w:docGrid w:linePitch="360"/>
        </w:sectPr>
      </w:pPr>
      <w:r>
        <w:rPr>
          <w:i/>
          <w:iCs/>
          <w:color w:val="000000"/>
          <w:spacing w:val="0"/>
          <w:w w:val="100"/>
          <w:position w:val="0"/>
        </w:rPr>
        <w:t>」</w:t>
      </w:r>
      <w:r>
        <w:rPr>
          <w:color w:val="000000"/>
          <w:spacing w:val="0"/>
          <w:w w:val="100"/>
          <w:position w:val="0"/>
        </w:rPr>
        <w:t>是口 否</w:t>
      </w:r>
    </w:p>
    <w:p>
      <w:pPr>
        <w:pStyle w:val="Style19"/>
        <w:keepNext/>
        <w:keepLines/>
        <w:widowControl w:val="0"/>
        <w:shd w:val="clear" w:color="auto" w:fill="auto"/>
        <w:bidi w:val="0"/>
        <w:spacing w:before="0" w:after="600" w:line="240" w:lineRule="auto"/>
        <w:ind w:left="0" w:right="0" w:firstLine="0"/>
        <w:jc w:val="center"/>
      </w:pPr>
      <w:bookmarkStart w:id="602" w:name="bookmark602"/>
      <w:bookmarkStart w:id="603" w:name="bookmark603"/>
      <w:bookmarkStart w:id="604" w:name="bookmark604"/>
      <w:r>
        <w:rPr>
          <w:color w:val="000000"/>
          <w:spacing w:val="0"/>
          <w:w w:val="100"/>
          <w:position w:val="0"/>
        </w:rPr>
        <w:t>第十节公司债券相关情况</w:t>
      </w:r>
      <w:bookmarkEnd w:id="602"/>
      <w:bookmarkEnd w:id="603"/>
      <w:bookmarkEnd w:id="60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6" w:bottom="1921" w:left="1105" w:header="0" w:footer="3" w:gutter="0"/>
          <w:cols w:space="720"/>
          <w:noEndnote/>
          <w:rtlGutter w:val="0"/>
          <w:docGrid w:linePitch="360"/>
        </w:sectPr>
      </w:pPr>
      <w:r>
        <w:rPr>
          <w:color w:val="000000"/>
          <w:spacing w:val="0"/>
          <w:w w:val="100"/>
          <w:position w:val="0"/>
        </w:rPr>
        <w:t>否</w:t>
      </w:r>
    </w:p>
    <w:p>
      <w:pPr>
        <w:pStyle w:val="Style19"/>
        <w:keepNext/>
        <w:keepLines/>
        <w:widowControl w:val="0"/>
        <w:shd w:val="clear" w:color="auto" w:fill="auto"/>
        <w:bidi w:val="0"/>
        <w:spacing w:before="500" w:after="540" w:line="240" w:lineRule="auto"/>
        <w:ind w:left="0" w:right="0" w:firstLine="0"/>
        <w:jc w:val="center"/>
      </w:pPr>
      <w:bookmarkStart w:id="608" w:name="bookmark608"/>
      <w:bookmarkStart w:id="609" w:name="bookmark609"/>
      <w:bookmarkStart w:id="610" w:name="bookmark610"/>
      <w:r>
        <w:rPr>
          <w:color w:val="000000"/>
          <w:spacing w:val="0"/>
          <w:w w:val="100"/>
          <w:position w:val="0"/>
        </w:rPr>
        <w:t>第十一节财务报告</w:t>
      </w:r>
      <w:bookmarkEnd w:id="608"/>
      <w:bookmarkEnd w:id="609"/>
      <w:bookmarkEnd w:id="610"/>
    </w:p>
    <w:p>
      <w:pPr>
        <w:pStyle w:val="Style27"/>
        <w:keepNext/>
        <w:keepLines/>
        <w:widowControl w:val="0"/>
        <w:shd w:val="clear" w:color="auto" w:fill="auto"/>
        <w:bidi w:val="0"/>
        <w:spacing w:before="0" w:after="320" w:line="240" w:lineRule="auto"/>
        <w:ind w:left="0" w:right="0" w:firstLine="0"/>
        <w:jc w:val="left"/>
      </w:pPr>
      <w:bookmarkStart w:id="611" w:name="bookmark611"/>
      <w:bookmarkStart w:id="612" w:name="bookmark612"/>
      <w:bookmarkStart w:id="613" w:name="bookmark613"/>
      <w:r>
        <w:rPr>
          <w:color w:val="000000"/>
          <w:spacing w:val="0"/>
          <w:w w:val="100"/>
          <w:position w:val="0"/>
        </w:rPr>
        <w:t>一、审计报告</w:t>
      </w:r>
      <w:bookmarkEnd w:id="611"/>
      <w:bookmarkEnd w:id="612"/>
      <w:bookmarkEnd w:id="61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ZE10011</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陈勇波、梁谦海</w:t>
            </w:r>
          </w:p>
        </w:tc>
      </w:tr>
    </w:tbl>
    <w:p>
      <w:pPr>
        <w:widowControl w:val="0"/>
        <w:spacing w:after="439" w:line="1" w:lineRule="exact"/>
      </w:pP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广东乐心医疗电子股份有限公司全体股东：</w:t>
      </w:r>
    </w:p>
    <w:p>
      <w:pPr>
        <w:pStyle w:val="Style21"/>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我们审计了后附的广东乐心医疗电子股份有限公司（以下简称“贵公司”）财务报表，包括</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年度的合并及公司利润表、合并及公司现金流量表和合并及公司所有者权益变动表以及财务报表附注。</w:t>
      </w:r>
    </w:p>
    <w:p>
      <w:pPr>
        <w:pStyle w:val="Style21"/>
        <w:keepNext w:val="0"/>
        <w:keepLines w:val="0"/>
        <w:widowControl w:val="0"/>
        <w:shd w:val="clear" w:color="auto" w:fill="auto"/>
        <w:tabs>
          <w:tab w:pos="440" w:val="left"/>
        </w:tabs>
        <w:bidi w:val="0"/>
        <w:spacing w:before="0" w:after="0" w:line="467" w:lineRule="exact"/>
        <w:ind w:left="0" w:right="0" w:firstLine="0"/>
        <w:jc w:val="left"/>
      </w:pPr>
      <w:bookmarkStart w:id="614" w:name="bookmark614"/>
      <w:r>
        <w:rPr>
          <w:b/>
          <w:bCs/>
          <w:color w:val="000000"/>
          <w:spacing w:val="0"/>
          <w:w w:val="100"/>
          <w:position w:val="0"/>
        </w:rPr>
        <w:t>一</w:t>
      </w:r>
      <w:bookmarkEnd w:id="614"/>
      <w:r>
        <w:rPr>
          <w:b/>
          <w:bCs/>
          <w:color w:val="000000"/>
          <w:spacing w:val="0"/>
          <w:w w:val="100"/>
          <w:position w:val="0"/>
        </w:rPr>
        <w:t>、</w:t>
        <w:tab/>
        <w:t>管理层对财务报表的责任</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1"/>
        <w:keepNext w:val="0"/>
        <w:keepLines w:val="0"/>
        <w:widowControl w:val="0"/>
        <w:shd w:val="clear" w:color="auto" w:fill="auto"/>
        <w:tabs>
          <w:tab w:pos="440" w:val="left"/>
        </w:tabs>
        <w:bidi w:val="0"/>
        <w:spacing w:before="0" w:after="0" w:line="467" w:lineRule="exact"/>
        <w:ind w:left="0" w:right="0" w:firstLine="0"/>
        <w:jc w:val="left"/>
      </w:pPr>
      <w:bookmarkStart w:id="615" w:name="bookmark615"/>
      <w:r>
        <w:rPr>
          <w:b/>
          <w:bCs/>
          <w:color w:val="000000"/>
          <w:spacing w:val="0"/>
          <w:w w:val="100"/>
          <w:position w:val="0"/>
        </w:rPr>
        <w:t>二</w:t>
      </w:r>
      <w:bookmarkEnd w:id="615"/>
      <w:r>
        <w:rPr>
          <w:b/>
          <w:bCs/>
          <w:color w:val="000000"/>
          <w:spacing w:val="0"/>
          <w:w w:val="100"/>
          <w:position w:val="0"/>
        </w:rPr>
        <w:t>、</w:t>
        <w:tab/>
        <w:t>注册会计师的责任</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我们相信，我们获取的审计证据是充分、适当的，为发表审计意见提供了基础。</w:t>
      </w:r>
    </w:p>
    <w:p>
      <w:pPr>
        <w:pStyle w:val="Style21"/>
        <w:keepNext w:val="0"/>
        <w:keepLines w:val="0"/>
        <w:widowControl w:val="0"/>
        <w:shd w:val="clear" w:color="auto" w:fill="auto"/>
        <w:tabs>
          <w:tab w:pos="445" w:val="left"/>
        </w:tabs>
        <w:bidi w:val="0"/>
        <w:spacing w:before="0" w:after="0" w:line="467" w:lineRule="exact"/>
        <w:ind w:left="0" w:right="0" w:firstLine="0"/>
        <w:jc w:val="both"/>
      </w:pPr>
      <w:bookmarkStart w:id="616" w:name="bookmark616"/>
      <w:r>
        <w:rPr>
          <w:b/>
          <w:bCs/>
          <w:color w:val="000000"/>
          <w:spacing w:val="0"/>
          <w:w w:val="100"/>
          <w:position w:val="0"/>
        </w:rPr>
        <w:t>三</w:t>
      </w:r>
      <w:bookmarkEnd w:id="616"/>
      <w:r>
        <w:rPr>
          <w:b/>
          <w:bCs/>
          <w:color w:val="000000"/>
          <w:spacing w:val="0"/>
          <w:w w:val="100"/>
          <w:position w:val="0"/>
        </w:rPr>
        <w:t>、</w:t>
        <w:tab/>
        <w:t>审计意见</w:t>
      </w:r>
    </w:p>
    <w:p>
      <w:pPr>
        <w:pStyle w:val="Style21"/>
        <w:keepNext w:val="0"/>
        <w:keepLines w:val="0"/>
        <w:widowControl w:val="0"/>
        <w:shd w:val="clear" w:color="auto" w:fill="auto"/>
        <w:bidi w:val="0"/>
        <w:spacing w:before="0" w:after="200" w:line="467" w:lineRule="exact"/>
        <w:ind w:left="0" w:right="0" w:firstLine="38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年度的合并及公司经营成果和现金流量。</w:t>
      </w:r>
      <w:r>
        <w:br w:type="page"/>
      </w:r>
    </w:p>
    <w:p>
      <w:pPr>
        <w:pStyle w:val="Style21"/>
        <w:keepNext w:val="0"/>
        <w:keepLines w:val="0"/>
        <w:widowControl w:val="0"/>
        <w:shd w:val="clear" w:color="auto" w:fill="auto"/>
        <w:bidi w:val="0"/>
        <w:spacing w:before="0" w:after="720" w:line="240" w:lineRule="auto"/>
        <w:ind w:left="0" w:right="0" w:firstLine="0"/>
        <w:jc w:val="center"/>
      </w:pPr>
      <w:r>
        <mc:AlternateContent>
          <mc:Choice Requires="wps">
            <w:drawing>
              <wp:anchor distT="0" distB="368300" distL="114300" distR="2961005" simplePos="0" relativeHeight="125829383" behindDoc="0" locked="0" layoutInCell="1" allowOverlap="1">
                <wp:simplePos x="0" y="0"/>
                <wp:positionH relativeFrom="page">
                  <wp:posOffset>715010</wp:posOffset>
                </wp:positionH>
                <wp:positionV relativeFrom="margin">
                  <wp:posOffset>417830</wp:posOffset>
                </wp:positionV>
                <wp:extent cx="1862455" cy="152400"/>
                <wp:wrapTopAndBottom/>
                <wp:docPr id="133" name="Shape 133"/>
                <a:graphic xmlns:a="http://schemas.openxmlformats.org/drawingml/2006/main">
                  <a:graphicData uri="http://schemas.microsoft.com/office/word/2010/wordprocessingShape">
                    <wps:wsp>
                      <wps:cNvSpPr txBox="1"/>
                      <wps:spPr>
                        <a:xfrm>
                          <a:ext cx="1862455"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wps:txbx>
                      <wps:bodyPr wrap="none" lIns="0" tIns="0" rIns="0" bIns="0">
                        <a:noAutoFit/>
                      </wps:bodyPr>
                    </wps:wsp>
                  </a:graphicData>
                </a:graphic>
              </wp:anchor>
            </w:drawing>
          </mc:Choice>
          <mc:Fallback>
            <w:pict>
              <v:shape id="_x0000_s1159" type="#_x0000_t202" style="position:absolute;margin-left:56.300000000000004pt;margin-top:32.899999999999999pt;width:146.65000000000001pt;height:12.pt;z-index:-125829370;mso-wrap-distance-left:9.pt;mso-wrap-distance-right:233.15000000000001pt;mso-wrap-distance-bottom:2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v:textbox>
                <w10:wrap type="topAndBottom" anchorx="page" anchory="margin"/>
              </v:shape>
            </w:pict>
          </mc:Fallback>
        </mc:AlternateContent>
      </w:r>
      <w:r>
        <mc:AlternateContent>
          <mc:Choice Requires="wps">
            <w:drawing>
              <wp:anchor distT="0" distB="368300" distL="3543300" distR="114300" simplePos="0" relativeHeight="125829385" behindDoc="0" locked="0" layoutInCell="1" allowOverlap="1">
                <wp:simplePos x="0" y="0"/>
                <wp:positionH relativeFrom="page">
                  <wp:posOffset>4144010</wp:posOffset>
                </wp:positionH>
                <wp:positionV relativeFrom="margin">
                  <wp:posOffset>417830</wp:posOffset>
                </wp:positionV>
                <wp:extent cx="1280160" cy="152400"/>
                <wp:wrapTopAndBottom/>
                <wp:docPr id="135" name="Shape 135"/>
                <a:graphic xmlns:a="http://schemas.openxmlformats.org/drawingml/2006/main">
                  <a:graphicData uri="http://schemas.microsoft.com/office/word/2010/wordprocessingShape">
                    <wps:wsp>
                      <wps:cNvSpPr txBox="1"/>
                      <wps:spPr>
                        <a:xfrm>
                          <a:ext cx="1280160"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中国注册会计师：陈勇波</w:t>
                            </w:r>
                          </w:p>
                        </w:txbxContent>
                      </wps:txbx>
                      <wps:bodyPr wrap="none" lIns="0" tIns="0" rIns="0" bIns="0">
                        <a:noAutoFit/>
                      </wps:bodyPr>
                    </wps:wsp>
                  </a:graphicData>
                </a:graphic>
              </wp:anchor>
            </w:drawing>
          </mc:Choice>
          <mc:Fallback>
            <w:pict>
              <v:shape id="_x0000_s1161" type="#_x0000_t202" style="position:absolute;margin-left:326.30000000000001pt;margin-top:32.899999999999999pt;width:100.8pt;height:12.pt;z-index:-125829368;mso-wrap-distance-left:279.pt;mso-wrap-distance-right:9.pt;mso-wrap-distance-bottom:2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中国注册会计师：陈勇波</w:t>
                      </w:r>
                    </w:p>
                  </w:txbxContent>
                </v:textbox>
                <w10:wrap type="topAndBottom" anchorx="page" anchory="margin"/>
              </v:shape>
            </w:pict>
          </mc:Fallback>
        </mc:AlternateContent>
      </w:r>
      <w:r>
        <mc:AlternateContent>
          <mc:Choice Requires="wps">
            <w:drawing>
              <wp:anchor distT="0" distB="0" distL="114300" distR="114300" simplePos="0" relativeHeight="125829387" behindDoc="0" locked="0" layoutInCell="1" allowOverlap="1">
                <wp:simplePos x="0" y="0"/>
                <wp:positionH relativeFrom="page">
                  <wp:posOffset>992505</wp:posOffset>
                </wp:positionH>
                <wp:positionV relativeFrom="paragraph">
                  <wp:posOffset>12700</wp:posOffset>
                </wp:positionV>
                <wp:extent cx="518160" cy="158750"/>
                <wp:wrapSquare wrapText="right"/>
                <wp:docPr id="137" name="Shape 137"/>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163" type="#_x0000_t202" style="position:absolute;margin-left:78.150000000000006pt;margin-top:1.pt;width:40.800000000000004pt;height:12.5pt;z-index:-125829366;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中国注册会计师：梁谦海</w:t>
      </w:r>
    </w:p>
    <w:p>
      <w:pPr>
        <w:pStyle w:val="Style21"/>
        <w:keepNext w:val="0"/>
        <w:keepLines w:val="0"/>
        <w:widowControl w:val="0"/>
        <w:shd w:val="clear" w:color="auto" w:fill="auto"/>
        <w:bidi w:val="0"/>
        <w:spacing w:before="0" w:after="720" w:line="240" w:lineRule="auto"/>
        <w:ind w:left="6300" w:right="0" w:firstLine="0"/>
        <w:jc w:val="left"/>
      </w:pPr>
      <w:r>
        <w:rPr>
          <w:b/>
          <w:bCs/>
          <w:color w:val="000000"/>
          <w:spacing w:val="0"/>
          <w:w w:val="100"/>
          <w:position w:val="0"/>
        </w:rPr>
        <w:t>二。一七年三月二日</w:t>
      </w:r>
    </w:p>
    <w:p>
      <w:pPr>
        <w:pStyle w:val="Style27"/>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r>
        <w:rPr>
          <w:color w:val="000000"/>
          <w:spacing w:val="0"/>
          <w:w w:val="100"/>
          <w:position w:val="0"/>
        </w:rPr>
        <w:t>二、财务报表</w:t>
      </w:r>
      <w:bookmarkEnd w:id="617"/>
      <w:bookmarkEnd w:id="618"/>
      <w:bookmarkEnd w:id="61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、合并资产负债表</w:t>
      </w:r>
      <w:bookmarkEnd w:id="620"/>
      <w:bookmarkEnd w:id="621"/>
      <w:bookmarkEnd w:id="623"/>
    </w:p>
    <w:p>
      <w:pPr>
        <w:pStyle w:val="Style21"/>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9" behindDoc="0" locked="0" layoutInCell="1" allowOverlap="1">
                <wp:simplePos x="0" y="0"/>
                <wp:positionH relativeFrom="page">
                  <wp:posOffset>6384290</wp:posOffset>
                </wp:positionH>
                <wp:positionV relativeFrom="margin">
                  <wp:posOffset>3813810</wp:posOffset>
                </wp:positionV>
                <wp:extent cx="481330" cy="146050"/>
                <wp:wrapSquare wrapText="bothSides"/>
                <wp:docPr id="139" name="Shape 139"/>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65" type="#_x0000_t202" style="position:absolute;margin-left:502.69999999999999pt;margin-top:300.30000000000001pt;width:37.899999999999999pt;height:11.5pt;z-index:-125829364;mso-wrap-distance-left:0;mso-wrap-distance-right:0;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anchory="margin"/>
              </v:shape>
            </w:pict>
          </mc:Fallback>
        </mc:AlternateContent>
      </w:r>
      <w:r>
        <w:rPr>
          <w:color w:val="000000"/>
          <w:spacing w:val="0"/>
          <w:w w:val="100"/>
          <w:position w:val="0"/>
        </w:rPr>
        <w:t>编制单位：广东乐心医疗电子股份有限公司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D3D3D3"/>
            <w:vAlign w:val="top"/>
          </w:tcPr>
          <w:p>
            <w:pPr>
              <w:framePr w:w="9581" w:h="7565"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right"/>
            </w:pPr>
            <w:r>
              <w:rPr>
                <w:color w:val="000000"/>
                <w:spacing w:val="0"/>
                <w:w w:val="100"/>
                <w:position w:val="0"/>
              </w:rPr>
              <w:t>319,902,598.40</w:t>
            </w:r>
          </w:p>
        </w:tc>
        <w:tc>
          <w:tcPr>
            <w:tcBorders>
              <w:top w:val="single" w:sz="4"/>
              <w:left w:val="single" w:sz="4"/>
              <w:righ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90,221,420.33</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89,176,337.22</w:t>
            </w:r>
          </w:p>
        </w:tc>
        <w:tc>
          <w:tcPr>
            <w:tcBorders>
              <w:top w:val="single" w:sz="4"/>
              <w:left w:val="single" w:sz="4"/>
              <w:righ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72,686,254.51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right"/>
            </w:pPr>
            <w:r>
              <w:rPr>
                <w:color w:val="000000"/>
                <w:spacing w:val="0"/>
                <w:w w:val="100"/>
                <w:position w:val="0"/>
              </w:rPr>
              <w:t>4,901,709.14</w:t>
            </w:r>
          </w:p>
        </w:tc>
        <w:tc>
          <w:tcPr>
            <w:tcBorders>
              <w:top w:val="single" w:sz="4"/>
              <w:left w:val="single" w:sz="4"/>
              <w:righ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10,032,662.07</w:t>
            </w: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12,483,432.34</w:t>
            </w:r>
          </w:p>
        </w:tc>
        <w:tc>
          <w:tcPr>
            <w:tcBorders>
              <w:top w:val="single" w:sz="4"/>
              <w:left w:val="single" w:sz="4"/>
              <w:righ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0"/>
              <w:jc w:val="right"/>
            </w:pPr>
            <w:r>
              <w:rPr>
                <w:color w:val="000000"/>
                <w:spacing w:val="0"/>
                <w:w w:val="100"/>
                <w:position w:val="0"/>
              </w:rPr>
              <w:t>8,934,949.60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1" w:h="7565" w:hSpace="14" w:vSpace="629" w:wrap="notBeside" w:vAnchor="text" w:hAnchor="text" w:x="99"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99"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75,626,209.81</w:t>
            </w:r>
          </w:p>
        </w:tc>
        <w:tc>
          <w:tcPr>
            <w:tcBorders>
              <w:top w:val="single" w:sz="4"/>
              <w:left w:val="single" w:sz="4"/>
              <w:bottom w:val="single" w:sz="4"/>
              <w:right w:val="single" w:sz="4"/>
            </w:tcBorders>
            <w:shd w:val="clear" w:color="auto" w:fill="FFFFFF"/>
            <w:vAlign w:val="center"/>
          </w:tcPr>
          <w:p>
            <w:pPr>
              <w:pStyle w:val="Style2"/>
              <w:keepNext w:val="0"/>
              <w:keepLines w:val="0"/>
              <w:framePr w:w="9581" w:h="7565" w:hSpace="14" w:vSpace="629" w:wrap="notBeside" w:vAnchor="text" w:hAnchor="text" w:x="99" w:y="630"/>
              <w:widowControl w:val="0"/>
              <w:shd w:val="clear" w:color="auto" w:fill="auto"/>
              <w:bidi w:val="0"/>
              <w:spacing w:before="0" w:after="0" w:line="240" w:lineRule="auto"/>
              <w:ind w:left="2160" w:right="0" w:firstLine="0"/>
              <w:jc w:val="left"/>
            </w:pPr>
            <w:r>
              <w:rPr>
                <w:color w:val="000000"/>
                <w:spacing w:val="0"/>
                <w:w w:val="100"/>
                <w:position w:val="0"/>
              </w:rPr>
              <w:t>40,031,711.05</w:t>
            </w:r>
          </w:p>
        </w:tc>
      </w:tr>
    </w:tbl>
    <w:p>
      <w:pPr>
        <w:pStyle w:val="Style29"/>
        <w:keepNext w:val="0"/>
        <w:keepLines w:val="0"/>
        <w:framePr w:w="7949" w:h="206" w:hSpace="84" w:wrap="notBeside" w:vAnchor="text" w:hAnchor="text" w:x="85"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7,953,473.67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14,588,841.07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510,043,760.58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236,495,838.63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72,159,777.93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54,962,086.26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38,548,282.80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11,816,157.30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34,679,069.40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35,543,600.73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3,807,810.27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1,588,612.33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2,377,180.64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1,082,565.37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152,056,789.66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105,228,864.76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662,100,550.24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341,724,703.39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97,370,914.43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77,952,271.87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10,618,764.04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4,960,112.34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26,266,790.00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20,012,595.12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12,159,095.65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9,692,415.74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6,240,217.51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3,796,980.25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152,655,781.63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117,094,545.32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155,942,502.90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117,094,545.32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251,680,180.13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57,220,080.13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23,159,945.07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13,809,232.19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172,289,087.53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109,400,845.75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506,158,047.34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224,630,158.07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506,158,047.34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224,630,158.07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662,100,550.24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341,724,703.39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143500" simplePos="0" relativeHeight="125829391" behindDoc="0" locked="0" layoutInCell="1" allowOverlap="1">
                <wp:simplePos x="0" y="0"/>
                <wp:positionH relativeFrom="page">
                  <wp:posOffset>692150</wp:posOffset>
                </wp:positionH>
                <wp:positionV relativeFrom="margin">
                  <wp:posOffset>3542030</wp:posOffset>
                </wp:positionV>
                <wp:extent cx="1054735" cy="146050"/>
                <wp:wrapTopAndBottom/>
                <wp:docPr id="141" name="Shape 141"/>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wps:txbx>
                      <wps:bodyPr wrap="none" lIns="0" tIns="0" rIns="0" bIns="0">
                        <a:noAutoFit/>
                      </wps:bodyPr>
                    </wps:wsp>
                  </a:graphicData>
                </a:graphic>
              </wp:anchor>
            </w:drawing>
          </mc:Choice>
          <mc:Fallback>
            <w:pict>
              <v:shape id="_x0000_s1167" type="#_x0000_t202" style="position:absolute;margin-left:54.5pt;margin-top:278.90000000000003pt;width:83.049999999999997pt;height:11.5pt;z-index:-125829362;mso-wrap-distance-left:9.pt;mso-wrap-distance-top:12.pt;mso-wrap-distance-right:405.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v:textbox>
                <w10:wrap type="topAndBottom" anchorx="page" anchory="margin"/>
              </v:shape>
            </w:pict>
          </mc:Fallback>
        </mc:AlternateContent>
      </w:r>
      <w:r>
        <mc:AlternateContent>
          <mc:Choice Requires="wps">
            <w:drawing>
              <wp:anchor distT="152400" distB="5715" distL="2290445" distR="2513330" simplePos="0" relativeHeight="125829393" behindDoc="0" locked="0" layoutInCell="1" allowOverlap="1">
                <wp:simplePos x="0" y="0"/>
                <wp:positionH relativeFrom="page">
                  <wp:posOffset>2868295</wp:posOffset>
                </wp:positionH>
                <wp:positionV relativeFrom="margin">
                  <wp:posOffset>3542030</wp:posOffset>
                </wp:positionV>
                <wp:extent cx="1508760" cy="143510"/>
                <wp:wrapTopAndBottom/>
                <wp:docPr id="143" name="Shape 143"/>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主管会计工作负责人：许迎丰</w:t>
                            </w:r>
                          </w:p>
                        </w:txbxContent>
                      </wps:txbx>
                      <wps:bodyPr wrap="none" lIns="0" tIns="0" rIns="0" bIns="0">
                        <a:noAutoFit/>
                      </wps:bodyPr>
                    </wps:wsp>
                  </a:graphicData>
                </a:graphic>
              </wp:anchor>
            </w:drawing>
          </mc:Choice>
          <mc:Fallback>
            <w:pict>
              <v:shape id="_x0000_s1169" type="#_x0000_t202" style="position:absolute;margin-left:225.84999999999999pt;margin-top:278.90000000000003pt;width:118.8pt;height:11.300000000000001pt;z-index:-125829360;mso-wrap-distance-left:180.34999999999999pt;mso-wrap-distance-top:12.pt;mso-wrap-distance-right:197.90000000000001pt;mso-wrap-distance-bottom:0.4500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主管会计工作负责人：许迎丰</w:t>
                      </w:r>
                    </w:p>
                  </w:txbxContent>
                </v:textbox>
                <w10:wrap type="topAndBottom" anchorx="page" anchory="margin"/>
              </v:shape>
            </w:pict>
          </mc:Fallback>
        </mc:AlternateContent>
      </w:r>
      <w:r>
        <mc:AlternateContent>
          <mc:Choice Requires="wps">
            <w:drawing>
              <wp:anchor distT="152400" distB="0" distL="4911725" distR="114300" simplePos="0" relativeHeight="125829395" behindDoc="0" locked="0" layoutInCell="1" allowOverlap="1">
                <wp:simplePos x="0" y="0"/>
                <wp:positionH relativeFrom="page">
                  <wp:posOffset>5489575</wp:posOffset>
                </wp:positionH>
                <wp:positionV relativeFrom="margin">
                  <wp:posOffset>3542030</wp:posOffset>
                </wp:positionV>
                <wp:extent cx="1286510" cy="149225"/>
                <wp:wrapTopAndBottom/>
                <wp:docPr id="145" name="Shape 1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wps:txbx>
                      <wps:bodyPr wrap="none" lIns="0" tIns="0" rIns="0" bIns="0">
                        <a:noAutoFit/>
                      </wps:bodyPr>
                    </wps:wsp>
                  </a:graphicData>
                </a:graphic>
              </wp:anchor>
            </w:drawing>
          </mc:Choice>
          <mc:Fallback>
            <w:pict>
              <v:shape id="_x0000_s1171" type="#_x0000_t202" style="position:absolute;margin-left:432.25pt;margin-top:278.90000000000003pt;width:101.3pt;height:11.75pt;z-index:-125829358;mso-wrap-distance-left:386.75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v:textbox>
                <w10:wrap type="topAndBottom" anchorx="page" anchory="margin"/>
              </v:shape>
            </w:pict>
          </mc:Fallback>
        </mc:AlternateContent>
      </w: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、母公司资产负债表</w:t>
      </w:r>
      <w:bookmarkEnd w:id="624"/>
      <w:bookmarkEnd w:id="625"/>
      <w:bookmarkEnd w:id="62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304,751,045.61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62,484,542.28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109,431,742.21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120,436,218.78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14,169,841.12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12,003,982.16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9,687,033.32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10,285,447.13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48,305,785.47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31,916,074.43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7,048,162.97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4,490,674.94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493,393,610.70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241,616,939.72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12,838,113.62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11,235,842.77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54,025,649.74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45,972,478.36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34,732,946.68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8,545,692.04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34,492,592.87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35,515,812.25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1,104,754.28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1,588,612.33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358,651.25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137,856,878.42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103,217,089.00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631,250,489.12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344,834,028.72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91,794,013.86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110,615,391.91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8,566,199.07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2,331,173.74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9,863,799.23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11,970,645.25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9,454,690.54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6,060,494.97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1,799,508.33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1,176,070.87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121,478,211.03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132,833,946.74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124,764,932.30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132,833,946.74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247,564,980.13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53,104,880.13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22,909,945.07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13,559,232.19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177,010,631.62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101,135,969.66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506,485,556.82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212,000,081.98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631,250,489.12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344,834,028.72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、合并利润表</w:t>
      </w:r>
      <w:bookmarkEnd w:id="628"/>
      <w:bookmarkEnd w:id="629"/>
      <w:bookmarkEnd w:id="63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770,644,439.45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629,005,528.60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770,644,439.45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629,005,528.60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686,595,995.76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581,504,384.62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515,970,447.83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459,029,405.65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5,250,262.20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3,816,360.22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76,381,549.40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53,017,752.39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97,459,071.89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68,524,307.68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-9,571,302.44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-4,863,386.26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1,105,966.88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1,979,944.94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rPr>
                <w:sz w:val="17"/>
                <w:szCs w:val="17"/>
              </w:rPr>
            </w:pPr>
            <w:r>
              <w:rPr>
                <w:rFonts w:ascii="SimSun" w:eastAsia="SimSun" w:hAnsi="SimSun" w:cs="SimSun"/>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-2,602,320.00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-1,406,760.66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2,027,945.00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83,321,853.03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46,926,768.98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10,592,443.58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12,365,440.46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753,334.73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511,605.71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183,309.69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93,374,033.52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58,780,603.73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12,853,324.86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8,591,784.07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80,520,708.66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50,188,819.66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80,520,708.66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50,188,819.66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28,834.61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28,834.61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28,834.61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28,834.61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80,549,543.27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50,188,819.66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80,549,543.27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50,188,819.66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widowControl w:val="0"/>
        <w:spacing w:line="1" w:lineRule="exact"/>
      </w:pPr>
      <w:r>
        <mc:AlternateContent>
          <mc:Choice Requires="wps">
            <w:drawing>
              <wp:anchor distT="0" distB="567690" distL="0" distR="0" simplePos="0" relativeHeight="125829397" behindDoc="0" locked="0" layoutInCell="1" allowOverlap="1">
                <wp:simplePos x="0" y="0"/>
                <wp:positionH relativeFrom="page">
                  <wp:posOffset>686435</wp:posOffset>
                </wp:positionH>
                <wp:positionV relativeFrom="paragraph">
                  <wp:posOffset>0</wp:posOffset>
                </wp:positionV>
                <wp:extent cx="1054735" cy="146050"/>
                <wp:wrapTopAndBottom/>
                <wp:docPr id="147" name="Shape 147"/>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wps:txbx>
                      <wps:bodyPr wrap="none" lIns="0" tIns="0" rIns="0" bIns="0">
                        <a:noAutoFit/>
                      </wps:bodyPr>
                    </wps:wsp>
                  </a:graphicData>
                </a:graphic>
              </wp:anchor>
            </w:drawing>
          </mc:Choice>
          <mc:Fallback>
            <w:pict>
              <v:shape id="_x0000_s1173" type="#_x0000_t202" style="position:absolute;margin-left:54.050000000000004pt;margin-top:0;width:83.049999999999997pt;height:11.5pt;z-index:-125829356;mso-wrap-distance-left:0;mso-wrap-distance-right:0;mso-wrap-distance-bottom:44.70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法定代表人：潘伟潮</w:t>
                      </w:r>
                    </w:p>
                  </w:txbxContent>
                </v:textbox>
                <w10:wrap type="topAndBottom" anchorx="page"/>
              </v:shape>
            </w:pict>
          </mc:Fallback>
        </mc:AlternateContent>
      </w:r>
      <w:r>
        <mc:AlternateContent>
          <mc:Choice Requires="wps">
            <w:drawing>
              <wp:anchor distT="0" distB="570230" distL="0" distR="0" simplePos="0" relativeHeight="125829399" behindDoc="0" locked="0" layoutInCell="1" allowOverlap="1">
                <wp:simplePos x="0" y="0"/>
                <wp:positionH relativeFrom="page">
                  <wp:posOffset>2862580</wp:posOffset>
                </wp:positionH>
                <wp:positionV relativeFrom="paragraph">
                  <wp:posOffset>0</wp:posOffset>
                </wp:positionV>
                <wp:extent cx="1508760" cy="143510"/>
                <wp:wrapTopAndBottom/>
                <wp:docPr id="149" name="Shape 149"/>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主管会计工作负责人：许迎丰</w:t>
                            </w:r>
                          </w:p>
                        </w:txbxContent>
                      </wps:txbx>
                      <wps:bodyPr wrap="none" lIns="0" tIns="0" rIns="0" bIns="0">
                        <a:noAutoFit/>
                      </wps:bodyPr>
                    </wps:wsp>
                  </a:graphicData>
                </a:graphic>
              </wp:anchor>
            </w:drawing>
          </mc:Choice>
          <mc:Fallback>
            <w:pict>
              <v:shape id="_x0000_s1175" type="#_x0000_t202" style="position:absolute;margin-left:225.40000000000001pt;margin-top:0;width:118.8pt;height:11.300000000000001pt;z-index:-125829354;mso-wrap-distance-left:0;mso-wrap-distance-right:0;mso-wrap-distance-bottom:44.89999999999999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主管会计工作负责人：许迎丰</w:t>
                      </w:r>
                    </w:p>
                  </w:txbxContent>
                </v:textbox>
                <w10:wrap type="topAndBottom" anchorx="page"/>
              </v:shape>
            </w:pict>
          </mc:Fallback>
        </mc:AlternateContent>
      </w:r>
      <w:r>
        <mc:AlternateContent>
          <mc:Choice Requires="wps">
            <w:drawing>
              <wp:anchor distT="0" distB="564515" distL="0" distR="0" simplePos="0" relativeHeight="125829401" behindDoc="0" locked="0" layoutInCell="1" allowOverlap="1">
                <wp:simplePos x="0" y="0"/>
                <wp:positionH relativeFrom="page">
                  <wp:posOffset>5483860</wp:posOffset>
                </wp:positionH>
                <wp:positionV relativeFrom="paragraph">
                  <wp:posOffset>0</wp:posOffset>
                </wp:positionV>
                <wp:extent cx="1286510" cy="149225"/>
                <wp:wrapTopAndBottom/>
                <wp:docPr id="151" name="Shape 15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wps:txbx>
                      <wps:bodyPr wrap="none" lIns="0" tIns="0" rIns="0" bIns="0">
                        <a:noAutoFit/>
                      </wps:bodyPr>
                    </wps:wsp>
                  </a:graphicData>
                </a:graphic>
              </wp:anchor>
            </w:drawing>
          </mc:Choice>
          <mc:Fallback>
            <w:pict>
              <v:shape id="_x0000_s1177" type="#_x0000_t202" style="position:absolute;margin-left:431.80000000000001pt;margin-top:0;width:101.3pt;height:11.75pt;z-index:-125829352;mso-wrap-distance-left:0;mso-wrap-distance-right:0;mso-wrap-distance-bottom:44.4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会计机构负责人：汪小飞</w:t>
                      </w:r>
                    </w:p>
                  </w:txbxContent>
                </v:textbox>
                <w10:wrap type="topAndBottom" anchorx="page"/>
              </v:shape>
            </w:pict>
          </mc:Fallback>
        </mc:AlternateContent>
      </w:r>
      <w:r>
        <mc:AlternateContent>
          <mc:Choice Requires="wps">
            <w:drawing>
              <wp:anchor distT="372110" distB="165100" distL="0" distR="0" simplePos="0" relativeHeight="125829403" behindDoc="0" locked="0" layoutInCell="1" allowOverlap="1">
                <wp:simplePos x="0" y="0"/>
                <wp:positionH relativeFrom="page">
                  <wp:posOffset>683260</wp:posOffset>
                </wp:positionH>
                <wp:positionV relativeFrom="paragraph">
                  <wp:posOffset>372110</wp:posOffset>
                </wp:positionV>
                <wp:extent cx="1033145" cy="176530"/>
                <wp:wrapTopAndBottom/>
                <wp:docPr id="153" name="Shape 153"/>
                <a:graphic xmlns:a="http://schemas.openxmlformats.org/drawingml/2006/main">
                  <a:graphicData uri="http://schemas.microsoft.com/office/word/2010/wordprocessingShape">
                    <wps:wsp>
                      <wps:cNvSpPr txBox="1"/>
                      <wps:spPr>
                        <a:xfrm>
                          <a:ext cx="1033145" cy="17653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05"/>
                            <w:bookmarkEnd w:id="606"/>
                            <w:bookmarkEnd w:id="607"/>
                          </w:p>
                        </w:txbxContent>
                      </wps:txbx>
                      <wps:bodyPr wrap="none" lIns="0" tIns="0" rIns="0" bIns="0">
                        <a:noAutoFit/>
                      </wps:bodyPr>
                    </wps:wsp>
                  </a:graphicData>
                </a:graphic>
              </wp:anchor>
            </w:drawing>
          </mc:Choice>
          <mc:Fallback>
            <w:pict>
              <v:shape id="_x0000_s1179" type="#_x0000_t202" style="position:absolute;margin-left:53.800000000000004pt;margin-top:29.300000000000001pt;width:81.350000000000009pt;height:13.9pt;z-index:-125829350;mso-wrap-distance-left:0;mso-wrap-distance-top:29.300000000000001pt;mso-wrap-distance-right:0;mso-wrap-distance-bottom:13.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05"/>
                      <w:bookmarkEnd w:id="606"/>
                      <w:bookmarkEnd w:id="607"/>
                    </w:p>
                  </w:txbxContent>
                </v:textbox>
                <w10:wrap type="topAndBottom" anchorx="page"/>
              </v:shape>
            </w:pict>
          </mc:Fallback>
        </mc:AlternateConten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695,663,124.82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608,768,107.21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546,371,488.98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504,986,058.16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2,740,110.39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2,033,736.89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17,138,067.40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13,577,334.59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48,481,527.11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48,851,292.63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-9,123,738.90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-1,164,415.99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2,208,659.25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2,213,850.87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both"/>
              <w:rPr>
                <w:sz w:val="17"/>
                <w:szCs w:val="17"/>
              </w:rPr>
            </w:pPr>
            <w:r>
              <w:rPr>
                <w:rFonts w:ascii="SimSun" w:eastAsia="SimSun" w:hAnsi="SimSun" w:cs="SimSun"/>
                <w:color w:val="000000"/>
                <w:spacing w:val="0"/>
                <w:w w:val="100"/>
                <w:position w:val="0"/>
                <w:sz w:val="17"/>
                <w:szCs w:val="17"/>
              </w:rPr>
              <w:t>加：公允价值变动收益（损失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8,093,239.34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-71,207.00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96,620,419.93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37,518,873.06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10,234,512.63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12,216,619.79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其中：非流动资产处置利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749,016.55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441,396.68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175,804.17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106,383,410.29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49,294,096.17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12,876,281.45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6,719,970.27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93,507,128.84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42,574,125.90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93,507,128.84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42,574,125.90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5</w:t>
      </w:r>
      <w:bookmarkEnd w:id="634"/>
      <w:r>
        <w:rPr>
          <w:color w:val="000000"/>
          <w:spacing w:val="0"/>
          <w:w w:val="100"/>
          <w:position w:val="0"/>
        </w:rPr>
        <w:t>、合并现金流量表</w:t>
      </w:r>
      <w:bookmarkEnd w:id="632"/>
      <w:bookmarkEnd w:id="633"/>
      <w:bookmarkEnd w:id="6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811,203,550.26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630,210,274.61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处置以公允价值计量且其变动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62,770,580.31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74,682,256.58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10,145,046.69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13,708,722.55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884,119,177.26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718,601,253.74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522,565,511.17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444,460,042.77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155,433,035.31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125,099,693.99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42,531,234.03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46,966,866.97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85,412,382.23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66,106,815.05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805,942,162.74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682,633,418.78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78,177,014.52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35,967,834.96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2,115,224.00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2,409,491.04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448,396.10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2,409,491.04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2,563,620.10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购建固定资产、无形资产和其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57,914,941.72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33,548,302.10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1,156,276.00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59,071,217.72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34,028,302.10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-56,661,726.68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-31,464,682.00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231,324,000.00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234,610,721.27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8,347,140.34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14,303,120.00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22,063,900.00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30,411,040.34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14,303,120.00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204,199,680.93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-14,303,120.00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3,966,209.30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229,681,178.07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-8,476,310.63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90,221,420.33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98,697,730.96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319,902,598.40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90,221,420.33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6</w:t>
      </w:r>
      <w:bookmarkEnd w:id="638"/>
      <w:r>
        <w:rPr>
          <w:color w:val="000000"/>
          <w:spacing w:val="0"/>
          <w:w w:val="100"/>
          <w:position w:val="0"/>
        </w:rPr>
        <w:t>、母公司现金流量表</w:t>
      </w:r>
      <w:bookmarkEnd w:id="636"/>
      <w:bookmarkEnd w:id="637"/>
      <w:bookmarkEnd w:id="639"/>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762,003,687.62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688,972,256.28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46,751,181.56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9,740,533.00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13,622,123.10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818,495,402.18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702,594,379.38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643,122,807.05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541,877,040.08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60,689,427.22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54,379,195.90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17,336,273.31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26,237,366.15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28,855,436.51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37,236,970.18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750,003,944.09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659,730,572.31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68,491,458.09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42,863,807.07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8,343,724.00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3,298,543.48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55,373.73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11,642,267.48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71,445.73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44,516,192.69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28,953,690.20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1,353,445.00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45,869,637.69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38,433,690.20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-34,227,370.21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-38,362,244.47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231,324,000.00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3,286,721.27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234,610,721.27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8,347,140.34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14,303,120.00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22,063,900.00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30,411,040.34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14,303,120.00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204,199,680.93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-14,303,120.00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3,802,734.52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242,266,503.33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-9,807,518.39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62,484,542.28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72,292,060.67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304,751,045.61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62,484,542.28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7</w:t>
      </w:r>
      <w:bookmarkEnd w:id="642"/>
      <w:r>
        <w:rPr>
          <w:color w:val="000000"/>
          <w:spacing w:val="0"/>
          <w:w w:val="100"/>
          <w:position w:val="0"/>
        </w:rPr>
        <w:t>、合并所有者权益变动表</w:t>
      </w:r>
      <w:bookmarkEnd w:id="640"/>
      <w:bookmarkEnd w:id="641"/>
      <w:bookmarkEnd w:id="64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13,80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9,232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109,4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00,84</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224,6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30,15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2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13,80</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9,232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109,4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224,6</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30,15</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8.07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194,4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60,10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62,88</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281,5</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27,88</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9.27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80,52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0,708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80,54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194,4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60,10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209,2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60,10</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194,4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60,10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209,2</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60,10</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-8,28</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-9,35</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0,712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1,754</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251,6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23,15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9,945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506,1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2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188,7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44,45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77,77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188,7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35,88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50,18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50,18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03,12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03,12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03,12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57,22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0,080</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109,4</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224,6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8</w:t>
      </w:r>
      <w:bookmarkEnd w:id="646"/>
      <w:r>
        <w:rPr>
          <w:color w:val="000000"/>
          <w:spacing w:val="0"/>
          <w:w w:val="100"/>
          <w:position w:val="0"/>
        </w:rPr>
        <w:t>、母公司所有者权益变动表</w:t>
      </w:r>
      <w:bookmarkEnd w:id="644"/>
      <w:bookmarkEnd w:id="645"/>
      <w:bookmarkEnd w:id="64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13,559,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101,1</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35,96</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13,559,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101,1</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35,96</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194,46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9,350,7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75,87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294,48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7,128.</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93,507,</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209,26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209,26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-8,281,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754.00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0,712.</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1,754.</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-8,281,</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59,00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247,56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4,980.1</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300" w:firstLine="0"/>
              <w:jc w:val="right"/>
              <w:rPr>
                <w:sz w:val="17"/>
                <w:szCs w:val="17"/>
              </w:rPr>
            </w:pPr>
            <w:r>
              <w:rPr>
                <w:rFonts w:ascii="SimSun" w:eastAsia="SimSun" w:hAnsi="SimSun" w:cs="SimSun"/>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9,301,8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9,301,8</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4,257,4</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4,257,4</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60,53</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4,257,4</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03,12</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53,104,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13,559,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101,1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35,96</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0,081.9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bl>
    <w:p>
      <w:pPr>
        <w:widowControl w:val="0"/>
        <w:spacing w:after="299" w:line="1" w:lineRule="exact"/>
      </w:pPr>
    </w:p>
    <w:p>
      <w:pPr>
        <w:pStyle w:val="Style27"/>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三</w:t>
      </w:r>
      <w:bookmarkEnd w:id="650"/>
      <w:r>
        <w:rPr>
          <w:color w:val="000000"/>
          <w:spacing w:val="0"/>
          <w:w w:val="100"/>
          <w:position w:val="0"/>
        </w:rPr>
        <w:t>、公司基本情况</w:t>
      </w:r>
      <w:bookmarkEnd w:id="648"/>
      <w:bookmarkEnd w:id="649"/>
      <w:bookmarkEnd w:id="651"/>
    </w:p>
    <w:p>
      <w:pPr>
        <w:pStyle w:val="Style21"/>
        <w:keepNext w:val="0"/>
        <w:keepLines w:val="0"/>
        <w:widowControl w:val="0"/>
        <w:shd w:val="clear" w:color="auto" w:fill="auto"/>
        <w:bidi w:val="0"/>
        <w:spacing w:before="0" w:after="0" w:line="240" w:lineRule="auto"/>
        <w:ind w:left="0" w:right="0" w:firstLine="0"/>
        <w:jc w:val="both"/>
      </w:pPr>
      <w:bookmarkStart w:id="652" w:name="bookmark652"/>
      <w:r>
        <w:rPr>
          <w:b/>
          <w:bCs/>
          <w:color w:val="000000"/>
          <w:spacing w:val="0"/>
          <w:w w:val="100"/>
          <w:position w:val="0"/>
        </w:rPr>
        <w:t>（</w:t>
      </w:r>
      <w:bookmarkEnd w:id="652"/>
      <w:r>
        <w:rPr>
          <w:b/>
          <w:bCs/>
          <w:color w:val="000000"/>
          <w:spacing w:val="0"/>
          <w:w w:val="100"/>
          <w:position w:val="0"/>
        </w:rPr>
        <w:t>一）公司概况</w:t>
      </w:r>
    </w:p>
    <w:p>
      <w:pPr>
        <w:pStyle w:val="Style21"/>
        <w:keepNext w:val="0"/>
        <w:keepLines w:val="0"/>
        <w:widowControl w:val="0"/>
        <w:shd w:val="clear" w:color="auto" w:fill="auto"/>
        <w:bidi w:val="0"/>
        <w:spacing w:before="0" w:after="0" w:line="464" w:lineRule="exact"/>
        <w:ind w:left="0" w:right="0"/>
        <w:jc w:val="both"/>
      </w:pPr>
      <w:r>
        <w:rPr>
          <w:color w:val="000000"/>
          <w:spacing w:val="0"/>
          <w:w w:val="100"/>
          <w:position w:val="0"/>
        </w:rPr>
        <w:t>广东乐心医疗电子股份有限公司（以下简称"本公司”或''公司”），是在中山市创源电子有限公司基础上整体变更设立 的股份公司。创源电子于</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日经中山市工商行政管理局批准成立，公司初始注册资本为</w:t>
      </w:r>
      <w:r>
        <w:rPr>
          <w:color w:val="000000"/>
          <w:spacing w:val="0"/>
          <w:w w:val="100"/>
          <w:position w:val="0"/>
          <w:sz w:val="18"/>
          <w:szCs w:val="18"/>
        </w:rPr>
        <w:t>50</w:t>
      </w:r>
      <w:r>
        <w:rPr>
          <w:color w:val="000000"/>
          <w:spacing w:val="0"/>
          <w:w w:val="100"/>
          <w:position w:val="0"/>
        </w:rPr>
        <w:t>万元，营业执照注册号 为</w:t>
      </w:r>
      <w:r>
        <w:rPr>
          <w:color w:val="000000"/>
          <w:spacing w:val="0"/>
          <w:w w:val="100"/>
          <w:position w:val="0"/>
          <w:sz w:val="18"/>
          <w:szCs w:val="18"/>
        </w:rPr>
        <w:t>442000000123096</w:t>
      </w:r>
      <w:r>
        <w:rPr>
          <w:color w:val="000000"/>
          <w:spacing w:val="0"/>
          <w:w w:val="100"/>
          <w:position w:val="0"/>
        </w:rPr>
        <w:t>。</w:t>
      </w:r>
    </w:p>
    <w:p>
      <w:pPr>
        <w:pStyle w:val="Style21"/>
        <w:keepNext w:val="0"/>
        <w:keepLines w:val="0"/>
        <w:widowControl w:val="0"/>
        <w:shd w:val="clear" w:color="auto" w:fill="auto"/>
        <w:bidi w:val="0"/>
        <w:spacing w:before="0" w:after="300" w:line="464" w:lineRule="exact"/>
        <w:ind w:left="0" w:right="0"/>
        <w:jc w:val="both"/>
        <w:sectPr>
          <w:footnotePr>
            <w:pos w:val="pageBottom"/>
            <w:numFmt w:val="decimal"/>
            <w:numRestart w:val="continuous"/>
          </w:footnotePr>
          <w:pgSz w:w="11900" w:h="16840"/>
          <w:pgMar w:top="1445" w:right="1090" w:bottom="1437" w:left="1047"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日，经中国证券监督管理委员会“证监许可【</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2432</w:t>
      </w:r>
      <w:r>
        <w:rPr>
          <w:color w:val="000000"/>
          <w:spacing w:val="0"/>
          <w:w w:val="100"/>
          <w:position w:val="0"/>
        </w:rPr>
        <w:t>号文”《关于核准广东乐心医疗电子股份有限公 司首次公开发行股票的批复》核准，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日公司向社会公众公开发行</w:t>
      </w:r>
      <w:r>
        <w:rPr>
          <w:color w:val="000000"/>
          <w:spacing w:val="0"/>
          <w:w w:val="100"/>
          <w:position w:val="0"/>
          <w:sz w:val="18"/>
          <w:szCs w:val="18"/>
        </w:rPr>
        <w:t>14,800,000.0</w:t>
      </w:r>
      <w:r>
        <w:rPr>
          <w:color w:val="000000"/>
          <w:spacing w:val="0"/>
          <w:w w:val="100"/>
          <w:position w:val="0"/>
          <w:sz w:val="18"/>
          <w:szCs w:val="18"/>
        </w:rPr>
        <w:t>0</w:t>
      </w:r>
      <w:r>
        <w:rPr>
          <w:color w:val="000000"/>
          <w:spacing w:val="0"/>
          <w:w w:val="100"/>
          <w:position w:val="0"/>
        </w:rPr>
        <w:t>股人民币普通股股票（每股面值</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1</w:t>
      </w:r>
      <w:r>
        <w:rPr>
          <w:color w:val="000000"/>
          <w:spacing w:val="0"/>
          <w:w w:val="100"/>
          <w:position w:val="0"/>
        </w:rPr>
        <w:t>元）。本次公开发行股票后增加注册资本人民币</w:t>
      </w:r>
      <w:r>
        <w:rPr>
          <w:color w:val="000000"/>
          <w:spacing w:val="0"/>
          <w:w w:val="100"/>
          <w:position w:val="0"/>
          <w:sz w:val="18"/>
          <w:szCs w:val="18"/>
        </w:rPr>
        <w:t>14,800,000.0</w:t>
      </w:r>
      <w:r>
        <w:rPr>
          <w:color w:val="000000"/>
          <w:spacing w:val="0"/>
          <w:w w:val="100"/>
          <w:position w:val="0"/>
          <w:sz w:val="18"/>
          <w:szCs w:val="18"/>
        </w:rPr>
        <w:t>0</w:t>
      </w:r>
      <w:r>
        <w:rPr>
          <w:color w:val="000000"/>
          <w:spacing w:val="0"/>
          <w:w w:val="100"/>
          <w:position w:val="0"/>
        </w:rPr>
        <w:t>元，变更后的注册资本为人民币</w:t>
      </w:r>
      <w:r>
        <w:rPr>
          <w:color w:val="000000"/>
          <w:spacing w:val="0"/>
          <w:w w:val="100"/>
          <w:position w:val="0"/>
          <w:sz w:val="18"/>
          <w:szCs w:val="18"/>
        </w:rPr>
        <w:t>59,000,000.0</w:t>
      </w:r>
      <w:r>
        <w:rPr>
          <w:color w:val="000000"/>
          <w:spacing w:val="0"/>
          <w:w w:val="100"/>
          <w:position w:val="0"/>
          <w:sz w:val="18"/>
          <w:szCs w:val="18"/>
        </w:rPr>
        <w:t>0</w:t>
      </w:r>
      <w:r>
        <w:rPr>
          <w:color w:val="000000"/>
          <w:spacing w:val="0"/>
          <w:w w:val="100"/>
          <w:position w:val="0"/>
        </w:rPr>
        <w:t>元。公司行业 属设备制造业</w:t>
      </w:r>
      <w:r>
        <w:rPr>
          <w:color w:val="000000"/>
          <w:spacing w:val="0"/>
          <w:w w:val="100"/>
          <w:position w:val="0"/>
          <w:sz w:val="18"/>
          <w:szCs w:val="18"/>
        </w:rPr>
        <w:t>（</w:t>
      </w:r>
      <w:r>
        <w:rPr>
          <w:color w:val="000000"/>
          <w:spacing w:val="0"/>
          <w:w w:val="100"/>
          <w:position w:val="0"/>
          <w:sz w:val="18"/>
          <w:szCs w:val="18"/>
        </w:rPr>
        <w:t>C35）</w:t>
      </w:r>
      <w:r>
        <w:rPr>
          <w:color w:val="000000"/>
          <w:spacing w:val="0"/>
          <w:w w:val="100"/>
          <w:position w:val="0"/>
        </w:rPr>
        <w:t>中的医疗仪器设备及器械制造行业。</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公司住所：中山市火炬开发区东利路</w:t>
      </w:r>
      <w:r>
        <w:rPr>
          <w:color w:val="000000"/>
          <w:spacing w:val="0"/>
          <w:w w:val="100"/>
          <w:position w:val="0"/>
          <w:sz w:val="18"/>
          <w:szCs w:val="18"/>
        </w:rPr>
        <w:t>105</w:t>
      </w:r>
      <w:r>
        <w:rPr>
          <w:color w:val="000000"/>
          <w:spacing w:val="0"/>
          <w:w w:val="100"/>
          <w:position w:val="0"/>
        </w:rPr>
        <w:t>号</w:t>
      </w:r>
      <w:r>
        <w:rPr>
          <w:color w:val="000000"/>
          <w:spacing w:val="0"/>
          <w:w w:val="100"/>
          <w:position w:val="0"/>
          <w:sz w:val="18"/>
          <w:szCs w:val="18"/>
        </w:rPr>
        <w:t>A</w:t>
      </w:r>
      <w:r>
        <w:rPr>
          <w:color w:val="000000"/>
          <w:spacing w:val="0"/>
          <w:w w:val="100"/>
          <w:position w:val="0"/>
        </w:rPr>
        <w:t>区</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法定代表人：潘伟潮</w:t>
      </w:r>
    </w:p>
    <w:p>
      <w:pPr>
        <w:pStyle w:val="Style21"/>
        <w:keepNext w:val="0"/>
        <w:keepLines w:val="0"/>
        <w:widowControl w:val="0"/>
        <w:shd w:val="clear" w:color="auto" w:fill="auto"/>
        <w:bidi w:val="0"/>
        <w:spacing w:before="0" w:after="0" w:line="470" w:lineRule="exact"/>
        <w:ind w:left="0" w:right="0" w:firstLine="380"/>
        <w:jc w:val="left"/>
        <w:rPr>
          <w:sz w:val="18"/>
          <w:szCs w:val="18"/>
        </w:rPr>
      </w:pPr>
      <w:r>
        <w:rPr>
          <w:color w:val="000000"/>
          <w:spacing w:val="0"/>
          <w:w w:val="100"/>
          <w:position w:val="0"/>
          <w:sz w:val="17"/>
          <w:szCs w:val="17"/>
        </w:rPr>
        <w:t>公司注册号：</w:t>
      </w:r>
      <w:r>
        <w:rPr>
          <w:color w:val="000000"/>
          <w:spacing w:val="0"/>
          <w:w w:val="100"/>
          <w:position w:val="0"/>
          <w:sz w:val="18"/>
          <w:szCs w:val="18"/>
        </w:rPr>
        <w:t>914420007408365594</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公司注册资本：人民币</w:t>
      </w:r>
      <w:r>
        <w:rPr>
          <w:color w:val="000000"/>
          <w:spacing w:val="0"/>
          <w:w w:val="100"/>
          <w:position w:val="0"/>
          <w:sz w:val="18"/>
          <w:szCs w:val="18"/>
        </w:rPr>
        <w:t>5900</w:t>
      </w:r>
      <w:r>
        <w:rPr>
          <w:color w:val="000000"/>
          <w:spacing w:val="0"/>
          <w:w w:val="100"/>
          <w:position w:val="0"/>
        </w:rPr>
        <w:t>万元</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公司经营范围：软件开发和销售；研发：医疗器械；第二、三类医疗器械生产企业；研发、生产、销售：电子产品、无 线通信器材；相关产品的技术推广和咨询服务；货物和技术进出口（依法须经批准的项目，经相关部门批准后方可开展经营 活动。）</w:t>
      </w:r>
    </w:p>
    <w:p>
      <w:pPr>
        <w:pStyle w:val="Style21"/>
        <w:keepNext w:val="0"/>
        <w:keepLines w:val="0"/>
        <w:widowControl w:val="0"/>
        <w:shd w:val="clear" w:color="auto" w:fill="auto"/>
        <w:bidi w:val="0"/>
        <w:spacing w:before="0" w:after="180" w:line="470" w:lineRule="exact"/>
        <w:ind w:left="0" w:right="0" w:firstLine="380"/>
        <w:jc w:val="left"/>
      </w:pPr>
      <w:r>
        <w:rPr>
          <w:color w:val="000000"/>
          <w:spacing w:val="0"/>
          <w:w w:val="100"/>
          <w:position w:val="0"/>
        </w:rPr>
        <w:t>本财务报表业经公司全体董事（董事会）于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日批准报出。</w:t>
      </w:r>
    </w:p>
    <w:p>
      <w:pPr>
        <w:pStyle w:val="Style21"/>
        <w:keepNext w:val="0"/>
        <w:keepLines w:val="0"/>
        <w:widowControl w:val="0"/>
        <w:shd w:val="clear" w:color="auto" w:fill="auto"/>
        <w:bidi w:val="0"/>
        <w:spacing w:before="0" w:line="240" w:lineRule="auto"/>
        <w:ind w:left="0" w:right="0" w:firstLine="0"/>
        <w:jc w:val="left"/>
      </w:pPr>
      <w:bookmarkStart w:id="653" w:name="bookmark653"/>
      <w:r>
        <w:rPr>
          <w:b/>
          <w:bCs/>
          <w:color w:val="000000"/>
          <w:spacing w:val="0"/>
          <w:w w:val="100"/>
          <w:position w:val="0"/>
        </w:rPr>
        <w:t>（</w:t>
      </w:r>
      <w:bookmarkEnd w:id="653"/>
      <w:r>
        <w:rPr>
          <w:b/>
          <w:bCs/>
          <w:color w:val="000000"/>
          <w:spacing w:val="0"/>
          <w:w w:val="100"/>
          <w:position w:val="0"/>
        </w:rPr>
        <w:t>二）合并财务报表范围</w:t>
      </w:r>
    </w:p>
    <w:p>
      <w:pPr>
        <w:pStyle w:val="Style21"/>
        <w:keepNext w:val="0"/>
        <w:keepLines w:val="0"/>
        <w:widowControl w:val="0"/>
        <w:pBdr>
          <w:bottom w:val="single" w:sz="4" w:space="0" w:color="auto"/>
        </w:pBdr>
        <w:shd w:val="clear" w:color="auto" w:fill="auto"/>
        <w:bidi w:val="0"/>
        <w:spacing w:before="0" w:after="240" w:line="240" w:lineRule="auto"/>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p>
      <w:pPr>
        <w:pStyle w:val="Style21"/>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子公司名称</w:t>
        <w:br/>
        <w:t>&amp;山带面彼珞房舍有艮公商</w:t>
      </w:r>
    </w:p>
    <w:p>
      <w:pPr>
        <w:pStyle w:val="Style66"/>
        <w:keepNext w:val="0"/>
        <w:keepLines w:val="0"/>
        <w:widowControl w:val="0"/>
        <w:shd w:val="clear" w:color="auto" w:fill="auto"/>
        <w:tabs>
          <w:tab w:leader="dot" w:pos="1805" w:val="left"/>
          <w:tab w:leader="dot" w:pos="1910" w:val="left"/>
          <w:tab w:leader="dot" w:pos="5597" w:val="left"/>
          <w:tab w:leader="dot" w:pos="5597" w:val="left"/>
          <w:tab w:leader="dot" w:pos="5598" w:val="left"/>
          <w:tab w:leader="dot" w:pos="5598" w:val="left"/>
        </w:tabs>
        <w:bidi w:val="0"/>
        <w:spacing w:before="0" w:after="0"/>
        <w:ind w:left="0" w:right="0" w:firstLine="0"/>
        <w:jc w:val="both"/>
      </w:pPr>
      <w:r>
        <w:rPr>
          <w:color w:val="000000"/>
          <w:spacing w:val="0"/>
          <w:w w:val="100"/>
          <w:position w:val="0"/>
        </w:rPr>
        <w:tab/>
      </w:r>
      <w:r>
        <w:rPr>
          <w:color w:val="000000"/>
          <w:spacing w:val="0"/>
          <w:w w:val="100"/>
          <w:position w:val="0"/>
        </w:rPr>
        <w:t>市疏磷碱遂</w:t>
      </w:r>
      <w:r>
        <w:rPr>
          <w:color w:val="000000"/>
          <w:spacing w:val="0"/>
          <w:w w:val="100"/>
          <w:position w:val="0"/>
        </w:rPr>
        <w:tab/>
        <w:t xml:space="preserve"> </w:t>
        <w:tab/>
      </w:r>
      <w:r>
        <w:rPr>
          <w:color w:val="000000"/>
          <w:spacing w:val="0"/>
          <w:w w:val="100"/>
          <w:position w:val="0"/>
        </w:rPr>
        <w:t>'剥嗣堰施浦蓬</w:t>
      </w:r>
      <w:r>
        <w:rPr>
          <w:color w:val="000000"/>
          <w:spacing w:val="0"/>
          <w:w w:val="100"/>
          <w:position w:val="0"/>
        </w:rPr>
        <w:tab/>
        <w:t xml:space="preserve"> </w:t>
        <w:tab/>
      </w:r>
      <w:r>
        <w:rPr>
          <w:color w:val="000000"/>
          <w:spacing w:val="0"/>
          <w:w w:val="100"/>
          <w:position w:val="0"/>
        </w:rPr>
        <w:t>「顽羸福荀遍</w:t>
      </w:r>
      <w:r>
        <w:rPr>
          <w:color w:val="000000"/>
          <w:spacing w:val="0"/>
          <w:w w:val="100"/>
          <w:position w:val="0"/>
        </w:rPr>
        <w:tab/>
      </w:r>
    </w:p>
    <w:p>
      <w:pPr>
        <w:pStyle w:val="Style6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w:t>
      </w:r>
      <w:r>
        <w:rPr>
          <w:color w:val="000000"/>
          <w:spacing w:val="0"/>
          <w:w w:val="100"/>
          <w:position w:val="0"/>
        </w:rPr>
        <w:t>顿而通违整司］』</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240" w:lineRule="auto"/>
        <w:ind w:left="2140" w:right="0" w:firstLine="0"/>
        <w:jc w:val="left"/>
      </w:pPr>
      <w:r>
        <w:rPr>
          <w:b/>
          <w:bCs/>
          <w:color w:val="282238"/>
          <w:spacing w:val="0"/>
          <w:w w:val="100"/>
          <w:position w:val="0"/>
        </w:rPr>
        <w:t>Lifesense Health Inc</w:t>
      </w:r>
    </w:p>
    <w:p>
      <w:pPr>
        <w:pStyle w:val="Style66"/>
        <w:keepNext w:val="0"/>
        <w:keepLines w:val="0"/>
        <w:widowControl w:val="0"/>
        <w:shd w:val="clear" w:color="auto" w:fill="auto"/>
        <w:tabs>
          <w:tab w:leader="dot" w:pos="2122" w:val="left"/>
          <w:tab w:leader="dot" w:pos="5597" w:val="left"/>
        </w:tabs>
        <w:bidi w:val="0"/>
        <w:spacing w:before="0" w:after="0"/>
        <w:ind w:left="0" w:right="0" w:firstLine="0"/>
        <w:jc w:val="left"/>
      </w:pPr>
      <w:r>
        <w:rPr>
          <w:color w:val="000000"/>
          <w:spacing w:val="0"/>
          <w:w w:val="100"/>
          <w:position w:val="0"/>
          <w:u w:val="single"/>
        </w:rPr>
        <w:tab/>
      </w:r>
      <w:r>
        <w:rPr>
          <w:color w:val="000000"/>
          <w:spacing w:val="0"/>
          <w:w w:val="100"/>
          <w:position w:val="0"/>
          <w:u w:val="single"/>
        </w:rPr>
        <w:t>畚赢蔺疯</w:t>
      </w:r>
      <w:r>
        <w:rPr>
          <w:color w:val="000000"/>
          <w:spacing w:val="0"/>
          <w:w w:val="100"/>
          <w:position w:val="0"/>
          <w:u w:val="single"/>
        </w:rPr>
        <w:tab/>
      </w:r>
    </w:p>
    <w:p>
      <w:pPr>
        <w:pStyle w:val="Style21"/>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98" w:val="left"/>
        </w:tabs>
        <w:bidi w:val="0"/>
        <w:spacing w:before="0" w:after="38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w:t>
        <w:tab/>
        <w:t>财务报表的编制基础</w:t>
      </w:r>
      <w:bookmarkEnd w:id="654"/>
      <w:bookmarkEnd w:id="655"/>
      <w:bookmarkEnd w:id="657"/>
    </w:p>
    <w:p>
      <w:pPr>
        <w:pStyle w:val="Style33"/>
        <w:keepNext/>
        <w:keepLines/>
        <w:widowControl w:val="0"/>
        <w:shd w:val="clear" w:color="auto" w:fill="auto"/>
        <w:tabs>
          <w:tab w:pos="394" w:val="left"/>
        </w:tabs>
        <w:bidi w:val="0"/>
        <w:spacing w:before="0" w:after="1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w:t>
        <w:tab/>
        <w:t>编制基础</w:t>
      </w:r>
      <w:bookmarkEnd w:id="658"/>
      <w:bookmarkEnd w:id="659"/>
      <w:bookmarkEnd w:id="661"/>
    </w:p>
    <w:p>
      <w:pPr>
        <w:pStyle w:val="Style21"/>
        <w:keepNext w:val="0"/>
        <w:keepLines w:val="0"/>
        <w:widowControl w:val="0"/>
        <w:shd w:val="clear" w:color="auto" w:fill="auto"/>
        <w:bidi w:val="0"/>
        <w:spacing w:before="0" w:after="480" w:line="463" w:lineRule="exact"/>
        <w:ind w:left="0" w:right="0" w:firstLine="380"/>
        <w:jc w:val="both"/>
      </w:pPr>
      <w:r>
        <w:rPr>
          <w:color w:val="000000"/>
          <w:spacing w:val="0"/>
          <w:w w:val="100"/>
          <w:position w:val="0"/>
        </w:rPr>
        <w:t>公司以持续经营为基础，根据实际发生的交易和事项，按照财政部颁布的《企业会计准则一一基本准则》和各项具体会 计准则、企业会计准则应用指南、企业会计准则解释及其他相关规定（以下合称“企业会计准则”），以及中国证券监督管理 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号一一财务报告的一般规定》的披露规定编制财务报表。</w:t>
      </w:r>
    </w:p>
    <w:p>
      <w:pPr>
        <w:pStyle w:val="Style33"/>
        <w:keepNext/>
        <w:keepLines/>
        <w:widowControl w:val="0"/>
        <w:shd w:val="clear" w:color="auto" w:fill="auto"/>
        <w:tabs>
          <w:tab w:pos="394" w:val="left"/>
        </w:tabs>
        <w:bidi w:val="0"/>
        <w:spacing w:before="0" w:after="10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w:t>
        <w:tab/>
        <w:t>持续经营</w:t>
      </w:r>
      <w:bookmarkEnd w:id="662"/>
      <w:bookmarkEnd w:id="663"/>
      <w:bookmarkEnd w:id="665"/>
    </w:p>
    <w:p>
      <w:pPr>
        <w:pStyle w:val="Style21"/>
        <w:keepNext w:val="0"/>
        <w:keepLines w:val="0"/>
        <w:widowControl w:val="0"/>
        <w:shd w:val="clear" w:color="auto" w:fill="auto"/>
        <w:bidi w:val="0"/>
        <w:spacing w:before="0" w:after="380" w:line="470" w:lineRule="exact"/>
        <w:ind w:left="0" w:right="0" w:firstLine="380"/>
        <w:jc w:val="left"/>
      </w:pPr>
      <w:r>
        <w:rPr>
          <w:color w:val="000000"/>
          <w:spacing w:val="0"/>
          <w:w w:val="100"/>
          <w:position w:val="0"/>
        </w:rPr>
        <w:t>公司自报告期末至少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tabs>
          <w:tab w:pos="517" w:val="left"/>
        </w:tabs>
        <w:bidi w:val="0"/>
        <w:spacing w:before="0" w:after="3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五</w:t>
      </w:r>
      <w:bookmarkEnd w:id="668"/>
      <w:r>
        <w:rPr>
          <w:color w:val="000000"/>
          <w:spacing w:val="0"/>
          <w:w w:val="100"/>
          <w:position w:val="0"/>
        </w:rPr>
        <w:t>、</w:t>
        <w:tab/>
        <w:t>重要会计政策及会计估计</w:t>
      </w:r>
      <w:bookmarkEnd w:id="666"/>
      <w:bookmarkEnd w:id="667"/>
      <w:bookmarkEnd w:id="669"/>
    </w:p>
    <w:p>
      <w:pPr>
        <w:pStyle w:val="Style21"/>
        <w:keepNext w:val="0"/>
        <w:keepLines w:val="0"/>
        <w:widowControl w:val="0"/>
        <w:shd w:val="clear" w:color="auto" w:fill="auto"/>
        <w:bidi w:val="0"/>
        <w:spacing w:before="0" w:after="18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932" w:right="1109" w:bottom="1201" w:left="1104" w:header="0" w:footer="3" w:gutter="0"/>
          <w:cols w:space="720"/>
          <w:noEndnote/>
          <w:rtlGutter w:val="0"/>
          <w:docGrid w:linePitch="360"/>
        </w:sectPr>
      </w:pPr>
      <w:r>
        <w:rPr>
          <w:color w:val="000000"/>
          <w:spacing w:val="0"/>
          <w:w w:val="100"/>
          <w:position w:val="0"/>
        </w:rPr>
        <w:t>公司是否需要遵守特殊行业的披露要求</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材中乐心医疗</w:t>
      </w:r>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460" w:line="461" w:lineRule="exact"/>
        <w:ind w:left="0" w:right="0" w:firstLine="380"/>
        <w:jc w:val="both"/>
      </w:pPr>
      <w:r>
        <w:rPr>
          <w:color w:val="000000"/>
          <w:spacing w:val="0"/>
          <w:w w:val="100"/>
          <w:position w:val="0"/>
        </w:rPr>
        <w:t>本公司及各子公司根据实际生产经营特点，依据相关企业会计准则的规定，对收入确认等交易和事项制定了若干项具体 会计政策和会计估计，详见本附注“五</w:t>
      </w:r>
      <w:r>
        <w:rPr>
          <w:color w:val="000000"/>
          <w:spacing w:val="0"/>
          <w:w w:val="100"/>
          <w:position w:val="0"/>
          <w:sz w:val="18"/>
          <w:szCs w:val="18"/>
        </w:rPr>
        <w:t>28</w:t>
      </w:r>
      <w:r>
        <w:rPr>
          <w:color w:val="000000"/>
          <w:spacing w:val="0"/>
          <w:w w:val="100"/>
          <w:position w:val="0"/>
        </w:rPr>
        <w:t>、收入”各项描述。</w:t>
      </w:r>
    </w:p>
    <w:p>
      <w:pPr>
        <w:pStyle w:val="Style33"/>
        <w:keepNext/>
        <w:keepLines/>
        <w:widowControl w:val="0"/>
        <w:shd w:val="clear" w:color="auto" w:fill="auto"/>
        <w:tabs>
          <w:tab w:pos="368" w:val="left"/>
        </w:tabs>
        <w:bidi w:val="0"/>
        <w:spacing w:before="0" w:after="1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w:t>
        <w:tab/>
        <w:t>遵循企业会计准则的声明</w:t>
      </w:r>
      <w:bookmarkEnd w:id="670"/>
      <w:bookmarkEnd w:id="671"/>
      <w:bookmarkEnd w:id="673"/>
    </w:p>
    <w:p>
      <w:pPr>
        <w:pStyle w:val="Style21"/>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公司所编制的财务报表符合企业会计准则的要求，真实、完整地反映了本期公司的财务状况、经营成果、现金流量等有 关信息。</w:t>
      </w:r>
    </w:p>
    <w:p>
      <w:pPr>
        <w:pStyle w:val="Style33"/>
        <w:keepNext/>
        <w:keepLines/>
        <w:widowControl w:val="0"/>
        <w:shd w:val="clear" w:color="auto" w:fill="auto"/>
        <w:tabs>
          <w:tab w:pos="378" w:val="left"/>
        </w:tabs>
        <w:bidi w:val="0"/>
        <w:spacing w:before="0" w:after="10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会计期间</w:t>
      </w:r>
      <w:bookmarkEnd w:id="674"/>
      <w:bookmarkEnd w:id="675"/>
      <w:bookmarkEnd w:id="677"/>
    </w:p>
    <w:p>
      <w:pPr>
        <w:pStyle w:val="Style21"/>
        <w:keepNext w:val="0"/>
        <w:keepLines w:val="0"/>
        <w:widowControl w:val="0"/>
        <w:shd w:val="clear" w:color="auto" w:fill="auto"/>
        <w:bidi w:val="0"/>
        <w:spacing w:before="0" w:after="380" w:line="468" w:lineRule="exact"/>
        <w:ind w:left="0" w:right="0" w:firstLine="38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100" w:line="240"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w:t>
        <w:tab/>
        <w:t>营业周期</w:t>
      </w:r>
      <w:bookmarkEnd w:id="678"/>
      <w:bookmarkEnd w:id="679"/>
      <w:bookmarkEnd w:id="681"/>
    </w:p>
    <w:p>
      <w:pPr>
        <w:pStyle w:val="Style21"/>
        <w:keepNext w:val="0"/>
        <w:keepLines w:val="0"/>
        <w:widowControl w:val="0"/>
        <w:shd w:val="clear" w:color="auto" w:fill="auto"/>
        <w:bidi w:val="0"/>
        <w:spacing w:before="0" w:after="380" w:line="468" w:lineRule="exact"/>
        <w:ind w:left="0" w:right="0" w:firstLine="38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100" w:line="240" w:lineRule="auto"/>
        <w:ind w:left="0" w:right="0" w:firstLine="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bookmarkEnd w:id="684"/>
      <w:r>
        <w:rPr>
          <w:color w:val="000000"/>
          <w:spacing w:val="0"/>
          <w:w w:val="100"/>
          <w:position w:val="0"/>
        </w:rPr>
        <w:t>、</w:t>
        <w:tab/>
        <w:t>记账本位币</w:t>
      </w:r>
      <w:bookmarkEnd w:id="682"/>
      <w:bookmarkEnd w:id="683"/>
      <w:bookmarkEnd w:id="685"/>
    </w:p>
    <w:p>
      <w:pPr>
        <w:pStyle w:val="Style21"/>
        <w:keepNext w:val="0"/>
        <w:keepLines w:val="0"/>
        <w:widowControl w:val="0"/>
        <w:shd w:val="clear" w:color="auto" w:fill="auto"/>
        <w:bidi w:val="0"/>
        <w:spacing w:before="0" w:after="380" w:line="468" w:lineRule="exact"/>
        <w:ind w:left="0" w:right="0" w:firstLine="380"/>
        <w:jc w:val="both"/>
      </w:pPr>
      <w:r>
        <w:rPr>
          <w:color w:val="000000"/>
          <w:spacing w:val="0"/>
          <w:w w:val="100"/>
          <w:position w:val="0"/>
        </w:rPr>
        <w:t>采用人民币为记账本位币。</w:t>
      </w:r>
    </w:p>
    <w:p>
      <w:pPr>
        <w:pStyle w:val="Style33"/>
        <w:keepNext/>
        <w:keepLines/>
        <w:widowControl w:val="0"/>
        <w:shd w:val="clear" w:color="auto" w:fill="auto"/>
        <w:tabs>
          <w:tab w:pos="378" w:val="left"/>
        </w:tabs>
        <w:bidi w:val="0"/>
        <w:spacing w:before="0" w:after="1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w:t>
        <w:tab/>
        <w:t>同一控制下和非同一控制下企业合并的会计处理方法</w:t>
      </w:r>
      <w:bookmarkEnd w:id="686"/>
      <w:bookmarkEnd w:id="687"/>
      <w:bookmarkEnd w:id="689"/>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1"/>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3"/>
        <w:keepNext/>
        <w:keepLines/>
        <w:widowControl w:val="0"/>
        <w:shd w:val="clear" w:color="auto" w:fill="auto"/>
        <w:tabs>
          <w:tab w:pos="378" w:val="left"/>
        </w:tabs>
        <w:bidi w:val="0"/>
        <w:spacing w:before="0" w:after="1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6</w:t>
      </w:r>
      <w:bookmarkEnd w:id="692"/>
      <w:r>
        <w:rPr>
          <w:color w:val="000000"/>
          <w:spacing w:val="0"/>
          <w:w w:val="100"/>
          <w:position w:val="0"/>
        </w:rPr>
        <w:t>、</w:t>
        <w:tab/>
        <w:t>合并财务报表的编制方法</w:t>
      </w:r>
      <w:bookmarkEnd w:id="690"/>
      <w:bookmarkEnd w:id="691"/>
      <w:bookmarkEnd w:id="693"/>
    </w:p>
    <w:p>
      <w:pPr>
        <w:pStyle w:val="Style21"/>
        <w:keepNext w:val="0"/>
        <w:keepLines w:val="0"/>
        <w:widowControl w:val="0"/>
        <w:shd w:val="clear" w:color="auto" w:fill="auto"/>
        <w:bidi w:val="0"/>
        <w:spacing w:before="0" w:after="180" w:line="468" w:lineRule="exact"/>
        <w:ind w:left="0" w:right="0" w:firstLine="380"/>
        <w:jc w:val="both"/>
        <w:sectPr>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本公司以自身和各子公司的财务报表为基础，根据其他有关资料，编制合并财务报表。本公司编制合并财务报表，将整</w:t>
      </w:r>
    </w:p>
    <w:p>
      <w:pPr>
        <w:pStyle w:val="Style59"/>
        <w:keepNext w:val="0"/>
        <w:keepLines w:val="0"/>
        <w:widowControl w:val="0"/>
        <w:shd w:val="clear" w:color="auto" w:fill="auto"/>
        <w:bidi w:val="0"/>
        <w:spacing w:before="0" w:after="0" w:line="240" w:lineRule="auto"/>
        <w:ind w:left="0" w:right="0" w:firstLine="140"/>
        <w:jc w:val="left"/>
      </w:pPr>
      <w:r>
        <w:rPr>
          <w:spacing w:val="0"/>
          <w:w w:val="100"/>
          <w:position w:val="0"/>
        </w:rPr>
        <w:t>材中乐心医疗</w:t>
      </w:r>
    </w:p>
    <w:p>
      <w:pPr>
        <w:pStyle w:val="Style21"/>
        <w:keepNext w:val="0"/>
        <w:keepLines w:val="0"/>
        <w:widowControl w:val="0"/>
        <w:shd w:val="clear" w:color="auto" w:fill="auto"/>
        <w:bidi w:val="0"/>
        <w:spacing w:before="0" w:after="0" w:line="470" w:lineRule="exact"/>
        <w:ind w:left="0" w:right="0" w:firstLine="0"/>
        <w:jc w:val="both"/>
      </w:pPr>
      <w:r>
        <w:rPr>
          <w:color w:val="000000"/>
          <w:spacing w:val="0"/>
          <w:w w:val="100"/>
          <w:position w:val="0"/>
        </w:rPr>
        <w:t>个企业集团视为一个会计主体，依据相关企业会计准则的确认、计量和列报要求，按照统一的会计政策，反映本企业集团整 体财务状况、经营成果和现金流量。</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1"/>
        <w:keepNext w:val="0"/>
        <w:keepLines w:val="0"/>
        <w:widowControl w:val="0"/>
        <w:shd w:val="clear" w:color="auto" w:fill="auto"/>
        <w:tabs>
          <w:tab w:pos="385" w:val="left"/>
        </w:tabs>
        <w:bidi w:val="0"/>
        <w:spacing w:before="0" w:after="0" w:line="470" w:lineRule="exact"/>
        <w:ind w:left="0" w:right="0" w:firstLine="0"/>
        <w:jc w:val="left"/>
      </w:pPr>
      <w:bookmarkStart w:id="694" w:name="bookmark694"/>
      <w:r>
        <w:rPr>
          <w:color w:val="000000"/>
          <w:spacing w:val="0"/>
          <w:w w:val="100"/>
          <w:position w:val="0"/>
          <w:sz w:val="18"/>
          <w:szCs w:val="18"/>
        </w:rPr>
        <w:t>（</w:t>
      </w:r>
      <w:bookmarkEnd w:id="694"/>
      <w:r>
        <w:rPr>
          <w:color w:val="000000"/>
          <w:spacing w:val="0"/>
          <w:w w:val="100"/>
          <w:position w:val="0"/>
          <w:sz w:val="18"/>
          <w:szCs w:val="18"/>
        </w:rPr>
        <w:t>1）</w:t>
        <w:tab/>
      </w:r>
      <w:r>
        <w:rPr>
          <w:color w:val="000000"/>
          <w:spacing w:val="0"/>
          <w:w w:val="100"/>
          <w:position w:val="0"/>
        </w:rPr>
        <w:t>增加子公司或业务</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在本期内，若因同一控制下企业合并增加子公司或业务的，则调整合并资产负债表的期初数；将子公司或业务合并当期 期初至本期末的收入、费用、利润纳入合并利润表；将子公司或业务合并当期期初至本期末的现金流量纳入合并现金流量表， 同时对比较报表的相关项目进行调整，视同合并后的报告主体自最终控制方开始控制时点起一直存在。</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在本期内，若因非同一控制下企业合并增加子公司或业务的，则不调整合并资产负债表期初数；将该子公司或业务自购 买日至本期末的收入、费用、利润纳入合并利润表；该子公司或业务自购买日至本期末的现金流量纳入合并现金流量表。</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1"/>
        <w:keepNext w:val="0"/>
        <w:keepLines w:val="0"/>
        <w:widowControl w:val="0"/>
        <w:shd w:val="clear" w:color="auto" w:fill="auto"/>
        <w:tabs>
          <w:tab w:pos="385" w:val="left"/>
        </w:tabs>
        <w:bidi w:val="0"/>
        <w:spacing w:before="0" w:after="0" w:line="470" w:lineRule="exact"/>
        <w:ind w:left="0" w:right="0" w:firstLine="0"/>
        <w:jc w:val="left"/>
      </w:pPr>
      <w:bookmarkStart w:id="695" w:name="bookmark695"/>
      <w:r>
        <w:rPr>
          <w:color w:val="000000"/>
          <w:spacing w:val="0"/>
          <w:w w:val="100"/>
          <w:position w:val="0"/>
          <w:sz w:val="18"/>
          <w:szCs w:val="18"/>
        </w:rPr>
        <w:t>（</w:t>
      </w:r>
      <w:bookmarkEnd w:id="695"/>
      <w:r>
        <w:rPr>
          <w:color w:val="000000"/>
          <w:spacing w:val="0"/>
          <w:w w:val="100"/>
          <w:position w:val="0"/>
          <w:sz w:val="18"/>
          <w:szCs w:val="18"/>
        </w:rPr>
        <w:t>2）</w:t>
        <w:tab/>
      </w:r>
      <w:r>
        <w:rPr>
          <w:color w:val="000000"/>
          <w:spacing w:val="0"/>
          <w:w w:val="100"/>
          <w:position w:val="0"/>
        </w:rPr>
        <w:t>处置子公司或业务</w:t>
      </w:r>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①一般处理方法</w:t>
      </w:r>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在本期内，本公司处置子公司或业务，则该子公司或业务期初至处置日的收入、费用、利润纳入合并利润表；该子公司 或业务期初至处置日的现金流量纳入合并现金流量表。</w:t>
      </w:r>
    </w:p>
    <w:p>
      <w:pPr>
        <w:pStyle w:val="Style21"/>
        <w:keepNext w:val="0"/>
        <w:keepLines w:val="0"/>
        <w:widowControl w:val="0"/>
        <w:shd w:val="clear" w:color="auto" w:fill="auto"/>
        <w:bidi w:val="0"/>
        <w:spacing w:before="0" w:after="0" w:line="470" w:lineRule="exact"/>
        <w:ind w:left="0" w:right="0"/>
        <w:jc w:val="both"/>
        <w:sectPr>
          <w:footnotePr>
            <w:pos w:val="pageBottom"/>
            <w:numFmt w:val="decimal"/>
            <w:numRestart w:val="continuous"/>
          </w:footnotePr>
          <w:pgSz w:w="11900" w:h="16840"/>
          <w:pgMar w:top="932" w:right="1023" w:bottom="1201" w:left="1109" w:header="0" w:footer="3" w:gutter="0"/>
          <w:cols w:space="720"/>
          <w:noEndnote/>
          <w:rtlGutter w:val="0"/>
          <w:docGrid w:linePitch="360"/>
        </w:sectPr>
      </w:pPr>
      <w:r>
        <w:rPr>
          <w:color w:val="000000"/>
          <w:spacing w:val="0"/>
          <w:w w:val="100"/>
          <w:position w:val="0"/>
        </w:rPr>
        <w:t>因处置部分股权投资或其他原因丧失了对被投资方控制权时，对于处置后的剩余股权投资，本公司按照其在丧失控制权</w:t>
      </w:r>
    </w:p>
    <w:p>
      <w:pPr>
        <w:pStyle w:val="Style59"/>
        <w:keepNext w:val="0"/>
        <w:keepLines w:val="0"/>
        <w:widowControl w:val="0"/>
        <w:shd w:val="clear" w:color="auto" w:fill="auto"/>
        <w:bidi w:val="0"/>
        <w:spacing w:before="0" w:after="0" w:line="240" w:lineRule="auto"/>
        <w:ind w:left="0" w:right="0" w:firstLine="140"/>
        <w:jc w:val="left"/>
      </w:pPr>
      <w:r>
        <w:rPr>
          <w:spacing w:val="0"/>
          <w:w w:val="100"/>
          <w:position w:val="0"/>
        </w:rPr>
        <w:t>材#乐心医疗</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rPr>
        <w:t>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因其他投资方对子公司增资而导致本公司持股比例下降从而丧失控制权的，按照上述原则进行会计处理。</w:t>
      </w:r>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②分步处置子公司</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1"/>
        <w:keepNext w:val="0"/>
        <w:keepLines w:val="0"/>
        <w:widowControl w:val="0"/>
        <w:numPr>
          <w:ilvl w:val="0"/>
          <w:numId w:val="7"/>
        </w:numPr>
        <w:shd w:val="clear" w:color="auto" w:fill="auto"/>
        <w:bidi w:val="0"/>
        <w:spacing w:before="0" w:after="0" w:line="470" w:lineRule="exact"/>
        <w:ind w:left="0" w:right="0" w:firstLine="380"/>
        <w:jc w:val="both"/>
      </w:pPr>
      <w:bookmarkStart w:id="696" w:name="bookmark696"/>
      <w:bookmarkEnd w:id="696"/>
      <w:r>
        <w:rPr>
          <w:color w:val="000000"/>
          <w:spacing w:val="0"/>
          <w:w w:val="100"/>
          <w:position w:val="0"/>
        </w:rPr>
        <w:t>这些交易是同时或者在考虑了彼此影响的情况下订立的；</w:t>
      </w:r>
    </w:p>
    <w:p>
      <w:pPr>
        <w:pStyle w:val="Style21"/>
        <w:keepNext w:val="0"/>
        <w:keepLines w:val="0"/>
        <w:widowControl w:val="0"/>
        <w:numPr>
          <w:ilvl w:val="0"/>
          <w:numId w:val="7"/>
        </w:numPr>
        <w:shd w:val="clear" w:color="auto" w:fill="auto"/>
        <w:tabs>
          <w:tab w:pos="767" w:val="left"/>
        </w:tabs>
        <w:bidi w:val="0"/>
        <w:spacing w:before="0" w:after="0" w:line="470" w:lineRule="exact"/>
        <w:ind w:left="0" w:right="0" w:firstLine="380"/>
        <w:jc w:val="both"/>
      </w:pPr>
      <w:bookmarkStart w:id="697" w:name="bookmark697"/>
      <w:bookmarkEnd w:id="697"/>
      <w:r>
        <w:rPr>
          <w:color w:val="000000"/>
          <w:spacing w:val="0"/>
          <w:w w:val="100"/>
          <w:position w:val="0"/>
        </w:rPr>
        <w:t>这些交易整体才能达成一项完整的商业结果；</w:t>
      </w:r>
    </w:p>
    <w:p>
      <w:pPr>
        <w:pStyle w:val="Style21"/>
        <w:keepNext w:val="0"/>
        <w:keepLines w:val="0"/>
        <w:widowControl w:val="0"/>
        <w:numPr>
          <w:ilvl w:val="0"/>
          <w:numId w:val="7"/>
        </w:numPr>
        <w:shd w:val="clear" w:color="auto" w:fill="auto"/>
        <w:tabs>
          <w:tab w:pos="786" w:val="left"/>
        </w:tabs>
        <w:bidi w:val="0"/>
        <w:spacing w:before="0" w:after="0" w:line="470" w:lineRule="exact"/>
        <w:ind w:left="0" w:right="0" w:firstLine="380"/>
        <w:jc w:val="both"/>
      </w:pPr>
      <w:bookmarkStart w:id="698" w:name="bookmark698"/>
      <w:bookmarkEnd w:id="698"/>
      <w:r>
        <w:rPr>
          <w:color w:val="000000"/>
          <w:spacing w:val="0"/>
          <w:w w:val="100"/>
          <w:position w:val="0"/>
        </w:rPr>
        <w:t>一项交易的发生取决于其他至少一项交易的发生；</w:t>
      </w:r>
    </w:p>
    <w:p>
      <w:pPr>
        <w:pStyle w:val="Style21"/>
        <w:keepNext w:val="0"/>
        <w:keepLines w:val="0"/>
        <w:widowControl w:val="0"/>
        <w:numPr>
          <w:ilvl w:val="0"/>
          <w:numId w:val="7"/>
        </w:numPr>
        <w:shd w:val="clear" w:color="auto" w:fill="auto"/>
        <w:tabs>
          <w:tab w:pos="786" w:val="left"/>
        </w:tabs>
        <w:bidi w:val="0"/>
        <w:spacing w:before="0" w:after="0" w:line="470" w:lineRule="exact"/>
        <w:ind w:left="0" w:right="0" w:firstLine="380"/>
        <w:jc w:val="both"/>
      </w:pPr>
      <w:bookmarkStart w:id="699" w:name="bookmark699"/>
      <w:bookmarkEnd w:id="699"/>
      <w:r>
        <w:rPr>
          <w:color w:val="000000"/>
          <w:spacing w:val="0"/>
          <w:w w:val="100"/>
          <w:position w:val="0"/>
        </w:rPr>
        <w:t>一项交易单独看是不经济的，但是和其他交易一并考虑时是经济的。</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1"/>
        <w:keepNext w:val="0"/>
        <w:keepLines w:val="0"/>
        <w:widowControl w:val="0"/>
        <w:numPr>
          <w:ilvl w:val="0"/>
          <w:numId w:val="9"/>
        </w:numPr>
        <w:shd w:val="clear" w:color="auto" w:fill="auto"/>
        <w:tabs>
          <w:tab w:pos="440" w:val="left"/>
        </w:tabs>
        <w:bidi w:val="0"/>
        <w:spacing w:before="0" w:after="0" w:line="470" w:lineRule="exact"/>
        <w:ind w:left="0" w:right="0" w:firstLine="0"/>
        <w:jc w:val="left"/>
      </w:pPr>
      <w:bookmarkStart w:id="700" w:name="bookmark700"/>
      <w:bookmarkEnd w:id="700"/>
      <w:r>
        <w:rPr>
          <w:color w:val="000000"/>
          <w:spacing w:val="0"/>
          <w:w w:val="100"/>
          <w:position w:val="0"/>
        </w:rPr>
        <w:t>购买子公司少数股权</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1"/>
        <w:keepNext w:val="0"/>
        <w:keepLines w:val="0"/>
        <w:widowControl w:val="0"/>
        <w:numPr>
          <w:ilvl w:val="0"/>
          <w:numId w:val="9"/>
        </w:numPr>
        <w:shd w:val="clear" w:color="auto" w:fill="auto"/>
        <w:tabs>
          <w:tab w:pos="440" w:val="left"/>
        </w:tabs>
        <w:bidi w:val="0"/>
        <w:spacing w:before="0" w:after="0" w:line="470" w:lineRule="exact"/>
        <w:ind w:left="360" w:right="0" w:hanging="360"/>
        <w:jc w:val="left"/>
      </w:pPr>
      <w:bookmarkStart w:id="701" w:name="bookmark701"/>
      <w:bookmarkEnd w:id="701"/>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21"/>
        <w:keepNext w:val="0"/>
        <w:keepLines w:val="0"/>
        <w:widowControl w:val="0"/>
        <w:shd w:val="clear" w:color="auto" w:fill="auto"/>
        <w:bidi w:val="0"/>
        <w:spacing w:before="0" w:after="460" w:line="470" w:lineRule="exact"/>
        <w:ind w:left="0" w:right="0" w:firstLine="0"/>
        <w:jc w:val="left"/>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3"/>
        <w:keepNext/>
        <w:keepLines/>
        <w:widowControl w:val="0"/>
        <w:shd w:val="clear" w:color="auto" w:fill="auto"/>
        <w:bidi w:val="0"/>
        <w:spacing w:before="0" w:after="1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7</w:t>
      </w:r>
      <w:bookmarkEnd w:id="704"/>
      <w:r>
        <w:rPr>
          <w:color w:val="000000"/>
          <w:spacing w:val="0"/>
          <w:w w:val="100"/>
          <w:position w:val="0"/>
        </w:rPr>
        <w:t>、合营安排分类及共同经营会计处理方法</w:t>
      </w:r>
      <w:bookmarkEnd w:id="702"/>
      <w:bookmarkEnd w:id="703"/>
      <w:bookmarkEnd w:id="705"/>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合营安排分为共同经营和合营企业。</w:t>
      </w:r>
    </w:p>
    <w:p>
      <w:pPr>
        <w:pStyle w:val="Style21"/>
        <w:keepNext w:val="0"/>
        <w:keepLines w:val="0"/>
        <w:widowControl w:val="0"/>
        <w:shd w:val="clear" w:color="auto" w:fill="auto"/>
        <w:bidi w:val="0"/>
        <w:spacing w:before="0" w:after="0" w:line="470" w:lineRule="exact"/>
        <w:ind w:left="0" w:right="0"/>
        <w:jc w:val="left"/>
      </w:pPr>
      <w:r>
        <w:rPr>
          <w:color w:val="000000"/>
          <w:spacing w:val="0"/>
          <w:w w:val="100"/>
          <w:position w:val="0"/>
        </w:rPr>
        <w:t>当本公司是合营安排的合营方，享有该安排相关资产且承担该安排相关负债时，为共同经营。</w:t>
      </w:r>
    </w:p>
    <w:p>
      <w:pPr>
        <w:pStyle w:val="Style21"/>
        <w:keepNext w:val="0"/>
        <w:keepLines w:val="0"/>
        <w:widowControl w:val="0"/>
        <w:shd w:val="clear" w:color="auto" w:fill="auto"/>
        <w:bidi w:val="0"/>
        <w:spacing w:before="0" w:line="470" w:lineRule="exact"/>
        <w:ind w:left="0" w:right="0"/>
        <w:jc w:val="left"/>
        <w:sectPr>
          <w:footnotePr>
            <w:pos w:val="pageBottom"/>
            <w:numFmt w:val="decimal"/>
            <w:numRestart w:val="continuous"/>
          </w:footnotePr>
          <w:pgSz w:w="11900" w:h="16840"/>
          <w:pgMar w:top="932" w:right="1033" w:bottom="1201" w:left="1109" w:header="0" w:footer="3" w:gutter="0"/>
          <w:cols w:space="720"/>
          <w:noEndnote/>
          <w:rtlGutter w:val="0"/>
          <w:docGrid w:linePitch="360"/>
        </w:sectPr>
      </w:pPr>
      <w:r>
        <w:rPr>
          <w:color w:val="000000"/>
          <w:spacing w:val="0"/>
          <w:w w:val="100"/>
          <w:position w:val="0"/>
        </w:rPr>
        <w:t>本公司确认与共同经营中利益份额相关的下列项目，并按照相关企业会计准则的规定进行会计处理：</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numPr>
          <w:ilvl w:val="0"/>
          <w:numId w:val="11"/>
        </w:numPr>
        <w:shd w:val="clear" w:color="auto" w:fill="auto"/>
        <w:tabs>
          <w:tab w:pos="825" w:val="left"/>
        </w:tabs>
        <w:bidi w:val="0"/>
        <w:spacing w:before="0" w:after="0" w:line="469" w:lineRule="exact"/>
        <w:ind w:left="0" w:right="0" w:firstLine="380"/>
        <w:jc w:val="left"/>
      </w:pPr>
      <w:bookmarkStart w:id="706" w:name="bookmark706"/>
      <w:bookmarkEnd w:id="706"/>
      <w:r>
        <w:rPr>
          <w:color w:val="000000"/>
          <w:spacing w:val="0"/>
          <w:w w:val="100"/>
          <w:position w:val="0"/>
        </w:rPr>
        <w:t>确认本公司单独所持有的资产，以及按本公司份额确认共同持有的资产；</w:t>
      </w:r>
    </w:p>
    <w:p>
      <w:pPr>
        <w:pStyle w:val="Style21"/>
        <w:keepNext w:val="0"/>
        <w:keepLines w:val="0"/>
        <w:widowControl w:val="0"/>
        <w:numPr>
          <w:ilvl w:val="0"/>
          <w:numId w:val="11"/>
        </w:numPr>
        <w:shd w:val="clear" w:color="auto" w:fill="auto"/>
        <w:tabs>
          <w:tab w:pos="825" w:val="left"/>
        </w:tabs>
        <w:bidi w:val="0"/>
        <w:spacing w:before="0" w:after="0" w:line="469" w:lineRule="exact"/>
        <w:ind w:left="0" w:right="0" w:firstLine="380"/>
        <w:jc w:val="left"/>
      </w:pPr>
      <w:bookmarkStart w:id="707" w:name="bookmark707"/>
      <w:bookmarkEnd w:id="707"/>
      <w:r>
        <w:rPr>
          <w:color w:val="000000"/>
          <w:spacing w:val="0"/>
          <w:w w:val="100"/>
          <w:position w:val="0"/>
        </w:rPr>
        <w:t>确认本公司单独所承担的负债，以及按本公司份额确认共同承担的负债；</w:t>
      </w:r>
    </w:p>
    <w:p>
      <w:pPr>
        <w:pStyle w:val="Style21"/>
        <w:keepNext w:val="0"/>
        <w:keepLines w:val="0"/>
        <w:widowControl w:val="0"/>
        <w:numPr>
          <w:ilvl w:val="0"/>
          <w:numId w:val="11"/>
        </w:numPr>
        <w:shd w:val="clear" w:color="auto" w:fill="auto"/>
        <w:tabs>
          <w:tab w:pos="825" w:val="left"/>
        </w:tabs>
        <w:bidi w:val="0"/>
        <w:spacing w:before="0" w:after="0" w:line="469" w:lineRule="exact"/>
        <w:ind w:left="0" w:right="0" w:firstLine="380"/>
        <w:jc w:val="left"/>
      </w:pPr>
      <w:bookmarkStart w:id="708" w:name="bookmark708"/>
      <w:bookmarkEnd w:id="708"/>
      <w:r>
        <w:rPr>
          <w:color w:val="000000"/>
          <w:spacing w:val="0"/>
          <w:w w:val="100"/>
          <w:position w:val="0"/>
        </w:rPr>
        <w:t>确认出售本公司享有的共同经营产出份额所产生的收入；</w:t>
      </w:r>
    </w:p>
    <w:p>
      <w:pPr>
        <w:pStyle w:val="Style21"/>
        <w:keepNext w:val="0"/>
        <w:keepLines w:val="0"/>
        <w:widowControl w:val="0"/>
        <w:numPr>
          <w:ilvl w:val="0"/>
          <w:numId w:val="11"/>
        </w:numPr>
        <w:shd w:val="clear" w:color="auto" w:fill="auto"/>
        <w:tabs>
          <w:tab w:pos="825" w:val="left"/>
        </w:tabs>
        <w:bidi w:val="0"/>
        <w:spacing w:before="0" w:after="0" w:line="469" w:lineRule="exact"/>
        <w:ind w:left="0" w:right="0" w:firstLine="380"/>
        <w:jc w:val="left"/>
      </w:pPr>
      <w:bookmarkStart w:id="709" w:name="bookmark709"/>
      <w:bookmarkEnd w:id="709"/>
      <w:r>
        <w:rPr>
          <w:color w:val="000000"/>
          <w:spacing w:val="0"/>
          <w:w w:val="100"/>
          <w:position w:val="0"/>
        </w:rPr>
        <w:t>按本公司份额确认共同经营因出售产出所产生的收入；</w:t>
      </w:r>
    </w:p>
    <w:p>
      <w:pPr>
        <w:pStyle w:val="Style21"/>
        <w:keepNext w:val="0"/>
        <w:keepLines w:val="0"/>
        <w:widowControl w:val="0"/>
        <w:numPr>
          <w:ilvl w:val="0"/>
          <w:numId w:val="11"/>
        </w:numPr>
        <w:shd w:val="clear" w:color="auto" w:fill="auto"/>
        <w:tabs>
          <w:tab w:pos="825" w:val="left"/>
        </w:tabs>
        <w:bidi w:val="0"/>
        <w:spacing w:before="0" w:after="0" w:line="469" w:lineRule="exact"/>
        <w:ind w:left="0" w:right="0" w:firstLine="380"/>
        <w:jc w:val="left"/>
      </w:pPr>
      <w:bookmarkStart w:id="710" w:name="bookmark710"/>
      <w:bookmarkEnd w:id="710"/>
      <w:r>
        <w:rPr>
          <w:color w:val="000000"/>
          <w:spacing w:val="0"/>
          <w:w w:val="100"/>
          <w:position w:val="0"/>
        </w:rPr>
        <w:t>确认单独所发生的费用，以及按本公司份额确认共同经营发生的费用。</w:t>
      </w:r>
    </w:p>
    <w:p>
      <w:pPr>
        <w:pStyle w:val="Style21"/>
        <w:keepNext w:val="0"/>
        <w:keepLines w:val="0"/>
        <w:widowControl w:val="0"/>
        <w:shd w:val="clear" w:color="auto" w:fill="auto"/>
        <w:bidi w:val="0"/>
        <w:spacing w:before="0" w:after="460" w:line="469" w:lineRule="exact"/>
        <w:ind w:left="0" w:right="0" w:firstLine="380"/>
        <w:jc w:val="left"/>
      </w:pPr>
      <w:r>
        <w:rPr>
          <w:color w:val="000000"/>
          <w:spacing w:val="0"/>
          <w:w w:val="100"/>
          <w:position w:val="0"/>
        </w:rPr>
        <w:t>本公司对合营企业投资的会计政策见本附注“五</w:t>
      </w:r>
      <w:r>
        <w:rPr>
          <w:color w:val="000000"/>
          <w:spacing w:val="0"/>
          <w:w w:val="100"/>
          <w:position w:val="0"/>
          <w:sz w:val="18"/>
          <w:szCs w:val="18"/>
        </w:rPr>
        <w:t>14</w:t>
      </w:r>
      <w:r>
        <w:rPr>
          <w:color w:val="000000"/>
          <w:spacing w:val="0"/>
          <w:w w:val="100"/>
          <w:position w:val="0"/>
        </w:rPr>
        <w:t>、长期股权投资”。</w:t>
      </w:r>
    </w:p>
    <w:p>
      <w:pPr>
        <w:pStyle w:val="Style33"/>
        <w:keepNext/>
        <w:keepLines/>
        <w:widowControl w:val="0"/>
        <w:shd w:val="clear" w:color="auto" w:fill="auto"/>
        <w:tabs>
          <w:tab w:pos="386"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w:t>
        <w:tab/>
        <w:t>现金及现金等价物的确定标准</w:t>
      </w:r>
      <w:bookmarkEnd w:id="711"/>
      <w:bookmarkEnd w:id="712"/>
      <w:bookmarkEnd w:id="714"/>
    </w:p>
    <w:p>
      <w:pPr>
        <w:pStyle w:val="Style21"/>
        <w:keepNext w:val="0"/>
        <w:keepLines w:val="0"/>
        <w:widowControl w:val="0"/>
        <w:shd w:val="clear" w:color="auto" w:fill="auto"/>
        <w:bidi w:val="0"/>
        <w:spacing w:before="0" w:after="720" w:line="317" w:lineRule="exact"/>
        <w:ind w:left="0" w:right="0" w:firstLine="380"/>
        <w:jc w:val="left"/>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3"/>
        <w:keepNext/>
        <w:keepLines/>
        <w:widowControl w:val="0"/>
        <w:shd w:val="clear" w:color="auto" w:fill="auto"/>
        <w:tabs>
          <w:tab w:pos="386" w:val="left"/>
        </w:tabs>
        <w:bidi w:val="0"/>
        <w:spacing w:before="0" w:after="1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9</w:t>
      </w:r>
      <w:bookmarkEnd w:id="717"/>
      <w:r>
        <w:rPr>
          <w:color w:val="000000"/>
          <w:spacing w:val="0"/>
          <w:w w:val="100"/>
          <w:position w:val="0"/>
        </w:rPr>
        <w:t>、</w:t>
        <w:tab/>
        <w:t>外币业务和外币报表折算</w:t>
      </w:r>
      <w:bookmarkEnd w:id="715"/>
      <w:bookmarkEnd w:id="716"/>
      <w:bookmarkEnd w:id="718"/>
    </w:p>
    <w:p>
      <w:pPr>
        <w:pStyle w:val="Style21"/>
        <w:keepNext w:val="0"/>
        <w:keepLines w:val="0"/>
        <w:widowControl w:val="0"/>
        <w:shd w:val="clear" w:color="auto" w:fill="auto"/>
        <w:tabs>
          <w:tab w:pos="386" w:val="left"/>
        </w:tabs>
        <w:bidi w:val="0"/>
        <w:spacing w:before="0" w:after="0" w:line="469" w:lineRule="exact"/>
        <w:ind w:left="0" w:right="0" w:firstLine="0"/>
        <w:jc w:val="left"/>
      </w:pPr>
      <w:bookmarkStart w:id="719" w:name="bookmark719"/>
      <w:r>
        <w:rPr>
          <w:color w:val="000000"/>
          <w:spacing w:val="0"/>
          <w:w w:val="100"/>
          <w:position w:val="0"/>
          <w:sz w:val="18"/>
          <w:szCs w:val="18"/>
        </w:rPr>
        <w:t>1</w:t>
      </w:r>
      <w:bookmarkEnd w:id="719"/>
      <w:r>
        <w:rPr>
          <w:color w:val="000000"/>
          <w:spacing w:val="0"/>
          <w:w w:val="100"/>
          <w:position w:val="0"/>
        </w:rPr>
        <w:t>、</w:t>
        <w:tab/>
        <w:t>外币业务</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外币业务采用交易发生日当月第</w:t>
      </w:r>
      <w:r>
        <w:rPr>
          <w:color w:val="000000"/>
          <w:spacing w:val="0"/>
          <w:w w:val="100"/>
          <w:position w:val="0"/>
          <w:sz w:val="18"/>
          <w:szCs w:val="18"/>
        </w:rPr>
        <w:t>1</w:t>
      </w:r>
      <w:r>
        <w:rPr>
          <w:color w:val="000000"/>
          <w:spacing w:val="0"/>
          <w:w w:val="100"/>
          <w:position w:val="0"/>
        </w:rPr>
        <w:t>个工作日国家外管局公布的汇率中间价作为折算汇率将外币金额折合成人民币记账。 外币货币性项目余额按资产负债表日国家外管局公布的汇率中间价汇率折算，由此产生的汇兑差额，除属于与购建符合 资本化条件的资产相关的外币专门借款产生的汇兑差额按照借款费用资本化的原则处理外，均计入当期损益。</w:t>
      </w:r>
    </w:p>
    <w:p>
      <w:pPr>
        <w:pStyle w:val="Style21"/>
        <w:keepNext w:val="0"/>
        <w:keepLines w:val="0"/>
        <w:widowControl w:val="0"/>
        <w:shd w:val="clear" w:color="auto" w:fill="auto"/>
        <w:tabs>
          <w:tab w:pos="386" w:val="left"/>
        </w:tabs>
        <w:bidi w:val="0"/>
        <w:spacing w:before="0" w:after="0" w:line="469" w:lineRule="exact"/>
        <w:ind w:left="0" w:right="0" w:firstLine="0"/>
        <w:jc w:val="left"/>
      </w:pPr>
      <w:bookmarkStart w:id="720" w:name="bookmark720"/>
      <w:r>
        <w:rPr>
          <w:color w:val="000000"/>
          <w:spacing w:val="0"/>
          <w:w w:val="100"/>
          <w:position w:val="0"/>
          <w:sz w:val="18"/>
          <w:szCs w:val="18"/>
        </w:rPr>
        <w:t>2</w:t>
      </w:r>
      <w:bookmarkEnd w:id="720"/>
      <w:r>
        <w:rPr>
          <w:color w:val="000000"/>
          <w:spacing w:val="0"/>
          <w:w w:val="100"/>
          <w:position w:val="0"/>
        </w:rPr>
        <w:t>、</w:t>
        <w:tab/>
        <w:t>外币财务报表的折算</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资产负债表中的资产和负债项目，采用资产负债表日的国家外管局公布的汇率中间价折算；所有者权益项目除“未分配 利润”项目外，其他项目采用交易发生时当月第</w:t>
      </w:r>
      <w:r>
        <w:rPr>
          <w:color w:val="000000"/>
          <w:spacing w:val="0"/>
          <w:w w:val="100"/>
          <w:position w:val="0"/>
          <w:sz w:val="18"/>
          <w:szCs w:val="18"/>
        </w:rPr>
        <w:t>1</w:t>
      </w:r>
      <w:r>
        <w:rPr>
          <w:color w:val="000000"/>
          <w:spacing w:val="0"/>
          <w:w w:val="100"/>
          <w:position w:val="0"/>
        </w:rPr>
        <w:t>个工作日国家外管局公布的汇率中间价折算。利润表中的收入和费用项目， 采用交易发生时当月第</w:t>
      </w:r>
      <w:r>
        <w:rPr>
          <w:color w:val="000000"/>
          <w:spacing w:val="0"/>
          <w:w w:val="100"/>
          <w:position w:val="0"/>
          <w:sz w:val="18"/>
          <w:szCs w:val="18"/>
        </w:rPr>
        <w:t>1</w:t>
      </w:r>
      <w:r>
        <w:rPr>
          <w:color w:val="000000"/>
          <w:spacing w:val="0"/>
          <w:w w:val="100"/>
          <w:position w:val="0"/>
        </w:rPr>
        <w:t>个工作日国家外管局公布的汇率中间价折算。</w:t>
      </w:r>
    </w:p>
    <w:p>
      <w:pPr>
        <w:pStyle w:val="Style21"/>
        <w:keepNext w:val="0"/>
        <w:keepLines w:val="0"/>
        <w:widowControl w:val="0"/>
        <w:shd w:val="clear" w:color="auto" w:fill="auto"/>
        <w:bidi w:val="0"/>
        <w:spacing w:before="0" w:after="460" w:line="469" w:lineRule="exact"/>
        <w:ind w:left="0" w:right="0" w:firstLine="380"/>
        <w:jc w:val="left"/>
      </w:pPr>
      <w:r>
        <w:rPr>
          <w:color w:val="000000"/>
          <w:spacing w:val="0"/>
          <w:w w:val="100"/>
          <w:position w:val="0"/>
        </w:rPr>
        <w:t>处置境外经营时，将与该境外经营相关的外币财务报表折算差额，自所有者权益项目转入处置当期损益；部分处置境外 经营的，按处置的比例计算处置部分的外币财务报表折算差额，转入处置当期损益。</w:t>
      </w:r>
    </w:p>
    <w:p>
      <w:pPr>
        <w:pStyle w:val="Style33"/>
        <w:keepNext/>
        <w:keepLines/>
        <w:widowControl w:val="0"/>
        <w:shd w:val="clear" w:color="auto" w:fill="auto"/>
        <w:tabs>
          <w:tab w:pos="474" w:val="left"/>
        </w:tabs>
        <w:bidi w:val="0"/>
        <w:spacing w:before="0" w:after="1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21"/>
      <w:bookmarkEnd w:id="722"/>
      <w:bookmarkEnd w:id="724"/>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金融工具包括金融资产、金融负债和权益工具。</w:t>
      </w:r>
    </w:p>
    <w:p>
      <w:pPr>
        <w:pStyle w:val="Style21"/>
        <w:keepNext w:val="0"/>
        <w:keepLines w:val="0"/>
        <w:widowControl w:val="0"/>
        <w:shd w:val="clear" w:color="auto" w:fill="auto"/>
        <w:tabs>
          <w:tab w:pos="386" w:val="left"/>
        </w:tabs>
        <w:bidi w:val="0"/>
        <w:spacing w:before="0" w:after="0" w:line="470" w:lineRule="exact"/>
        <w:ind w:left="0" w:right="0" w:firstLine="0"/>
        <w:jc w:val="left"/>
      </w:pPr>
      <w:bookmarkStart w:id="725" w:name="bookmark725"/>
      <w:r>
        <w:rPr>
          <w:color w:val="000000"/>
          <w:spacing w:val="0"/>
          <w:w w:val="100"/>
          <w:position w:val="0"/>
          <w:sz w:val="18"/>
          <w:szCs w:val="18"/>
        </w:rPr>
        <w:t>1</w:t>
      </w:r>
      <w:bookmarkEnd w:id="725"/>
      <w:r>
        <w:rPr>
          <w:color w:val="000000"/>
          <w:spacing w:val="0"/>
          <w:w w:val="100"/>
          <w:position w:val="0"/>
        </w:rPr>
        <w:t>、</w:t>
        <w:tab/>
        <w:t>金融工具的分类</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或金融负债，包括交易性金融资产或金融负债；持有至到期投资；应收款项；可供出售金融资产；其他金融负债等。</w:t>
      </w:r>
    </w:p>
    <w:p>
      <w:pPr>
        <w:pStyle w:val="Style21"/>
        <w:keepNext w:val="0"/>
        <w:keepLines w:val="0"/>
        <w:widowControl w:val="0"/>
        <w:shd w:val="clear" w:color="auto" w:fill="auto"/>
        <w:tabs>
          <w:tab w:pos="386" w:val="left"/>
        </w:tabs>
        <w:bidi w:val="0"/>
        <w:spacing w:before="0" w:after="0" w:line="470" w:lineRule="exact"/>
        <w:ind w:left="0" w:right="0" w:firstLine="0"/>
        <w:jc w:val="left"/>
      </w:pPr>
      <w:bookmarkStart w:id="726" w:name="bookmark726"/>
      <w:r>
        <w:rPr>
          <w:color w:val="000000"/>
          <w:spacing w:val="0"/>
          <w:w w:val="100"/>
          <w:position w:val="0"/>
          <w:sz w:val="18"/>
          <w:szCs w:val="18"/>
        </w:rPr>
        <w:t>2</w:t>
      </w:r>
      <w:bookmarkEnd w:id="726"/>
      <w:r>
        <w:rPr>
          <w:color w:val="000000"/>
          <w:spacing w:val="0"/>
          <w:w w:val="100"/>
          <w:position w:val="0"/>
        </w:rPr>
        <w:t>、</w:t>
        <w:tab/>
        <w:t>金融工具的确认依据和计量方法</w:t>
      </w:r>
    </w:p>
    <w:p>
      <w:pPr>
        <w:pStyle w:val="Style21"/>
        <w:keepNext w:val="0"/>
        <w:keepLines w:val="0"/>
        <w:widowControl w:val="0"/>
        <w:numPr>
          <w:ilvl w:val="0"/>
          <w:numId w:val="13"/>
        </w:numPr>
        <w:shd w:val="clear" w:color="auto" w:fill="auto"/>
        <w:bidi w:val="0"/>
        <w:spacing w:before="0" w:after="180" w:line="470" w:lineRule="exact"/>
        <w:ind w:left="0" w:right="0" w:firstLine="380"/>
        <w:jc w:val="left"/>
        <w:sectPr>
          <w:footnotePr>
            <w:pos w:val="pageBottom"/>
            <w:numFmt w:val="decimal"/>
            <w:numRestart w:val="continuous"/>
          </w:footnotePr>
          <w:pgSz w:w="11900" w:h="16840"/>
          <w:pgMar w:top="932" w:right="1023" w:bottom="1201" w:left="1104" w:header="0" w:footer="3" w:gutter="0"/>
          <w:cols w:space="720"/>
          <w:noEndnote/>
          <w:rtlGutter w:val="0"/>
          <w:docGrid w:linePitch="360"/>
        </w:sectPr>
      </w:pPr>
      <w:bookmarkStart w:id="727" w:name="bookmark727"/>
      <w:bookmarkEnd w:id="727"/>
      <w:r>
        <w:rPr>
          <w:color w:val="000000"/>
          <w:spacing w:val="0"/>
          <w:w w:val="100"/>
          <w:position w:val="0"/>
        </w:rPr>
        <w:t>以公允价值计量且其变动计入当期损益的金融资产(金融负债)</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材中乐心医疗</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持有期间将取得的利息或现金股利确认为投资收益，期末将公允价值变动计入当期损益。其中，计算套期工具远期外汇 结汇（售汇）合约的期末公允价值适用汇率时按照资产负债表日国家外管局公布的汇率中间价与各银行外汇买入平均价孰高 （孰低）确定。</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728" w:name="bookmark728"/>
      <w:r>
        <w:rPr>
          <w:color w:val="000000"/>
          <w:spacing w:val="0"/>
          <w:w w:val="100"/>
          <w:position w:val="0"/>
          <w:sz w:val="18"/>
          <w:szCs w:val="18"/>
        </w:rPr>
        <w:t>（</w:t>
      </w:r>
      <w:bookmarkEnd w:id="728"/>
      <w:r>
        <w:rPr>
          <w:color w:val="000000"/>
          <w:spacing w:val="0"/>
          <w:w w:val="100"/>
          <w:position w:val="0"/>
          <w:sz w:val="18"/>
          <w:szCs w:val="18"/>
        </w:rPr>
        <w:t>2）</w:t>
        <w:tab/>
      </w:r>
      <w:r>
        <w:rPr>
          <w:color w:val="000000"/>
          <w:spacing w:val="0"/>
          <w:w w:val="100"/>
          <w:position w:val="0"/>
        </w:rPr>
        <w:t>持有至到期投资</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处置时，将所取得价款与该投资账面价值之间的差额计入投资收益。</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729" w:name="bookmark729"/>
      <w:r>
        <w:rPr>
          <w:color w:val="000000"/>
          <w:spacing w:val="0"/>
          <w:w w:val="100"/>
          <w:position w:val="0"/>
          <w:sz w:val="18"/>
          <w:szCs w:val="18"/>
        </w:rPr>
        <w:t>（</w:t>
      </w:r>
      <w:bookmarkEnd w:id="729"/>
      <w:r>
        <w:rPr>
          <w:color w:val="000000"/>
          <w:spacing w:val="0"/>
          <w:w w:val="100"/>
          <w:position w:val="0"/>
          <w:sz w:val="18"/>
          <w:szCs w:val="18"/>
        </w:rPr>
        <w:t>3）</w:t>
        <w:tab/>
      </w:r>
      <w:r>
        <w:rPr>
          <w:color w:val="000000"/>
          <w:spacing w:val="0"/>
          <w:w w:val="100"/>
          <w:position w:val="0"/>
        </w:rPr>
        <w:t>应收款项</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收回或处置时，将取得的价款与该应收款项账面价值之间的差额计入当期损益。</w:t>
      </w:r>
    </w:p>
    <w:p>
      <w:pPr>
        <w:pStyle w:val="Style21"/>
        <w:keepNext w:val="0"/>
        <w:keepLines w:val="0"/>
        <w:widowControl w:val="0"/>
        <w:shd w:val="clear" w:color="auto" w:fill="auto"/>
        <w:tabs>
          <w:tab w:pos="921" w:val="left"/>
        </w:tabs>
        <w:bidi w:val="0"/>
        <w:spacing w:before="0" w:after="0" w:line="469" w:lineRule="exact"/>
        <w:ind w:left="380" w:right="0" w:firstLine="0"/>
        <w:jc w:val="left"/>
      </w:pPr>
      <w:bookmarkStart w:id="730" w:name="bookmark730"/>
      <w:r>
        <w:rPr>
          <w:color w:val="000000"/>
          <w:spacing w:val="0"/>
          <w:w w:val="100"/>
          <w:position w:val="0"/>
          <w:sz w:val="18"/>
          <w:szCs w:val="18"/>
        </w:rPr>
        <w:t>（</w:t>
      </w:r>
      <w:bookmarkEnd w:id="730"/>
      <w:r>
        <w:rPr>
          <w:color w:val="000000"/>
          <w:spacing w:val="0"/>
          <w:w w:val="100"/>
          <w:position w:val="0"/>
          <w:sz w:val="18"/>
          <w:szCs w:val="18"/>
        </w:rPr>
        <w:t>4）</w:t>
        <w:tab/>
      </w:r>
      <w:r>
        <w:rPr>
          <w:color w:val="000000"/>
          <w:spacing w:val="0"/>
          <w:w w:val="100"/>
          <w:position w:val="0"/>
        </w:rPr>
        <w:t>可供出售金融资产 取得时按公允价值（扣除已宣告但尚未发放的现金股利或已到付息期但尚未领取的债券利息）和相关交易费用之和作为</w:t>
      </w:r>
    </w:p>
    <w:p>
      <w:pPr>
        <w:pStyle w:val="Style21"/>
        <w:keepNext w:val="0"/>
        <w:keepLines w:val="0"/>
        <w:widowControl w:val="0"/>
        <w:shd w:val="clear" w:color="auto" w:fill="auto"/>
        <w:bidi w:val="0"/>
        <w:spacing w:before="0" w:after="0" w:line="469" w:lineRule="exact"/>
        <w:ind w:left="0" w:right="0" w:firstLine="0"/>
        <w:jc w:val="left"/>
      </w:pPr>
      <w:r>
        <w:rPr>
          <w:color w:val="000000"/>
          <w:spacing w:val="0"/>
          <w:w w:val="100"/>
          <w:position w:val="0"/>
        </w:rPr>
        <w:t>初始确认金额。</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1"/>
        <w:keepNext w:val="0"/>
        <w:keepLines w:val="0"/>
        <w:widowControl w:val="0"/>
        <w:shd w:val="clear" w:color="auto" w:fill="auto"/>
        <w:tabs>
          <w:tab w:pos="825" w:val="left"/>
        </w:tabs>
        <w:bidi w:val="0"/>
        <w:spacing w:before="0" w:after="0" w:line="469" w:lineRule="exact"/>
        <w:ind w:left="0" w:right="0" w:firstLine="380"/>
        <w:jc w:val="left"/>
      </w:pPr>
      <w:bookmarkStart w:id="731" w:name="bookmark731"/>
      <w:r>
        <w:rPr>
          <w:color w:val="000000"/>
          <w:spacing w:val="0"/>
          <w:w w:val="100"/>
          <w:position w:val="0"/>
          <w:sz w:val="18"/>
          <w:szCs w:val="18"/>
        </w:rPr>
        <w:t>（</w:t>
      </w:r>
      <w:bookmarkEnd w:id="731"/>
      <w:r>
        <w:rPr>
          <w:color w:val="000000"/>
          <w:spacing w:val="0"/>
          <w:w w:val="100"/>
          <w:position w:val="0"/>
          <w:sz w:val="18"/>
          <w:szCs w:val="18"/>
        </w:rPr>
        <w:t>5）</w:t>
        <w:tab/>
      </w:r>
      <w:r>
        <w:rPr>
          <w:color w:val="000000"/>
          <w:spacing w:val="0"/>
          <w:w w:val="100"/>
          <w:position w:val="0"/>
        </w:rPr>
        <w:t>其他金融负债</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按其公允价值和相关交易费用之和作为初始确认金额。采用摊余成本进行后续计量。</w:t>
      </w:r>
    </w:p>
    <w:p>
      <w:pPr>
        <w:pStyle w:val="Style21"/>
        <w:keepNext w:val="0"/>
        <w:keepLines w:val="0"/>
        <w:widowControl w:val="0"/>
        <w:shd w:val="clear" w:color="auto" w:fill="auto"/>
        <w:bidi w:val="0"/>
        <w:spacing w:before="0" w:after="0" w:line="469" w:lineRule="exact"/>
        <w:ind w:left="0" w:right="0" w:firstLine="0"/>
        <w:jc w:val="left"/>
      </w:pPr>
      <w:bookmarkStart w:id="732" w:name="bookmark732"/>
      <w:r>
        <w:rPr>
          <w:color w:val="000000"/>
          <w:spacing w:val="0"/>
          <w:w w:val="100"/>
          <w:position w:val="0"/>
          <w:sz w:val="18"/>
          <w:szCs w:val="18"/>
        </w:rPr>
        <w:t>3</w:t>
      </w:r>
      <w:bookmarkEnd w:id="732"/>
      <w:r>
        <w:rPr>
          <w:color w:val="000000"/>
          <w:spacing w:val="0"/>
          <w:w w:val="100"/>
          <w:position w:val="0"/>
        </w:rPr>
        <w:t>、金融资产转移的确认依据和计量方法</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1"/>
        <w:keepNext w:val="0"/>
        <w:keepLines w:val="0"/>
        <w:widowControl w:val="0"/>
        <w:shd w:val="clear" w:color="auto" w:fill="auto"/>
        <w:bidi w:val="0"/>
        <w:spacing w:before="0" w:after="0" w:line="469" w:lineRule="exact"/>
        <w:ind w:left="0" w:right="0" w:firstLine="380"/>
        <w:jc w:val="both"/>
        <w:sectPr>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在判断金融资产转移是否满足上述金融资产终止确认条件时，采用实质重于形式的原则。公司将金融资产转移区分为金</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融资产整体转移和部分转移。金融资产整体转移满足终止确认条件的，将下列两项金额的差额计入当期损益：</w:t>
      </w:r>
    </w:p>
    <w:p>
      <w:pPr>
        <w:pStyle w:val="Style21"/>
        <w:keepNext w:val="0"/>
        <w:keepLines w:val="0"/>
        <w:widowControl w:val="0"/>
        <w:shd w:val="clear" w:color="auto" w:fill="auto"/>
        <w:tabs>
          <w:tab w:pos="825" w:val="left"/>
        </w:tabs>
        <w:bidi w:val="0"/>
        <w:spacing w:before="0" w:after="0" w:line="472" w:lineRule="exact"/>
        <w:ind w:left="0" w:right="0" w:firstLine="38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1）</w:t>
        <w:tab/>
      </w:r>
      <w:r>
        <w:rPr>
          <w:color w:val="000000"/>
          <w:spacing w:val="0"/>
          <w:w w:val="100"/>
          <w:position w:val="0"/>
        </w:rPr>
        <w:t>所转移金融资产的账面价值；</w:t>
      </w:r>
    </w:p>
    <w:p>
      <w:pPr>
        <w:pStyle w:val="Style21"/>
        <w:keepNext w:val="0"/>
        <w:keepLines w:val="0"/>
        <w:widowControl w:val="0"/>
        <w:shd w:val="clear" w:color="auto" w:fill="auto"/>
        <w:tabs>
          <w:tab w:pos="901" w:val="left"/>
        </w:tabs>
        <w:bidi w:val="0"/>
        <w:spacing w:before="0" w:after="0" w:line="472" w:lineRule="exact"/>
        <w:ind w:left="0" w:right="0" w:firstLine="38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1"/>
        <w:keepNext w:val="0"/>
        <w:keepLines w:val="0"/>
        <w:widowControl w:val="0"/>
        <w:shd w:val="clear" w:color="auto" w:fill="auto"/>
        <w:tabs>
          <w:tab w:pos="825" w:val="left"/>
        </w:tabs>
        <w:bidi w:val="0"/>
        <w:spacing w:before="0" w:after="0" w:line="472" w:lineRule="exact"/>
        <w:ind w:left="0" w:right="0" w:firstLine="38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1）</w:t>
        <w:tab/>
      </w:r>
      <w:r>
        <w:rPr>
          <w:color w:val="000000"/>
          <w:spacing w:val="0"/>
          <w:w w:val="100"/>
          <w:position w:val="0"/>
        </w:rPr>
        <w:t>终止确认部分的账面价值；</w:t>
      </w:r>
    </w:p>
    <w:p>
      <w:pPr>
        <w:pStyle w:val="Style21"/>
        <w:keepNext w:val="0"/>
        <w:keepLines w:val="0"/>
        <w:widowControl w:val="0"/>
        <w:shd w:val="clear" w:color="auto" w:fill="auto"/>
        <w:tabs>
          <w:tab w:pos="901" w:val="left"/>
        </w:tabs>
        <w:bidi w:val="0"/>
        <w:spacing w:before="0" w:after="0" w:line="472" w:lineRule="exact"/>
        <w:ind w:left="0" w:right="0" w:firstLine="380"/>
        <w:jc w:val="both"/>
      </w:pPr>
      <w:bookmarkStart w:id="736" w:name="bookmark736"/>
      <w:r>
        <w:rPr>
          <w:color w:val="000000"/>
          <w:spacing w:val="0"/>
          <w:w w:val="100"/>
          <w:position w:val="0"/>
          <w:sz w:val="18"/>
          <w:szCs w:val="18"/>
        </w:rPr>
        <w:t>（</w:t>
      </w:r>
      <w:bookmarkEnd w:id="736"/>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1"/>
        <w:keepNext w:val="0"/>
        <w:keepLines w:val="0"/>
        <w:widowControl w:val="0"/>
        <w:shd w:val="clear" w:color="auto" w:fill="auto"/>
        <w:tabs>
          <w:tab w:pos="424" w:val="left"/>
        </w:tabs>
        <w:bidi w:val="0"/>
        <w:spacing w:before="0" w:after="0" w:line="472" w:lineRule="exact"/>
        <w:ind w:left="0" w:right="0" w:firstLine="0"/>
        <w:jc w:val="left"/>
      </w:pPr>
      <w:bookmarkStart w:id="737" w:name="bookmark737"/>
      <w:r>
        <w:rPr>
          <w:color w:val="000000"/>
          <w:spacing w:val="0"/>
          <w:w w:val="100"/>
          <w:position w:val="0"/>
          <w:sz w:val="18"/>
          <w:szCs w:val="18"/>
        </w:rPr>
        <w:t>4</w:t>
      </w:r>
      <w:bookmarkEnd w:id="737"/>
      <w:r>
        <w:rPr>
          <w:color w:val="000000"/>
          <w:spacing w:val="0"/>
          <w:w w:val="100"/>
          <w:position w:val="0"/>
        </w:rPr>
        <w:t>、</w:t>
        <w:tab/>
        <w:t>金融负债终止确认条件</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1"/>
        <w:keepNext w:val="0"/>
        <w:keepLines w:val="0"/>
        <w:widowControl w:val="0"/>
        <w:shd w:val="clear" w:color="auto" w:fill="auto"/>
        <w:tabs>
          <w:tab w:pos="424" w:val="left"/>
        </w:tabs>
        <w:bidi w:val="0"/>
        <w:spacing w:before="0" w:after="0" w:line="472" w:lineRule="exact"/>
        <w:ind w:left="0" w:right="0" w:firstLine="0"/>
        <w:jc w:val="left"/>
      </w:pPr>
      <w:bookmarkStart w:id="738" w:name="bookmark738"/>
      <w:r>
        <w:rPr>
          <w:color w:val="000000"/>
          <w:spacing w:val="0"/>
          <w:w w:val="100"/>
          <w:position w:val="0"/>
          <w:sz w:val="18"/>
          <w:szCs w:val="18"/>
        </w:rPr>
        <w:t>5</w:t>
      </w:r>
      <w:bookmarkEnd w:id="738"/>
      <w:r>
        <w:rPr>
          <w:color w:val="000000"/>
          <w:spacing w:val="0"/>
          <w:w w:val="100"/>
          <w:position w:val="0"/>
        </w:rPr>
        <w:t>、</w:t>
        <w:tab/>
        <w:t>金融资产和金融负债公允价值的确定方法</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本公司采用公允价值计量的金融资产和金融负债全部直接参考活跃市场中的报价</w:t>
      </w:r>
    </w:p>
    <w:p>
      <w:pPr>
        <w:pStyle w:val="Style21"/>
        <w:keepNext w:val="0"/>
        <w:keepLines w:val="0"/>
        <w:widowControl w:val="0"/>
        <w:shd w:val="clear" w:color="auto" w:fill="auto"/>
        <w:tabs>
          <w:tab w:pos="424" w:val="left"/>
        </w:tabs>
        <w:bidi w:val="0"/>
        <w:spacing w:before="0" w:after="0" w:line="472" w:lineRule="exact"/>
        <w:ind w:left="0" w:right="0" w:firstLine="0"/>
        <w:jc w:val="left"/>
      </w:pPr>
      <w:bookmarkStart w:id="739" w:name="bookmark739"/>
      <w:r>
        <w:rPr>
          <w:color w:val="000000"/>
          <w:spacing w:val="0"/>
          <w:w w:val="100"/>
          <w:position w:val="0"/>
          <w:sz w:val="18"/>
          <w:szCs w:val="18"/>
        </w:rPr>
        <w:t>6</w:t>
      </w:r>
      <w:bookmarkEnd w:id="739"/>
      <w:r>
        <w:rPr>
          <w:color w:val="000000"/>
          <w:spacing w:val="0"/>
          <w:w w:val="100"/>
          <w:position w:val="0"/>
        </w:rPr>
        <w:t>、</w:t>
        <w:tab/>
        <w:t>金融资产（不含应收款项）减值准备计提</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1"/>
        <w:keepNext w:val="0"/>
        <w:keepLines w:val="0"/>
        <w:widowControl w:val="0"/>
        <w:shd w:val="clear" w:color="auto" w:fill="auto"/>
        <w:bidi w:val="0"/>
        <w:spacing w:before="0" w:after="0" w:line="472" w:lineRule="exact"/>
        <w:ind w:left="0" w:right="0" w:firstLine="38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1）</w:t>
      </w:r>
      <w:r>
        <w:rPr>
          <w:color w:val="000000"/>
          <w:spacing w:val="0"/>
          <w:w w:val="100"/>
          <w:position w:val="0"/>
        </w:rPr>
        <w:t>可供出售金融资产的减值准备：</w:t>
      </w:r>
    </w:p>
    <w:p>
      <w:pPr>
        <w:pStyle w:val="Style21"/>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1"/>
        <w:keepNext w:val="0"/>
        <w:keepLines w:val="0"/>
        <w:widowControl w:val="0"/>
        <w:shd w:val="clear" w:color="auto" w:fill="auto"/>
        <w:bidi w:val="0"/>
        <w:spacing w:before="0" w:after="0" w:line="472" w:lineRule="exact"/>
        <w:ind w:left="0" w:right="0" w:firstLine="380"/>
        <w:jc w:val="both"/>
        <w:sectPr>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对于已确认减值损失的可供出售债务工具，在随后的会计期间公允价值已上升且客观上与确认原减值损失确认后发生的</w:t>
      </w:r>
    </w:p>
    <w:p>
      <w:pPr>
        <w:pStyle w:val="Style21"/>
        <w:keepNext w:val="0"/>
        <w:keepLines w:val="0"/>
        <w:widowControl w:val="0"/>
        <w:shd w:val="clear" w:color="auto" w:fill="auto"/>
        <w:bidi w:val="0"/>
        <w:spacing w:before="80" w:after="260" w:line="240" w:lineRule="auto"/>
        <w:ind w:left="0" w:right="0" w:firstLine="0"/>
        <w:jc w:val="left"/>
      </w:pPr>
      <w:r>
        <w:rPr>
          <w:color w:val="000000"/>
          <w:spacing w:val="0"/>
          <w:w w:val="100"/>
          <w:position w:val="0"/>
        </w:rPr>
        <w:t>事项有关的，原确认的减值损失予以转回，计入当期损益。</w:t>
      </w:r>
    </w:p>
    <w:p>
      <w:pPr>
        <w:pStyle w:val="Style21"/>
        <w:keepNext w:val="0"/>
        <w:keepLines w:val="0"/>
        <w:widowControl w:val="0"/>
        <w:shd w:val="clear" w:color="auto" w:fill="auto"/>
        <w:bidi w:val="0"/>
        <w:spacing w:before="0" w:after="260" w:line="240" w:lineRule="auto"/>
        <w:ind w:left="0" w:right="0"/>
        <w:jc w:val="left"/>
      </w:pPr>
      <w:r>
        <w:rPr>
          <w:color w:val="000000"/>
          <w:spacing w:val="0"/>
          <w:w w:val="100"/>
          <w:position w:val="0"/>
        </w:rPr>
        <w:t>可供出售权益工具投资发生的减值损失，不得通过损益转回。</w:t>
      </w:r>
    </w:p>
    <w:p>
      <w:pPr>
        <w:pStyle w:val="Style21"/>
        <w:keepNext w:val="0"/>
        <w:keepLines w:val="0"/>
        <w:widowControl w:val="0"/>
        <w:shd w:val="clear" w:color="auto" w:fill="auto"/>
        <w:bidi w:val="0"/>
        <w:spacing w:before="0" w:after="260" w:line="240" w:lineRule="auto"/>
        <w:ind w:left="0" w:right="0"/>
        <w:jc w:val="left"/>
      </w:pPr>
      <w:bookmarkStart w:id="741" w:name="bookmark741"/>
      <w:r>
        <w:rPr>
          <w:color w:val="000000"/>
          <w:spacing w:val="0"/>
          <w:w w:val="100"/>
          <w:position w:val="0"/>
          <w:sz w:val="18"/>
          <w:szCs w:val="18"/>
        </w:rPr>
        <w:t>（</w:t>
      </w:r>
      <w:bookmarkEnd w:id="741"/>
      <w:r>
        <w:rPr>
          <w:color w:val="000000"/>
          <w:spacing w:val="0"/>
          <w:w w:val="100"/>
          <w:position w:val="0"/>
          <w:sz w:val="18"/>
          <w:szCs w:val="18"/>
        </w:rPr>
        <w:t>2）</w:t>
      </w:r>
      <w:r>
        <w:rPr>
          <w:color w:val="000000"/>
          <w:spacing w:val="0"/>
          <w:w w:val="100"/>
          <w:position w:val="0"/>
        </w:rPr>
        <w:t>持有至到期投资的减值准备：</w:t>
      </w:r>
    </w:p>
    <w:p>
      <w:pPr>
        <w:pStyle w:val="Style21"/>
        <w:keepNext w:val="0"/>
        <w:keepLines w:val="0"/>
        <w:widowControl w:val="0"/>
        <w:shd w:val="clear" w:color="auto" w:fill="auto"/>
        <w:bidi w:val="0"/>
        <w:spacing w:before="0" w:after="460" w:line="240" w:lineRule="auto"/>
        <w:ind w:left="0" w:right="0"/>
        <w:jc w:val="left"/>
      </w:pPr>
      <w:r>
        <w:rPr>
          <w:color w:val="000000"/>
          <w:spacing w:val="0"/>
          <w:w w:val="100"/>
          <w:position w:val="0"/>
        </w:rPr>
        <w:t>持有至到期投资减值损失的计量比照应收款项减值损失计量方法处理。</w:t>
      </w:r>
    </w:p>
    <w:p>
      <w:pPr>
        <w:pStyle w:val="Style33"/>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2"/>
      <w:bookmarkEnd w:id="743"/>
      <w:bookmarkEnd w:id="745"/>
    </w:p>
    <w:p>
      <w:pPr>
        <w:pStyle w:val="Style40"/>
        <w:keepNext/>
        <w:keepLines/>
        <w:widowControl w:val="0"/>
        <w:shd w:val="clear" w:color="auto" w:fill="auto"/>
        <w:bidi w:val="0"/>
        <w:spacing w:before="0" w:after="34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46"/>
      <w:bookmarkEnd w:id="747"/>
      <w:bookmarkEnd w:id="74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占期末应收款项</w:t>
            </w:r>
            <w:r>
              <w:rPr>
                <w:color w:val="000000"/>
                <w:spacing w:val="0"/>
                <w:w w:val="100"/>
                <w:position w:val="0"/>
                <w:sz w:val="18"/>
                <w:szCs w:val="18"/>
              </w:rPr>
              <w:t>5%</w:t>
            </w:r>
            <w:r>
              <w:rPr>
                <w:rFonts w:ascii="SimSun" w:eastAsia="SimSun" w:hAnsi="SimSun" w:cs="SimSun"/>
                <w:color w:val="000000"/>
                <w:spacing w:val="0"/>
                <w:w w:val="100"/>
                <w:position w:val="0"/>
                <w:sz w:val="17"/>
                <w:szCs w:val="17"/>
              </w:rPr>
              <w:t>以上且账面余额</w:t>
            </w:r>
            <w:r>
              <w:rPr>
                <w:color w:val="000000"/>
                <w:spacing w:val="0"/>
                <w:w w:val="100"/>
                <w:position w:val="0"/>
                <w:sz w:val="18"/>
                <w:szCs w:val="18"/>
              </w:rPr>
              <w:t>200</w:t>
            </w:r>
            <w:r>
              <w:rPr>
                <w:rFonts w:ascii="SimSun" w:eastAsia="SimSun" w:hAnsi="SimSun" w:cs="SimSun"/>
                <w:color w:val="000000"/>
                <w:spacing w:val="0"/>
                <w:w w:val="100"/>
                <w:position w:val="0"/>
                <w:sz w:val="17"/>
                <w:szCs w:val="17"/>
              </w:rPr>
              <w:t>万元以上的款项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按应收款项个别认定及账龄分析法相结合计提</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50"/>
      <w:bookmarkEnd w:id="751"/>
      <w:bookmarkEnd w:id="75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按账龄分析法计提坏账准备的应收款项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内部及关联方应收款项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9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rFonts w:ascii="SimSun" w:eastAsia="SimSun" w:hAnsi="SimSun" w:cs="SimSun"/>
                <w:color w:val="000000"/>
                <w:spacing w:val="0"/>
                <w:w w:val="100"/>
                <w:position w:val="0"/>
                <w:sz w:val="17"/>
                <w:szCs w:val="17"/>
              </w:rPr>
              <w:t>一</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54"/>
      <w:bookmarkEnd w:id="755"/>
      <w:bookmarkEnd w:id="75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涉及诉讼或对应收款项金额存在争议的应收款项。</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单独进行减值测试，如果客观证据表明其发生了减值的， 根据其未来现金流量低于其账面价值的差额确认减值损 失。</w:t>
            </w:r>
          </w:p>
        </w:tc>
      </w:tr>
    </w:tbl>
    <w:p>
      <w:pPr>
        <w:pStyle w:val="Style33"/>
        <w:keepNext/>
        <w:keepLines/>
        <w:widowControl w:val="0"/>
        <w:shd w:val="clear" w:color="auto" w:fill="auto"/>
        <w:bidi w:val="0"/>
        <w:spacing w:before="0" w:after="400" w:line="240" w:lineRule="auto"/>
        <w:ind w:left="0" w:right="0" w:firstLine="0"/>
        <w:jc w:val="both"/>
      </w:pPr>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8"/>
      <w:bookmarkEnd w:id="759"/>
      <w:bookmarkEnd w:id="760"/>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1"/>
        <w:keepNext w:val="0"/>
        <w:keepLines w:val="0"/>
        <w:widowControl w:val="0"/>
        <w:shd w:val="clear" w:color="auto" w:fill="auto"/>
        <w:tabs>
          <w:tab w:pos="706" w:val="left"/>
        </w:tabs>
        <w:bidi w:val="0"/>
        <w:spacing w:before="0" w:after="0" w:line="468" w:lineRule="exact"/>
        <w:ind w:left="0" w:right="0" w:firstLine="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tab/>
      </w:r>
      <w:r>
        <w:rPr>
          <w:color w:val="000000"/>
          <w:spacing w:val="0"/>
          <w:w w:val="100"/>
          <w:position w:val="0"/>
        </w:rPr>
        <w:t>存货的分类</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存货分类为：在途物资、原材料、周转材料、库存商品、在产品、发出商品、委托加工物资、消耗性生物资产等。</w:t>
      </w:r>
    </w:p>
    <w:p>
      <w:pPr>
        <w:pStyle w:val="Style21"/>
        <w:keepNext w:val="0"/>
        <w:keepLines w:val="0"/>
        <w:widowControl w:val="0"/>
        <w:shd w:val="clear" w:color="auto" w:fill="auto"/>
        <w:tabs>
          <w:tab w:pos="706" w:val="left"/>
        </w:tabs>
        <w:bidi w:val="0"/>
        <w:spacing w:before="0" w:after="0" w:line="468" w:lineRule="exact"/>
        <w:ind w:left="0" w:right="0" w:firstLine="0"/>
        <w:jc w:val="left"/>
      </w:pPr>
      <w:bookmarkStart w:id="762" w:name="bookmark762"/>
      <w:r>
        <w:rPr>
          <w:color w:val="000000"/>
          <w:spacing w:val="0"/>
          <w:w w:val="100"/>
          <w:position w:val="0"/>
          <w:sz w:val="18"/>
          <w:szCs w:val="18"/>
        </w:rPr>
        <w:t>（</w:t>
      </w:r>
      <w:bookmarkEnd w:id="762"/>
      <w:r>
        <w:rPr>
          <w:color w:val="000000"/>
          <w:spacing w:val="0"/>
          <w:w w:val="100"/>
          <w:position w:val="0"/>
          <w:sz w:val="18"/>
          <w:szCs w:val="18"/>
        </w:rPr>
        <w:t>2）</w:t>
        <w:tab/>
      </w:r>
      <w:r>
        <w:rPr>
          <w:color w:val="000000"/>
          <w:spacing w:val="0"/>
          <w:w w:val="100"/>
          <w:position w:val="0"/>
        </w:rPr>
        <w:t>发出存货的计价方法</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存货发出时按加权平均法计价。</w:t>
      </w:r>
    </w:p>
    <w:p>
      <w:pPr>
        <w:pStyle w:val="Style21"/>
        <w:keepNext w:val="0"/>
        <w:keepLines w:val="0"/>
        <w:widowControl w:val="0"/>
        <w:shd w:val="clear" w:color="auto" w:fill="auto"/>
        <w:tabs>
          <w:tab w:pos="706" w:val="left"/>
        </w:tabs>
        <w:bidi w:val="0"/>
        <w:spacing w:before="0" w:after="0" w:line="468" w:lineRule="exact"/>
        <w:ind w:left="0" w:right="0" w:firstLine="0"/>
        <w:jc w:val="left"/>
      </w:pPr>
      <w:bookmarkStart w:id="763" w:name="bookmark763"/>
      <w:r>
        <w:rPr>
          <w:color w:val="000000"/>
          <w:spacing w:val="0"/>
          <w:w w:val="100"/>
          <w:position w:val="0"/>
          <w:sz w:val="18"/>
          <w:szCs w:val="18"/>
        </w:rPr>
        <w:t>（</w:t>
      </w:r>
      <w:bookmarkEnd w:id="763"/>
      <w:r>
        <w:rPr>
          <w:color w:val="000000"/>
          <w:spacing w:val="0"/>
          <w:w w:val="100"/>
          <w:position w:val="0"/>
          <w:sz w:val="18"/>
          <w:szCs w:val="18"/>
        </w:rPr>
        <w:t>3）</w:t>
        <w:tab/>
      </w:r>
      <w:r>
        <w:rPr>
          <w:color w:val="000000"/>
          <w:spacing w:val="0"/>
          <w:w w:val="100"/>
          <w:position w:val="0"/>
        </w:rPr>
        <w:t>存货可变现净值的确定依据及存货跌价准备的计提方法</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期末对存货进行全面清查后，按存货的成本与可变现净值孰低提取或调整存货跌价准备。</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除有明确证据表明资产负债表日市场价格异常外，存货项目的可变现净值以资产负债表日市场价格为基础确定。</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资产负债表日市场价格异常的判断依据为：</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本期期末存货项目的可变现净值以资产负债表日市场价格为基础确定。</w:t>
      </w:r>
    </w:p>
    <w:p>
      <w:pPr>
        <w:pStyle w:val="Style21"/>
        <w:keepNext w:val="0"/>
        <w:keepLines w:val="0"/>
        <w:widowControl w:val="0"/>
        <w:shd w:val="clear" w:color="auto" w:fill="auto"/>
        <w:tabs>
          <w:tab w:pos="706" w:val="left"/>
        </w:tabs>
        <w:bidi w:val="0"/>
        <w:spacing w:before="0" w:after="0" w:line="468" w:lineRule="exact"/>
        <w:ind w:left="0" w:right="0" w:firstLine="0"/>
        <w:jc w:val="left"/>
      </w:pPr>
      <w:bookmarkStart w:id="764" w:name="bookmark764"/>
      <w:r>
        <w:rPr>
          <w:color w:val="000000"/>
          <w:spacing w:val="0"/>
          <w:w w:val="100"/>
          <w:position w:val="0"/>
          <w:sz w:val="18"/>
          <w:szCs w:val="18"/>
        </w:rPr>
        <w:t>（</w:t>
      </w:r>
      <w:bookmarkEnd w:id="764"/>
      <w:r>
        <w:rPr>
          <w:color w:val="000000"/>
          <w:spacing w:val="0"/>
          <w:w w:val="100"/>
          <w:position w:val="0"/>
          <w:sz w:val="18"/>
          <w:szCs w:val="18"/>
        </w:rPr>
        <w:t>4）</w:t>
        <w:tab/>
      </w:r>
      <w:r>
        <w:rPr>
          <w:color w:val="000000"/>
          <w:spacing w:val="0"/>
          <w:w w:val="100"/>
          <w:position w:val="0"/>
        </w:rPr>
        <w:t>存货的盘存制度</w:t>
      </w:r>
    </w:p>
    <w:p>
      <w:pPr>
        <w:pStyle w:val="Style21"/>
        <w:keepNext w:val="0"/>
        <w:keepLines w:val="0"/>
        <w:widowControl w:val="0"/>
        <w:shd w:val="clear" w:color="auto" w:fill="auto"/>
        <w:bidi w:val="0"/>
        <w:spacing w:before="0" w:after="0" w:line="468" w:lineRule="exact"/>
        <w:ind w:left="0" w:right="0"/>
        <w:jc w:val="both"/>
      </w:pPr>
      <w:r>
        <w:rPr>
          <w:color w:val="000000"/>
          <w:spacing w:val="0"/>
          <w:w w:val="100"/>
          <w:position w:val="0"/>
        </w:rPr>
        <w:t>采用永续盘存制。</w:t>
      </w:r>
    </w:p>
    <w:p>
      <w:pPr>
        <w:pStyle w:val="Style21"/>
        <w:keepNext w:val="0"/>
        <w:keepLines w:val="0"/>
        <w:widowControl w:val="0"/>
        <w:shd w:val="clear" w:color="auto" w:fill="auto"/>
        <w:tabs>
          <w:tab w:pos="706" w:val="left"/>
        </w:tabs>
        <w:bidi w:val="0"/>
        <w:spacing w:before="0" w:after="0" w:line="468" w:lineRule="exact"/>
        <w:ind w:left="0" w:right="0" w:firstLine="0"/>
        <w:jc w:val="left"/>
      </w:pPr>
      <w:bookmarkStart w:id="765" w:name="bookmark765"/>
      <w:r>
        <w:rPr>
          <w:color w:val="000000"/>
          <w:spacing w:val="0"/>
          <w:w w:val="100"/>
          <w:position w:val="0"/>
          <w:sz w:val="18"/>
          <w:szCs w:val="18"/>
        </w:rPr>
        <w:t>（</w:t>
      </w:r>
      <w:bookmarkEnd w:id="765"/>
      <w:r>
        <w:rPr>
          <w:color w:val="000000"/>
          <w:spacing w:val="0"/>
          <w:w w:val="100"/>
          <w:position w:val="0"/>
          <w:sz w:val="18"/>
          <w:szCs w:val="18"/>
        </w:rPr>
        <w:t>5）</w:t>
        <w:tab/>
      </w:r>
      <w:r>
        <w:rPr>
          <w:color w:val="000000"/>
          <w:spacing w:val="0"/>
          <w:w w:val="100"/>
          <w:position w:val="0"/>
        </w:rPr>
        <w:t>低值易耗品和包装物的摊销方法</w:t>
      </w:r>
    </w:p>
    <w:p>
      <w:pPr>
        <w:pStyle w:val="Style21"/>
        <w:keepNext w:val="0"/>
        <w:keepLines w:val="0"/>
        <w:widowControl w:val="0"/>
        <w:shd w:val="clear" w:color="auto" w:fill="auto"/>
        <w:tabs>
          <w:tab w:pos="709" w:val="left"/>
        </w:tabs>
        <w:bidi w:val="0"/>
        <w:spacing w:before="0" w:after="0" w:line="468" w:lineRule="exact"/>
        <w:ind w:left="0" w:right="0"/>
        <w:jc w:val="both"/>
      </w:pPr>
      <w:bookmarkStart w:id="766" w:name="bookmark766"/>
      <w:r>
        <w:rPr>
          <w:color w:val="000000"/>
          <w:spacing w:val="0"/>
          <w:w w:val="100"/>
          <w:position w:val="0"/>
          <w:sz w:val="18"/>
          <w:szCs w:val="18"/>
        </w:rPr>
        <w:t>1</w:t>
      </w:r>
      <w:bookmarkEnd w:id="766"/>
      <w:r>
        <w:rPr>
          <w:color w:val="000000"/>
          <w:spacing w:val="0"/>
          <w:w w:val="100"/>
          <w:position w:val="0"/>
          <w:sz w:val="18"/>
          <w:szCs w:val="18"/>
        </w:rPr>
        <w:t>）</w:t>
        <w:tab/>
      </w:r>
      <w:r>
        <w:rPr>
          <w:color w:val="000000"/>
          <w:spacing w:val="0"/>
          <w:w w:val="100"/>
          <w:position w:val="0"/>
        </w:rPr>
        <w:t>低值易耗品采用一次转销法；</w:t>
      </w:r>
    </w:p>
    <w:p>
      <w:pPr>
        <w:pStyle w:val="Style21"/>
        <w:keepNext w:val="0"/>
        <w:keepLines w:val="0"/>
        <w:widowControl w:val="0"/>
        <w:shd w:val="clear" w:color="auto" w:fill="auto"/>
        <w:tabs>
          <w:tab w:pos="718" w:val="left"/>
        </w:tabs>
        <w:bidi w:val="0"/>
        <w:spacing w:before="0" w:after="480" w:line="468" w:lineRule="exact"/>
        <w:ind w:left="0" w:right="0"/>
        <w:jc w:val="both"/>
      </w:pPr>
      <w:bookmarkStart w:id="767" w:name="bookmark767"/>
      <w:r>
        <w:rPr>
          <w:color w:val="000000"/>
          <w:spacing w:val="0"/>
          <w:w w:val="100"/>
          <w:position w:val="0"/>
          <w:sz w:val="18"/>
          <w:szCs w:val="18"/>
        </w:rPr>
        <w:t>2</w:t>
      </w:r>
      <w:bookmarkEnd w:id="767"/>
      <w:r>
        <w:rPr>
          <w:color w:val="000000"/>
          <w:spacing w:val="0"/>
          <w:w w:val="100"/>
          <w:position w:val="0"/>
          <w:sz w:val="18"/>
          <w:szCs w:val="18"/>
        </w:rPr>
        <w:t>）</w:t>
        <w:tab/>
      </w:r>
      <w:r>
        <w:rPr>
          <w:color w:val="000000"/>
          <w:spacing w:val="0"/>
          <w:w w:val="100"/>
          <w:position w:val="0"/>
        </w:rPr>
        <w:t>包装物采用一次转销法。</w:t>
      </w:r>
    </w:p>
    <w:p>
      <w:pPr>
        <w:pStyle w:val="Style33"/>
        <w:keepNext/>
        <w:keepLines/>
        <w:widowControl w:val="0"/>
        <w:shd w:val="clear" w:color="auto" w:fill="auto"/>
        <w:bidi w:val="0"/>
        <w:spacing w:before="0" w:after="2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68"/>
      <w:bookmarkEnd w:id="769"/>
      <w:bookmarkEnd w:id="771"/>
    </w:p>
    <w:p>
      <w:pPr>
        <w:pStyle w:val="Style21"/>
        <w:keepNext w:val="0"/>
        <w:keepLines w:val="0"/>
        <w:widowControl w:val="0"/>
        <w:shd w:val="clear" w:color="auto" w:fill="auto"/>
        <w:bidi w:val="0"/>
        <w:spacing w:before="0" w:after="80" w:line="468" w:lineRule="exact"/>
        <w:ind w:left="0" w:right="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98" w:right="1131" w:bottom="1580" w:left="1088" w:header="0" w:footer="3" w:gutter="0"/>
          <w:cols w:space="720"/>
          <w:noEndnote/>
          <w:rtlGutter w:val="0"/>
          <w:docGrid w:linePitch="360"/>
        </w:sectPr>
      </w:pPr>
      <w:r>
        <w:rPr>
          <w:color w:val="000000"/>
          <w:spacing w:val="0"/>
          <w:w w:val="100"/>
          <w:position w:val="0"/>
        </w:rPr>
        <w:t>本公司将同时满足下列条件的组成部分（或非流动资产）确认为持有待售：</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tabs>
          <w:tab w:pos="821" w:val="left"/>
        </w:tabs>
        <w:bidi w:val="0"/>
        <w:spacing w:before="0" w:after="0" w:line="468" w:lineRule="exact"/>
        <w:ind w:left="0" w:right="0" w:firstLine="380"/>
        <w:jc w:val="both"/>
      </w:pPr>
      <w:bookmarkStart w:id="772" w:name="bookmark772"/>
      <w:r>
        <w:rPr>
          <w:color w:val="000000"/>
          <w:spacing w:val="0"/>
          <w:w w:val="100"/>
          <w:position w:val="0"/>
          <w:sz w:val="18"/>
          <w:szCs w:val="18"/>
        </w:rPr>
        <w:t>（</w:t>
      </w:r>
      <w:bookmarkEnd w:id="772"/>
      <w:r>
        <w:rPr>
          <w:color w:val="000000"/>
          <w:spacing w:val="0"/>
          <w:w w:val="100"/>
          <w:position w:val="0"/>
          <w:sz w:val="18"/>
          <w:szCs w:val="18"/>
        </w:rPr>
        <w:t>1）</w:t>
        <w:tab/>
      </w:r>
      <w:r>
        <w:rPr>
          <w:color w:val="000000"/>
          <w:spacing w:val="0"/>
          <w:w w:val="100"/>
          <w:position w:val="0"/>
        </w:rPr>
        <w:t>该组成部分必须在其当前状况下仅根据出售此类组成部分的惯常条款即可立即出售；</w:t>
      </w:r>
    </w:p>
    <w:p>
      <w:pPr>
        <w:pStyle w:val="Style21"/>
        <w:keepNext w:val="0"/>
        <w:keepLines w:val="0"/>
        <w:widowControl w:val="0"/>
        <w:shd w:val="clear" w:color="auto" w:fill="auto"/>
        <w:tabs>
          <w:tab w:pos="897" w:val="left"/>
        </w:tabs>
        <w:bidi w:val="0"/>
        <w:spacing w:before="0" w:after="0" w:line="480" w:lineRule="exact"/>
        <w:ind w:left="0" w:right="0" w:firstLine="380"/>
        <w:jc w:val="both"/>
      </w:pPr>
      <w:bookmarkStart w:id="773" w:name="bookmark773"/>
      <w:r>
        <w:rPr>
          <w:color w:val="000000"/>
          <w:spacing w:val="0"/>
          <w:w w:val="100"/>
          <w:position w:val="0"/>
          <w:sz w:val="18"/>
          <w:szCs w:val="18"/>
        </w:rPr>
        <w:t>（</w:t>
      </w:r>
      <w:bookmarkEnd w:id="773"/>
      <w:r>
        <w:rPr>
          <w:color w:val="000000"/>
          <w:spacing w:val="0"/>
          <w:w w:val="100"/>
          <w:position w:val="0"/>
          <w:sz w:val="18"/>
          <w:szCs w:val="18"/>
        </w:rPr>
        <w:t>2）</w:t>
        <w:tab/>
      </w:r>
      <w:r>
        <w:rPr>
          <w:color w:val="000000"/>
          <w:spacing w:val="0"/>
          <w:w w:val="100"/>
          <w:position w:val="0"/>
        </w:rPr>
        <w:t>公司已经就处置该组成部分（或非流动资产）作出决议，如按规定需得到股东批准的，已经取得股东大会或相应 权力机构的批准；</w:t>
      </w:r>
    </w:p>
    <w:p>
      <w:pPr>
        <w:pStyle w:val="Style21"/>
        <w:keepNext w:val="0"/>
        <w:keepLines w:val="0"/>
        <w:widowControl w:val="0"/>
        <w:shd w:val="clear" w:color="auto" w:fill="auto"/>
        <w:tabs>
          <w:tab w:pos="821" w:val="left"/>
        </w:tabs>
        <w:bidi w:val="0"/>
        <w:spacing w:before="0" w:after="0" w:line="468" w:lineRule="exact"/>
        <w:ind w:left="0" w:right="0" w:firstLine="38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3）</w:t>
        <w:tab/>
      </w:r>
      <w:r>
        <w:rPr>
          <w:color w:val="000000"/>
          <w:spacing w:val="0"/>
          <w:w w:val="100"/>
          <w:position w:val="0"/>
        </w:rPr>
        <w:t>公司已与受让方签订了不可撤销的转让协议；</w:t>
      </w:r>
    </w:p>
    <w:p>
      <w:pPr>
        <w:pStyle w:val="Style21"/>
        <w:keepNext w:val="0"/>
        <w:keepLines w:val="0"/>
        <w:widowControl w:val="0"/>
        <w:shd w:val="clear" w:color="auto" w:fill="auto"/>
        <w:tabs>
          <w:tab w:pos="821" w:val="left"/>
        </w:tabs>
        <w:bidi w:val="0"/>
        <w:spacing w:before="0" w:after="460" w:line="468" w:lineRule="exact"/>
        <w:ind w:left="0" w:right="0" w:firstLine="380"/>
        <w:jc w:val="both"/>
      </w:pPr>
      <w:bookmarkStart w:id="775" w:name="bookmark775"/>
      <w:r>
        <w:rPr>
          <w:color w:val="000000"/>
          <w:spacing w:val="0"/>
          <w:w w:val="100"/>
          <w:position w:val="0"/>
          <w:sz w:val="18"/>
          <w:szCs w:val="18"/>
        </w:rPr>
        <w:t>（</w:t>
      </w:r>
      <w:bookmarkEnd w:id="775"/>
      <w:r>
        <w:rPr>
          <w:color w:val="000000"/>
          <w:spacing w:val="0"/>
          <w:w w:val="100"/>
          <w:position w:val="0"/>
          <w:sz w:val="18"/>
          <w:szCs w:val="18"/>
        </w:rPr>
        <w:t>4）</w:t>
        <w:tab/>
      </w:r>
      <w:r>
        <w:rPr>
          <w:color w:val="000000"/>
          <w:spacing w:val="0"/>
          <w:w w:val="100"/>
          <w:position w:val="0"/>
        </w:rPr>
        <w:t>该项转让将在一年内完成。</w:t>
      </w:r>
    </w:p>
    <w:p>
      <w:pPr>
        <w:pStyle w:val="Style33"/>
        <w:keepNext/>
        <w:keepLines/>
        <w:widowControl w:val="0"/>
        <w:shd w:val="clear" w:color="auto" w:fill="auto"/>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76"/>
      <w:bookmarkEnd w:id="777"/>
      <w:bookmarkEnd w:id="779"/>
    </w:p>
    <w:p>
      <w:pPr>
        <w:pStyle w:val="Style21"/>
        <w:keepNext w:val="0"/>
        <w:keepLines w:val="0"/>
        <w:widowControl w:val="0"/>
        <w:shd w:val="clear" w:color="auto" w:fill="auto"/>
        <w:tabs>
          <w:tab w:pos="415" w:val="left"/>
        </w:tabs>
        <w:bidi w:val="0"/>
        <w:spacing w:before="0" w:after="0" w:line="240" w:lineRule="auto"/>
        <w:ind w:left="0" w:right="0" w:firstLine="0"/>
        <w:jc w:val="left"/>
      </w:pPr>
      <w:bookmarkStart w:id="780" w:name="bookmark780"/>
      <w:r>
        <w:rPr>
          <w:color w:val="000000"/>
          <w:spacing w:val="0"/>
          <w:w w:val="100"/>
          <w:position w:val="0"/>
          <w:sz w:val="18"/>
          <w:szCs w:val="18"/>
        </w:rPr>
        <w:t>1</w:t>
      </w:r>
      <w:bookmarkEnd w:id="780"/>
      <w:r>
        <w:rPr>
          <w:color w:val="000000"/>
          <w:spacing w:val="0"/>
          <w:w w:val="100"/>
          <w:position w:val="0"/>
        </w:rPr>
        <w:t>、</w:t>
        <w:tab/>
        <w:t>共同控制、重大影响的判断标准</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1"/>
        <w:keepNext w:val="0"/>
        <w:keepLines w:val="0"/>
        <w:widowControl w:val="0"/>
        <w:shd w:val="clear" w:color="auto" w:fill="auto"/>
        <w:bidi w:val="0"/>
        <w:spacing w:before="0" w:after="160" w:line="466"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的制定。能够对被投资单位施加重大影响的，被投资单位为本公司联营企业。</w:t>
      </w:r>
    </w:p>
    <w:p>
      <w:pPr>
        <w:pStyle w:val="Style21"/>
        <w:keepNext w:val="0"/>
        <w:keepLines w:val="0"/>
        <w:widowControl w:val="0"/>
        <w:shd w:val="clear" w:color="auto" w:fill="auto"/>
        <w:tabs>
          <w:tab w:pos="415" w:val="left"/>
        </w:tabs>
        <w:bidi w:val="0"/>
        <w:spacing w:before="0" w:after="0" w:line="240" w:lineRule="auto"/>
        <w:ind w:left="0" w:right="0" w:firstLine="0"/>
        <w:jc w:val="left"/>
      </w:pPr>
      <w:bookmarkStart w:id="781" w:name="bookmark781"/>
      <w:r>
        <w:rPr>
          <w:color w:val="000000"/>
          <w:spacing w:val="0"/>
          <w:w w:val="100"/>
          <w:position w:val="0"/>
          <w:sz w:val="18"/>
          <w:szCs w:val="18"/>
        </w:rPr>
        <w:t>2</w:t>
      </w:r>
      <w:bookmarkEnd w:id="781"/>
      <w:r>
        <w:rPr>
          <w:color w:val="000000"/>
          <w:spacing w:val="0"/>
          <w:w w:val="100"/>
          <w:position w:val="0"/>
        </w:rPr>
        <w:t>、</w:t>
        <w:tab/>
        <w:t>初始投资成本的确定</w:t>
      </w:r>
    </w:p>
    <w:p>
      <w:pPr>
        <w:pStyle w:val="Style21"/>
        <w:keepNext w:val="0"/>
        <w:keepLines w:val="0"/>
        <w:widowControl w:val="0"/>
        <w:shd w:val="clear" w:color="auto" w:fill="auto"/>
        <w:tabs>
          <w:tab w:pos="821" w:val="left"/>
        </w:tabs>
        <w:bidi w:val="0"/>
        <w:spacing w:before="0" w:after="0" w:line="468" w:lineRule="exact"/>
        <w:ind w:left="0" w:right="0" w:firstLine="38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1）</w:t>
        <w:tab/>
      </w:r>
      <w:r>
        <w:rPr>
          <w:color w:val="000000"/>
          <w:spacing w:val="0"/>
          <w:w w:val="100"/>
          <w:position w:val="0"/>
        </w:rPr>
        <w:t>企业合并形成的长期股权投资</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1"/>
        <w:keepNext w:val="0"/>
        <w:keepLines w:val="0"/>
        <w:widowControl w:val="0"/>
        <w:shd w:val="clear" w:color="auto" w:fill="auto"/>
        <w:tabs>
          <w:tab w:pos="821" w:val="left"/>
        </w:tabs>
        <w:bidi w:val="0"/>
        <w:spacing w:before="0" w:after="0" w:line="468" w:lineRule="exact"/>
        <w:ind w:left="0" w:right="0" w:firstLine="380"/>
        <w:jc w:val="both"/>
      </w:pPr>
      <w:bookmarkStart w:id="783" w:name="bookmark783"/>
      <w:r>
        <w:rPr>
          <w:color w:val="000000"/>
          <w:spacing w:val="0"/>
          <w:w w:val="100"/>
          <w:position w:val="0"/>
          <w:sz w:val="18"/>
          <w:szCs w:val="18"/>
        </w:rPr>
        <w:t>（</w:t>
      </w:r>
      <w:bookmarkEnd w:id="783"/>
      <w:r>
        <w:rPr>
          <w:color w:val="000000"/>
          <w:spacing w:val="0"/>
          <w:w w:val="100"/>
          <w:position w:val="0"/>
          <w:sz w:val="18"/>
          <w:szCs w:val="18"/>
        </w:rPr>
        <w:t>2）</w:t>
        <w:tab/>
      </w:r>
      <w:r>
        <w:rPr>
          <w:color w:val="000000"/>
          <w:spacing w:val="0"/>
          <w:w w:val="100"/>
          <w:position w:val="0"/>
        </w:rPr>
        <w:t>其他方式取得的长期股权投资</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1"/>
        <w:keepNext w:val="0"/>
        <w:keepLines w:val="0"/>
        <w:widowControl w:val="0"/>
        <w:shd w:val="clear" w:color="auto" w:fill="auto"/>
        <w:bidi w:val="0"/>
        <w:spacing w:before="0" w:after="80" w:line="468" w:lineRule="exact"/>
        <w:ind w:left="0" w:right="0" w:firstLine="380"/>
        <w:jc w:val="both"/>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260" w:line="467" w:lineRule="exact"/>
        <w:ind w:left="0" w:right="0" w:firstLine="0"/>
        <w:jc w:val="left"/>
      </w:pPr>
      <w:r>
        <w:rPr>
          <w:color w:val="000000"/>
          <w:spacing w:val="0"/>
          <w:w w:val="100"/>
          <w:position w:val="0"/>
        </w:rPr>
        <w:t>资成本。</w:t>
      </w:r>
    </w:p>
    <w:p>
      <w:pPr>
        <w:pStyle w:val="Style21"/>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通过债务重组取得的长期股权投资，其初始投资成本按照公允价值为基础确定。</w:t>
      </w:r>
    </w:p>
    <w:p>
      <w:pPr>
        <w:pStyle w:val="Style21"/>
        <w:keepNext w:val="0"/>
        <w:keepLines w:val="0"/>
        <w:widowControl w:val="0"/>
        <w:shd w:val="clear" w:color="auto" w:fill="auto"/>
        <w:bidi w:val="0"/>
        <w:spacing w:before="0" w:after="0" w:line="240" w:lineRule="auto"/>
        <w:ind w:left="0" w:right="0" w:firstLine="0"/>
        <w:jc w:val="left"/>
      </w:pPr>
      <w:bookmarkStart w:id="784" w:name="bookmark784"/>
      <w:r>
        <w:rPr>
          <w:color w:val="000000"/>
          <w:spacing w:val="0"/>
          <w:w w:val="100"/>
          <w:position w:val="0"/>
          <w:sz w:val="18"/>
          <w:szCs w:val="18"/>
        </w:rPr>
        <w:t>3</w:t>
      </w:r>
      <w:bookmarkEnd w:id="784"/>
      <w:r>
        <w:rPr>
          <w:color w:val="000000"/>
          <w:spacing w:val="0"/>
          <w:w w:val="100"/>
          <w:position w:val="0"/>
        </w:rPr>
        <w:t>、后续计量及损益确认方法</w:t>
      </w:r>
    </w:p>
    <w:p>
      <w:pPr>
        <w:pStyle w:val="Style21"/>
        <w:keepNext w:val="0"/>
        <w:keepLines w:val="0"/>
        <w:widowControl w:val="0"/>
        <w:shd w:val="clear" w:color="auto" w:fill="auto"/>
        <w:tabs>
          <w:tab w:pos="791" w:val="left"/>
        </w:tabs>
        <w:bidi w:val="0"/>
        <w:spacing w:before="0" w:after="0" w:line="467" w:lineRule="exact"/>
        <w:ind w:left="0" w:right="0" w:firstLine="380"/>
        <w:jc w:val="both"/>
      </w:pPr>
      <w:bookmarkStart w:id="785" w:name="bookmark785"/>
      <w:r>
        <w:rPr>
          <w:color w:val="000000"/>
          <w:spacing w:val="0"/>
          <w:w w:val="100"/>
          <w:position w:val="0"/>
          <w:sz w:val="18"/>
          <w:szCs w:val="18"/>
        </w:rPr>
        <w:t>（</w:t>
      </w:r>
      <w:bookmarkEnd w:id="785"/>
      <w:r>
        <w:rPr>
          <w:color w:val="000000"/>
          <w:spacing w:val="0"/>
          <w:w w:val="100"/>
          <w:position w:val="0"/>
          <w:sz w:val="18"/>
          <w:szCs w:val="18"/>
        </w:rPr>
        <w:t>1）</w:t>
        <w:tab/>
      </w:r>
      <w:r>
        <w:rPr>
          <w:color w:val="000000"/>
          <w:spacing w:val="0"/>
          <w:w w:val="100"/>
          <w:position w:val="0"/>
        </w:rPr>
        <w:t>成本法核算的长期股权投资</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1"/>
        <w:keepNext w:val="0"/>
        <w:keepLines w:val="0"/>
        <w:widowControl w:val="0"/>
        <w:shd w:val="clear" w:color="auto" w:fill="auto"/>
        <w:tabs>
          <w:tab w:pos="791" w:val="left"/>
        </w:tabs>
        <w:bidi w:val="0"/>
        <w:spacing w:before="0" w:after="0" w:line="467" w:lineRule="exact"/>
        <w:ind w:left="0" w:right="0" w:firstLine="38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2）</w:t>
        <w:tab/>
      </w:r>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企业之间发生投出或出售资产的交易，该资产构成业务的，按照本附注''五</w:t>
      </w:r>
      <w:r>
        <w:rPr>
          <w:color w:val="000000"/>
          <w:spacing w:val="0"/>
          <w:w w:val="100"/>
          <w:position w:val="0"/>
          <w:sz w:val="18"/>
          <w:szCs w:val="18"/>
        </w:rPr>
        <w:t>5</w:t>
      </w:r>
      <w:r>
        <w:rPr>
          <w:color w:val="000000"/>
          <w:spacing w:val="0"/>
          <w:w w:val="100"/>
          <w:position w:val="0"/>
        </w:rPr>
        <w:t>、同一控制下和非同一控制下企业合并的会计 处理方法”和“五</w:t>
      </w:r>
      <w:r>
        <w:rPr>
          <w:color w:val="000000"/>
          <w:spacing w:val="0"/>
          <w:w w:val="100"/>
          <w:position w:val="0"/>
          <w:sz w:val="18"/>
          <w:szCs w:val="18"/>
        </w:rPr>
        <w:t>6</w:t>
      </w:r>
      <w:r>
        <w:rPr>
          <w:color w:val="000000"/>
          <w:spacing w:val="0"/>
          <w:w w:val="100"/>
          <w:position w:val="0"/>
        </w:rPr>
        <w:t>、合并财务报表的编制方法”中披露的相关政策进行会计处理。</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1"/>
        <w:keepNext w:val="0"/>
        <w:keepLines w:val="0"/>
        <w:widowControl w:val="0"/>
        <w:shd w:val="clear" w:color="auto" w:fill="auto"/>
        <w:tabs>
          <w:tab w:pos="791" w:val="left"/>
        </w:tabs>
        <w:bidi w:val="0"/>
        <w:spacing w:before="0" w:after="0" w:line="467" w:lineRule="exact"/>
        <w:ind w:left="0" w:right="0" w:firstLine="38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3）</w:t>
        <w:tab/>
      </w:r>
      <w:r>
        <w:rPr>
          <w:color w:val="000000"/>
          <w:spacing w:val="0"/>
          <w:w w:val="100"/>
          <w:position w:val="0"/>
        </w:rPr>
        <w:t>长期股权投资的处置</w:t>
      </w:r>
    </w:p>
    <w:p>
      <w:pPr>
        <w:pStyle w:val="Style21"/>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处置长期股权投资，其账面价值与实际取得价款的差额，计入当期损益。</w:t>
      </w:r>
    </w:p>
    <w:p>
      <w:pPr>
        <w:pStyle w:val="Style21"/>
        <w:keepNext w:val="0"/>
        <w:keepLines w:val="0"/>
        <w:widowControl w:val="0"/>
        <w:shd w:val="clear" w:color="auto" w:fill="auto"/>
        <w:bidi w:val="0"/>
        <w:spacing w:before="0" w:after="0" w:line="467" w:lineRule="exact"/>
        <w:ind w:left="0" w:right="0" w:firstLine="380"/>
        <w:jc w:val="both"/>
        <w:sectPr>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w:t>
      </w:r>
    </w:p>
    <w:p>
      <w:pPr>
        <w:pStyle w:val="Style59"/>
        <w:keepNext w:val="0"/>
        <w:keepLines w:val="0"/>
        <w:widowControl w:val="0"/>
        <w:shd w:val="clear" w:color="auto" w:fill="auto"/>
        <w:bidi w:val="0"/>
        <w:spacing w:before="0" w:after="0" w:line="240" w:lineRule="auto"/>
        <w:ind w:left="0" w:right="0" w:firstLine="140"/>
        <w:jc w:val="left"/>
      </w:pPr>
      <w:r>
        <w:rPr>
          <w:spacing w:val="0"/>
          <w:w w:val="100"/>
          <w:position w:val="0"/>
        </w:rPr>
        <w:t>材#乐心医疗</w:t>
      </w:r>
    </w:p>
    <w:p>
      <w:pPr>
        <w:pStyle w:val="Style21"/>
        <w:keepNext w:val="0"/>
        <w:keepLines w:val="0"/>
        <w:widowControl w:val="0"/>
        <w:shd w:val="clear" w:color="auto" w:fill="auto"/>
        <w:bidi w:val="0"/>
        <w:spacing w:before="0" w:after="0" w:line="468" w:lineRule="exact"/>
        <w:ind w:left="0" w:right="0" w:firstLine="0"/>
        <w:jc w:val="left"/>
      </w:pPr>
      <w:r>
        <w:rPr>
          <w:color w:val="000000"/>
          <w:spacing w:val="0"/>
          <w:w w:val="100"/>
          <w:position w:val="0"/>
        </w:rPr>
        <w:t>综合收益除外。</w:t>
      </w:r>
    </w:p>
    <w:p>
      <w:pPr>
        <w:pStyle w:val="Style21"/>
        <w:keepNext w:val="0"/>
        <w:keepLines w:val="0"/>
        <w:widowControl w:val="0"/>
        <w:shd w:val="clear" w:color="auto" w:fill="auto"/>
        <w:bidi w:val="0"/>
        <w:spacing w:before="0" w:after="0" w:line="468" w:lineRule="exact"/>
        <w:ind w:left="0" w:right="0"/>
        <w:jc w:val="left"/>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1"/>
        <w:keepNext w:val="0"/>
        <w:keepLines w:val="0"/>
        <w:widowControl w:val="0"/>
        <w:shd w:val="clear" w:color="auto" w:fill="auto"/>
        <w:bidi w:val="0"/>
        <w:spacing w:before="0" w:after="0" w:line="468" w:lineRule="exact"/>
        <w:ind w:left="0" w:right="0"/>
        <w:jc w:val="left"/>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21"/>
        <w:keepNext w:val="0"/>
        <w:keepLines w:val="0"/>
        <w:widowControl w:val="0"/>
        <w:shd w:val="clear" w:color="auto" w:fill="auto"/>
        <w:bidi w:val="0"/>
        <w:spacing w:before="0" w:after="460" w:line="468" w:lineRule="exact"/>
        <w:ind w:left="0" w:right="0"/>
        <w:jc w:val="left"/>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3"/>
        <w:keepNext/>
        <w:keepLines/>
        <w:widowControl w:val="0"/>
        <w:shd w:val="clear" w:color="auto" w:fill="auto"/>
        <w:tabs>
          <w:tab w:pos="464" w:val="left"/>
        </w:tabs>
        <w:bidi w:val="0"/>
        <w:spacing w:before="0" w:after="20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88"/>
      <w:bookmarkEnd w:id="789"/>
      <w:bookmarkEnd w:id="791"/>
    </w:p>
    <w:p>
      <w:pPr>
        <w:pStyle w:val="Style21"/>
        <w:keepNext w:val="0"/>
        <w:keepLines w:val="0"/>
        <w:widowControl w:val="0"/>
        <w:shd w:val="clear" w:color="auto" w:fill="auto"/>
        <w:bidi w:val="0"/>
        <w:spacing w:before="0" w:after="0" w:line="468" w:lineRule="exact"/>
        <w:ind w:left="0" w:right="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468" w:lineRule="exact"/>
        <w:ind w:left="0" w:right="0"/>
        <w:jc w:val="left"/>
      </w:pPr>
      <w:r>
        <w:rPr>
          <w:color w:val="000000"/>
          <w:spacing w:val="0"/>
          <w:w w:val="100"/>
          <w:position w:val="0"/>
        </w:rPr>
        <w:t>成本法计量</w:t>
      </w:r>
    </w:p>
    <w:p>
      <w:pPr>
        <w:pStyle w:val="Style21"/>
        <w:keepNext w:val="0"/>
        <w:keepLines w:val="0"/>
        <w:widowControl w:val="0"/>
        <w:shd w:val="clear" w:color="auto" w:fill="auto"/>
        <w:bidi w:val="0"/>
        <w:spacing w:before="0" w:after="0" w:line="468" w:lineRule="exact"/>
        <w:ind w:left="0" w:right="0"/>
        <w:jc w:val="left"/>
      </w:pPr>
      <w:r>
        <w:rPr>
          <w:color w:val="000000"/>
          <w:spacing w:val="0"/>
          <w:w w:val="100"/>
          <w:position w:val="0"/>
        </w:rPr>
        <w:t>折旧或摊销方法</w:t>
      </w:r>
    </w:p>
    <w:p>
      <w:pPr>
        <w:pStyle w:val="Style21"/>
        <w:keepNext w:val="0"/>
        <w:keepLines w:val="0"/>
        <w:widowControl w:val="0"/>
        <w:shd w:val="clear" w:color="auto" w:fill="auto"/>
        <w:bidi w:val="0"/>
        <w:spacing w:before="0" w:after="0" w:line="469"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1"/>
        <w:keepNext w:val="0"/>
        <w:keepLines w:val="0"/>
        <w:widowControl w:val="0"/>
        <w:shd w:val="clear" w:color="auto" w:fill="auto"/>
        <w:bidi w:val="0"/>
        <w:spacing w:before="0" w:after="460" w:line="469" w:lineRule="exact"/>
        <w:ind w:left="0" w:right="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3"/>
        <w:keepNext/>
        <w:keepLines/>
        <w:widowControl w:val="0"/>
        <w:shd w:val="clear" w:color="auto" w:fill="auto"/>
        <w:tabs>
          <w:tab w:pos="464" w:val="left"/>
        </w:tabs>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92"/>
      <w:bookmarkEnd w:id="793"/>
      <w:bookmarkEnd w:id="795"/>
    </w:p>
    <w:p>
      <w:pPr>
        <w:pStyle w:val="Style40"/>
        <w:keepNext/>
        <w:keepLines/>
        <w:widowControl w:val="0"/>
        <w:shd w:val="clear" w:color="auto" w:fill="auto"/>
        <w:bidi w:val="0"/>
        <w:spacing w:before="0" w:after="20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6"/>
      <w:bookmarkEnd w:id="797"/>
      <w:bookmarkEnd w:id="799"/>
    </w:p>
    <w:p>
      <w:pPr>
        <w:pStyle w:val="Style21"/>
        <w:keepNext w:val="0"/>
        <w:keepLines w:val="0"/>
        <w:widowControl w:val="0"/>
        <w:shd w:val="clear" w:color="auto" w:fill="auto"/>
        <w:bidi w:val="0"/>
        <w:spacing w:before="0" w:after="0" w:line="470"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1"/>
        <w:keepNext w:val="0"/>
        <w:keepLines w:val="0"/>
        <w:widowControl w:val="0"/>
        <w:shd w:val="clear" w:color="auto" w:fill="auto"/>
        <w:bidi w:val="0"/>
        <w:spacing w:before="0" w:after="0" w:line="468" w:lineRule="exact"/>
        <w:ind w:left="0" w:right="0"/>
        <w:jc w:val="both"/>
        <w:sectPr>
          <w:footnotePr>
            <w:pos w:val="pageBottom"/>
            <w:numFmt w:val="decimal"/>
            <w:numRestart w:val="continuous"/>
          </w:footnotePr>
          <w:pgSz w:w="11900" w:h="16840"/>
          <w:pgMar w:top="932" w:right="1033" w:bottom="1201" w:left="1109" w:header="0" w:footer="3" w:gutter="0"/>
          <w:cols w:space="720"/>
          <w:noEndnote/>
          <w:rtlGutter w:val="0"/>
          <w:docGrid w:linePitch="360"/>
        </w:sectPr>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p>
    <w:p>
      <w:pPr>
        <w:pStyle w:val="Style21"/>
        <w:keepNext w:val="0"/>
        <w:keepLines w:val="0"/>
        <w:widowControl w:val="0"/>
        <w:numPr>
          <w:ilvl w:val="0"/>
          <w:numId w:val="13"/>
        </w:numPr>
        <w:shd w:val="clear" w:color="auto" w:fill="auto"/>
        <w:bidi w:val="0"/>
        <w:spacing w:before="0" w:after="460" w:line="240" w:lineRule="auto"/>
        <w:ind w:left="0" w:right="0" w:firstLine="480"/>
        <w:jc w:val="left"/>
      </w:pPr>
      <w:bookmarkStart w:id="801" w:name="bookmark801"/>
      <w:bookmarkEnd w:id="801"/>
      <w:r>
        <w:rPr>
          <w:color w:val="000000"/>
          <w:spacing w:val="0"/>
          <w:w w:val="100"/>
          <w:position w:val="0"/>
        </w:rPr>
        <w:t>该固定资产的成本能够可靠地计量。</w:t>
      </w:r>
    </w:p>
    <w:p>
      <w:pPr>
        <w:pStyle w:val="Style40"/>
        <w:keepNext/>
        <w:keepLines/>
        <w:widowControl w:val="0"/>
        <w:numPr>
          <w:ilvl w:val="0"/>
          <w:numId w:val="15"/>
        </w:numPr>
        <w:shd w:val="clear" w:color="auto" w:fill="auto"/>
        <w:bidi w:val="0"/>
        <w:spacing w:before="0" w:after="320" w:line="240" w:lineRule="auto"/>
        <w:ind w:left="0" w:right="0" w:firstLine="140"/>
        <w:jc w:val="left"/>
      </w:pPr>
      <w:bookmarkStart w:id="802" w:name="bookmark802"/>
      <w:bookmarkStart w:id="803" w:name="bookmark803"/>
      <w:bookmarkStart w:id="804" w:name="bookmark804"/>
      <w:bookmarkStart w:id="805" w:name="bookmark805"/>
      <w:bookmarkEnd w:id="804"/>
      <w:r>
        <w:rPr>
          <w:color w:val="000000"/>
          <w:spacing w:val="0"/>
          <w:w w:val="100"/>
          <w:position w:val="0"/>
        </w:rPr>
        <w:t>折旧方法</w:t>
      </w:r>
      <w:bookmarkEnd w:id="802"/>
      <w:bookmarkEnd w:id="803"/>
      <w:bookmarkEnd w:id="805"/>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20-40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18.00%-22.50%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r>
    </w:tbl>
    <w:p>
      <w:pPr>
        <w:widowControl w:val="0"/>
        <w:spacing w:after="319" w:line="1" w:lineRule="exact"/>
      </w:pPr>
    </w:p>
    <w:p>
      <w:pPr>
        <w:pStyle w:val="Style40"/>
        <w:keepNext/>
        <w:keepLines/>
        <w:widowControl w:val="0"/>
        <w:numPr>
          <w:ilvl w:val="0"/>
          <w:numId w:val="15"/>
        </w:numPr>
        <w:shd w:val="clear" w:color="auto" w:fill="auto"/>
        <w:bidi w:val="0"/>
        <w:spacing w:before="0" w:after="200" w:line="240" w:lineRule="auto"/>
        <w:ind w:left="0" w:right="0" w:firstLine="140"/>
        <w:jc w:val="left"/>
      </w:pPr>
      <w:bookmarkStart w:id="806" w:name="bookmark806"/>
      <w:bookmarkStart w:id="807" w:name="bookmark807"/>
      <w:bookmarkStart w:id="808" w:name="bookmark808"/>
      <w:bookmarkStart w:id="809" w:name="bookmark809"/>
      <w:bookmarkEnd w:id="808"/>
      <w:r>
        <w:rPr>
          <w:color w:val="000000"/>
          <w:spacing w:val="0"/>
          <w:w w:val="100"/>
          <w:position w:val="0"/>
        </w:rPr>
        <w:t>融资租入固定资产的认定依据、计价和折旧方法</w:t>
      </w:r>
      <w:bookmarkEnd w:id="806"/>
      <w:bookmarkEnd w:id="807"/>
      <w:bookmarkEnd w:id="809"/>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公司与租赁方所签订的租赁协议条款中规定了下列条件之一的，确认为融资租入资产：</w:t>
      </w:r>
    </w:p>
    <w:p>
      <w:pPr>
        <w:pStyle w:val="Style21"/>
        <w:keepNext w:val="0"/>
        <w:keepLines w:val="0"/>
        <w:widowControl w:val="0"/>
        <w:numPr>
          <w:ilvl w:val="0"/>
          <w:numId w:val="17"/>
        </w:numPr>
        <w:shd w:val="clear" w:color="auto" w:fill="auto"/>
        <w:tabs>
          <w:tab w:pos="825" w:val="left"/>
        </w:tabs>
        <w:bidi w:val="0"/>
        <w:spacing w:before="0" w:after="0" w:line="466" w:lineRule="exact"/>
        <w:ind w:left="0" w:right="0" w:firstLine="380"/>
        <w:jc w:val="both"/>
      </w:pPr>
      <w:bookmarkStart w:id="810" w:name="bookmark810"/>
      <w:bookmarkEnd w:id="810"/>
      <w:r>
        <w:rPr>
          <w:color w:val="000000"/>
          <w:spacing w:val="0"/>
          <w:w w:val="100"/>
          <w:position w:val="0"/>
        </w:rPr>
        <w:t>租赁期满后租赁资产的所有权归属于本公司；</w:t>
      </w:r>
    </w:p>
    <w:p>
      <w:pPr>
        <w:pStyle w:val="Style21"/>
        <w:keepNext w:val="0"/>
        <w:keepLines w:val="0"/>
        <w:widowControl w:val="0"/>
        <w:numPr>
          <w:ilvl w:val="0"/>
          <w:numId w:val="17"/>
        </w:numPr>
        <w:shd w:val="clear" w:color="auto" w:fill="auto"/>
        <w:tabs>
          <w:tab w:pos="825" w:val="left"/>
        </w:tabs>
        <w:bidi w:val="0"/>
        <w:spacing w:before="0" w:after="0" w:line="466" w:lineRule="exact"/>
        <w:ind w:left="0" w:right="0" w:firstLine="380"/>
        <w:jc w:val="both"/>
      </w:pPr>
      <w:bookmarkStart w:id="811" w:name="bookmark811"/>
      <w:bookmarkEnd w:id="811"/>
      <w:r>
        <w:rPr>
          <w:color w:val="000000"/>
          <w:spacing w:val="0"/>
          <w:w w:val="100"/>
          <w:position w:val="0"/>
        </w:rPr>
        <w:t>公司具有购买资产的选择权，购买价款远低于行使选择权时该资产的公允价值；</w:t>
      </w:r>
    </w:p>
    <w:p>
      <w:pPr>
        <w:pStyle w:val="Style21"/>
        <w:keepNext w:val="0"/>
        <w:keepLines w:val="0"/>
        <w:widowControl w:val="0"/>
        <w:numPr>
          <w:ilvl w:val="0"/>
          <w:numId w:val="17"/>
        </w:numPr>
        <w:shd w:val="clear" w:color="auto" w:fill="auto"/>
        <w:tabs>
          <w:tab w:pos="825" w:val="left"/>
        </w:tabs>
        <w:bidi w:val="0"/>
        <w:spacing w:before="0" w:after="0" w:line="466" w:lineRule="exact"/>
        <w:ind w:left="0" w:right="0" w:firstLine="380"/>
        <w:jc w:val="both"/>
      </w:pPr>
      <w:bookmarkStart w:id="812" w:name="bookmark812"/>
      <w:bookmarkEnd w:id="812"/>
      <w:r>
        <w:rPr>
          <w:color w:val="000000"/>
          <w:spacing w:val="0"/>
          <w:w w:val="100"/>
          <w:position w:val="0"/>
        </w:rPr>
        <w:t>租赁期占所租赁资产使用寿命的大部分；</w:t>
      </w:r>
    </w:p>
    <w:p>
      <w:pPr>
        <w:pStyle w:val="Style21"/>
        <w:keepNext w:val="0"/>
        <w:keepLines w:val="0"/>
        <w:widowControl w:val="0"/>
        <w:numPr>
          <w:ilvl w:val="0"/>
          <w:numId w:val="17"/>
        </w:numPr>
        <w:shd w:val="clear" w:color="auto" w:fill="auto"/>
        <w:tabs>
          <w:tab w:pos="825" w:val="left"/>
        </w:tabs>
        <w:bidi w:val="0"/>
        <w:spacing w:before="0" w:after="0" w:line="466" w:lineRule="exact"/>
        <w:ind w:left="0" w:right="0" w:firstLine="380"/>
        <w:jc w:val="both"/>
      </w:pPr>
      <w:bookmarkStart w:id="813" w:name="bookmark813"/>
      <w:bookmarkEnd w:id="813"/>
      <w:r>
        <w:rPr>
          <w:color w:val="000000"/>
          <w:spacing w:val="0"/>
          <w:w w:val="100"/>
          <w:position w:val="0"/>
        </w:rPr>
        <w:t>租赁开始日的最低租赁付款额现值，与该资产的公允价值不存在较大的差异。</w:t>
      </w:r>
    </w:p>
    <w:p>
      <w:pPr>
        <w:pStyle w:val="Style21"/>
        <w:keepNext w:val="0"/>
        <w:keepLines w:val="0"/>
        <w:widowControl w:val="0"/>
        <w:shd w:val="clear" w:color="auto" w:fill="auto"/>
        <w:bidi w:val="0"/>
        <w:spacing w:before="0" w:after="460" w:line="475" w:lineRule="exact"/>
        <w:ind w:left="0" w:right="0" w:firstLine="380"/>
        <w:jc w:val="both"/>
      </w:pPr>
      <w:r>
        <w:rPr>
          <w:color w:val="000000"/>
          <w:spacing w:val="0"/>
          <w:w w:val="100"/>
          <w:position w:val="0"/>
        </w:rPr>
        <w:t>公司在承租开始日，将租赁资产公允价值与最低租赁付款额现值两者中较低者作为租入资产的入账价值，将最低租赁付 款额作为长期应付款的入账价值，其差额作为未确认的融资费。</w:t>
      </w:r>
    </w:p>
    <w:p>
      <w:pPr>
        <w:pStyle w:val="Style33"/>
        <w:keepNext/>
        <w:keepLines/>
        <w:widowControl w:val="0"/>
        <w:shd w:val="clear" w:color="auto" w:fill="auto"/>
        <w:bidi w:val="0"/>
        <w:spacing w:before="0" w:after="40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4"/>
      <w:bookmarkEnd w:id="815"/>
      <w:bookmarkEnd w:id="817"/>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1"/>
        <w:keepNext w:val="0"/>
        <w:keepLines w:val="0"/>
        <w:widowControl w:val="0"/>
        <w:shd w:val="clear" w:color="auto" w:fill="auto"/>
        <w:tabs>
          <w:tab w:pos="414" w:val="left"/>
        </w:tabs>
        <w:bidi w:val="0"/>
        <w:spacing w:before="0" w:after="0" w:line="466" w:lineRule="exact"/>
        <w:ind w:left="0" w:right="0" w:firstLine="0"/>
        <w:jc w:val="both"/>
      </w:pPr>
      <w:bookmarkStart w:id="818" w:name="bookmark818"/>
      <w:r>
        <w:rPr>
          <w:color w:val="000000"/>
          <w:spacing w:val="0"/>
          <w:w w:val="100"/>
          <w:position w:val="0"/>
          <w:sz w:val="18"/>
          <w:szCs w:val="18"/>
        </w:rPr>
        <w:t>1</w:t>
      </w:r>
      <w:bookmarkEnd w:id="818"/>
      <w:r>
        <w:rPr>
          <w:color w:val="000000"/>
          <w:spacing w:val="0"/>
          <w:w w:val="100"/>
          <w:position w:val="0"/>
        </w:rPr>
        <w:t>、</w:t>
        <w:tab/>
        <w:t>在建工程的类别</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在建工程主要以立项项目分类核算；将购入需安装或尚未验收的固定资产在长期设备和资产中核算。</w:t>
      </w:r>
    </w:p>
    <w:p>
      <w:pPr>
        <w:pStyle w:val="Style21"/>
        <w:keepNext w:val="0"/>
        <w:keepLines w:val="0"/>
        <w:widowControl w:val="0"/>
        <w:shd w:val="clear" w:color="auto" w:fill="auto"/>
        <w:tabs>
          <w:tab w:pos="414" w:val="left"/>
        </w:tabs>
        <w:bidi w:val="0"/>
        <w:spacing w:before="0" w:after="0" w:line="466" w:lineRule="exact"/>
        <w:ind w:left="0" w:right="0" w:firstLine="0"/>
        <w:jc w:val="both"/>
      </w:pPr>
      <w:bookmarkStart w:id="819" w:name="bookmark819"/>
      <w:r>
        <w:rPr>
          <w:color w:val="000000"/>
          <w:spacing w:val="0"/>
          <w:w w:val="100"/>
          <w:position w:val="0"/>
          <w:sz w:val="18"/>
          <w:szCs w:val="18"/>
        </w:rPr>
        <w:t>2</w:t>
      </w:r>
      <w:bookmarkEnd w:id="819"/>
      <w:r>
        <w:rPr>
          <w:color w:val="000000"/>
          <w:spacing w:val="0"/>
          <w:w w:val="100"/>
          <w:position w:val="0"/>
        </w:rPr>
        <w:t>、</w:t>
        <w:tab/>
        <w:t>在建工程结转为固定资产的标准和时点</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21"/>
        <w:keepNext w:val="0"/>
        <w:keepLines w:val="0"/>
        <w:widowControl w:val="0"/>
        <w:shd w:val="clear" w:color="auto" w:fill="auto"/>
        <w:tabs>
          <w:tab w:pos="414" w:val="left"/>
        </w:tabs>
        <w:bidi w:val="0"/>
        <w:spacing w:before="0" w:after="0" w:line="466" w:lineRule="exact"/>
        <w:ind w:left="0" w:right="0" w:firstLine="0"/>
        <w:jc w:val="both"/>
      </w:pPr>
      <w:bookmarkStart w:id="820" w:name="bookmark820"/>
      <w:r>
        <w:rPr>
          <w:color w:val="000000"/>
          <w:spacing w:val="0"/>
          <w:w w:val="100"/>
          <w:position w:val="0"/>
          <w:sz w:val="18"/>
          <w:szCs w:val="18"/>
        </w:rPr>
        <w:t>3</w:t>
      </w:r>
      <w:bookmarkEnd w:id="820"/>
      <w:r>
        <w:rPr>
          <w:color w:val="000000"/>
          <w:spacing w:val="0"/>
          <w:w w:val="100"/>
          <w:position w:val="0"/>
        </w:rPr>
        <w:t>、</w:t>
        <w:tab/>
        <w:t>在建工程的减值测试方法、减值准备计提方法</w:t>
      </w:r>
    </w:p>
    <w:p>
      <w:pPr>
        <w:pStyle w:val="Style21"/>
        <w:keepNext w:val="0"/>
        <w:keepLines w:val="0"/>
        <w:widowControl w:val="0"/>
        <w:shd w:val="clear" w:color="auto" w:fill="auto"/>
        <w:bidi w:val="0"/>
        <w:spacing w:before="0" w:after="80" w:line="466" w:lineRule="exact"/>
        <w:ind w:left="0" w:right="0" w:firstLine="38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566" w:right="1109" w:bottom="1489" w:left="1104" w:header="0" w:footer="3" w:gutter="0"/>
          <w:cols w:space="720"/>
          <w:noEndnote/>
          <w:rtlGutter w:val="0"/>
          <w:docGrid w:linePitch="360"/>
        </w:sectPr>
      </w:pPr>
      <w:r>
        <w:rPr>
          <w:color w:val="000000"/>
          <w:spacing w:val="0"/>
          <w:w w:val="100"/>
          <w:position w:val="0"/>
        </w:rPr>
        <w:t>公司在每期末判断在建工程是否存在可能发生减值的迹象。</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在建工程存在减值迹象的，估计其可收回金额。有迹象表明一项在建工程可能发生减值的，企业以单项在建工程为基础 估计其可收回金额。企业难以对单项在建工程的可收回金额进行估计的，以该在建工程所属的资产组为基础确定资产组的可 收回金额。</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可收回金额根据在建工程的公允价值减去处置费用后的净额与在建工程预计未来现金流量的现值两者之间较高者确定。 当在建工程的可收回金额低于其账面价值的，将在建工程的账面价值减记至可收回金额，减记的金额确认为在建工程减 值损失，计入当期损益，同时计提相应的在建工程减值准备。</w:t>
      </w:r>
    </w:p>
    <w:p>
      <w:pPr>
        <w:pStyle w:val="Style21"/>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在建工程的减值损失一经确认，在以后会计期间不再转回。</w:t>
      </w:r>
    </w:p>
    <w:p>
      <w:pPr>
        <w:pStyle w:val="Style33"/>
        <w:keepNext/>
        <w:keepLines/>
        <w:widowControl w:val="0"/>
        <w:shd w:val="clear" w:color="auto" w:fill="auto"/>
        <w:bidi w:val="0"/>
        <w:spacing w:before="0" w:after="20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21"/>
      <w:bookmarkEnd w:id="822"/>
      <w:bookmarkEnd w:id="824"/>
    </w:p>
    <w:p>
      <w:pPr>
        <w:pStyle w:val="Style21"/>
        <w:keepNext w:val="0"/>
        <w:keepLines w:val="0"/>
        <w:widowControl w:val="0"/>
        <w:shd w:val="clear" w:color="auto" w:fill="auto"/>
        <w:tabs>
          <w:tab w:pos="418" w:val="left"/>
        </w:tabs>
        <w:bidi w:val="0"/>
        <w:spacing w:before="0" w:after="0" w:line="469" w:lineRule="exact"/>
        <w:ind w:left="0" w:right="0" w:firstLine="0"/>
        <w:jc w:val="left"/>
      </w:pPr>
      <w:bookmarkStart w:id="825" w:name="bookmark825"/>
      <w:r>
        <w:rPr>
          <w:color w:val="000000"/>
          <w:spacing w:val="0"/>
          <w:w w:val="100"/>
          <w:position w:val="0"/>
          <w:sz w:val="18"/>
          <w:szCs w:val="18"/>
        </w:rPr>
        <w:t>1</w:t>
      </w:r>
      <w:bookmarkEnd w:id="825"/>
      <w:r>
        <w:rPr>
          <w:color w:val="000000"/>
          <w:spacing w:val="0"/>
          <w:w w:val="100"/>
          <w:position w:val="0"/>
        </w:rPr>
        <w:t>、</w:t>
        <w:tab/>
        <w:t>借款费用资本化的确认原则</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借款费用，包括借款利息、折价或者溢价的摊销、辅助费用以及因外币借款而发生的汇兑差额等。</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借款费用同时满足下列条件时开始资本化：</w:t>
      </w:r>
    </w:p>
    <w:p>
      <w:pPr>
        <w:pStyle w:val="Style21"/>
        <w:keepNext w:val="0"/>
        <w:keepLines w:val="0"/>
        <w:widowControl w:val="0"/>
        <w:shd w:val="clear" w:color="auto" w:fill="auto"/>
        <w:tabs>
          <w:tab w:pos="901" w:val="left"/>
        </w:tabs>
        <w:bidi w:val="0"/>
        <w:spacing w:before="0" w:after="0" w:line="469" w:lineRule="exact"/>
        <w:ind w:left="0" w:right="0" w:firstLine="380"/>
        <w:jc w:val="left"/>
      </w:pPr>
      <w:bookmarkStart w:id="826" w:name="bookmark826"/>
      <w:r>
        <w:rPr>
          <w:color w:val="000000"/>
          <w:spacing w:val="0"/>
          <w:w w:val="100"/>
          <w:position w:val="0"/>
          <w:sz w:val="18"/>
          <w:szCs w:val="18"/>
        </w:rPr>
        <w:t>（</w:t>
      </w:r>
      <w:bookmarkEnd w:id="826"/>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827" w:name="bookmark827"/>
      <w:r>
        <w:rPr>
          <w:color w:val="000000"/>
          <w:spacing w:val="0"/>
          <w:w w:val="100"/>
          <w:position w:val="0"/>
          <w:sz w:val="18"/>
          <w:szCs w:val="18"/>
        </w:rPr>
        <w:t>（</w:t>
      </w:r>
      <w:bookmarkEnd w:id="827"/>
      <w:r>
        <w:rPr>
          <w:color w:val="000000"/>
          <w:spacing w:val="0"/>
          <w:w w:val="100"/>
          <w:position w:val="0"/>
          <w:sz w:val="18"/>
          <w:szCs w:val="18"/>
        </w:rPr>
        <w:t>2）</w:t>
        <w:tab/>
      </w:r>
      <w:r>
        <w:rPr>
          <w:color w:val="000000"/>
          <w:spacing w:val="0"/>
          <w:w w:val="100"/>
          <w:position w:val="0"/>
        </w:rPr>
        <w:t>借款费用已经发生；</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828" w:name="bookmark828"/>
      <w:r>
        <w:rPr>
          <w:color w:val="000000"/>
          <w:spacing w:val="0"/>
          <w:w w:val="100"/>
          <w:position w:val="0"/>
          <w:sz w:val="18"/>
          <w:szCs w:val="18"/>
        </w:rPr>
        <w:t>（</w:t>
      </w:r>
      <w:bookmarkEnd w:id="828"/>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1"/>
        <w:keepNext w:val="0"/>
        <w:keepLines w:val="0"/>
        <w:widowControl w:val="0"/>
        <w:shd w:val="clear" w:color="auto" w:fill="auto"/>
        <w:tabs>
          <w:tab w:pos="418" w:val="left"/>
        </w:tabs>
        <w:bidi w:val="0"/>
        <w:spacing w:before="0" w:after="0" w:line="469" w:lineRule="exact"/>
        <w:ind w:left="0" w:right="0" w:firstLine="0"/>
        <w:jc w:val="both"/>
      </w:pPr>
      <w:bookmarkStart w:id="829" w:name="bookmark829"/>
      <w:r>
        <w:rPr>
          <w:color w:val="000000"/>
          <w:spacing w:val="0"/>
          <w:w w:val="100"/>
          <w:position w:val="0"/>
          <w:sz w:val="18"/>
          <w:szCs w:val="18"/>
        </w:rPr>
        <w:t>2</w:t>
      </w:r>
      <w:bookmarkEnd w:id="829"/>
      <w:r>
        <w:rPr>
          <w:color w:val="000000"/>
          <w:spacing w:val="0"/>
          <w:w w:val="100"/>
          <w:position w:val="0"/>
        </w:rPr>
        <w:t>、</w:t>
        <w:tab/>
        <w:t>借款费用资本化期间</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当购建或者生产符合资本化条件的资产中部分项目分别完工且可单独使用时，该部分资产借款费用停止资本化。</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1"/>
        <w:keepNext w:val="0"/>
        <w:keepLines w:val="0"/>
        <w:widowControl w:val="0"/>
        <w:shd w:val="clear" w:color="auto" w:fill="auto"/>
        <w:tabs>
          <w:tab w:pos="418" w:val="left"/>
        </w:tabs>
        <w:bidi w:val="0"/>
        <w:spacing w:before="0" w:after="0" w:line="469" w:lineRule="exact"/>
        <w:ind w:left="0" w:right="0" w:firstLine="0"/>
        <w:jc w:val="both"/>
      </w:pPr>
      <w:bookmarkStart w:id="830" w:name="bookmark830"/>
      <w:r>
        <w:rPr>
          <w:color w:val="000000"/>
          <w:spacing w:val="0"/>
          <w:w w:val="100"/>
          <w:position w:val="0"/>
          <w:sz w:val="18"/>
          <w:szCs w:val="18"/>
        </w:rPr>
        <w:t>3</w:t>
      </w:r>
      <w:bookmarkEnd w:id="830"/>
      <w:r>
        <w:rPr>
          <w:color w:val="000000"/>
          <w:spacing w:val="0"/>
          <w:w w:val="100"/>
          <w:position w:val="0"/>
        </w:rPr>
        <w:t>、</w:t>
        <w:tab/>
        <w:t>暂停资本化期间</w:t>
      </w:r>
    </w:p>
    <w:p>
      <w:pPr>
        <w:pStyle w:val="Style21"/>
        <w:keepNext w:val="0"/>
        <w:keepLines w:val="0"/>
        <w:widowControl w:val="0"/>
        <w:shd w:val="clear" w:color="auto" w:fill="auto"/>
        <w:bidi w:val="0"/>
        <w:spacing w:before="0" w:after="0" w:line="469" w:lineRule="exact"/>
        <w:ind w:left="0" w:right="0" w:firstLine="38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932" w:right="1023" w:bottom="1201" w:left="1104" w:header="0" w:footer="3" w:gutter="0"/>
          <w:cols w:space="720"/>
          <w:noEndnote/>
          <w:rtlGutter w:val="0"/>
          <w:docGrid w:linePitch="360"/>
        </w:sectPr>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材中乐心医疗</w:t>
      </w:r>
    </w:p>
    <w:p>
      <w:pPr>
        <w:pStyle w:val="Style21"/>
        <w:keepNext w:val="0"/>
        <w:keepLines w:val="0"/>
        <w:widowControl w:val="0"/>
        <w:shd w:val="clear" w:color="auto" w:fill="auto"/>
        <w:bidi w:val="0"/>
        <w:spacing w:before="0" w:after="0" w:line="469" w:lineRule="exact"/>
        <w:ind w:left="0" w:right="0" w:firstLine="0"/>
        <w:jc w:val="left"/>
      </w:pPr>
      <w:bookmarkStart w:id="831" w:name="bookmark831"/>
      <w:r>
        <w:rPr>
          <w:color w:val="000000"/>
          <w:spacing w:val="0"/>
          <w:w w:val="100"/>
          <w:position w:val="0"/>
          <w:sz w:val="18"/>
          <w:szCs w:val="18"/>
        </w:rPr>
        <w:t>4</w:t>
      </w:r>
      <w:bookmarkEnd w:id="831"/>
      <w:r>
        <w:rPr>
          <w:color w:val="000000"/>
          <w:spacing w:val="0"/>
          <w:w w:val="100"/>
          <w:position w:val="0"/>
        </w:rPr>
        <w:t>、借款费用资本化金额的计算方法</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21"/>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33"/>
        <w:keepNext/>
        <w:keepLines/>
        <w:widowControl w:val="0"/>
        <w:shd w:val="clear" w:color="auto" w:fill="auto"/>
        <w:tabs>
          <w:tab w:pos="474"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2"/>
      <w:bookmarkEnd w:id="833"/>
      <w:bookmarkEnd w:id="835"/>
    </w:p>
    <w:p>
      <w:pPr>
        <w:pStyle w:val="Style33"/>
        <w:keepNext/>
        <w:keepLines/>
        <w:widowControl w:val="0"/>
        <w:shd w:val="clear" w:color="auto" w:fill="auto"/>
        <w:tabs>
          <w:tab w:pos="483" w:val="left"/>
        </w:tabs>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6"/>
      <w:bookmarkEnd w:id="837"/>
      <w:bookmarkEnd w:id="839"/>
    </w:p>
    <w:p>
      <w:pPr>
        <w:pStyle w:val="Style33"/>
        <w:keepNext/>
        <w:keepLines/>
        <w:widowControl w:val="0"/>
        <w:shd w:val="clear" w:color="auto" w:fill="auto"/>
        <w:tabs>
          <w:tab w:pos="483" w:val="left"/>
        </w:tabs>
        <w:bidi w:val="0"/>
        <w:spacing w:before="0" w:after="3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40"/>
      <w:bookmarkEnd w:id="841"/>
      <w:bookmarkEnd w:id="843"/>
    </w:p>
    <w:p>
      <w:pPr>
        <w:pStyle w:val="Style40"/>
        <w:keepNext/>
        <w:keepLines/>
        <w:widowControl w:val="0"/>
        <w:shd w:val="clear" w:color="auto" w:fill="auto"/>
        <w:bidi w:val="0"/>
        <w:spacing w:before="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4"/>
      <w:bookmarkEnd w:id="845"/>
      <w:bookmarkEnd w:id="84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469" w:lineRule="exact"/>
        <w:ind w:left="0" w:right="0" w:firstLine="0"/>
        <w:jc w:val="left"/>
      </w:pPr>
      <w:bookmarkStart w:id="848" w:name="bookmark848"/>
      <w:r>
        <w:rPr>
          <w:color w:val="000000"/>
          <w:spacing w:val="0"/>
          <w:w w:val="100"/>
          <w:position w:val="0"/>
          <w:sz w:val="18"/>
          <w:szCs w:val="18"/>
        </w:rPr>
        <w:t>1</w:t>
      </w:r>
      <w:bookmarkEnd w:id="848"/>
      <w:r>
        <w:rPr>
          <w:color w:val="000000"/>
          <w:spacing w:val="0"/>
          <w:w w:val="100"/>
          <w:position w:val="0"/>
        </w:rPr>
        <w:t>、无形资产的计价方法</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1）</w:t>
        <w:tab/>
      </w:r>
      <w:r>
        <w:rPr>
          <w:color w:val="000000"/>
          <w:spacing w:val="0"/>
          <w:w w:val="100"/>
          <w:position w:val="0"/>
        </w:rPr>
        <w:t>公司取得无形资产时按成本进行初始计量；</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850" w:name="bookmark850"/>
      <w:r>
        <w:rPr>
          <w:color w:val="000000"/>
          <w:spacing w:val="0"/>
          <w:w w:val="100"/>
          <w:position w:val="0"/>
          <w:sz w:val="18"/>
          <w:szCs w:val="18"/>
        </w:rPr>
        <w:t>（</w:t>
      </w:r>
      <w:bookmarkEnd w:id="850"/>
      <w:r>
        <w:rPr>
          <w:color w:val="000000"/>
          <w:spacing w:val="0"/>
          <w:w w:val="100"/>
          <w:position w:val="0"/>
          <w:sz w:val="18"/>
          <w:szCs w:val="18"/>
        </w:rPr>
        <w:t>2）</w:t>
        <w:tab/>
      </w:r>
      <w:r>
        <w:rPr>
          <w:color w:val="000000"/>
          <w:spacing w:val="0"/>
          <w:w w:val="100"/>
          <w:position w:val="0"/>
        </w:rPr>
        <w:t>后续计量</w:t>
      </w:r>
    </w:p>
    <w:p>
      <w:pPr>
        <w:pStyle w:val="Style21"/>
        <w:keepNext w:val="0"/>
        <w:keepLines w:val="0"/>
        <w:widowControl w:val="0"/>
        <w:shd w:val="clear" w:color="auto" w:fill="auto"/>
        <w:bidi w:val="0"/>
        <w:spacing w:before="0" w:after="260" w:line="469" w:lineRule="exact"/>
        <w:ind w:left="0" w:right="0" w:firstLine="380"/>
        <w:jc w:val="both"/>
        <w:sectPr>
          <w:footnotePr>
            <w:pos w:val="pageBottom"/>
            <w:numFmt w:val="decimal"/>
            <w:numRestart w:val="continuous"/>
          </w:footnotePr>
          <w:pgSz w:w="11900" w:h="16840"/>
          <w:pgMar w:top="932" w:right="1104" w:bottom="1201" w:left="1104" w:header="0" w:footer="3" w:gutter="0"/>
          <w:cols w:space="720"/>
          <w:noEndnote/>
          <w:rtlGutter w:val="0"/>
          <w:docGrid w:linePitch="360"/>
        </w:sectPr>
      </w:pPr>
      <w:r>
        <w:rPr>
          <w:color w:val="000000"/>
          <w:spacing w:val="0"/>
          <w:w w:val="100"/>
          <w:position w:val="0"/>
        </w:rPr>
        <w:t>在取得无形资产时分析判断其使用寿命。</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1"/>
        <w:keepNext w:val="0"/>
        <w:keepLines w:val="0"/>
        <w:widowControl w:val="0"/>
        <w:shd w:val="clear" w:color="auto" w:fill="auto"/>
        <w:tabs>
          <w:tab w:pos="424" w:val="left"/>
        </w:tabs>
        <w:bidi w:val="0"/>
        <w:spacing w:before="0" w:after="0" w:line="470" w:lineRule="exact"/>
        <w:ind w:left="0" w:right="0" w:firstLine="0"/>
        <w:jc w:val="left"/>
      </w:pPr>
      <w:bookmarkStart w:id="851" w:name="bookmark851"/>
      <w:r>
        <w:rPr>
          <w:color w:val="000000"/>
          <w:spacing w:val="0"/>
          <w:w w:val="100"/>
          <w:position w:val="0"/>
          <w:sz w:val="18"/>
          <w:szCs w:val="18"/>
        </w:rPr>
        <w:t>2</w:t>
      </w:r>
      <w:bookmarkEnd w:id="851"/>
      <w:r>
        <w:rPr>
          <w:color w:val="000000"/>
          <w:spacing w:val="0"/>
          <w:w w:val="100"/>
          <w:position w:val="0"/>
        </w:rPr>
        <w:t>、</w:t>
        <w:tab/>
        <w:t>使用寿命有限的无形资产的使用寿命估计情况：</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公司对使用寿命有限的无形资产，估计其使用寿命时通常考虑以下因素：①运用该资产生产的产品通常的寿命周期、可 获得的类似资产使用寿命的信息；②技术、工艺等方面的现阶段情况及对未来发展趋势的估计；③以该资产生产的产品或提 供劳务的市场需求情况；④现在或潜在的竞争者预期采取的行动；⑤为维持该资产带来经济利益能力的预期维护支出，以及 公司预计支付有关支出的能力；⑥对该资产控制期限的相关法律规定或类似限制，如特许使用期、租赁期等；⑦与公司持有 其他资产使用寿命的关联性等。</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每期末，对使用寿命有限的无形资产的使用寿命及摊销方法进行复核。</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经复核，本年期末无形资产的使用寿命及摊销方法与以前估计未有不同。</w:t>
      </w:r>
    </w:p>
    <w:p>
      <w:pPr>
        <w:pStyle w:val="Style21"/>
        <w:keepNext w:val="0"/>
        <w:keepLines w:val="0"/>
        <w:widowControl w:val="0"/>
        <w:shd w:val="clear" w:color="auto" w:fill="auto"/>
        <w:tabs>
          <w:tab w:pos="424" w:val="left"/>
        </w:tabs>
        <w:bidi w:val="0"/>
        <w:spacing w:before="0" w:after="0" w:line="470" w:lineRule="exact"/>
        <w:ind w:left="0" w:right="0" w:firstLine="0"/>
        <w:jc w:val="left"/>
      </w:pPr>
      <w:bookmarkStart w:id="852" w:name="bookmark852"/>
      <w:r>
        <w:rPr>
          <w:color w:val="000000"/>
          <w:spacing w:val="0"/>
          <w:w w:val="100"/>
          <w:position w:val="0"/>
          <w:sz w:val="18"/>
          <w:szCs w:val="18"/>
        </w:rPr>
        <w:t>3</w:t>
      </w:r>
      <w:bookmarkEnd w:id="852"/>
      <w:r>
        <w:rPr>
          <w:color w:val="000000"/>
          <w:spacing w:val="0"/>
          <w:w w:val="100"/>
          <w:position w:val="0"/>
        </w:rPr>
        <w:t>、</w:t>
        <w:tab/>
        <w:t>使用寿命不确定的无形资产的判断依据：</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公司将无法预见该资产为公司带来经济利益的期限，或使用期限不确定等无形资产确定为使用寿命不确定的无形资产。 使用寿命不确定的判断依据：①来源于合同性权利或其他法定权利，但合同规定或法律规定无明确使用年限；②综合同 行业情况或相关专家论证等，仍无法判断无形资产为公司带来经济利益的期限。</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21"/>
        <w:keepNext w:val="0"/>
        <w:keepLines w:val="0"/>
        <w:widowControl w:val="0"/>
        <w:shd w:val="clear" w:color="auto" w:fill="auto"/>
        <w:tabs>
          <w:tab w:pos="424" w:val="left"/>
        </w:tabs>
        <w:bidi w:val="0"/>
        <w:spacing w:before="0" w:after="0" w:line="470" w:lineRule="exact"/>
        <w:ind w:left="0" w:right="0" w:firstLine="0"/>
        <w:jc w:val="left"/>
      </w:pPr>
      <w:bookmarkStart w:id="853" w:name="bookmark853"/>
      <w:r>
        <w:rPr>
          <w:color w:val="000000"/>
          <w:spacing w:val="0"/>
          <w:w w:val="100"/>
          <w:position w:val="0"/>
          <w:sz w:val="18"/>
          <w:szCs w:val="18"/>
        </w:rPr>
        <w:t>4</w:t>
      </w:r>
      <w:bookmarkEnd w:id="853"/>
      <w:r>
        <w:rPr>
          <w:color w:val="000000"/>
          <w:spacing w:val="0"/>
          <w:w w:val="100"/>
          <w:position w:val="0"/>
        </w:rPr>
        <w:t>、</w:t>
        <w:tab/>
        <w:t>无形资产减值准备的计提</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对于使用寿命确定的无形资产，如有明显减值迹象的，期末进行减值测试。</w:t>
      </w:r>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对于使用寿命不确定的无形资产，每期末进行减值测试。</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对无形资产进行减值测试，估计其可收回金额。有迹象表明一项无形资产可能发生减值的，公司以单项无形资产为基础 估计其可收回金额。公司难以对单项资产的可收回金额进行估计的，以该无形资产所属的资产组为基础确定无形资产组的可 收回金额。</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可收回金额根据无形资产的公允价值减去处置费用后的净额与无形资产预计未来现金流量的现值两者之间较高者确定。 当无形资产的可收回金额低于其账面价值的，将无形资产的账面价值减记至可收回金额，减记的金额确认为无形资产减 值损失，计入当期损益，同时计提相应的无形资产减值准备。</w:t>
      </w:r>
    </w:p>
    <w:p>
      <w:pPr>
        <w:pStyle w:val="Style21"/>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内，系统地分摊调整后的无形资产账面价值（扣除预计净残值）。</w:t>
      </w:r>
    </w:p>
    <w:p>
      <w:pPr>
        <w:pStyle w:val="Style21"/>
        <w:keepNext w:val="0"/>
        <w:keepLines w:val="0"/>
        <w:widowControl w:val="0"/>
        <w:shd w:val="clear" w:color="auto" w:fill="auto"/>
        <w:bidi w:val="0"/>
        <w:spacing w:before="0" w:after="0" w:line="470" w:lineRule="exact"/>
        <w:ind w:left="0" w:right="0" w:firstLine="38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无形资产的减值损失一经确认，在以后会计期间不再转回。</w:t>
      </w:r>
    </w:p>
    <w:p>
      <w:pPr>
        <w:pStyle w:val="Style40"/>
        <w:keepNext/>
        <w:keepLines/>
        <w:widowControl w:val="0"/>
        <w:numPr>
          <w:ilvl w:val="0"/>
          <w:numId w:val="19"/>
        </w:numPr>
        <w:shd w:val="clear" w:color="auto" w:fill="auto"/>
        <w:bidi w:val="0"/>
        <w:spacing w:before="0" w:after="200" w:line="240" w:lineRule="auto"/>
        <w:ind w:left="0" w:right="0" w:firstLine="140"/>
        <w:jc w:val="left"/>
      </w:pPr>
      <w:bookmarkStart w:id="854" w:name="bookmark854"/>
      <w:bookmarkStart w:id="855" w:name="bookmark855"/>
      <w:bookmarkStart w:id="856" w:name="bookmark856"/>
      <w:bookmarkStart w:id="857" w:name="bookmark857"/>
      <w:bookmarkEnd w:id="856"/>
      <w:r>
        <w:rPr>
          <w:color w:val="000000"/>
          <w:spacing w:val="0"/>
          <w:w w:val="100"/>
          <w:position w:val="0"/>
        </w:rPr>
        <w:t>内部研究开发支出会计政策</w:t>
      </w:r>
      <w:bookmarkEnd w:id="854"/>
      <w:bookmarkEnd w:id="855"/>
      <w:bookmarkEnd w:id="857"/>
    </w:p>
    <w:p>
      <w:pPr>
        <w:pStyle w:val="Style21"/>
        <w:keepNext w:val="0"/>
        <w:keepLines w:val="0"/>
        <w:widowControl w:val="0"/>
        <w:shd w:val="clear" w:color="auto" w:fill="auto"/>
        <w:tabs>
          <w:tab w:pos="415" w:val="left"/>
        </w:tabs>
        <w:bidi w:val="0"/>
        <w:spacing w:before="0" w:after="0" w:line="473" w:lineRule="exact"/>
        <w:ind w:left="0" w:right="0" w:firstLine="0"/>
        <w:jc w:val="left"/>
      </w:pPr>
      <w:bookmarkStart w:id="858" w:name="bookmark858"/>
      <w:r>
        <w:rPr>
          <w:color w:val="000000"/>
          <w:spacing w:val="0"/>
          <w:w w:val="100"/>
          <w:position w:val="0"/>
          <w:sz w:val="18"/>
          <w:szCs w:val="18"/>
        </w:rPr>
        <w:t>1</w:t>
      </w:r>
      <w:bookmarkEnd w:id="858"/>
      <w:r>
        <w:rPr>
          <w:color w:val="000000"/>
          <w:spacing w:val="0"/>
          <w:w w:val="100"/>
          <w:position w:val="0"/>
        </w:rPr>
        <w:t>、</w:t>
        <w:tab/>
        <w:t>划分公司内部研究开发项目的研究阶段和开发阶段具体标准</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公司内部研究开发项目的支出分为研究阶段支出和开发阶段支出。</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1"/>
        <w:keepNext w:val="0"/>
        <w:keepLines w:val="0"/>
        <w:widowControl w:val="0"/>
        <w:shd w:val="clear" w:color="auto" w:fill="auto"/>
        <w:tabs>
          <w:tab w:pos="415" w:val="left"/>
        </w:tabs>
        <w:bidi w:val="0"/>
        <w:spacing w:before="0" w:after="0" w:line="473" w:lineRule="exact"/>
        <w:ind w:left="0" w:right="0" w:firstLine="0"/>
        <w:jc w:val="left"/>
      </w:pPr>
      <w:bookmarkStart w:id="859" w:name="bookmark859"/>
      <w:r>
        <w:rPr>
          <w:color w:val="000000"/>
          <w:spacing w:val="0"/>
          <w:w w:val="100"/>
          <w:position w:val="0"/>
          <w:sz w:val="18"/>
          <w:szCs w:val="18"/>
        </w:rPr>
        <w:t>2</w:t>
      </w:r>
      <w:bookmarkEnd w:id="859"/>
      <w:r>
        <w:rPr>
          <w:color w:val="000000"/>
          <w:spacing w:val="0"/>
          <w:w w:val="100"/>
          <w:position w:val="0"/>
        </w:rPr>
        <w:t>、</w:t>
        <w:tab/>
        <w:t>开发阶段支出符合资本化的具体标准</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内部研究开发项目开发阶段的支出，同时满足下列条件时确认为无形资产：</w:t>
      </w:r>
    </w:p>
    <w:p>
      <w:pPr>
        <w:pStyle w:val="Style21"/>
        <w:keepNext w:val="0"/>
        <w:keepLines w:val="0"/>
        <w:widowControl w:val="0"/>
        <w:numPr>
          <w:ilvl w:val="0"/>
          <w:numId w:val="21"/>
        </w:numPr>
        <w:shd w:val="clear" w:color="auto" w:fill="auto"/>
        <w:tabs>
          <w:tab w:pos="825" w:val="left"/>
        </w:tabs>
        <w:bidi w:val="0"/>
        <w:spacing w:before="0" w:after="0" w:line="473" w:lineRule="exact"/>
        <w:ind w:left="0" w:right="0" w:firstLine="380"/>
        <w:jc w:val="both"/>
      </w:pPr>
      <w:bookmarkStart w:id="860" w:name="bookmark860"/>
      <w:bookmarkEnd w:id="860"/>
      <w:r>
        <w:rPr>
          <w:color w:val="000000"/>
          <w:spacing w:val="0"/>
          <w:w w:val="100"/>
          <w:position w:val="0"/>
        </w:rPr>
        <w:t>完成该无形资产以使其能够使用或出售在技术上具有可行性；</w:t>
      </w:r>
    </w:p>
    <w:p>
      <w:pPr>
        <w:pStyle w:val="Style21"/>
        <w:keepNext w:val="0"/>
        <w:keepLines w:val="0"/>
        <w:widowControl w:val="0"/>
        <w:numPr>
          <w:ilvl w:val="0"/>
          <w:numId w:val="21"/>
        </w:numPr>
        <w:shd w:val="clear" w:color="auto" w:fill="auto"/>
        <w:tabs>
          <w:tab w:pos="825" w:val="left"/>
        </w:tabs>
        <w:bidi w:val="0"/>
        <w:spacing w:before="0" w:after="0" w:line="473" w:lineRule="exact"/>
        <w:ind w:left="0" w:right="0" w:firstLine="380"/>
        <w:jc w:val="both"/>
      </w:pPr>
      <w:bookmarkStart w:id="861" w:name="bookmark861"/>
      <w:bookmarkEnd w:id="861"/>
      <w:r>
        <w:rPr>
          <w:color w:val="000000"/>
          <w:spacing w:val="0"/>
          <w:w w:val="100"/>
          <w:position w:val="0"/>
        </w:rPr>
        <w:t>具有完成该无形资产并使用或出售的意图；</w:t>
      </w:r>
    </w:p>
    <w:p>
      <w:pPr>
        <w:pStyle w:val="Style21"/>
        <w:keepNext w:val="0"/>
        <w:keepLines w:val="0"/>
        <w:widowControl w:val="0"/>
        <w:numPr>
          <w:ilvl w:val="0"/>
          <w:numId w:val="21"/>
        </w:numPr>
        <w:shd w:val="clear" w:color="auto" w:fill="auto"/>
        <w:tabs>
          <w:tab w:pos="901" w:val="left"/>
        </w:tabs>
        <w:bidi w:val="0"/>
        <w:spacing w:before="0" w:after="0" w:line="473" w:lineRule="exact"/>
        <w:ind w:left="0" w:right="0" w:firstLine="380"/>
        <w:jc w:val="both"/>
      </w:pPr>
      <w:bookmarkStart w:id="862" w:name="bookmark862"/>
      <w:bookmarkEnd w:id="862"/>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1"/>
        <w:keepNext w:val="0"/>
        <w:keepLines w:val="0"/>
        <w:widowControl w:val="0"/>
        <w:numPr>
          <w:ilvl w:val="0"/>
          <w:numId w:val="21"/>
        </w:numPr>
        <w:shd w:val="clear" w:color="auto" w:fill="auto"/>
        <w:tabs>
          <w:tab w:pos="825" w:val="left"/>
        </w:tabs>
        <w:bidi w:val="0"/>
        <w:spacing w:before="0" w:after="0" w:line="473" w:lineRule="exact"/>
        <w:ind w:left="0" w:right="0" w:firstLine="380"/>
        <w:jc w:val="both"/>
      </w:pPr>
      <w:bookmarkStart w:id="863" w:name="bookmark863"/>
      <w:bookmarkEnd w:id="863"/>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21"/>
        </w:numPr>
        <w:shd w:val="clear" w:color="auto" w:fill="auto"/>
        <w:tabs>
          <w:tab w:pos="825" w:val="left"/>
        </w:tabs>
        <w:bidi w:val="0"/>
        <w:spacing w:before="0" w:after="0" w:line="473" w:lineRule="exact"/>
        <w:ind w:left="0" w:right="0" w:firstLine="380"/>
        <w:jc w:val="both"/>
      </w:pPr>
      <w:bookmarkStart w:id="864" w:name="bookmark864"/>
      <w:bookmarkEnd w:id="864"/>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460" w:line="473"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3"/>
        <w:keepNext/>
        <w:keepLines/>
        <w:widowControl w:val="0"/>
        <w:shd w:val="clear" w:color="auto" w:fill="auto"/>
        <w:bidi w:val="0"/>
        <w:spacing w:before="0" w:after="20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65"/>
      <w:bookmarkEnd w:id="866"/>
      <w:bookmarkEnd w:id="868"/>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长期股权投资、采用成本模式计量的投资性房地产、固定资产、在建工程、无形资产等长期资产，于资产负债表日存在 减值迹象的，进行减值测试。减值测试结果表明资产的可收回金额低于其账面价值的，按其差额计提减值准备并计入减值损 失。可收回金额为资产的公允价值减去处置费用后的净额与资产预计未来现金流量的现值两者之间的较高者。资产减值准备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商誉至少在每年年度终了进行减值测试。</w:t>
      </w:r>
    </w:p>
    <w:p>
      <w:pPr>
        <w:pStyle w:val="Style21"/>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1"/>
        <w:keepNext w:val="0"/>
        <w:keepLines w:val="0"/>
        <w:widowControl w:val="0"/>
        <w:shd w:val="clear" w:color="auto" w:fill="auto"/>
        <w:bidi w:val="0"/>
        <w:spacing w:before="0" w:after="200" w:line="468" w:lineRule="exact"/>
        <w:ind w:left="0" w:right="0" w:firstLine="380"/>
        <w:jc w:val="both"/>
        <w:sectPr>
          <w:footnotePr>
            <w:pos w:val="pageBottom"/>
            <w:numFmt w:val="decimal"/>
            <w:numRestart w:val="continuous"/>
          </w:footnotePr>
          <w:pgSz w:w="11900" w:h="16840"/>
          <w:pgMar w:top="1494" w:right="1023" w:bottom="1494" w:left="1104" w:header="0" w:footer="3" w:gutter="0"/>
          <w:cols w:space="720"/>
          <w:noEndnote/>
          <w:rtlGutter w:val="0"/>
          <w:docGrid w:linePitch="360"/>
        </w:sectPr>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460" w:line="468" w:lineRule="exact"/>
        <w:ind w:left="0" w:right="0" w:firstLine="0"/>
        <w:jc w:val="left"/>
      </w:pPr>
      <w:r>
        <w:rPr>
          <w:color w:val="000000"/>
          <w:spacing w:val="0"/>
          <w:w w:val="100"/>
          <w:position w:val="0"/>
        </w:rPr>
        <w:t>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3"/>
        <w:keepNext/>
        <w:keepLines/>
        <w:widowControl w:val="0"/>
        <w:shd w:val="clear" w:color="auto" w:fill="auto"/>
        <w:tabs>
          <w:tab w:pos="483" w:val="left"/>
        </w:tabs>
        <w:bidi w:val="0"/>
        <w:spacing w:before="0" w:after="20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69"/>
      <w:bookmarkEnd w:id="870"/>
      <w:bookmarkEnd w:id="872"/>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长期待摊费用为已经发生但应由本期和以后各期负担的分摊期限在一年以上的各项费用。</w:t>
      </w:r>
    </w:p>
    <w:p>
      <w:pPr>
        <w:pStyle w:val="Style21"/>
        <w:keepNext w:val="0"/>
        <w:keepLines w:val="0"/>
        <w:widowControl w:val="0"/>
        <w:shd w:val="clear" w:color="auto" w:fill="auto"/>
        <w:bidi w:val="0"/>
        <w:spacing w:before="0" w:after="460" w:line="466"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项目，在确定时将该项目的摊余价值全部计入当期损益。</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3"/>
      <w:bookmarkEnd w:id="874"/>
      <w:bookmarkEnd w:id="876"/>
    </w:p>
    <w:p>
      <w:pPr>
        <w:pStyle w:val="Style40"/>
        <w:keepNext/>
        <w:keepLines/>
        <w:widowControl w:val="0"/>
        <w:shd w:val="clear" w:color="auto" w:fill="auto"/>
        <w:tabs>
          <w:tab w:pos="493" w:val="left"/>
        </w:tabs>
        <w:bidi w:val="0"/>
        <w:spacing w:before="0" w:after="20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7"/>
      <w:bookmarkEnd w:id="878"/>
      <w:bookmarkEnd w:id="880"/>
    </w:p>
    <w:p>
      <w:pPr>
        <w:pStyle w:val="Style21"/>
        <w:keepNext w:val="0"/>
        <w:keepLines w:val="0"/>
        <w:widowControl w:val="0"/>
        <w:shd w:val="clear" w:color="auto" w:fill="auto"/>
        <w:bidi w:val="0"/>
        <w:spacing w:before="0" w:after="0" w:line="470"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1"/>
        <w:keepNext w:val="0"/>
        <w:keepLines w:val="0"/>
        <w:widowControl w:val="0"/>
        <w:shd w:val="clear" w:color="auto" w:fill="auto"/>
        <w:bidi w:val="0"/>
        <w:spacing w:before="0" w:after="460" w:line="470" w:lineRule="exact"/>
        <w:ind w:left="0" w:right="0" w:firstLine="380"/>
        <w:jc w:val="left"/>
      </w:pPr>
      <w:r>
        <w:rPr>
          <w:color w:val="000000"/>
          <w:spacing w:val="0"/>
          <w:w w:val="100"/>
          <w:position w:val="0"/>
        </w:rPr>
        <w:t>职工福利费为非货币性福利的，如能够可靠计量的，按照公允价值计量。</w:t>
      </w:r>
    </w:p>
    <w:p>
      <w:pPr>
        <w:pStyle w:val="Style40"/>
        <w:keepNext/>
        <w:keepLines/>
        <w:widowControl w:val="0"/>
        <w:shd w:val="clear" w:color="auto" w:fill="auto"/>
        <w:tabs>
          <w:tab w:pos="493" w:val="left"/>
        </w:tabs>
        <w:bidi w:val="0"/>
        <w:spacing w:before="0" w:after="20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1"/>
      <w:bookmarkEnd w:id="882"/>
      <w:bookmarkEnd w:id="884"/>
    </w:p>
    <w:p>
      <w:pPr>
        <w:pStyle w:val="Style21"/>
        <w:keepNext w:val="0"/>
        <w:keepLines w:val="0"/>
        <w:widowControl w:val="0"/>
        <w:shd w:val="clear" w:color="auto" w:fill="auto"/>
        <w:tabs>
          <w:tab w:pos="825" w:val="left"/>
        </w:tabs>
        <w:bidi w:val="0"/>
        <w:spacing w:before="0" w:after="0" w:line="466" w:lineRule="exact"/>
        <w:ind w:left="0" w:right="0" w:firstLine="380"/>
        <w:jc w:val="both"/>
      </w:pPr>
      <w:bookmarkStart w:id="885" w:name="bookmark885"/>
      <w:r>
        <w:rPr>
          <w:color w:val="000000"/>
          <w:spacing w:val="0"/>
          <w:w w:val="100"/>
          <w:position w:val="0"/>
          <w:sz w:val="18"/>
          <w:szCs w:val="18"/>
        </w:rPr>
        <w:t>（</w:t>
      </w:r>
      <w:bookmarkEnd w:id="885"/>
      <w:r>
        <w:rPr>
          <w:color w:val="000000"/>
          <w:spacing w:val="0"/>
          <w:w w:val="100"/>
          <w:position w:val="0"/>
          <w:sz w:val="18"/>
          <w:szCs w:val="18"/>
        </w:rPr>
        <w:t>1）</w:t>
        <w:tab/>
      </w:r>
      <w:r>
        <w:rPr>
          <w:color w:val="000000"/>
          <w:spacing w:val="0"/>
          <w:w w:val="100"/>
          <w:position w:val="0"/>
        </w:rPr>
        <w:t>设定提存计划</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21"/>
        <w:keepNext w:val="0"/>
        <w:keepLines w:val="0"/>
        <w:widowControl w:val="0"/>
        <w:shd w:val="clear" w:color="auto" w:fill="auto"/>
        <w:tabs>
          <w:tab w:pos="825" w:val="left"/>
        </w:tabs>
        <w:bidi w:val="0"/>
        <w:spacing w:before="0" w:after="0" w:line="466" w:lineRule="exact"/>
        <w:ind w:left="0" w:right="0" w:firstLine="38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2）</w:t>
        <w:tab/>
      </w:r>
      <w:r>
        <w:rPr>
          <w:color w:val="000000"/>
          <w:spacing w:val="0"/>
          <w:w w:val="100"/>
          <w:position w:val="0"/>
        </w:rPr>
        <w:t>设定受益计划</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所有设定受益计划义务，包括预期在职工提供服务的年度本期间结束后的十二个月内支付的义务，根据资产负债表日与 设定受益计划义务期限和币种相匹配的国债或活跃市场上的高质量公司债券的市场收益率予以折现。</w:t>
      </w:r>
    </w:p>
    <w:p>
      <w:pPr>
        <w:pStyle w:val="Style21"/>
        <w:keepNext w:val="0"/>
        <w:keepLines w:val="0"/>
        <w:widowControl w:val="0"/>
        <w:shd w:val="clear" w:color="auto" w:fill="auto"/>
        <w:bidi w:val="0"/>
        <w:spacing w:before="0" w:after="200" w:line="466" w:lineRule="exact"/>
        <w:ind w:left="0" w:right="0" w:firstLine="380"/>
        <w:jc w:val="both"/>
        <w:sectPr>
          <w:footnotePr>
            <w:pos w:val="pageBottom"/>
            <w:numFmt w:val="decimal"/>
            <w:numRestart w:val="continuous"/>
          </w:footnotePr>
          <w:pgSz w:w="11900" w:h="16840"/>
          <w:pgMar w:top="932" w:right="1028" w:bottom="1201" w:left="1104" w:header="0" w:footer="3" w:gutter="0"/>
          <w:cols w:space="720"/>
          <w:noEndnote/>
          <w:rtlGutter w:val="0"/>
          <w:docGrid w:linePitch="360"/>
        </w:sectPr>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w:t>
      </w:r>
    </w:p>
    <w:p>
      <w:pPr>
        <w:pStyle w:val="Style59"/>
        <w:keepNext w:val="0"/>
        <w:keepLines w:val="0"/>
        <w:widowControl w:val="0"/>
        <w:shd w:val="clear" w:color="auto" w:fill="auto"/>
        <w:bidi w:val="0"/>
        <w:spacing w:before="0" w:after="6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51" w:lineRule="exact"/>
        <w:ind w:left="0" w:right="0" w:firstLine="0"/>
        <w:jc w:val="left"/>
      </w:pPr>
      <w:r>
        <w:rPr>
          <w:color w:val="000000"/>
          <w:spacing w:val="0"/>
          <w:w w:val="100"/>
          <w:position w:val="0"/>
        </w:rPr>
        <w:t>权益范围内将原计入其他综合收益的部分全部结转至未分配利润。</w:t>
      </w:r>
    </w:p>
    <w:p>
      <w:pPr>
        <w:pStyle w:val="Style21"/>
        <w:keepNext w:val="0"/>
        <w:keepLines w:val="0"/>
        <w:widowControl w:val="0"/>
        <w:shd w:val="clear" w:color="auto" w:fill="auto"/>
        <w:bidi w:val="0"/>
        <w:spacing w:before="0" w:after="460" w:line="451" w:lineRule="exact"/>
        <w:ind w:left="380" w:right="0" w:firstLine="0"/>
        <w:jc w:val="left"/>
      </w:pPr>
      <w:r>
        <w:rPr>
          <w:color w:val="000000"/>
          <w:spacing w:val="0"/>
          <w:w w:val="100"/>
          <w:position w:val="0"/>
        </w:rPr>
        <w:t>在设定受益计划结算时，按在结算日确定的设定受益计划义务现值和结算价格两者的差额，确认结算利得或损失。 详见本附注“七</w:t>
      </w:r>
      <w:r>
        <w:rPr>
          <w:color w:val="000000"/>
          <w:spacing w:val="0"/>
          <w:w w:val="100"/>
          <w:position w:val="0"/>
          <w:sz w:val="18"/>
          <w:szCs w:val="18"/>
        </w:rPr>
        <w:t>37</w:t>
      </w:r>
      <w:r>
        <w:rPr>
          <w:color w:val="000000"/>
          <w:spacing w:val="0"/>
          <w:w w:val="100"/>
          <w:position w:val="0"/>
        </w:rPr>
        <w:t>、应付职工薪酬”。</w:t>
      </w:r>
    </w:p>
    <w:p>
      <w:pPr>
        <w:pStyle w:val="Style40"/>
        <w:keepNext/>
        <w:keepLines/>
        <w:widowControl w:val="0"/>
        <w:shd w:val="clear" w:color="auto" w:fill="auto"/>
        <w:tabs>
          <w:tab w:pos="493" w:val="left"/>
        </w:tabs>
        <w:bidi w:val="0"/>
        <w:spacing w:before="0" w:after="20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7"/>
      <w:bookmarkEnd w:id="888"/>
      <w:bookmarkEnd w:id="890"/>
    </w:p>
    <w:p>
      <w:pPr>
        <w:pStyle w:val="Style21"/>
        <w:keepNext w:val="0"/>
        <w:keepLines w:val="0"/>
        <w:widowControl w:val="0"/>
        <w:shd w:val="clear" w:color="auto" w:fill="auto"/>
        <w:bidi w:val="0"/>
        <w:spacing w:before="0" w:after="460" w:line="466" w:lineRule="exact"/>
        <w:ind w:left="0" w:right="0" w:firstLine="380"/>
        <w:jc w:val="left"/>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40"/>
        <w:keepNext/>
        <w:keepLines/>
        <w:widowControl w:val="0"/>
        <w:shd w:val="clear" w:color="auto" w:fill="auto"/>
        <w:tabs>
          <w:tab w:pos="493" w:val="left"/>
        </w:tabs>
        <w:bidi w:val="0"/>
        <w:spacing w:before="0" w:after="36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1"/>
      <w:bookmarkEnd w:id="892"/>
      <w:bookmarkEnd w:id="894"/>
    </w:p>
    <w:p>
      <w:pPr>
        <w:pStyle w:val="Style33"/>
        <w:keepNext/>
        <w:keepLines/>
        <w:widowControl w:val="0"/>
        <w:shd w:val="clear" w:color="auto" w:fill="auto"/>
        <w:bidi w:val="0"/>
        <w:spacing w:before="0" w:after="20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95"/>
      <w:bookmarkEnd w:id="896"/>
      <w:bookmarkEnd w:id="898"/>
    </w:p>
    <w:p>
      <w:pPr>
        <w:pStyle w:val="Style21"/>
        <w:keepNext w:val="0"/>
        <w:keepLines w:val="0"/>
        <w:widowControl w:val="0"/>
        <w:shd w:val="clear" w:color="auto" w:fill="auto"/>
        <w:bidi w:val="0"/>
        <w:spacing w:before="0" w:after="0" w:line="471" w:lineRule="exact"/>
        <w:ind w:left="0" w:right="0" w:firstLine="380"/>
        <w:jc w:val="left"/>
      </w:pPr>
      <w:r>
        <w:rPr>
          <w:color w:val="000000"/>
          <w:spacing w:val="0"/>
          <w:w w:val="100"/>
          <w:position w:val="0"/>
        </w:rPr>
        <w:t>本公司涉及诉讼、债务担保、亏损合同、重组事项时，如该等事项很可能需要未来以交付资产或提供劳务、其金额能够 可靠计量的，确认为预计负债。</w:t>
      </w:r>
    </w:p>
    <w:p>
      <w:pPr>
        <w:pStyle w:val="Style21"/>
        <w:keepNext w:val="0"/>
        <w:keepLines w:val="0"/>
        <w:widowControl w:val="0"/>
        <w:shd w:val="clear" w:color="auto" w:fill="auto"/>
        <w:tabs>
          <w:tab w:pos="410" w:val="left"/>
        </w:tabs>
        <w:bidi w:val="0"/>
        <w:spacing w:before="0" w:after="0" w:line="471" w:lineRule="exact"/>
        <w:ind w:left="0" w:right="0" w:firstLine="0"/>
        <w:jc w:val="left"/>
      </w:pPr>
      <w:bookmarkStart w:id="899" w:name="bookmark899"/>
      <w:r>
        <w:rPr>
          <w:color w:val="000000"/>
          <w:spacing w:val="0"/>
          <w:w w:val="100"/>
          <w:position w:val="0"/>
          <w:sz w:val="18"/>
          <w:szCs w:val="18"/>
        </w:rPr>
        <w:t>1</w:t>
      </w:r>
      <w:bookmarkEnd w:id="899"/>
      <w:r>
        <w:rPr>
          <w:color w:val="000000"/>
          <w:spacing w:val="0"/>
          <w:w w:val="100"/>
          <w:position w:val="0"/>
        </w:rPr>
        <w:t>、</w:t>
        <w:tab/>
        <w:t>预计负债的确认标准</w:t>
      </w:r>
    </w:p>
    <w:p>
      <w:pPr>
        <w:pStyle w:val="Style21"/>
        <w:keepNext w:val="0"/>
        <w:keepLines w:val="0"/>
        <w:widowControl w:val="0"/>
        <w:shd w:val="clear" w:color="auto" w:fill="auto"/>
        <w:bidi w:val="0"/>
        <w:spacing w:before="0" w:after="0" w:line="471" w:lineRule="exact"/>
        <w:ind w:left="0" w:right="0" w:firstLine="380"/>
        <w:jc w:val="left"/>
      </w:pPr>
      <w:r>
        <w:rPr>
          <w:color w:val="000000"/>
          <w:spacing w:val="0"/>
          <w:w w:val="100"/>
          <w:position w:val="0"/>
        </w:rPr>
        <w:t>与或有事项相关的义务同时满足下列条件时，本公司确认为预计负债：</w:t>
      </w:r>
    </w:p>
    <w:p>
      <w:pPr>
        <w:pStyle w:val="Style21"/>
        <w:keepNext w:val="0"/>
        <w:keepLines w:val="0"/>
        <w:widowControl w:val="0"/>
        <w:shd w:val="clear" w:color="auto" w:fill="auto"/>
        <w:tabs>
          <w:tab w:pos="825" w:val="left"/>
        </w:tabs>
        <w:bidi w:val="0"/>
        <w:spacing w:before="0" w:after="0" w:line="471" w:lineRule="exact"/>
        <w:ind w:left="0" w:right="0" w:firstLine="380"/>
        <w:jc w:val="left"/>
      </w:pPr>
      <w:bookmarkStart w:id="900" w:name="bookmark900"/>
      <w:r>
        <w:rPr>
          <w:color w:val="000000"/>
          <w:spacing w:val="0"/>
          <w:w w:val="100"/>
          <w:position w:val="0"/>
          <w:sz w:val="18"/>
          <w:szCs w:val="18"/>
        </w:rPr>
        <w:t>（</w:t>
      </w:r>
      <w:bookmarkEnd w:id="900"/>
      <w:r>
        <w:rPr>
          <w:color w:val="000000"/>
          <w:spacing w:val="0"/>
          <w:w w:val="100"/>
          <w:position w:val="0"/>
          <w:sz w:val="18"/>
          <w:szCs w:val="18"/>
        </w:rPr>
        <w:t>1）</w:t>
        <w:tab/>
      </w:r>
      <w:r>
        <w:rPr>
          <w:color w:val="000000"/>
          <w:spacing w:val="0"/>
          <w:w w:val="100"/>
          <w:position w:val="0"/>
        </w:rPr>
        <w:t>该义务是本公司承担的现时义务；</w:t>
      </w:r>
    </w:p>
    <w:p>
      <w:pPr>
        <w:pStyle w:val="Style21"/>
        <w:keepNext w:val="0"/>
        <w:keepLines w:val="0"/>
        <w:widowControl w:val="0"/>
        <w:shd w:val="clear" w:color="auto" w:fill="auto"/>
        <w:tabs>
          <w:tab w:pos="825" w:val="left"/>
        </w:tabs>
        <w:bidi w:val="0"/>
        <w:spacing w:before="0" w:after="0" w:line="471" w:lineRule="exact"/>
        <w:ind w:left="0" w:right="0" w:firstLine="380"/>
        <w:jc w:val="left"/>
      </w:pPr>
      <w:bookmarkStart w:id="901" w:name="bookmark901"/>
      <w:r>
        <w:rPr>
          <w:color w:val="000000"/>
          <w:spacing w:val="0"/>
          <w:w w:val="100"/>
          <w:position w:val="0"/>
          <w:sz w:val="18"/>
          <w:szCs w:val="18"/>
        </w:rPr>
        <w:t>（</w:t>
      </w:r>
      <w:bookmarkEnd w:id="901"/>
      <w:r>
        <w:rPr>
          <w:color w:val="000000"/>
          <w:spacing w:val="0"/>
          <w:w w:val="100"/>
          <w:position w:val="0"/>
          <w:sz w:val="18"/>
          <w:szCs w:val="18"/>
        </w:rPr>
        <w:t>2）</w:t>
        <w:tab/>
      </w:r>
      <w:r>
        <w:rPr>
          <w:color w:val="000000"/>
          <w:spacing w:val="0"/>
          <w:w w:val="100"/>
          <w:position w:val="0"/>
        </w:rPr>
        <w:t>履行该义务很可能导致经济利益流出本公司；</w:t>
      </w:r>
    </w:p>
    <w:p>
      <w:pPr>
        <w:pStyle w:val="Style21"/>
        <w:keepNext w:val="0"/>
        <w:keepLines w:val="0"/>
        <w:widowControl w:val="0"/>
        <w:shd w:val="clear" w:color="auto" w:fill="auto"/>
        <w:tabs>
          <w:tab w:pos="825" w:val="left"/>
        </w:tabs>
        <w:bidi w:val="0"/>
        <w:spacing w:before="0" w:after="0" w:line="471" w:lineRule="exact"/>
        <w:ind w:left="0" w:right="0" w:firstLine="380"/>
        <w:jc w:val="left"/>
      </w:pPr>
      <w:bookmarkStart w:id="902" w:name="bookmark902"/>
      <w:r>
        <w:rPr>
          <w:color w:val="000000"/>
          <w:spacing w:val="0"/>
          <w:w w:val="100"/>
          <w:position w:val="0"/>
          <w:sz w:val="18"/>
          <w:szCs w:val="18"/>
        </w:rPr>
        <w:t>（</w:t>
      </w:r>
      <w:bookmarkEnd w:id="902"/>
      <w:r>
        <w:rPr>
          <w:color w:val="000000"/>
          <w:spacing w:val="0"/>
          <w:w w:val="100"/>
          <w:position w:val="0"/>
          <w:sz w:val="18"/>
          <w:szCs w:val="18"/>
        </w:rPr>
        <w:t>3）</w:t>
        <w:tab/>
      </w:r>
      <w:r>
        <w:rPr>
          <w:color w:val="000000"/>
          <w:spacing w:val="0"/>
          <w:w w:val="100"/>
          <w:position w:val="0"/>
        </w:rPr>
        <w:t>该义务的金额能够可靠地计量。</w:t>
      </w:r>
    </w:p>
    <w:p>
      <w:pPr>
        <w:pStyle w:val="Style21"/>
        <w:keepNext w:val="0"/>
        <w:keepLines w:val="0"/>
        <w:widowControl w:val="0"/>
        <w:shd w:val="clear" w:color="auto" w:fill="auto"/>
        <w:tabs>
          <w:tab w:pos="410" w:val="left"/>
        </w:tabs>
        <w:bidi w:val="0"/>
        <w:spacing w:before="0" w:after="0" w:line="471" w:lineRule="exact"/>
        <w:ind w:left="0" w:right="0" w:firstLine="0"/>
        <w:jc w:val="left"/>
      </w:pPr>
      <w:bookmarkStart w:id="903" w:name="bookmark903"/>
      <w:r>
        <w:rPr>
          <w:color w:val="000000"/>
          <w:spacing w:val="0"/>
          <w:w w:val="100"/>
          <w:position w:val="0"/>
          <w:sz w:val="18"/>
          <w:szCs w:val="18"/>
        </w:rPr>
        <w:t>2</w:t>
      </w:r>
      <w:bookmarkEnd w:id="903"/>
      <w:r>
        <w:rPr>
          <w:color w:val="000000"/>
          <w:spacing w:val="0"/>
          <w:w w:val="100"/>
          <w:position w:val="0"/>
        </w:rPr>
        <w:t>、</w:t>
        <w:tab/>
        <w:t>预计负债的计量方法</w:t>
      </w:r>
    </w:p>
    <w:p>
      <w:pPr>
        <w:pStyle w:val="Style21"/>
        <w:keepNext w:val="0"/>
        <w:keepLines w:val="0"/>
        <w:widowControl w:val="0"/>
        <w:shd w:val="clear" w:color="auto" w:fill="auto"/>
        <w:bidi w:val="0"/>
        <w:spacing w:before="0" w:after="0" w:line="471" w:lineRule="exact"/>
        <w:ind w:left="0" w:right="0" w:firstLine="380"/>
        <w:jc w:val="left"/>
      </w:pPr>
      <w:r>
        <w:rPr>
          <w:color w:val="000000"/>
          <w:spacing w:val="0"/>
          <w:w w:val="100"/>
          <w:position w:val="0"/>
        </w:rPr>
        <w:t>本公司预计负债按履行相关现时义务所需的支出的最佳估计数进行初始计量。</w:t>
      </w:r>
    </w:p>
    <w:p>
      <w:pPr>
        <w:pStyle w:val="Style21"/>
        <w:keepNext w:val="0"/>
        <w:keepLines w:val="0"/>
        <w:widowControl w:val="0"/>
        <w:shd w:val="clear" w:color="auto" w:fill="auto"/>
        <w:bidi w:val="0"/>
        <w:spacing w:before="0" w:after="0" w:line="471" w:lineRule="exact"/>
        <w:ind w:left="0" w:right="0" w:firstLine="380"/>
        <w:jc w:val="left"/>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最佳估计数分别以下情况处理：</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1"/>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1"/>
        <w:keepNext w:val="0"/>
        <w:keepLines w:val="0"/>
        <w:widowControl w:val="0"/>
        <w:shd w:val="clear" w:color="auto" w:fill="auto"/>
        <w:bidi w:val="0"/>
        <w:spacing w:before="0" w:after="200" w:line="471" w:lineRule="exact"/>
        <w:ind w:left="0" w:right="0" w:firstLine="380"/>
        <w:jc w:val="both"/>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932" w:right="1028" w:bottom="1201" w:left="1104" w:header="0" w:footer="3" w:gutter="0"/>
          <w:cols w:space="720"/>
          <w:noEndnote/>
          <w:rtlGutter w:val="0"/>
          <w:docGrid w:linePitch="360"/>
        </w:sectPr>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3"/>
        <w:keepNext/>
        <w:keepLines/>
        <w:widowControl w:val="0"/>
        <w:shd w:val="clear" w:color="auto" w:fill="auto"/>
        <w:bidi w:val="0"/>
        <w:spacing w:before="0" w:after="20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04"/>
      <w:bookmarkEnd w:id="905"/>
      <w:bookmarkEnd w:id="907"/>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本公司的股份支付是为了获取职工提供服务而授予权益工具或者承担以权益工具为基础确定的负债的交易。本公司的股 份支付分为以权益结算的股份支付和以现金结算的股份支付。</w:t>
      </w:r>
    </w:p>
    <w:p>
      <w:pPr>
        <w:pStyle w:val="Style21"/>
        <w:keepNext w:val="0"/>
        <w:keepLines w:val="0"/>
        <w:widowControl w:val="0"/>
        <w:shd w:val="clear" w:color="auto" w:fill="auto"/>
        <w:tabs>
          <w:tab w:pos="432" w:val="left"/>
        </w:tabs>
        <w:bidi w:val="0"/>
        <w:spacing w:before="0" w:after="0" w:line="469" w:lineRule="exact"/>
        <w:ind w:left="0" w:right="0" w:firstLine="0"/>
        <w:jc w:val="left"/>
      </w:pPr>
      <w:bookmarkStart w:id="908" w:name="bookmark908"/>
      <w:r>
        <w:rPr>
          <w:color w:val="000000"/>
          <w:spacing w:val="0"/>
          <w:w w:val="100"/>
          <w:position w:val="0"/>
          <w:sz w:val="18"/>
          <w:szCs w:val="18"/>
        </w:rPr>
        <w:t>1</w:t>
      </w:r>
      <w:bookmarkEnd w:id="908"/>
      <w:r>
        <w:rPr>
          <w:color w:val="000000"/>
          <w:spacing w:val="0"/>
          <w:w w:val="100"/>
          <w:position w:val="0"/>
        </w:rPr>
        <w:t>、</w:t>
        <w:tab/>
        <w:t>以权益结算的股份支付及权益工具</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以权益结算的股份支付换取职工提供服务的，以授予职工权益工具的公允价值计量。在等待期内每个资产负债表日，本 公司根据最新取得的［可行权职工人数变动］［、是否达到规定业绩条件］等后续信息对可行权权益工具数量作出最佳估计，以 此为基础，按照授予日的公允价值，将当期取得的服务计入相关成本或费用，相应增加资本公积。在可行权日之后不再对已 确认的相关成本或费用和所有者权益总额进行调整。但授予后立即可行权的，在授予日按照公允价值计入相关成本或费用， 相应增加资本公积。</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21"/>
        <w:keepNext w:val="0"/>
        <w:keepLines w:val="0"/>
        <w:widowControl w:val="0"/>
        <w:shd w:val="clear" w:color="auto" w:fill="auto"/>
        <w:tabs>
          <w:tab w:pos="432" w:val="left"/>
        </w:tabs>
        <w:bidi w:val="0"/>
        <w:spacing w:before="0" w:after="0" w:line="469" w:lineRule="exact"/>
        <w:ind w:left="0" w:right="0" w:firstLine="0"/>
        <w:jc w:val="left"/>
      </w:pPr>
      <w:bookmarkStart w:id="909" w:name="bookmark909"/>
      <w:r>
        <w:rPr>
          <w:color w:val="000000"/>
          <w:spacing w:val="0"/>
          <w:w w:val="100"/>
          <w:position w:val="0"/>
          <w:sz w:val="18"/>
          <w:szCs w:val="18"/>
        </w:rPr>
        <w:t>2</w:t>
      </w:r>
      <w:bookmarkEnd w:id="909"/>
      <w:r>
        <w:rPr>
          <w:color w:val="000000"/>
          <w:spacing w:val="0"/>
          <w:w w:val="100"/>
          <w:position w:val="0"/>
        </w:rPr>
        <w:t>、</w:t>
        <w:tab/>
        <w:t>以现金结算的股份支付及权益工具</w:t>
      </w:r>
    </w:p>
    <w:p>
      <w:pPr>
        <w:pStyle w:val="Style21"/>
        <w:keepNext w:val="0"/>
        <w:keepLines w:val="0"/>
        <w:widowControl w:val="0"/>
        <w:shd w:val="clear" w:color="auto" w:fill="auto"/>
        <w:bidi w:val="0"/>
        <w:spacing w:before="0" w:after="480" w:line="469" w:lineRule="exact"/>
        <w:ind w:left="0" w:right="0" w:firstLine="380"/>
        <w:jc w:val="both"/>
      </w:pPr>
      <w:r>
        <w:rPr>
          <w:color w:val="000000"/>
          <w:spacing w:val="0"/>
          <w:w w:val="100"/>
          <w:position w:val="0"/>
        </w:rPr>
        <w:t>以现金结算的股份支付，按照本公司承担的以股份或其他权益工具为基础计算确定的负债的公允价值计量。初始采用模 型按照授予日的公允价值计量，并考虑授予权益工具的条款和条件。授予后立即可行权的，在授予日以承担负债的公允价值 计入成本或费用，相应增加负债；完成等待期内的服务或达到规定业绩条件才可行权的，在等待期内以对可行权情况的最佳 估计为基础，按照承担负债的公允价值，将当期取得的服务计入相关成本或费用，增加相应负债。在相关负债结算前的每个 资产负债表日以及结算日，对负债的公允价值重新计量，其变动计入当期损益。</w:t>
      </w:r>
    </w:p>
    <w:p>
      <w:pPr>
        <w:pStyle w:val="Style33"/>
        <w:keepNext/>
        <w:keepLines/>
        <w:widowControl w:val="0"/>
        <w:shd w:val="clear" w:color="auto" w:fill="auto"/>
        <w:tabs>
          <w:tab w:pos="452" w:val="left"/>
        </w:tabs>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10"/>
      <w:bookmarkEnd w:id="911"/>
      <w:bookmarkEnd w:id="913"/>
    </w:p>
    <w:p>
      <w:pPr>
        <w:pStyle w:val="Style33"/>
        <w:keepNext/>
        <w:keepLines/>
        <w:widowControl w:val="0"/>
        <w:shd w:val="clear" w:color="auto" w:fill="auto"/>
        <w:tabs>
          <w:tab w:pos="452" w:val="left"/>
        </w:tabs>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14"/>
      <w:bookmarkEnd w:id="915"/>
      <w:bookmarkEnd w:id="91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1</w:t>
      </w:r>
      <w:r>
        <w:rPr>
          <w:color w:val="000000"/>
          <w:spacing w:val="0"/>
          <w:w w:val="100"/>
          <w:position w:val="0"/>
        </w:rPr>
        <w:t>、销售商品收入确认和计量原则</w:t>
      </w:r>
    </w:p>
    <w:p>
      <w:pPr>
        <w:pStyle w:val="Style21"/>
        <w:keepNext w:val="0"/>
        <w:keepLines w:val="0"/>
        <w:widowControl w:val="0"/>
        <w:shd w:val="clear" w:color="auto" w:fill="auto"/>
        <w:bidi w:val="0"/>
        <w:spacing w:before="0" w:after="280" w:line="470" w:lineRule="exact"/>
        <w:ind w:left="0" w:right="0" w:firstLine="380"/>
        <w:jc w:val="both"/>
        <w:sectPr>
          <w:footnotePr>
            <w:pos w:val="pageBottom"/>
            <w:numFmt w:val="decimal"/>
            <w:numRestart w:val="continuous"/>
          </w:footnotePr>
          <w:pgSz w:w="11900" w:h="16840"/>
          <w:pgMar w:top="1498" w:right="1032" w:bottom="1498" w:left="1104" w:header="0" w:footer="3" w:gutter="0"/>
          <w:cols w:space="720"/>
          <w:noEndnote/>
          <w:rtlGutter w:val="0"/>
          <w:docGrid w:linePitch="360"/>
        </w:sectPr>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w:t>
      </w:r>
    </w:p>
    <w:p>
      <w:pPr>
        <w:pStyle w:val="Style59"/>
        <w:keepNext w:val="0"/>
        <w:keepLines w:val="0"/>
        <w:widowControl w:val="0"/>
        <w:shd w:val="clear" w:color="auto" w:fill="auto"/>
        <w:bidi w:val="0"/>
        <w:spacing w:before="0" w:after="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0" w:line="473" w:lineRule="exact"/>
        <w:ind w:left="0" w:right="0" w:firstLine="0"/>
        <w:jc w:val="left"/>
      </w:pPr>
      <w:r>
        <w:rPr>
          <w:color w:val="000000"/>
          <w:spacing w:val="0"/>
          <w:w w:val="100"/>
          <w:position w:val="0"/>
        </w:rPr>
        <w:t>可靠地计量时，确认商品销售收入实现。</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根据上述商品销售收入确认原则，公司产品销售收入确认的具体方法如下：</w:t>
      </w:r>
    </w:p>
    <w:p>
      <w:pPr>
        <w:pStyle w:val="Style21"/>
        <w:keepNext w:val="0"/>
        <w:keepLines w:val="0"/>
        <w:widowControl w:val="0"/>
        <w:shd w:val="clear" w:color="auto" w:fill="auto"/>
        <w:tabs>
          <w:tab w:pos="825" w:val="left"/>
        </w:tabs>
        <w:bidi w:val="0"/>
        <w:spacing w:before="0" w:after="0" w:line="473" w:lineRule="exact"/>
        <w:ind w:left="0" w:right="0" w:firstLine="380"/>
        <w:jc w:val="left"/>
      </w:pPr>
      <w:bookmarkStart w:id="918" w:name="bookmark918"/>
      <w:r>
        <w:rPr>
          <w:color w:val="000000"/>
          <w:spacing w:val="0"/>
          <w:w w:val="100"/>
          <w:position w:val="0"/>
          <w:sz w:val="18"/>
          <w:szCs w:val="18"/>
        </w:rPr>
        <w:t>（</w:t>
      </w:r>
      <w:bookmarkEnd w:id="918"/>
      <w:r>
        <w:rPr>
          <w:color w:val="000000"/>
          <w:spacing w:val="0"/>
          <w:w w:val="100"/>
          <w:position w:val="0"/>
          <w:sz w:val="18"/>
          <w:szCs w:val="18"/>
        </w:rPr>
        <w:t>1）</w:t>
        <w:tab/>
      </w:r>
      <w:r>
        <w:rPr>
          <w:color w:val="000000"/>
          <w:spacing w:val="0"/>
          <w:w w:val="100"/>
          <w:position w:val="0"/>
        </w:rPr>
        <w:t>外销</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公司外销主要采用</w:t>
      </w:r>
      <w:r>
        <w:rPr>
          <w:color w:val="000000"/>
          <w:spacing w:val="0"/>
          <w:w w:val="100"/>
          <w:position w:val="0"/>
          <w:sz w:val="18"/>
          <w:szCs w:val="18"/>
        </w:rPr>
        <w:t>FOB</w:t>
      </w:r>
      <w:r>
        <w:rPr>
          <w:color w:val="000000"/>
          <w:spacing w:val="0"/>
          <w:w w:val="100"/>
          <w:position w:val="0"/>
        </w:rPr>
        <w:t>（出口离岸价）方式结算，收到国外客户订单后产品出库并办理报关出口手续后确认销售收入的 实现，根据出口货物报关单上注明的日期作为主要风险和报酬转移给购买方的时点。</w:t>
      </w:r>
    </w:p>
    <w:p>
      <w:pPr>
        <w:pStyle w:val="Style21"/>
        <w:keepNext w:val="0"/>
        <w:keepLines w:val="0"/>
        <w:widowControl w:val="0"/>
        <w:shd w:val="clear" w:color="auto" w:fill="auto"/>
        <w:tabs>
          <w:tab w:pos="825" w:val="left"/>
        </w:tabs>
        <w:bidi w:val="0"/>
        <w:spacing w:before="0" w:after="0" w:line="473" w:lineRule="exact"/>
        <w:ind w:left="0" w:right="0" w:firstLine="380"/>
        <w:jc w:val="left"/>
      </w:pPr>
      <w:bookmarkStart w:id="919" w:name="bookmark919"/>
      <w:r>
        <w:rPr>
          <w:color w:val="000000"/>
          <w:spacing w:val="0"/>
          <w:w w:val="100"/>
          <w:position w:val="0"/>
          <w:sz w:val="18"/>
          <w:szCs w:val="18"/>
        </w:rPr>
        <w:t>（</w:t>
      </w:r>
      <w:bookmarkEnd w:id="919"/>
      <w:r>
        <w:rPr>
          <w:color w:val="000000"/>
          <w:spacing w:val="0"/>
          <w:w w:val="100"/>
          <w:position w:val="0"/>
          <w:sz w:val="18"/>
          <w:szCs w:val="18"/>
        </w:rPr>
        <w:t>2）</w:t>
        <w:tab/>
      </w:r>
      <w:r>
        <w:rPr>
          <w:color w:val="000000"/>
          <w:spacing w:val="0"/>
          <w:w w:val="100"/>
          <w:position w:val="0"/>
        </w:rPr>
        <w:t>内销</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公司内销主要分为直销、买断式经销和代销三种模式。</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直销和买断式经销，销售收入确认的方法一致，公司依据客户订单约定发货并开具相应的送货单，待货物送达后，与客 户进行对账，核实无误后确认收入。</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代销模式，受托代销商每月定期提供代销清单，财务部每月定期与代销商进行对账，核实无误后确认收入。</w:t>
      </w:r>
    </w:p>
    <w:p>
      <w:pPr>
        <w:pStyle w:val="Style21"/>
        <w:keepNext w:val="0"/>
        <w:keepLines w:val="0"/>
        <w:widowControl w:val="0"/>
        <w:shd w:val="clear" w:color="auto" w:fill="auto"/>
        <w:bidi w:val="0"/>
        <w:spacing w:before="0" w:after="0" w:line="473" w:lineRule="exact"/>
        <w:ind w:left="0" w:right="0" w:firstLine="0"/>
        <w:jc w:val="left"/>
      </w:pPr>
      <w:r>
        <w:rPr>
          <w:color w:val="000000"/>
          <w:spacing w:val="0"/>
          <w:w w:val="100"/>
          <w:position w:val="0"/>
          <w:sz w:val="18"/>
          <w:szCs w:val="18"/>
        </w:rPr>
        <w:t>2</w:t>
      </w:r>
      <w:r>
        <w:rPr>
          <w:color w:val="000000"/>
          <w:spacing w:val="0"/>
          <w:w w:val="100"/>
          <w:position w:val="0"/>
        </w:rPr>
        <w:t>、让渡资产使用权收入的确认和计量原则</w:t>
      </w:r>
    </w:p>
    <w:p>
      <w:pPr>
        <w:pStyle w:val="Style21"/>
        <w:keepNext w:val="0"/>
        <w:keepLines w:val="0"/>
        <w:widowControl w:val="0"/>
        <w:shd w:val="clear" w:color="auto" w:fill="auto"/>
        <w:bidi w:val="0"/>
        <w:spacing w:before="0" w:after="0" w:line="473" w:lineRule="exact"/>
        <w:ind w:left="0" w:right="0" w:firstLine="380"/>
        <w:jc w:val="left"/>
      </w:pPr>
      <w:r>
        <w:rPr>
          <w:color w:val="000000"/>
          <w:spacing w:val="0"/>
          <w:w w:val="100"/>
          <w:position w:val="0"/>
        </w:rPr>
        <w:t>与交易相关的经济利益很可能流入企业，收入的金额能够可靠地计量时。分别下列情况确定让渡资产使用权收入金额：</w:t>
      </w:r>
    </w:p>
    <w:p>
      <w:pPr>
        <w:pStyle w:val="Style21"/>
        <w:keepNext w:val="0"/>
        <w:keepLines w:val="0"/>
        <w:widowControl w:val="0"/>
        <w:numPr>
          <w:ilvl w:val="0"/>
          <w:numId w:val="23"/>
        </w:numPr>
        <w:shd w:val="clear" w:color="auto" w:fill="auto"/>
        <w:tabs>
          <w:tab w:pos="753" w:val="left"/>
        </w:tabs>
        <w:bidi w:val="0"/>
        <w:spacing w:before="0" w:after="0" w:line="473" w:lineRule="exact"/>
        <w:ind w:left="0" w:right="0" w:firstLine="380"/>
        <w:jc w:val="left"/>
      </w:pPr>
      <w:bookmarkStart w:id="920" w:name="bookmark920"/>
      <w:bookmarkEnd w:id="920"/>
      <w:r>
        <w:rPr>
          <w:color w:val="000000"/>
          <w:spacing w:val="0"/>
          <w:w w:val="100"/>
          <w:position w:val="0"/>
        </w:rPr>
        <w:t>利息收入金额，按照他人使用本企业货币资金的时间和实际利率计算确定。</w:t>
      </w:r>
    </w:p>
    <w:p>
      <w:pPr>
        <w:pStyle w:val="Style21"/>
        <w:keepNext w:val="0"/>
        <w:keepLines w:val="0"/>
        <w:widowControl w:val="0"/>
        <w:numPr>
          <w:ilvl w:val="0"/>
          <w:numId w:val="23"/>
        </w:numPr>
        <w:shd w:val="clear" w:color="auto" w:fill="auto"/>
        <w:tabs>
          <w:tab w:pos="753" w:val="left"/>
        </w:tabs>
        <w:bidi w:val="0"/>
        <w:spacing w:before="0" w:after="460" w:line="473" w:lineRule="exact"/>
        <w:ind w:left="0" w:right="0" w:firstLine="380"/>
        <w:jc w:val="left"/>
      </w:pPr>
      <w:bookmarkStart w:id="921" w:name="bookmark921"/>
      <w:bookmarkEnd w:id="921"/>
      <w:r>
        <w:rPr>
          <w:color w:val="000000"/>
          <w:spacing w:val="0"/>
          <w:w w:val="100"/>
          <w:position w:val="0"/>
        </w:rPr>
        <w:t>使用费收入金额，按照有关合同或协议约定的收费时间和方法计算确定。</w:t>
      </w:r>
    </w:p>
    <w:p>
      <w:pPr>
        <w:pStyle w:val="Style33"/>
        <w:keepNext/>
        <w:keepLines/>
        <w:widowControl w:val="0"/>
        <w:shd w:val="clear" w:color="auto" w:fill="auto"/>
        <w:bidi w:val="0"/>
        <w:spacing w:before="0" w:after="3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22"/>
      <w:bookmarkEnd w:id="923"/>
      <w:bookmarkEnd w:id="925"/>
    </w:p>
    <w:p>
      <w:pPr>
        <w:pStyle w:val="Style40"/>
        <w:keepNext/>
        <w:keepLines/>
        <w:widowControl w:val="0"/>
        <w:shd w:val="clear" w:color="auto" w:fill="auto"/>
        <w:tabs>
          <w:tab w:pos="493" w:val="left"/>
        </w:tabs>
        <w:bidi w:val="0"/>
        <w:spacing w:before="0" w:after="1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6"/>
      <w:bookmarkEnd w:id="927"/>
      <w:bookmarkEnd w:id="929"/>
    </w:p>
    <w:p>
      <w:pPr>
        <w:pStyle w:val="Style21"/>
        <w:keepNext w:val="0"/>
        <w:keepLines w:val="0"/>
        <w:widowControl w:val="0"/>
        <w:shd w:val="clear" w:color="auto" w:fill="auto"/>
        <w:bidi w:val="0"/>
        <w:spacing w:before="0" w:after="460" w:line="475" w:lineRule="exact"/>
        <w:ind w:left="0" w:right="0" w:firstLine="380"/>
        <w:jc w:val="left"/>
      </w:pPr>
      <w:r>
        <w:rPr>
          <w:color w:val="000000"/>
          <w:spacing w:val="0"/>
          <w:w w:val="100"/>
          <w:position w:val="0"/>
        </w:rPr>
        <w:t>与购建固定资产、无形资产等长期资产相关的政府补助，确认为递延收益，在相关资产达到可供使用状态时，按照所建 造或购买的资产使用年限分期计入营业外收入；</w:t>
      </w:r>
    </w:p>
    <w:p>
      <w:pPr>
        <w:pStyle w:val="Style40"/>
        <w:keepNext/>
        <w:keepLines/>
        <w:widowControl w:val="0"/>
        <w:shd w:val="clear" w:color="auto" w:fill="auto"/>
        <w:tabs>
          <w:tab w:pos="493" w:val="left"/>
        </w:tabs>
        <w:bidi w:val="0"/>
        <w:spacing w:before="0" w:after="1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30"/>
      <w:bookmarkEnd w:id="931"/>
      <w:bookmarkEnd w:id="933"/>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对于政府文件未明确规定补助对象的，本公司将该政府补助划分为与资产相关或与收益相关的判断依据为：</w:t>
      </w:r>
    </w:p>
    <w:p>
      <w:pPr>
        <w:pStyle w:val="Style21"/>
        <w:keepNext w:val="0"/>
        <w:keepLines w:val="0"/>
        <w:widowControl w:val="0"/>
        <w:shd w:val="clear" w:color="auto" w:fill="auto"/>
        <w:bidi w:val="0"/>
        <w:spacing w:before="0" w:after="180" w:line="469" w:lineRule="exact"/>
        <w:ind w:left="0" w:right="0" w:firstLine="380"/>
        <w:jc w:val="both"/>
        <w:sectPr>
          <w:footnotePr>
            <w:pos w:val="pageBottom"/>
            <w:numFmt w:val="decimal"/>
            <w:numRestart w:val="continuous"/>
          </w:footnotePr>
          <w:pgSz w:w="11900" w:h="16840"/>
          <w:pgMar w:top="932" w:right="1032" w:bottom="1201" w:left="1104" w:header="0" w:footer="3" w:gutter="0"/>
          <w:cols w:space="720"/>
          <w:noEndnote/>
          <w:rtlGutter w:val="0"/>
          <w:docGrid w:linePitch="360"/>
        </w:sectPr>
      </w:pPr>
      <w:r>
        <w:rPr>
          <w:color w:val="000000"/>
          <w:spacing w:val="0"/>
          <w:w w:val="100"/>
          <w:position w:val="0"/>
        </w:rPr>
        <w:t>公司对于综合性项目政府文件未明确补助具体对象时，将其分解为与资产相关的部分和与收益相关的部分，分别进行会 计处理；难以区分的，将政府补助整体归类为与收益相关的政府补助，视情况不同计入当期损益，或者在项目期内分期确认 为当期收益。</w:t>
      </w:r>
    </w:p>
    <w:p>
      <w:pPr>
        <w:pStyle w:val="Style33"/>
        <w:keepNext/>
        <w:keepLines/>
        <w:widowControl w:val="0"/>
        <w:shd w:val="clear" w:color="auto" w:fill="auto"/>
        <w:bidi w:val="0"/>
        <w:spacing w:before="0" w:after="20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0"/>
      <w:bookmarkEnd w:id="941"/>
      <w:bookmarkEnd w:id="943"/>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对于应纳税暂时性差异，除特殊情况外，确认递延所得税负债。</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1"/>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3"/>
        <w:keepNext/>
        <w:keepLines/>
        <w:widowControl w:val="0"/>
        <w:shd w:val="clear" w:color="auto" w:fill="auto"/>
        <w:bidi w:val="0"/>
        <w:spacing w:before="0" w:after="380" w:line="240" w:lineRule="auto"/>
        <w:ind w:left="0" w:right="0" w:firstLine="0"/>
        <w:jc w:val="left"/>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44"/>
      <w:bookmarkEnd w:id="945"/>
      <w:bookmarkEnd w:id="946"/>
    </w:p>
    <w:p>
      <w:pPr>
        <w:pStyle w:val="Style40"/>
        <w:keepNext/>
        <w:keepLines/>
        <w:widowControl w:val="0"/>
        <w:shd w:val="clear" w:color="auto" w:fill="auto"/>
        <w:tabs>
          <w:tab w:pos="473" w:val="left"/>
        </w:tabs>
        <w:bidi w:val="0"/>
        <w:spacing w:before="0" w:after="20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7"/>
      <w:bookmarkEnd w:id="948"/>
      <w:bookmarkEnd w:id="950"/>
    </w:p>
    <w:p>
      <w:pPr>
        <w:pStyle w:val="Style21"/>
        <w:keepNext w:val="0"/>
        <w:keepLines w:val="0"/>
        <w:widowControl w:val="0"/>
        <w:shd w:val="clear" w:color="auto" w:fill="auto"/>
        <w:tabs>
          <w:tab w:pos="693" w:val="left"/>
        </w:tabs>
        <w:bidi w:val="0"/>
        <w:spacing w:before="0" w:after="0" w:line="473" w:lineRule="exact"/>
        <w:ind w:left="0" w:right="0" w:firstLine="380"/>
        <w:jc w:val="both"/>
      </w:pPr>
      <w:bookmarkStart w:id="951" w:name="bookmark951"/>
      <w:r>
        <w:rPr>
          <w:color w:val="000000"/>
          <w:spacing w:val="0"/>
          <w:w w:val="100"/>
          <w:position w:val="0"/>
          <w:sz w:val="18"/>
          <w:szCs w:val="18"/>
        </w:rPr>
        <w:t>1</w:t>
      </w:r>
      <w:bookmarkEnd w:id="951"/>
      <w:r>
        <w:rPr>
          <w:color w:val="000000"/>
          <w:spacing w:val="0"/>
          <w:w w:val="100"/>
          <w:position w:val="0"/>
          <w:sz w:val="18"/>
          <w:szCs w:val="18"/>
        </w:rPr>
        <w:t>）</w:t>
        <w:tab/>
      </w:r>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21"/>
        <w:keepNext w:val="0"/>
        <w:keepLines w:val="0"/>
        <w:widowControl w:val="0"/>
        <w:shd w:val="clear" w:color="auto" w:fill="auto"/>
        <w:bidi w:val="0"/>
        <w:spacing w:before="0" w:after="0" w:line="473"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1"/>
        <w:keepNext w:val="0"/>
        <w:keepLines w:val="0"/>
        <w:widowControl w:val="0"/>
        <w:shd w:val="clear" w:color="auto" w:fill="auto"/>
        <w:tabs>
          <w:tab w:pos="698" w:val="left"/>
        </w:tabs>
        <w:bidi w:val="0"/>
        <w:spacing w:before="0" w:after="0" w:line="473" w:lineRule="exact"/>
        <w:ind w:left="0" w:right="0" w:firstLine="380"/>
        <w:jc w:val="both"/>
      </w:pPr>
      <w:bookmarkStart w:id="952" w:name="bookmark952"/>
      <w:r>
        <w:rPr>
          <w:color w:val="000000"/>
          <w:spacing w:val="0"/>
          <w:w w:val="100"/>
          <w:position w:val="0"/>
          <w:sz w:val="18"/>
          <w:szCs w:val="18"/>
        </w:rPr>
        <w:t>2</w:t>
      </w:r>
      <w:bookmarkEnd w:id="952"/>
      <w:r>
        <w:rPr>
          <w:color w:val="000000"/>
          <w:spacing w:val="0"/>
          <w:w w:val="100"/>
          <w:position w:val="0"/>
          <w:sz w:val="18"/>
          <w:szCs w:val="18"/>
        </w:rPr>
        <w:t>）</w:t>
        <w:tab/>
      </w:r>
      <w:r>
        <w:rPr>
          <w:color w:val="000000"/>
          <w:spacing w:val="0"/>
          <w:w w:val="100"/>
          <w:position w:val="0"/>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21"/>
        <w:keepNext w:val="0"/>
        <w:keepLines w:val="0"/>
        <w:widowControl w:val="0"/>
        <w:shd w:val="clear" w:color="auto" w:fill="auto"/>
        <w:bidi w:val="0"/>
        <w:spacing w:before="0" w:after="460" w:line="473"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0"/>
        <w:keepNext/>
        <w:keepLines/>
        <w:widowControl w:val="0"/>
        <w:shd w:val="clear" w:color="auto" w:fill="auto"/>
        <w:tabs>
          <w:tab w:pos="473" w:val="left"/>
        </w:tabs>
        <w:bidi w:val="0"/>
        <w:spacing w:before="0" w:after="20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3"/>
      <w:bookmarkEnd w:id="954"/>
      <w:bookmarkEnd w:id="956"/>
    </w:p>
    <w:p>
      <w:pPr>
        <w:pStyle w:val="Style21"/>
        <w:keepNext w:val="0"/>
        <w:keepLines w:val="0"/>
        <w:widowControl w:val="0"/>
        <w:shd w:val="clear" w:color="auto" w:fill="auto"/>
        <w:bidi w:val="0"/>
        <w:spacing w:before="0" w:after="280" w:line="470" w:lineRule="exact"/>
        <w:ind w:left="0" w:right="0" w:firstLine="380"/>
        <w:jc w:val="both"/>
      </w:pPr>
      <w:r>
        <w:rPr>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r>
        <w:br w:type="page"/>
      </w:r>
    </w:p>
    <w:p>
      <w:pPr>
        <w:pStyle w:val="Style21"/>
        <w:keepNext w:val="0"/>
        <w:keepLines w:val="0"/>
        <w:widowControl w:val="0"/>
        <w:shd w:val="clear" w:color="auto" w:fill="auto"/>
        <w:bidi w:val="0"/>
        <w:spacing w:before="0" w:after="280" w:line="240" w:lineRule="auto"/>
        <w:ind w:left="0" w:right="0" w:firstLine="380"/>
        <w:jc w:val="left"/>
      </w:pPr>
      <w:r>
        <w:rPr>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融资租出资产：公司在租赁开始日，将应收融资租赁款，未担保余值之和与其现值的差额确认为未实现融资收益,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在将来收到租金的各期间内确认为租赁收入。公司发生的与出租交易相关的初始直接费用，计入应收融资租赁款的初始计量</w:t>
      </w:r>
    </w:p>
    <w:p>
      <w:pPr>
        <w:widowControl w:val="0"/>
        <w:spacing w:line="1" w:lineRule="exact"/>
      </w:pPr>
      <w:r>
        <mc:AlternateContent>
          <mc:Choice Requires="wps">
            <w:drawing>
              <wp:anchor distT="76200" distB="838200" distL="0" distR="0" simplePos="0" relativeHeight="125829405" behindDoc="0" locked="0" layoutInCell="1" allowOverlap="1">
                <wp:simplePos x="0" y="0"/>
                <wp:positionH relativeFrom="page">
                  <wp:posOffset>718820</wp:posOffset>
                </wp:positionH>
                <wp:positionV relativeFrom="paragraph">
                  <wp:posOffset>76200</wp:posOffset>
                </wp:positionV>
                <wp:extent cx="216535" cy="152400"/>
                <wp:wrapTopAndBottom/>
                <wp:docPr id="225" name="Shape 225"/>
                <a:graphic xmlns:a="http://schemas.openxmlformats.org/drawingml/2006/main">
                  <a:graphicData uri="http://schemas.microsoft.com/office/word/2010/wordprocessingShape">
                    <wps:wsp>
                      <wps:cNvSpPr txBox="1"/>
                      <wps:spPr>
                        <a:xfrm>
                          <a:ext cx="216535"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xbxContent>
                      </wps:txbx>
                      <wps:bodyPr wrap="none" lIns="0" tIns="0" rIns="0" bIns="0">
                        <a:noAutoFit/>
                      </wps:bodyPr>
                    </wps:wsp>
                  </a:graphicData>
                </a:graphic>
              </wp:anchor>
            </w:drawing>
          </mc:Choice>
          <mc:Fallback>
            <w:pict>
              <v:shape id="_x0000_s1251" type="#_x0000_t202" style="position:absolute;margin-left:56.600000000000001pt;margin-top:6.pt;width:17.050000000000001pt;height:12.pt;z-index:-125829348;mso-wrap-distance-left:0;mso-wrap-distance-top:6.pt;mso-wrap-distance-right:0;mso-wrap-distance-bottom:66.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xbxContent>
                </v:textbox>
                <w10:wrap type="topAndBottom" anchorx="page"/>
              </v:shape>
            </w:pict>
          </mc:Fallback>
        </mc:AlternateContent>
      </w:r>
      <w:r>
        <mc:AlternateContent>
          <mc:Choice Requires="wps">
            <w:drawing>
              <wp:anchor distT="76200" distB="841375" distL="0" distR="0" simplePos="0" relativeHeight="125829407" behindDoc="0" locked="0" layoutInCell="1" allowOverlap="1">
                <wp:simplePos x="0" y="0"/>
                <wp:positionH relativeFrom="page">
                  <wp:posOffset>938530</wp:posOffset>
                </wp:positionH>
                <wp:positionV relativeFrom="paragraph">
                  <wp:posOffset>76200</wp:posOffset>
                </wp:positionV>
                <wp:extent cx="1740535" cy="149225"/>
                <wp:wrapTopAndBottom/>
                <wp:docPr id="227" name="Shape 227"/>
                <a:graphic xmlns:a="http://schemas.openxmlformats.org/drawingml/2006/main">
                  <a:graphicData uri="http://schemas.microsoft.com/office/word/2010/wordprocessingShape">
                    <wps:wsp>
                      <wps:cNvSpPr txBox="1"/>
                      <wps:spPr>
                        <a:xfrm>
                          <a:ext cx="17405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并减少租赁期内确认的收益金额。</w:t>
                            </w:r>
                          </w:p>
                        </w:txbxContent>
                      </wps:txbx>
                      <wps:bodyPr wrap="none" lIns="0" tIns="0" rIns="0" bIns="0">
                        <a:noAutoFit/>
                      </wps:bodyPr>
                    </wps:wsp>
                  </a:graphicData>
                </a:graphic>
              </wp:anchor>
            </w:drawing>
          </mc:Choice>
          <mc:Fallback>
            <w:pict>
              <v:shape id="_x0000_s1253" type="#_x0000_t202" style="position:absolute;margin-left:73.900000000000006pt;margin-top:6.pt;width:137.05000000000001pt;height:11.75pt;z-index:-125829346;mso-wrap-distance-left:0;mso-wrap-distance-top:6.pt;mso-wrap-distance-right:0;mso-wrap-distance-bottom:66.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并减少租赁期内确认的收益金额。</w:t>
                      </w:r>
                    </w:p>
                  </w:txbxContent>
                </v:textbox>
                <w10:wrap type="topAndBottom" anchorx="page"/>
              </v:shape>
            </w:pict>
          </mc:Fallback>
        </mc:AlternateContent>
      </w:r>
      <w:r>
        <mc:AlternateContent>
          <mc:Choice Requires="wps">
            <w:drawing>
              <wp:anchor distT="506095" distB="389890" distL="0" distR="0" simplePos="0" relativeHeight="125829409" behindDoc="0" locked="0" layoutInCell="1" allowOverlap="1">
                <wp:simplePos x="0" y="0"/>
                <wp:positionH relativeFrom="page">
                  <wp:posOffset>706755</wp:posOffset>
                </wp:positionH>
                <wp:positionV relativeFrom="paragraph">
                  <wp:posOffset>506095</wp:posOffset>
                </wp:positionV>
                <wp:extent cx="228600" cy="170815"/>
                <wp:wrapTopAndBottom/>
                <wp:docPr id="229" name="Shape 229"/>
                <a:graphic xmlns:a="http://schemas.openxmlformats.org/drawingml/2006/main">
                  <a:graphicData uri="http://schemas.microsoft.com/office/word/2010/wordprocessingShape">
                    <wps:wsp>
                      <wps:cNvSpPr txBox="1"/>
                      <wps:spPr>
                        <a:xfrm>
                          <a:ext cx="228600" cy="1708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255" type="#_x0000_t202" style="position:absolute;margin-left:55.649999999999999pt;margin-top:39.850000000000001pt;width:18.pt;height:13.450000000000001pt;z-index:-125829344;mso-wrap-distance-left:0;mso-wrap-distance-top:39.850000000000001pt;mso-wrap-distance-right:0;mso-wrap-distance-bottom:30.69999999999999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506095" distB="389890" distL="0" distR="0" simplePos="0" relativeHeight="125829411" behindDoc="0" locked="0" layoutInCell="1" allowOverlap="1">
                <wp:simplePos x="0" y="0"/>
                <wp:positionH relativeFrom="page">
                  <wp:posOffset>974725</wp:posOffset>
                </wp:positionH>
                <wp:positionV relativeFrom="paragraph">
                  <wp:posOffset>506095</wp:posOffset>
                </wp:positionV>
                <wp:extent cx="1898650" cy="170815"/>
                <wp:wrapTopAndBottom/>
                <wp:docPr id="231" name="Shape 231"/>
                <a:graphic xmlns:a="http://schemas.openxmlformats.org/drawingml/2006/main">
                  <a:graphicData uri="http://schemas.microsoft.com/office/word/2010/wordprocessingShape">
                    <wps:wsp>
                      <wps:cNvSpPr txBox="1"/>
                      <wps:spPr>
                        <a:xfrm>
                          <a:ext cx="1898650" cy="170815"/>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934" w:name="bookmark934"/>
                            <w:bookmarkStart w:id="935" w:name="bookmark935"/>
                            <w:bookmarkStart w:id="936" w:name="bookmark936"/>
                            <w:r>
                              <w:rPr>
                                <w:color w:val="000000"/>
                                <w:spacing w:val="0"/>
                                <w:w w:val="100"/>
                                <w:position w:val="0"/>
                              </w:rPr>
                              <w:t>其他重要的会计政策和会计估计</w:t>
                            </w:r>
                            <w:bookmarkEnd w:id="934"/>
                            <w:bookmarkEnd w:id="935"/>
                            <w:bookmarkEnd w:id="936"/>
                          </w:p>
                        </w:txbxContent>
                      </wps:txbx>
                      <wps:bodyPr wrap="none" lIns="0" tIns="0" rIns="0" bIns="0">
                        <a:noAutoFit/>
                      </wps:bodyPr>
                    </wps:wsp>
                  </a:graphicData>
                </a:graphic>
              </wp:anchor>
            </w:drawing>
          </mc:Choice>
          <mc:Fallback>
            <w:pict>
              <v:shape id="_x0000_s1257" type="#_x0000_t202" style="position:absolute;margin-left:76.75pt;margin-top:39.850000000000001pt;width:149.5pt;height:13.450000000000001pt;z-index:-125829342;mso-wrap-distance-left:0;mso-wrap-distance-top:39.850000000000001pt;mso-wrap-distance-right:0;mso-wrap-distance-bottom:30.699999999999999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934" w:name="bookmark934"/>
                      <w:bookmarkStart w:id="935" w:name="bookmark935"/>
                      <w:bookmarkStart w:id="936" w:name="bookmark936"/>
                      <w:r>
                        <w:rPr>
                          <w:color w:val="000000"/>
                          <w:spacing w:val="0"/>
                          <w:w w:val="100"/>
                          <w:position w:val="0"/>
                        </w:rPr>
                        <w:t>其他重要的会计政策和会计估计</w:t>
                      </w:r>
                      <w:bookmarkEnd w:id="934"/>
                      <w:bookmarkEnd w:id="935"/>
                      <w:bookmarkEnd w:id="936"/>
                    </w:p>
                  </w:txbxContent>
                </v:textbox>
                <w10:wrap type="topAndBottom" anchorx="page"/>
              </v:shape>
            </w:pict>
          </mc:Fallback>
        </mc:AlternateContent>
      </w:r>
      <w:r>
        <mc:AlternateContent>
          <mc:Choice Requires="wps">
            <w:drawing>
              <wp:anchor distT="895985" distB="0" distL="0" distR="0" simplePos="0" relativeHeight="125829413" behindDoc="0" locked="0" layoutInCell="1" allowOverlap="1">
                <wp:simplePos x="0" y="0"/>
                <wp:positionH relativeFrom="page">
                  <wp:posOffset>706755</wp:posOffset>
                </wp:positionH>
                <wp:positionV relativeFrom="paragraph">
                  <wp:posOffset>895985</wp:posOffset>
                </wp:positionV>
                <wp:extent cx="228600" cy="170815"/>
                <wp:wrapTopAndBottom/>
                <wp:docPr id="233" name="Shape 233"/>
                <a:graphic xmlns:a="http://schemas.openxmlformats.org/drawingml/2006/main">
                  <a:graphicData uri="http://schemas.microsoft.com/office/word/2010/wordprocessingShape">
                    <wps:wsp>
                      <wps:cNvSpPr txBox="1"/>
                      <wps:spPr>
                        <a:xfrm>
                          <a:ext cx="228600" cy="1708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259" type="#_x0000_t202" style="position:absolute;margin-left:55.649999999999999pt;margin-top:70.549999999999997pt;width:18.pt;height:13.450000000000001pt;z-index:-125829340;mso-wrap-distance-left:0;mso-wrap-distance-top:70.549999999999997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p>
                  </w:txbxContent>
                </v:textbox>
                <w10:wrap type="topAndBottom" anchorx="page"/>
              </v:shape>
            </w:pict>
          </mc:Fallback>
        </mc:AlternateContent>
      </w:r>
      <w:r>
        <mc:AlternateContent>
          <mc:Choice Requires="wps">
            <w:drawing>
              <wp:anchor distT="892810" distB="0" distL="0" distR="0" simplePos="0" relativeHeight="125829415" behindDoc="0" locked="0" layoutInCell="1" allowOverlap="1">
                <wp:simplePos x="0" y="0"/>
                <wp:positionH relativeFrom="page">
                  <wp:posOffset>974725</wp:posOffset>
                </wp:positionH>
                <wp:positionV relativeFrom="paragraph">
                  <wp:posOffset>892810</wp:posOffset>
                </wp:positionV>
                <wp:extent cx="1767840" cy="173990"/>
                <wp:wrapTopAndBottom/>
                <wp:docPr id="235" name="Shape 235"/>
                <a:graphic xmlns:a="http://schemas.openxmlformats.org/drawingml/2006/main">
                  <a:graphicData uri="http://schemas.microsoft.com/office/word/2010/wordprocessingShape">
                    <wps:wsp>
                      <wps:cNvSpPr txBox="1"/>
                      <wps:spPr>
                        <a:xfrm>
                          <a:ext cx="1767840" cy="17399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937" w:name="bookmark937"/>
                            <w:bookmarkStart w:id="938" w:name="bookmark938"/>
                            <w:bookmarkStart w:id="939" w:name="bookmark939"/>
                            <w:r>
                              <w:rPr>
                                <w:color w:val="000000"/>
                                <w:spacing w:val="0"/>
                                <w:w w:val="100"/>
                                <w:position w:val="0"/>
                              </w:rPr>
                              <w:t>重要会计政策和会计估计变更</w:t>
                            </w:r>
                            <w:bookmarkEnd w:id="937"/>
                            <w:bookmarkEnd w:id="938"/>
                            <w:bookmarkEnd w:id="939"/>
                          </w:p>
                        </w:txbxContent>
                      </wps:txbx>
                      <wps:bodyPr wrap="none" lIns="0" tIns="0" rIns="0" bIns="0">
                        <a:noAutoFit/>
                      </wps:bodyPr>
                    </wps:wsp>
                  </a:graphicData>
                </a:graphic>
              </wp:anchor>
            </w:drawing>
          </mc:Choice>
          <mc:Fallback>
            <w:pict>
              <v:shape id="_x0000_s1261" type="#_x0000_t202" style="position:absolute;margin-left:76.75pt;margin-top:70.299999999999997pt;width:139.20000000000002pt;height:13.700000000000001pt;z-index:-125829338;mso-wrap-distance-left:0;mso-wrap-distance-top:70.299999999999997pt;mso-wrap-distance-right:0;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937" w:name="bookmark937"/>
                      <w:bookmarkStart w:id="938" w:name="bookmark938"/>
                      <w:bookmarkStart w:id="939" w:name="bookmark939"/>
                      <w:r>
                        <w:rPr>
                          <w:color w:val="000000"/>
                          <w:spacing w:val="0"/>
                          <w:w w:val="100"/>
                          <w:position w:val="0"/>
                        </w:rPr>
                        <w:t>重要会计政策和会计估计变更</w:t>
                      </w:r>
                      <w:bookmarkEnd w:id="937"/>
                      <w:bookmarkEnd w:id="938"/>
                      <w:bookmarkEnd w:id="939"/>
                    </w:p>
                  </w:txbxContent>
                </v:textbox>
                <w10:wrap type="topAndBottom" anchorx="page"/>
              </v:shape>
            </w:pict>
          </mc:Fallback>
        </mc:AlternateContent>
      </w:r>
    </w:p>
    <w:p>
      <w:pPr>
        <w:pStyle w:val="Style40"/>
        <w:keepNext/>
        <w:keepLines/>
        <w:widowControl w:val="0"/>
        <w:numPr>
          <w:ilvl w:val="0"/>
          <w:numId w:val="25"/>
        </w:numPr>
        <w:shd w:val="clear" w:color="auto" w:fill="auto"/>
        <w:bidi w:val="0"/>
        <w:spacing w:before="0" w:after="360" w:line="240" w:lineRule="auto"/>
        <w:ind w:left="0" w:right="0" w:firstLine="140"/>
        <w:jc w:val="left"/>
      </w:pPr>
      <w:bookmarkStart w:id="957" w:name="bookmark957"/>
      <w:bookmarkStart w:id="958" w:name="bookmark958"/>
      <w:bookmarkStart w:id="959" w:name="bookmark959"/>
      <w:bookmarkStart w:id="960" w:name="bookmark960"/>
      <w:bookmarkEnd w:id="959"/>
      <w:r>
        <w:rPr>
          <w:color w:val="000000"/>
          <w:spacing w:val="0"/>
          <w:w w:val="100"/>
          <w:position w:val="0"/>
        </w:rPr>
        <w:t>重要会计政策变更</w:t>
      </w:r>
      <w:bookmarkEnd w:id="957"/>
      <w:bookmarkEnd w:id="958"/>
      <w:bookmarkEnd w:id="960"/>
    </w:p>
    <w:p>
      <w:pPr>
        <w:pStyle w:val="Style29"/>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)将利润表中的“营业税金及附加” 项目调整为“税金及附加”项目。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已完成公司内部决策审批程序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日起企业经营 活动发生的房产税、土地使用税、车船 使用税、印花税从“管理费用”项目重 分类至“税金及附加”项目，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日之前发生的税费不予调整。比较 数据不予调整。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已完成公司内部决策审批程序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调增税金及附加本年金额</w:t>
            </w:r>
            <w:r>
              <w:rPr>
                <w:color w:val="000000"/>
                <w:spacing w:val="0"/>
                <w:w w:val="100"/>
                <w:position w:val="0"/>
              </w:rPr>
              <w:t>199,351.13</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元，调减管理费用本年金额</w:t>
            </w:r>
            <w:r>
              <w:rPr>
                <w:color w:val="000000"/>
                <w:spacing w:val="0"/>
                <w:w w:val="100"/>
                <w:position w:val="0"/>
              </w:rPr>
              <w:t>199,351.13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[2016]22</w:t>
      </w:r>
      <w:r>
        <w:rPr>
          <w:color w:val="000000"/>
          <w:spacing w:val="0"/>
          <w:w w:val="100"/>
          <w:position w:val="0"/>
        </w:rPr>
        <w:t>号)，适用于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日起发生的相关交易。</w:t>
      </w:r>
    </w:p>
    <w:p>
      <w:pPr>
        <w:widowControl w:val="0"/>
        <w:spacing w:after="359" w:line="1" w:lineRule="exact"/>
      </w:pPr>
    </w:p>
    <w:p>
      <w:pPr>
        <w:pStyle w:val="Style40"/>
        <w:keepNext/>
        <w:keepLines/>
        <w:widowControl w:val="0"/>
        <w:numPr>
          <w:ilvl w:val="0"/>
          <w:numId w:val="25"/>
        </w:numPr>
        <w:shd w:val="clear" w:color="auto" w:fill="auto"/>
        <w:bidi w:val="0"/>
        <w:spacing w:before="0" w:after="360" w:line="240" w:lineRule="auto"/>
        <w:ind w:left="0" w:right="0" w:firstLine="140"/>
        <w:jc w:val="left"/>
      </w:pPr>
      <w:bookmarkStart w:id="961" w:name="bookmark961"/>
      <w:bookmarkStart w:id="962" w:name="bookmark962"/>
      <w:bookmarkStart w:id="963" w:name="bookmark963"/>
      <w:bookmarkStart w:id="964" w:name="bookmark964"/>
      <w:bookmarkEnd w:id="963"/>
      <w:r>
        <w:rPr>
          <w:color w:val="000000"/>
          <w:spacing w:val="0"/>
          <w:w w:val="100"/>
          <w:position w:val="0"/>
        </w:rPr>
        <w:t>重要会计估计变更</w:t>
      </w:r>
      <w:bookmarkEnd w:id="961"/>
      <w:bookmarkEnd w:id="962"/>
      <w:bookmarkEnd w:id="964"/>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65"/>
      <w:bookmarkEnd w:id="966"/>
      <w:bookmarkEnd w:id="967"/>
    </w:p>
    <w:p>
      <w:pPr>
        <w:pStyle w:val="Style27"/>
        <w:keepNext/>
        <w:keepLines/>
        <w:widowControl w:val="0"/>
        <w:shd w:val="clear" w:color="auto" w:fill="auto"/>
        <w:bidi w:val="0"/>
        <w:spacing w:before="0" w:line="240" w:lineRule="auto"/>
        <w:ind w:left="0" w:right="0" w:firstLine="0"/>
        <w:jc w:val="both"/>
      </w:pPr>
      <w:bookmarkStart w:id="968" w:name="bookmark968"/>
      <w:bookmarkStart w:id="969" w:name="bookmark969"/>
      <w:bookmarkStart w:id="970" w:name="bookmark970"/>
      <w:bookmarkStart w:id="971" w:name="bookmark971"/>
      <w:r>
        <w:rPr>
          <w:rFonts w:ascii="SimHei" w:eastAsia="SimHei" w:hAnsi="SimHei" w:cs="SimHei"/>
          <w:b w:val="0"/>
          <w:bCs w:val="0"/>
          <w:color w:val="000000"/>
          <w:spacing w:val="0"/>
          <w:w w:val="100"/>
          <w:position w:val="0"/>
        </w:rPr>
        <w:t>六</w:t>
      </w:r>
      <w:bookmarkEnd w:id="970"/>
      <w:r>
        <w:rPr>
          <w:rFonts w:ascii="SimHei" w:eastAsia="SimHei" w:hAnsi="SimHei" w:cs="SimHei"/>
          <w:b w:val="0"/>
          <w:bCs w:val="0"/>
          <w:color w:val="000000"/>
          <w:spacing w:val="0"/>
          <w:w w:val="100"/>
          <w:position w:val="0"/>
        </w:rPr>
        <w:t>、税项</w:t>
      </w:r>
      <w:bookmarkEnd w:id="968"/>
      <w:bookmarkEnd w:id="969"/>
      <w:bookmarkEnd w:id="971"/>
    </w:p>
    <w:p>
      <w:pPr>
        <w:pStyle w:val="Style33"/>
        <w:keepNext/>
        <w:keepLines/>
        <w:widowControl w:val="0"/>
        <w:shd w:val="clear" w:color="auto" w:fill="auto"/>
        <w:bidi w:val="0"/>
        <w:spacing w:before="0" w:line="240" w:lineRule="auto"/>
        <w:ind w:left="0" w:right="0" w:firstLine="0"/>
        <w:jc w:val="both"/>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2"/>
      <w:bookmarkEnd w:id="973"/>
      <w:bookmarkEnd w:id="97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按实际缴纳的营业税、增值税计征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公司与中山市创源传感器有限公司、中 山市创源贸易有限公司税率为</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,自 </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月起，公司与中山市创源贸 易有限公司税率为</w:t>
            </w:r>
            <w:r>
              <w:rPr>
                <w:color w:val="000000"/>
                <w:spacing w:val="0"/>
                <w:w w:val="100"/>
                <w:position w:val="0"/>
                <w:sz w:val="18"/>
                <w:szCs w:val="18"/>
              </w:rPr>
              <w:t>7%</w:t>
            </w:r>
            <w:r>
              <w:rPr>
                <w:rFonts w:ascii="SimSun" w:eastAsia="SimSun" w:hAnsi="SimSun" w:cs="SimSun"/>
                <w:color w:val="000000"/>
                <w:spacing w:val="0"/>
                <w:w w:val="100"/>
                <w:position w:val="0"/>
                <w:sz w:val="17"/>
                <w:szCs w:val="17"/>
              </w:rPr>
              <w:t>；深圳市乐心医</w:t>
            </w:r>
          </w:p>
        </w:tc>
      </w:tr>
    </w:tbl>
    <w:p>
      <w:pPr>
        <w:widowControl w:val="0"/>
        <w:spacing w:line="1" w:lineRule="exact"/>
      </w:pPr>
      <w:r>
        <w:br w:type="page"/>
      </w:r>
    </w:p>
    <w:tbl>
      <w:tblPr>
        <w:tblOverlap w:val="never"/>
        <w:jc w:val="center"/>
        <w:tblLayout w:type="fixed"/>
      </w:tblPr>
      <w:tblGrid>
        <w:gridCol w:w="3192"/>
        <w:gridCol w:w="3192"/>
        <w:gridCol w:w="31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疗电子有限公司税率</w:t>
            </w:r>
            <w:r>
              <w:rPr>
                <w:color w:val="000000"/>
                <w:spacing w:val="0"/>
                <w:w w:val="100"/>
                <w:position w:val="0"/>
                <w:sz w:val="18"/>
                <w:szCs w:val="18"/>
              </w:rPr>
              <w:t>7%</w:t>
            </w:r>
            <w:r>
              <w:rPr>
                <w:rFonts w:ascii="SimSun" w:eastAsia="SimSun" w:hAnsi="SimSun" w:cs="SimSun"/>
                <w:color w:val="000000"/>
                <w:spacing w:val="0"/>
                <w:w w:val="100"/>
                <w:position w:val="0"/>
                <w:sz w:val="17"/>
                <w:szCs w:val="17"/>
              </w:rPr>
              <w:t>，广州动心信 息科技有限公司税率</w:t>
            </w:r>
            <w:r>
              <w:rPr>
                <w:color w:val="000000"/>
                <w:spacing w:val="0"/>
                <w:w w:val="100"/>
                <w:position w:val="0"/>
                <w:sz w:val="18"/>
                <w:szCs w:val="18"/>
              </w:rPr>
              <w:t>7%</w:t>
            </w:r>
            <w:r>
              <w:rPr>
                <w:rFonts w:ascii="SimSun" w:eastAsia="SimSun" w:hAnsi="SimSun" w:cs="SimSun"/>
                <w:color w:val="000000"/>
                <w:spacing w:val="0"/>
                <w:w w:val="100"/>
                <w:position w:val="0"/>
                <w:sz w:val="17"/>
                <w:szCs w:val="17"/>
              </w:rPr>
              <w:t>，中山乐心电 子有限公司税率为</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 xml:space="preserve">公司属高新技术企业，适用的税率为 </w:t>
            </w:r>
            <w:r>
              <w:rPr>
                <w:color w:val="000000"/>
                <w:spacing w:val="0"/>
                <w:w w:val="100"/>
                <w:position w:val="0"/>
              </w:rPr>
              <w:t>15%</w:t>
            </w:r>
            <w:r>
              <w:rPr>
                <w:rFonts w:ascii="SimSun" w:eastAsia="SimSun" w:hAnsi="SimSun" w:cs="SimSun"/>
                <w:color w:val="000000"/>
                <w:spacing w:val="0"/>
                <w:w w:val="100"/>
                <w:position w:val="0"/>
                <w:sz w:val="17"/>
                <w:szCs w:val="17"/>
              </w:rPr>
              <w:t>；国内子公司税率为</w:t>
            </w:r>
            <w:r>
              <w:rPr>
                <w:color w:val="000000"/>
                <w:spacing w:val="0"/>
                <w:w w:val="100"/>
                <w:position w:val="0"/>
              </w:rPr>
              <w:t>25%</w:t>
            </w:r>
            <w:r>
              <w:rPr>
                <w:rFonts w:ascii="SimSun" w:eastAsia="SimSun" w:hAnsi="SimSun" w:cs="SimSun"/>
                <w:color w:val="000000"/>
                <w:spacing w:val="0"/>
                <w:w w:val="100"/>
                <w:position w:val="0"/>
                <w:sz w:val="17"/>
                <w:szCs w:val="17"/>
              </w:rPr>
              <w:t>；美国子 公司应纳税所得额在</w:t>
            </w:r>
            <w:r>
              <w:rPr>
                <w:color w:val="000000"/>
                <w:spacing w:val="0"/>
                <w:w w:val="100"/>
                <w:position w:val="0"/>
              </w:rPr>
              <w:t>500,000.00</w:t>
            </w:r>
            <w:r>
              <w:rPr>
                <w:rFonts w:ascii="SimSun" w:eastAsia="SimSun" w:hAnsi="SimSun" w:cs="SimSun"/>
                <w:color w:val="000000"/>
                <w:spacing w:val="0"/>
                <w:w w:val="100"/>
                <w:position w:val="0"/>
                <w:sz w:val="17"/>
                <w:szCs w:val="17"/>
              </w:rPr>
              <w:t>美元 及以下税率为</w:t>
            </w:r>
            <w:r>
              <w:rPr>
                <w:color w:val="000000"/>
                <w:spacing w:val="0"/>
                <w:w w:val="100"/>
                <w:position w:val="0"/>
              </w:rPr>
              <w:t>23.84%</w:t>
            </w:r>
            <w:r>
              <w:rPr>
                <w:rFonts w:ascii="SimSun" w:eastAsia="SimSun" w:hAnsi="SimSun" w:cs="SimSun"/>
                <w:color w:val="000000"/>
                <w:spacing w:val="0"/>
                <w:w w:val="100"/>
                <w:position w:val="0"/>
                <w:sz w:val="17"/>
                <w:szCs w:val="17"/>
              </w:rPr>
              <w:t>，应纳税所得额 在</w:t>
            </w:r>
            <w:r>
              <w:rPr>
                <w:color w:val="000000"/>
                <w:spacing w:val="0"/>
                <w:w w:val="100"/>
                <w:position w:val="0"/>
              </w:rPr>
              <w:t>500,000.00</w:t>
            </w:r>
            <w:r>
              <w:rPr>
                <w:rFonts w:ascii="SimSun" w:eastAsia="SimSun" w:hAnsi="SimSun" w:cs="SimSun"/>
                <w:color w:val="000000"/>
                <w:spacing w:val="0"/>
                <w:w w:val="100"/>
                <w:position w:val="0"/>
                <w:sz w:val="17"/>
                <w:szCs w:val="17"/>
              </w:rPr>
              <w:t>美元以上税率为</w:t>
            </w:r>
            <w:r>
              <w:rPr>
                <w:color w:val="000000"/>
                <w:spacing w:val="0"/>
                <w:w w:val="100"/>
                <w:position w:val="0"/>
              </w:rPr>
              <w:t>43.84%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广东乐心医疗电子股份有限公司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中山市创源传感器有限公司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深圳市乐心医疗电子有限公司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Lifesense Health Inc</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color w:val="000000"/>
          <w:spacing w:val="0"/>
          <w:w w:val="100"/>
          <w:position w:val="0"/>
        </w:rPr>
        <w:t>、税收优惠</w:t>
      </w:r>
      <w:bookmarkEnd w:id="975"/>
      <w:bookmarkEnd w:id="976"/>
      <w:bookmarkEnd w:id="978"/>
    </w:p>
    <w:p>
      <w:pPr>
        <w:pStyle w:val="Style2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企业所得税</w:t>
      </w:r>
    </w:p>
    <w:p>
      <w:pPr>
        <w:pStyle w:val="Style21"/>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根据《企业所得税法》的有关规定，国家重点扶持的高新技术企业减按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1"/>
        <w:keepNext w:val="0"/>
        <w:keepLines w:val="0"/>
        <w:widowControl w:val="0"/>
        <w:shd w:val="clear" w:color="auto" w:fill="auto"/>
        <w:bidi w:val="0"/>
        <w:spacing w:before="0" w:after="260" w:line="240" w:lineRule="auto"/>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日，公司通过了广东省科学技术厅、广东省财政厅、广东省国家税务局及广东省地方税务局组织的高新技</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术企业复审，自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的税率征收企业所得税。高新技术企业证书编号</w:t>
      </w:r>
    </w:p>
    <w:p>
      <w:pPr>
        <w:pStyle w:val="Style75"/>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GF201244000581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有效期三年。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日，公司继续获得高新技术企业认定，并获得编号为</w:t>
      </w:r>
      <w:r>
        <w:rPr>
          <w:color w:val="000000"/>
          <w:spacing w:val="0"/>
          <w:w w:val="100"/>
          <w:position w:val="0"/>
          <w:sz w:val="18"/>
          <w:szCs w:val="18"/>
        </w:rPr>
        <w:t>GR201544000728</w:t>
      </w:r>
      <w:r>
        <w:rPr>
          <w:rFonts w:ascii="SimSun" w:eastAsia="SimSun" w:hAnsi="SimSun" w:cs="SimSun"/>
          <w:color w:val="000000"/>
          <w:spacing w:val="0"/>
          <w:w w:val="100"/>
          <w:position w:val="0"/>
          <w:sz w:val="17"/>
          <w:szCs w:val="17"/>
        </w:rPr>
        <w:t>的高新</w:t>
      </w:r>
    </w:p>
    <w:p>
      <w:pPr>
        <w:pStyle w:val="Style21"/>
        <w:keepNext w:val="0"/>
        <w:keepLines w:val="0"/>
        <w:widowControl w:val="0"/>
        <w:shd w:val="clear" w:color="auto" w:fill="auto"/>
        <w:bidi w:val="0"/>
        <w:spacing w:before="0" w:after="480" w:line="240" w:lineRule="auto"/>
        <w:ind w:left="0" w:right="0" w:firstLine="0"/>
        <w:jc w:val="left"/>
      </w:pPr>
      <w:r>
        <w:rPr>
          <w:color w:val="000000"/>
          <w:spacing w:val="0"/>
          <w:w w:val="100"/>
          <w:position w:val="0"/>
        </w:rPr>
        <w:t>技术企业证书，有效期三年。</w:t>
      </w:r>
    </w:p>
    <w:p>
      <w:pPr>
        <w:pStyle w:val="Style2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、增值税</w:t>
      </w:r>
      <w:r>
        <w:rPr>
          <w:b/>
          <w:bCs/>
          <w:color w:val="000000"/>
          <w:spacing w:val="0"/>
          <w:w w:val="100"/>
          <w:position w:val="0"/>
          <w:sz w:val="19"/>
          <w:szCs w:val="19"/>
        </w:rPr>
        <w:t>一</w:t>
      </w:r>
      <w:r>
        <w:rPr>
          <w:b/>
          <w:bCs/>
          <w:color w:val="000000"/>
          <w:spacing w:val="0"/>
          <w:w w:val="100"/>
          <w:position w:val="0"/>
        </w:rPr>
        <w:t>出口货物退（免）税</w:t>
      </w:r>
    </w:p>
    <w:p>
      <w:pPr>
        <w:pStyle w:val="Style21"/>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 xml:space="preserve">根据《中华人民共和国增值税暂行条例》和《财政部、国家税务总局关于出口货物劳务增值税和消费税政策的通知》财 </w:t>
      </w:r>
      <w:r>
        <w:rPr>
          <w:color w:val="000000"/>
          <w:spacing w:val="0"/>
          <w:w w:val="100"/>
          <w:position w:val="0"/>
        </w:rPr>
        <w:t>税发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2012]39</w:t>
      </w:r>
      <w:r>
        <w:rPr>
          <w:color w:val="000000"/>
          <w:spacing w:val="0"/>
          <w:w w:val="100"/>
          <w:position w:val="0"/>
        </w:rPr>
        <w:t xml:space="preserve">号文件的规定：生产企业出口自产货物和视同自产货物及对外提供加工修理修配劳务，以及列名生产企业出口 </w:t>
      </w:r>
      <w:r>
        <w:rPr>
          <w:color w:val="000000"/>
          <w:spacing w:val="0"/>
          <w:w w:val="100"/>
          <w:position w:val="0"/>
        </w:rPr>
        <w:t xml:space="preserve">非自产货物，免征增值税，相应的进项税额抵减应纳增值税额（不包括适用增值税即征即退、先征后退政策的应纳增值税额）, </w:t>
      </w:r>
      <w:r>
        <w:rPr>
          <w:color w:val="000000"/>
          <w:spacing w:val="0"/>
          <w:w w:val="100"/>
          <w:position w:val="0"/>
        </w:rPr>
        <w:t xml:space="preserve">未抵减完的部分予以退还。不具有生产能力的出口企业（以下称外贸企业）或其他单位出口货物劳务，免征增值税，相应的 </w:t>
      </w:r>
      <w:r>
        <w:rPr>
          <w:color w:val="000000"/>
          <w:spacing w:val="0"/>
          <w:w w:val="100"/>
          <w:position w:val="0"/>
        </w:rPr>
        <w:t>进项税额予以退还。</w:t>
      </w:r>
    </w:p>
    <w:p>
      <w:pPr>
        <w:pStyle w:val="Style21"/>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本期内，公司血压测量仪、体重脂肪测试仪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身高测量仪、人体秤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厨房秤、计步器、电子配件出口退税率的情况如下:</w:t>
      </w:r>
      <w:r>
        <w:br w:type="page"/>
      </w:r>
    </w:p>
    <w:tbl>
      <w:tblPr>
        <w:tblOverlap w:val="never"/>
        <w:jc w:val="left"/>
        <w:tblLayout w:type="fixed"/>
      </w:tblPr>
      <w:tblGrid>
        <w:gridCol w:w="2405"/>
        <w:gridCol w:w="2160"/>
        <w:gridCol w:w="1382"/>
        <w:gridCol w:w="1829"/>
        <w:gridCol w:w="1104"/>
      </w:tblGrid>
      <w:tr>
        <w:trPr>
          <w:trHeight w:val="40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产品类别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商品端码</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执行日期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税率</w:t>
            </w:r>
          </w:p>
        </w:tc>
      </w:tr>
      <w:tr>
        <w:trPr>
          <w:trHeight w:val="3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血压狐里仪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电子血压计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302C50"/>
                <w:spacing w:val="0"/>
                <w:w w:val="100"/>
                <w:position w:val="0"/>
                <w:sz w:val="20"/>
                <w:szCs w:val="20"/>
              </w:rPr>
              <w:t>90189020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本期内未发生变化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02C50"/>
                <w:spacing w:val="0"/>
                <w:w w:val="100"/>
                <w:position w:val="0"/>
                <w:sz w:val="20"/>
                <w:szCs w:val="20"/>
              </w:rPr>
              <w:t>17%</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7"/>
                <w:szCs w:val="17"/>
              </w:rPr>
            </w:pPr>
            <w:r>
              <w:rPr>
                <w:rFonts w:ascii="SimSun" w:eastAsia="SimSun" w:hAnsi="SimSun" w:cs="SimSun"/>
                <w:b/>
                <w:bCs/>
                <w:color w:val="000000"/>
                <w:spacing w:val="0"/>
                <w:w w:val="100"/>
                <w:position w:val="0"/>
                <w:sz w:val="17"/>
                <w:szCs w:val="17"/>
              </w:rPr>
              <w:t>体重脂肪删试仗身高弧 星仗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脂肪删里仗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302C50"/>
                <w:spacing w:val="0"/>
                <w:w w:val="100"/>
                <w:position w:val="0"/>
                <w:sz w:val="20"/>
                <w:szCs w:val="20"/>
              </w:rPr>
              <w:t>90318090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本期内未发生变化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02C50"/>
                <w:spacing w:val="0"/>
                <w:w w:val="100"/>
                <w:position w:val="0"/>
                <w:sz w:val="20"/>
                <w:szCs w:val="20"/>
              </w:rPr>
              <w:t>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人体秤属房秤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7"/>
                <w:szCs w:val="17"/>
              </w:rPr>
            </w:pPr>
            <w:r>
              <w:rPr>
                <w:rFonts w:ascii="SimSun" w:eastAsia="SimSun" w:hAnsi="SimSun" w:cs="SimSun"/>
                <w:b/>
                <w:bCs/>
                <w:color w:val="000000"/>
                <w:spacing w:val="0"/>
                <w:w w:val="100"/>
                <w:position w:val="0"/>
                <w:sz w:val="17"/>
                <w:szCs w:val="17"/>
              </w:rPr>
              <w:t>电子体重秤电子厨房 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524A59"/>
                <w:spacing w:val="0"/>
                <w:w w:val="100"/>
                <w:position w:val="0"/>
                <w:sz w:val="20"/>
                <w:szCs w:val="20"/>
              </w:rPr>
              <w:t>S4231000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302C50"/>
                <w:spacing w:val="0"/>
                <w:w w:val="100"/>
                <w:position w:val="0"/>
                <w:sz w:val="20"/>
                <w:szCs w:val="20"/>
              </w:rPr>
              <w:t>201&lt;5</w:t>
            </w:r>
            <w:r>
              <w:rPr>
                <w:rFonts w:ascii="SimSun" w:eastAsia="SimSun" w:hAnsi="SimSun" w:cs="SimSun"/>
                <w:b/>
                <w:bCs/>
                <w:color w:val="000000"/>
                <w:spacing w:val="0"/>
                <w:w w:val="100"/>
                <w:position w:val="0"/>
                <w:sz w:val="17"/>
                <w:szCs w:val="17"/>
              </w:rPr>
              <w:t>年</w:t>
            </w:r>
            <w:r>
              <w:rPr>
                <w:color w:val="100039"/>
                <w:spacing w:val="0"/>
                <w:w w:val="100"/>
                <w:position w:val="0"/>
                <w:sz w:val="20"/>
                <w:szCs w:val="20"/>
              </w:rPr>
              <w:t>11</w:t>
            </w:r>
            <w:r>
              <w:rPr>
                <w:rFonts w:ascii="SimSun" w:eastAsia="SimSun" w:hAnsi="SimSun" w:cs="SimSun"/>
                <w:b/>
                <w:bCs/>
                <w:color w:val="000000"/>
                <w:spacing w:val="0"/>
                <w:w w:val="100"/>
                <w:position w:val="0"/>
                <w:sz w:val="17"/>
                <w:szCs w:val="17"/>
              </w:rPr>
              <w:t>月</w:t>
            </w:r>
            <w:r>
              <w:rPr>
                <w:color w:val="100039"/>
                <w:spacing w:val="0"/>
                <w:w w:val="100"/>
                <w:position w:val="0"/>
                <w:sz w:val="20"/>
                <w:szCs w:val="20"/>
              </w:rPr>
              <w:t>1</w:t>
            </w:r>
            <w:r>
              <w:rPr>
                <w:rFonts w:ascii="SimSun" w:eastAsia="SimSun" w:hAnsi="SimSun" w:cs="SimSun"/>
                <w:b/>
                <w:bCs/>
                <w:color w:val="000000"/>
                <w:spacing w:val="0"/>
                <w:w w:val="100"/>
                <w:position w:val="0"/>
                <w:sz w:val="17"/>
                <w:szCs w:val="17"/>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02C50"/>
                <w:spacing w:val="0"/>
                <w:w w:val="100"/>
                <w:position w:val="0"/>
                <w:sz w:val="20"/>
                <w:szCs w:val="20"/>
              </w:rPr>
              <w:t>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计步器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可穿戴运动手环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302C50"/>
                <w:spacing w:val="0"/>
                <w:w w:val="100"/>
                <w:position w:val="0"/>
                <w:sz w:val="20"/>
                <w:szCs w:val="20"/>
              </w:rPr>
              <w:t>90291090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本期内未发生变化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02C50"/>
                <w:spacing w:val="0"/>
                <w:w w:val="100"/>
                <w:position w:val="0"/>
                <w:sz w:val="20"/>
                <w:szCs w:val="2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电子甑件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302C50"/>
                <w:spacing w:val="0"/>
                <w:w w:val="100"/>
                <w:position w:val="0"/>
                <w:sz w:val="20"/>
                <w:szCs w:val="20"/>
              </w:rPr>
              <w:t>84239000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本期内未发生斐化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02C50"/>
                <w:spacing w:val="0"/>
                <w:w w:val="100"/>
                <w:position w:val="0"/>
                <w:sz w:val="20"/>
                <w:szCs w:val="20"/>
              </w:rPr>
              <w:t>15*</w:t>
            </w:r>
          </w:p>
        </w:tc>
      </w:tr>
    </w:tbl>
    <w:p>
      <w:pPr>
        <w:widowControl w:val="0"/>
        <w:spacing w:after="419" w:line="1" w:lineRule="exact"/>
      </w:pPr>
    </w:p>
    <w:p>
      <w:pPr>
        <w:pStyle w:val="Style33"/>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color w:val="000000"/>
          <w:spacing w:val="0"/>
          <w:w w:val="100"/>
          <w:position w:val="0"/>
        </w:rPr>
        <w:t>、其他</w:t>
      </w:r>
      <w:bookmarkEnd w:id="979"/>
      <w:bookmarkEnd w:id="980"/>
      <w:bookmarkEnd w:id="982"/>
    </w:p>
    <w:p>
      <w:pPr>
        <w:pStyle w:val="Style27"/>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七</w:t>
      </w:r>
      <w:bookmarkEnd w:id="985"/>
      <w:r>
        <w:rPr>
          <w:color w:val="000000"/>
          <w:spacing w:val="0"/>
          <w:w w:val="100"/>
          <w:position w:val="0"/>
        </w:rPr>
        <w:t>、合并财务报表项目注释</w:t>
      </w:r>
      <w:bookmarkEnd w:id="983"/>
      <w:bookmarkEnd w:id="984"/>
      <w:bookmarkEnd w:id="986"/>
    </w:p>
    <w:p>
      <w:pPr>
        <w:pStyle w:val="Style33"/>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7"/>
      <w:bookmarkEnd w:id="988"/>
      <w:bookmarkEnd w:id="9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319,902,598.40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90,220,920.33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319,902,598.40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90,221,420.33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90"/>
      <w:bookmarkEnd w:id="991"/>
      <w:bookmarkEnd w:id="9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443" w:right="1058" w:bottom="1645" w:left="1070" w:header="0" w:footer="3" w:gutter="0"/>
          <w:cols w:space="720"/>
          <w:noEndnote/>
          <w:rtlGutter w:val="0"/>
          <w:docGrid w:linePitch="360"/>
        </w:sectPr>
      </w:pPr>
      <w:r>
        <mc:AlternateContent>
          <mc:Choice Requires="wps">
            <w:drawing>
              <wp:anchor distT="41275" distB="0" distL="0" distR="0" simplePos="0" relativeHeight="125829417" behindDoc="0" locked="0" layoutInCell="1" allowOverlap="1">
                <wp:simplePos x="0" y="0"/>
                <wp:positionH relativeFrom="page">
                  <wp:posOffset>1609090</wp:posOffset>
                </wp:positionH>
                <wp:positionV relativeFrom="paragraph">
                  <wp:posOffset>41275</wp:posOffset>
                </wp:positionV>
                <wp:extent cx="252730" cy="146050"/>
                <wp:wrapTopAndBottom/>
                <wp:docPr id="247" name="Shape 24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73" type="#_x0000_t202" style="position:absolute;margin-left:126.7pt;margin-top:3.25pt;width:19.900000000000002pt;height:11.5pt;z-index:-125829336;mso-wrap-distance-left:0;mso-wrap-distance-top:3.25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19" behindDoc="0" locked="0" layoutInCell="1" allowOverlap="1">
                <wp:simplePos x="0" y="0"/>
                <wp:positionH relativeFrom="page">
                  <wp:posOffset>3520440</wp:posOffset>
                </wp:positionH>
                <wp:positionV relativeFrom="paragraph">
                  <wp:posOffset>38100</wp:posOffset>
                </wp:positionV>
                <wp:extent cx="481330" cy="149225"/>
                <wp:wrapTopAndBottom/>
                <wp:docPr id="249" name="Shape 24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75" type="#_x0000_t202" style="position:absolute;margin-left:277.19999999999999pt;margin-top:3.pt;width:37.899999999999999pt;height:11.75pt;z-index:-125829334;mso-wrap-distance-left:0;mso-wrap-distance-top:3.pt;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21" behindDoc="0" locked="0" layoutInCell="1" allowOverlap="1">
                <wp:simplePos x="0" y="0"/>
                <wp:positionH relativeFrom="page">
                  <wp:posOffset>5547360</wp:posOffset>
                </wp:positionH>
                <wp:positionV relativeFrom="paragraph">
                  <wp:posOffset>38100</wp:posOffset>
                </wp:positionV>
                <wp:extent cx="481330" cy="149225"/>
                <wp:wrapTopAndBottom/>
                <wp:docPr id="251" name="Shape 25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277" type="#_x0000_t202" style="position:absolute;margin-left:436.80000000000001pt;margin-top:3.pt;width:37.899999999999999pt;height:11.75pt;z-index:-125829332;mso-wrap-distance-left:0;mso-wrap-distance-top:3.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widowControl w:val="0"/>
        <w:spacing w:line="107" w:lineRule="exact"/>
        <w:rPr>
          <w:sz w:val="9"/>
          <w:szCs w:val="9"/>
        </w:rPr>
      </w:pPr>
    </w:p>
    <w:p>
      <w:pPr>
        <w:widowControl w:val="0"/>
        <w:spacing w:line="1" w:lineRule="exact"/>
        <w:sectPr>
          <w:footnotePr>
            <w:pos w:val="pageBottom"/>
            <w:numFmt w:val="decimal"/>
            <w:numRestart w:val="continuous"/>
          </w:footnotePr>
          <w:type w:val="continuous"/>
          <w:pgSz w:w="11900" w:h="16840"/>
          <w:pgMar w:top="1441" w:right="0" w:bottom="1360" w:left="0" w:header="0" w:footer="3" w:gutter="0"/>
          <w:cols w:space="720"/>
          <w:noEndnote/>
          <w:rtlGutter w:val="0"/>
          <w:docGrid w:linePitch="360"/>
        </w:sectPr>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color w:val="000000"/>
          <w:spacing w:val="0"/>
          <w:w w:val="100"/>
          <w:position w:val="0"/>
        </w:rPr>
        <w:t>、衍生金融资产</w:t>
      </w:r>
      <w:bookmarkEnd w:id="1011"/>
      <w:bookmarkEnd w:id="1012"/>
      <w:bookmarkEnd w:id="101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color w:val="000000"/>
          <w:spacing w:val="0"/>
          <w:w w:val="100"/>
          <w:position w:val="0"/>
        </w:rPr>
        <w:t>、应收票据</w:t>
      </w:r>
      <w:bookmarkEnd w:id="1015"/>
      <w:bookmarkEnd w:id="1016"/>
      <w:bookmarkEnd w:id="1018"/>
    </w:p>
    <w:p>
      <w:pPr>
        <w:pStyle w:val="Style40"/>
        <w:keepNext/>
        <w:keepLines/>
        <w:widowControl w:val="0"/>
        <w:numPr>
          <w:ilvl w:val="0"/>
          <w:numId w:val="33"/>
        </w:numPr>
        <w:shd w:val="clear" w:color="auto" w:fill="auto"/>
        <w:bidi w:val="0"/>
        <w:spacing w:before="0" w:line="240" w:lineRule="auto"/>
        <w:ind w:left="0" w:right="0" w:firstLine="14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应收票据分类列示</w:t>
      </w:r>
      <w:bookmarkEnd w:id="1019"/>
      <w:bookmarkEnd w:id="1020"/>
      <w:bookmarkEnd w:id="1022"/>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23" behindDoc="0" locked="0" layoutInCell="1" allowOverlap="1">
                <wp:simplePos x="0" y="0"/>
                <wp:positionH relativeFrom="page">
                  <wp:posOffset>1609090</wp:posOffset>
                </wp:positionH>
                <wp:positionV relativeFrom="paragraph">
                  <wp:posOffset>41275</wp:posOffset>
                </wp:positionV>
                <wp:extent cx="252730" cy="146050"/>
                <wp:wrapTopAndBottom/>
                <wp:docPr id="253" name="Shape 25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79" type="#_x0000_t202" style="position:absolute;margin-left:126.7pt;margin-top:3.25pt;width:19.900000000000002pt;height:11.5pt;z-index:-125829330;mso-wrap-distance-left:0;mso-wrap-distance-top:3.25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25" behindDoc="0" locked="0" layoutInCell="1" allowOverlap="1">
                <wp:simplePos x="0" y="0"/>
                <wp:positionH relativeFrom="page">
                  <wp:posOffset>3520440</wp:posOffset>
                </wp:positionH>
                <wp:positionV relativeFrom="paragraph">
                  <wp:posOffset>38100</wp:posOffset>
                </wp:positionV>
                <wp:extent cx="481330" cy="149225"/>
                <wp:wrapTopAndBottom/>
                <wp:docPr id="255" name="Shape 25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81" type="#_x0000_t202" style="position:absolute;margin-left:277.19999999999999pt;margin-top:3.pt;width:37.899999999999999pt;height:11.75pt;z-index:-125829328;mso-wrap-distance-left:0;mso-wrap-distance-top:3.pt;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27" behindDoc="0" locked="0" layoutInCell="1" allowOverlap="1">
                <wp:simplePos x="0" y="0"/>
                <wp:positionH relativeFrom="page">
                  <wp:posOffset>5547360</wp:posOffset>
                </wp:positionH>
                <wp:positionV relativeFrom="paragraph">
                  <wp:posOffset>38100</wp:posOffset>
                </wp:positionV>
                <wp:extent cx="481330" cy="149225"/>
                <wp:wrapTopAndBottom/>
                <wp:docPr id="257" name="Shape 25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283" type="#_x0000_t202" style="position:absolute;margin-left:436.80000000000001pt;margin-top:3.pt;width:37.899999999999999pt;height:11.75pt;z-index:-125829326;mso-wrap-distance-left:0;mso-wrap-distance-top:3.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r>
        <w:br w:type="page"/>
      </w:r>
    </w:p>
    <w:p>
      <w:pPr>
        <w:widowControl w:val="0"/>
        <w:spacing w:line="1" w:lineRule="exact"/>
      </w:pPr>
      <w:r>
        <mc:AlternateContent>
          <mc:Choice Requires="wps">
            <w:drawing>
              <wp:anchor distT="0" distB="2802255" distL="0" distR="0" simplePos="0" relativeHeight="125829429" behindDoc="0" locked="0" layoutInCell="1" allowOverlap="1">
                <wp:simplePos x="0" y="0"/>
                <wp:positionH relativeFrom="page">
                  <wp:posOffset>775970</wp:posOffset>
                </wp:positionH>
                <wp:positionV relativeFrom="paragraph">
                  <wp:posOffset>0</wp:posOffset>
                </wp:positionV>
                <wp:extent cx="1896110" cy="173990"/>
                <wp:wrapTopAndBottom/>
                <wp:docPr id="259" name="Shape 259"/>
                <a:graphic xmlns:a="http://schemas.openxmlformats.org/drawingml/2006/main">
                  <a:graphicData uri="http://schemas.microsoft.com/office/word/2010/wordprocessingShape">
                    <wps:wsp>
                      <wps:cNvSpPr txBox="1"/>
                      <wps:spPr>
                        <a:xfrm>
                          <a:ext cx="1896110" cy="173990"/>
                        </a:xfrm>
                        <a:prstGeom prst="rect"/>
                        <a:noFill/>
                      </wps:spPr>
                      <wps:txbx>
                        <w:txbxContent>
                          <w:p>
                            <w:pPr>
                              <w:pStyle w:val="Style40"/>
                              <w:keepNext/>
                              <w:keepLines/>
                              <w:widowControl w:val="0"/>
                              <w:numPr>
                                <w:ilvl w:val="0"/>
                                <w:numId w:val="27"/>
                              </w:numPr>
                              <w:shd w:val="clear" w:color="auto" w:fill="auto"/>
                              <w:bidi w:val="0"/>
                              <w:spacing w:before="0" w:after="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期末公司已质押的应收票据</w:t>
                            </w:r>
                            <w:bookmarkEnd w:id="993"/>
                            <w:bookmarkEnd w:id="994"/>
                            <w:bookmarkEnd w:id="996"/>
                          </w:p>
                        </w:txbxContent>
                      </wps:txbx>
                      <wps:bodyPr wrap="none" lIns="0" tIns="0" rIns="0" bIns="0">
                        <a:noAutoFit/>
                      </wps:bodyPr>
                    </wps:wsp>
                  </a:graphicData>
                </a:graphic>
              </wp:anchor>
            </w:drawing>
          </mc:Choice>
          <mc:Fallback>
            <w:pict>
              <v:shape id="_x0000_s1285" type="#_x0000_t202" style="position:absolute;margin-left:61.100000000000001pt;margin-top:0;width:149.30000000000001pt;height:13.700000000000001pt;z-index:-125829324;mso-wrap-distance-left:0;mso-wrap-distance-right:0;mso-wrap-distance-bottom:220.65000000000001pt;mso-position-horizontal-relative:page" filled="f" stroked="f">
                <v:textbox inset="0,0,0,0">
                  <w:txbxContent>
                    <w:p>
                      <w:pPr>
                        <w:pStyle w:val="Style40"/>
                        <w:keepNext/>
                        <w:keepLines/>
                        <w:widowControl w:val="0"/>
                        <w:numPr>
                          <w:ilvl w:val="0"/>
                          <w:numId w:val="27"/>
                        </w:numPr>
                        <w:shd w:val="clear" w:color="auto" w:fill="auto"/>
                        <w:bidi w:val="0"/>
                        <w:spacing w:before="0" w:after="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期末公司已质押的应收票据</w:t>
                      </w:r>
                      <w:bookmarkEnd w:id="993"/>
                      <w:bookmarkEnd w:id="994"/>
                      <w:bookmarkEnd w:id="996"/>
                    </w:p>
                  </w:txbxContent>
                </v:textbox>
                <w10:wrap type="topAndBottom" anchorx="page"/>
              </v:shape>
            </w:pict>
          </mc:Fallback>
        </mc:AlternateContent>
      </w:r>
      <w:r>
        <mc:AlternateContent>
          <mc:Choice Requires="wps">
            <w:drawing>
              <wp:anchor distT="402590" distB="2427605" distL="0" distR="0" simplePos="0" relativeHeight="125829431" behindDoc="0" locked="0" layoutInCell="1" allowOverlap="1">
                <wp:simplePos x="0" y="0"/>
                <wp:positionH relativeFrom="page">
                  <wp:posOffset>6316980</wp:posOffset>
                </wp:positionH>
                <wp:positionV relativeFrom="paragraph">
                  <wp:posOffset>402590</wp:posOffset>
                </wp:positionV>
                <wp:extent cx="536575" cy="146050"/>
                <wp:wrapTopAndBottom/>
                <wp:docPr id="261" name="Shape 261"/>
                <a:graphic xmlns:a="http://schemas.openxmlformats.org/drawingml/2006/main">
                  <a:graphicData uri="http://schemas.microsoft.com/office/word/2010/wordprocessingShape">
                    <wps:wsp>
                      <wps:cNvSpPr txBox="1"/>
                      <wps:spPr>
                        <a:xfrm>
                          <a:ext cx="53657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287" type="#_x0000_t202" style="position:absolute;margin-left:497.40000000000003pt;margin-top:31.699999999999999pt;width:42.25pt;height:11.5pt;z-index:-125829322;mso-wrap-distance-left:0;mso-wrap-distance-top:31.699999999999999pt;mso-wrap-distance-right:0;mso-wrap-distance-bottom:191.15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661670" distB="2168525" distL="0" distR="0" simplePos="0" relativeHeight="125829433" behindDoc="0" locked="0" layoutInCell="1" allowOverlap="1">
                <wp:simplePos x="0" y="0"/>
                <wp:positionH relativeFrom="page">
                  <wp:posOffset>2110740</wp:posOffset>
                </wp:positionH>
                <wp:positionV relativeFrom="paragraph">
                  <wp:posOffset>661670</wp:posOffset>
                </wp:positionV>
                <wp:extent cx="252730" cy="146050"/>
                <wp:wrapTopAndBottom/>
                <wp:docPr id="263" name="Shape 26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89" type="#_x0000_t202" style="position:absolute;margin-left:166.20000000000002pt;margin-top:52.100000000000001pt;width:19.900000000000002pt;height:11.5pt;z-index:-125829320;mso-wrap-distance-left:0;mso-wrap-distance-top:52.100000000000001pt;mso-wrap-distance-right:0;mso-wrap-distance-bottom:170.75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658495" distB="2171700" distL="0" distR="0" simplePos="0" relativeHeight="125829435" behindDoc="0" locked="0" layoutInCell="1" allowOverlap="1">
                <wp:simplePos x="0" y="0"/>
                <wp:positionH relativeFrom="page">
                  <wp:posOffset>4863465</wp:posOffset>
                </wp:positionH>
                <wp:positionV relativeFrom="paragraph">
                  <wp:posOffset>658495</wp:posOffset>
                </wp:positionV>
                <wp:extent cx="826135" cy="146050"/>
                <wp:wrapTopAndBottom/>
                <wp:docPr id="265" name="Shape 265"/>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期末已质押金额</w:t>
                            </w:r>
                          </w:p>
                        </w:txbxContent>
                      </wps:txbx>
                      <wps:bodyPr wrap="none" lIns="0" tIns="0" rIns="0" bIns="0">
                        <a:noAutoFit/>
                      </wps:bodyPr>
                    </wps:wsp>
                  </a:graphicData>
                </a:graphic>
              </wp:anchor>
            </w:drawing>
          </mc:Choice>
          <mc:Fallback>
            <w:pict>
              <v:shape id="_x0000_s1291" type="#_x0000_t202" style="position:absolute;margin-left:382.94999999999999pt;margin-top:51.850000000000001pt;width:65.049999999999997pt;height:11.5pt;z-index:-125829318;mso-wrap-distance-left:0;mso-wrap-distance-top:51.850000000000001pt;mso-wrap-distance-right:0;mso-wrap-distance-bottom:171.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期末已质押金额</w:t>
                      </w:r>
                    </w:p>
                  </w:txbxContent>
                </v:textbox>
                <w10:wrap type="topAndBottom" anchorx="page"/>
              </v:shape>
            </w:pict>
          </mc:Fallback>
        </mc:AlternateContent>
      </w:r>
      <w:r>
        <mc:AlternateContent>
          <mc:Choice Requires="wps">
            <w:drawing>
              <wp:anchor distT="1066800" distB="1738630" distL="0" distR="0" simplePos="0" relativeHeight="125829437" behindDoc="0" locked="0" layoutInCell="1" allowOverlap="1">
                <wp:simplePos x="0" y="0"/>
                <wp:positionH relativeFrom="page">
                  <wp:posOffset>775970</wp:posOffset>
                </wp:positionH>
                <wp:positionV relativeFrom="paragraph">
                  <wp:posOffset>1066800</wp:posOffset>
                </wp:positionV>
                <wp:extent cx="3901440" cy="170815"/>
                <wp:wrapTopAndBottom/>
                <wp:docPr id="267" name="Shape 267"/>
                <a:graphic xmlns:a="http://schemas.openxmlformats.org/drawingml/2006/main">
                  <a:graphicData uri="http://schemas.microsoft.com/office/word/2010/wordprocessingShape">
                    <wps:wsp>
                      <wps:cNvSpPr txBox="1"/>
                      <wps:spPr>
                        <a:xfrm>
                          <a:ext cx="3901440" cy="170815"/>
                        </a:xfrm>
                        <a:prstGeom prst="rect"/>
                        <a:noFill/>
                      </wps:spPr>
                      <wps:txbx>
                        <w:txbxContent>
                          <w:p>
                            <w:pPr>
                              <w:pStyle w:val="Style40"/>
                              <w:keepNext/>
                              <w:keepLines/>
                              <w:widowControl w:val="0"/>
                              <w:numPr>
                                <w:ilvl w:val="0"/>
                                <w:numId w:val="29"/>
                              </w:numPr>
                              <w:shd w:val="clear" w:color="auto" w:fill="auto"/>
                              <w:bidi w:val="0"/>
                              <w:spacing w:before="0" w:after="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期末公司已背书或贴现且在资产负债表日尚未到期的应收票据</w:t>
                            </w:r>
                            <w:bookmarkEnd w:id="1000"/>
                            <w:bookmarkEnd w:id="997"/>
                            <w:bookmarkEnd w:id="998"/>
                          </w:p>
                        </w:txbxContent>
                      </wps:txbx>
                      <wps:bodyPr wrap="none" lIns="0" tIns="0" rIns="0" bIns="0">
                        <a:noAutoFit/>
                      </wps:bodyPr>
                    </wps:wsp>
                  </a:graphicData>
                </a:graphic>
              </wp:anchor>
            </w:drawing>
          </mc:Choice>
          <mc:Fallback>
            <w:pict>
              <v:shape id="_x0000_s1293" type="#_x0000_t202" style="position:absolute;margin-left:61.100000000000001pt;margin-top:84.pt;width:307.19999999999999pt;height:13.450000000000001pt;z-index:-125829316;mso-wrap-distance-left:0;mso-wrap-distance-top:84.pt;mso-wrap-distance-right:0;mso-wrap-distance-bottom:136.90000000000001pt;mso-position-horizontal-relative:page" filled="f" stroked="f">
                <v:textbox inset="0,0,0,0">
                  <w:txbxContent>
                    <w:p>
                      <w:pPr>
                        <w:pStyle w:val="Style40"/>
                        <w:keepNext/>
                        <w:keepLines/>
                        <w:widowControl w:val="0"/>
                        <w:numPr>
                          <w:ilvl w:val="0"/>
                          <w:numId w:val="29"/>
                        </w:numPr>
                        <w:shd w:val="clear" w:color="auto" w:fill="auto"/>
                        <w:bidi w:val="0"/>
                        <w:spacing w:before="0" w:after="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期末公司已背书或贴现且在资产负债表日尚未到期的应收票据</w:t>
                      </w:r>
                      <w:bookmarkEnd w:id="1000"/>
                      <w:bookmarkEnd w:id="997"/>
                      <w:bookmarkEnd w:id="998"/>
                    </w:p>
                  </w:txbxContent>
                </v:textbox>
                <w10:wrap type="topAndBottom" anchorx="page"/>
              </v:shape>
            </w:pict>
          </mc:Fallback>
        </mc:AlternateContent>
      </w:r>
      <w:r>
        <mc:AlternateContent>
          <mc:Choice Requires="wps">
            <w:drawing>
              <wp:anchor distT="1469390" distB="1363345" distL="0" distR="0" simplePos="0" relativeHeight="125829439" behindDoc="0" locked="0" layoutInCell="1" allowOverlap="1">
                <wp:simplePos x="0" y="0"/>
                <wp:positionH relativeFrom="page">
                  <wp:posOffset>6316980</wp:posOffset>
                </wp:positionH>
                <wp:positionV relativeFrom="paragraph">
                  <wp:posOffset>1469390</wp:posOffset>
                </wp:positionV>
                <wp:extent cx="536575" cy="143510"/>
                <wp:wrapTopAndBottom/>
                <wp:docPr id="269" name="Shape 269"/>
                <a:graphic xmlns:a="http://schemas.openxmlformats.org/drawingml/2006/main">
                  <a:graphicData uri="http://schemas.microsoft.com/office/word/2010/wordprocessingShape">
                    <wps:wsp>
                      <wps:cNvSpPr txBox="1"/>
                      <wps:spPr>
                        <a:xfrm>
                          <a:ext cx="536575"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wps:txbx>
                      <wps:bodyPr wrap="none" lIns="0" tIns="0" rIns="0" bIns="0">
                        <a:noAutoFit/>
                      </wps:bodyPr>
                    </wps:wsp>
                  </a:graphicData>
                </a:graphic>
              </wp:anchor>
            </w:drawing>
          </mc:Choice>
          <mc:Fallback>
            <w:pict>
              <v:shape id="_x0000_s1295" type="#_x0000_t202" style="position:absolute;margin-left:497.40000000000003pt;margin-top:115.7pt;width:42.25pt;height:11.300000000000001pt;z-index:-125829314;mso-wrap-distance-left:0;mso-wrap-distance-top:115.7pt;mso-wrap-distance-right:0;mso-wrap-distance-bottom:107.35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v:textbox>
                <w10:wrap type="topAndBottom" anchorx="page"/>
              </v:shape>
            </w:pict>
          </mc:Fallback>
        </mc:AlternateContent>
      </w:r>
      <w:r>
        <mc:AlternateContent>
          <mc:Choice Requires="wps">
            <w:drawing>
              <wp:anchor distT="1725295" distB="1104900" distL="0" distR="0" simplePos="0" relativeHeight="125829441" behindDoc="0" locked="0" layoutInCell="1" allowOverlap="1">
                <wp:simplePos x="0" y="0"/>
                <wp:positionH relativeFrom="page">
                  <wp:posOffset>1605280</wp:posOffset>
                </wp:positionH>
                <wp:positionV relativeFrom="paragraph">
                  <wp:posOffset>1725295</wp:posOffset>
                </wp:positionV>
                <wp:extent cx="252730" cy="146050"/>
                <wp:wrapTopAndBottom/>
                <wp:docPr id="271" name="Shape 27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97" type="#_x0000_t202" style="position:absolute;margin-left:126.40000000000001pt;margin-top:135.84999999999999pt;width:19.900000000000002pt;height:11.5pt;z-index:-125829312;mso-wrap-distance-left:0;mso-wrap-distance-top:135.84999999999999pt;mso-wrap-distance-right:0;mso-wrap-distance-bottom:87.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722120" distB="1110615" distL="0" distR="0" simplePos="0" relativeHeight="125829443" behindDoc="0" locked="0" layoutInCell="1" allowOverlap="1">
                <wp:simplePos x="0" y="0"/>
                <wp:positionH relativeFrom="page">
                  <wp:posOffset>3287395</wp:posOffset>
                </wp:positionH>
                <wp:positionV relativeFrom="paragraph">
                  <wp:posOffset>1722120</wp:posOffset>
                </wp:positionV>
                <wp:extent cx="938530" cy="143510"/>
                <wp:wrapTopAndBottom/>
                <wp:docPr id="273" name="Shape 273"/>
                <a:graphic xmlns:a="http://schemas.openxmlformats.org/drawingml/2006/main">
                  <a:graphicData uri="http://schemas.microsoft.com/office/word/2010/wordprocessingShape">
                    <wps:wsp>
                      <wps:cNvSpPr txBox="1"/>
                      <wps:spPr>
                        <a:xfrm>
                          <a:ext cx="938530" cy="14351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wps:txbx>
                      <wps:bodyPr wrap="none" lIns="0" tIns="0" rIns="0" bIns="0">
                        <a:noAutoFit/>
                      </wps:bodyPr>
                    </wps:wsp>
                  </a:graphicData>
                </a:graphic>
              </wp:anchor>
            </w:drawing>
          </mc:Choice>
          <mc:Fallback>
            <w:pict>
              <v:shape id="_x0000_s1299" type="#_x0000_t202" style="position:absolute;margin-left:258.85000000000002pt;margin-top:135.59999999999999pt;width:73.900000000000006pt;height:11.300000000000001pt;z-index:-125829310;mso-wrap-distance-left:0;mso-wrap-distance-top:135.59999999999999pt;mso-wrap-distance-right:0;mso-wrap-distance-bottom:87.450000000000003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期末终止确认金额</w:t>
                      </w:r>
                    </w:p>
                  </w:txbxContent>
                </v:textbox>
                <w10:wrap type="topAndBottom" anchorx="page"/>
              </v:shape>
            </w:pict>
          </mc:Fallback>
        </mc:AlternateContent>
      </w:r>
      <w:r>
        <mc:AlternateContent>
          <mc:Choice Requires="wps">
            <w:drawing>
              <wp:anchor distT="1722120" distB="1110615" distL="0" distR="0" simplePos="0" relativeHeight="125829445" behindDoc="0" locked="0" layoutInCell="1" allowOverlap="1">
                <wp:simplePos x="0" y="0"/>
                <wp:positionH relativeFrom="page">
                  <wp:posOffset>5256530</wp:posOffset>
                </wp:positionH>
                <wp:positionV relativeFrom="paragraph">
                  <wp:posOffset>1722120</wp:posOffset>
                </wp:positionV>
                <wp:extent cx="1054735" cy="143510"/>
                <wp:wrapTopAndBottom/>
                <wp:docPr id="275" name="Shape 275"/>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wps:txbx>
                      <wps:bodyPr wrap="none" lIns="0" tIns="0" rIns="0" bIns="0">
                        <a:noAutoFit/>
                      </wps:bodyPr>
                    </wps:wsp>
                  </a:graphicData>
                </a:graphic>
              </wp:anchor>
            </w:drawing>
          </mc:Choice>
          <mc:Fallback>
            <w:pict>
              <v:shape id="_x0000_s1301" type="#_x0000_t202" style="position:absolute;margin-left:413.90000000000003pt;margin-top:135.59999999999999pt;width:83.049999999999997pt;height:11.300000000000001pt;z-index:-125829308;mso-wrap-distance-left:0;mso-wrap-distance-top:135.59999999999999pt;mso-wrap-distance-right:0;mso-wrap-distance-bottom:87.450000000000003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期末未终止确认金额</w:t>
                      </w:r>
                    </w:p>
                  </w:txbxContent>
                </v:textbox>
                <w10:wrap type="topAndBottom" anchorx="page"/>
              </v:shape>
            </w:pict>
          </mc:Fallback>
        </mc:AlternateContent>
      </w:r>
      <w:r>
        <mc:AlternateContent>
          <mc:Choice Requires="wps">
            <w:drawing>
              <wp:anchor distT="2130425" distB="671830" distL="0" distR="0" simplePos="0" relativeHeight="125829447" behindDoc="0" locked="0" layoutInCell="1" allowOverlap="1">
                <wp:simplePos x="0" y="0"/>
                <wp:positionH relativeFrom="page">
                  <wp:posOffset>775970</wp:posOffset>
                </wp:positionH>
                <wp:positionV relativeFrom="paragraph">
                  <wp:posOffset>2130425</wp:posOffset>
                </wp:positionV>
                <wp:extent cx="3234055" cy="173990"/>
                <wp:wrapTopAndBottom/>
                <wp:docPr id="277" name="Shape 277"/>
                <a:graphic xmlns:a="http://schemas.openxmlformats.org/drawingml/2006/main">
                  <a:graphicData uri="http://schemas.microsoft.com/office/word/2010/wordprocessingShape">
                    <wps:wsp>
                      <wps:cNvSpPr txBox="1"/>
                      <wps:spPr>
                        <a:xfrm>
                          <a:ext cx="3234055" cy="173990"/>
                        </a:xfrm>
                        <a:prstGeom prst="rect"/>
                        <a:noFill/>
                      </wps:spPr>
                      <wps:txbx>
                        <w:txbxContent>
                          <w:p>
                            <w:pPr>
                              <w:pStyle w:val="Style40"/>
                              <w:keepNext/>
                              <w:keepLines/>
                              <w:widowControl w:val="0"/>
                              <w:numPr>
                                <w:ilvl w:val="0"/>
                                <w:numId w:val="31"/>
                              </w:numPr>
                              <w:shd w:val="clear" w:color="auto" w:fill="auto"/>
                              <w:bidi w:val="0"/>
                              <w:spacing w:before="0" w:after="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期末公司因出票人未履约而将其转应收账款的票据</w:t>
                            </w:r>
                            <w:bookmarkEnd w:id="1001"/>
                            <w:bookmarkEnd w:id="1002"/>
                            <w:bookmarkEnd w:id="1004"/>
                          </w:p>
                        </w:txbxContent>
                      </wps:txbx>
                      <wps:bodyPr wrap="none" lIns="0" tIns="0" rIns="0" bIns="0">
                        <a:noAutoFit/>
                      </wps:bodyPr>
                    </wps:wsp>
                  </a:graphicData>
                </a:graphic>
              </wp:anchor>
            </w:drawing>
          </mc:Choice>
          <mc:Fallback>
            <w:pict>
              <v:shape id="_x0000_s1303" type="#_x0000_t202" style="position:absolute;margin-left:61.100000000000001pt;margin-top:167.75pt;width:254.65000000000001pt;height:13.700000000000001pt;z-index:-125829306;mso-wrap-distance-left:0;mso-wrap-distance-top:167.75pt;mso-wrap-distance-right:0;mso-wrap-distance-bottom:52.899999999999999pt;mso-position-horizontal-relative:page" filled="f" stroked="f">
                <v:textbox inset="0,0,0,0">
                  <w:txbxContent>
                    <w:p>
                      <w:pPr>
                        <w:pStyle w:val="Style40"/>
                        <w:keepNext/>
                        <w:keepLines/>
                        <w:widowControl w:val="0"/>
                        <w:numPr>
                          <w:ilvl w:val="0"/>
                          <w:numId w:val="31"/>
                        </w:numPr>
                        <w:shd w:val="clear" w:color="auto" w:fill="auto"/>
                        <w:bidi w:val="0"/>
                        <w:spacing w:before="0" w:after="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期末公司因出票人未履约而将其转应收账款的票据</w:t>
                      </w:r>
                      <w:bookmarkEnd w:id="1001"/>
                      <w:bookmarkEnd w:id="1002"/>
                      <w:bookmarkEnd w:id="1004"/>
                    </w:p>
                  </w:txbxContent>
                </v:textbox>
                <w10:wrap type="topAndBottom" anchorx="page"/>
              </v:shape>
            </w:pict>
          </mc:Fallback>
        </mc:AlternateContent>
      </w:r>
      <w:r>
        <mc:AlternateContent>
          <mc:Choice Requires="wps">
            <w:drawing>
              <wp:anchor distT="2533015" distB="299720" distL="0" distR="0" simplePos="0" relativeHeight="125829449" behindDoc="0" locked="0" layoutInCell="1" allowOverlap="1">
                <wp:simplePos x="0" y="0"/>
                <wp:positionH relativeFrom="page">
                  <wp:posOffset>6316980</wp:posOffset>
                </wp:positionH>
                <wp:positionV relativeFrom="paragraph">
                  <wp:posOffset>2533015</wp:posOffset>
                </wp:positionV>
                <wp:extent cx="536575" cy="143510"/>
                <wp:wrapTopAndBottom/>
                <wp:docPr id="279" name="Shape 279"/>
                <a:graphic xmlns:a="http://schemas.openxmlformats.org/drawingml/2006/main">
                  <a:graphicData uri="http://schemas.microsoft.com/office/word/2010/wordprocessingShape">
                    <wps:wsp>
                      <wps:cNvSpPr txBox="1"/>
                      <wps:spPr>
                        <a:xfrm>
                          <a:ext cx="536575"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noAutoFit/>
                      </wps:bodyPr>
                    </wps:wsp>
                  </a:graphicData>
                </a:graphic>
              </wp:anchor>
            </w:drawing>
          </mc:Choice>
          <mc:Fallback>
            <w:pict>
              <v:shape id="_x0000_s1305" type="#_x0000_t202" style="position:absolute;margin-left:497.40000000000003pt;margin-top:199.45000000000002pt;width:42.25pt;height:11.300000000000001pt;z-index:-125829304;mso-wrap-distance-left:0;mso-wrap-distance-top:199.45000000000002pt;mso-wrap-distance-right:0;mso-wrap-distance-bottom:23.6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type="topAndBottom" anchorx="page"/>
              </v:shape>
            </w:pict>
          </mc:Fallback>
        </mc:AlternateContent>
      </w:r>
      <w:r>
        <mc:AlternateContent>
          <mc:Choice Requires="wps">
            <w:drawing>
              <wp:anchor distT="2792095" distB="38100" distL="0" distR="0" simplePos="0" relativeHeight="125829451" behindDoc="0" locked="0" layoutInCell="1" allowOverlap="1">
                <wp:simplePos x="0" y="0"/>
                <wp:positionH relativeFrom="page">
                  <wp:posOffset>2110740</wp:posOffset>
                </wp:positionH>
                <wp:positionV relativeFrom="paragraph">
                  <wp:posOffset>2792095</wp:posOffset>
                </wp:positionV>
                <wp:extent cx="252730" cy="146050"/>
                <wp:wrapTopAndBottom/>
                <wp:docPr id="281" name="Shape 28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07" type="#_x0000_t202" style="position:absolute;margin-left:166.20000000000002pt;margin-top:219.84999999999999pt;width:19.900000000000002pt;height:11.5pt;z-index:-125829302;mso-wrap-distance-left:0;mso-wrap-distance-top:219.84999999999999pt;mso-wrap-distance-right:0;mso-wrap-distance-bottom:3.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788920" distB="38100" distL="0" distR="0" simplePos="0" relativeHeight="125829453" behindDoc="0" locked="0" layoutInCell="1" allowOverlap="1">
                <wp:simplePos x="0" y="0"/>
                <wp:positionH relativeFrom="page">
                  <wp:posOffset>4750435</wp:posOffset>
                </wp:positionH>
                <wp:positionV relativeFrom="paragraph">
                  <wp:posOffset>2788920</wp:posOffset>
                </wp:positionV>
                <wp:extent cx="1054735" cy="149225"/>
                <wp:wrapTopAndBottom/>
                <wp:docPr id="283" name="Shape 28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期末转应收账款金额</w:t>
                            </w:r>
                          </w:p>
                        </w:txbxContent>
                      </wps:txbx>
                      <wps:bodyPr wrap="none" lIns="0" tIns="0" rIns="0" bIns="0">
                        <a:noAutoFit/>
                      </wps:bodyPr>
                    </wps:wsp>
                  </a:graphicData>
                </a:graphic>
              </wp:anchor>
            </w:drawing>
          </mc:Choice>
          <mc:Fallback>
            <w:pict>
              <v:shape id="_x0000_s1309" type="#_x0000_t202" style="position:absolute;margin-left:374.05000000000001pt;margin-top:219.59999999999999pt;width:83.049999999999997pt;height:11.75pt;z-index:-125829300;mso-wrap-distance-left:0;mso-wrap-distance-top:219.59999999999999pt;mso-wrap-distance-right:0;mso-wrap-distance-bottom:3.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期末转应收账款金额</w:t>
                      </w:r>
                    </w:p>
                  </w:txbxContent>
                </v:textbox>
                <w10:wrap type="topAndBottom" anchorx="page"/>
              </v:shape>
            </w:pict>
          </mc:Fallback>
        </mc:AlternateConten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5</w:t>
      </w:r>
      <w:bookmarkEnd w:id="1025"/>
      <w:r>
        <w:rPr>
          <w:color w:val="000000"/>
          <w:spacing w:val="0"/>
          <w:w w:val="100"/>
          <w:position w:val="0"/>
        </w:rPr>
        <w:t>、应收账款</w:t>
      </w:r>
      <w:bookmarkEnd w:id="1023"/>
      <w:bookmarkEnd w:id="1024"/>
      <w:bookmarkEnd w:id="1026"/>
    </w:p>
    <w:p>
      <w:pPr>
        <w:pStyle w:val="Style40"/>
        <w:keepNext/>
        <w:keepLines/>
        <w:widowControl w:val="0"/>
        <w:numPr>
          <w:ilvl w:val="0"/>
          <w:numId w:val="35"/>
        </w:numPr>
        <w:shd w:val="clear" w:color="auto" w:fill="auto"/>
        <w:bidi w:val="0"/>
        <w:spacing w:before="0" w:after="360" w:line="240" w:lineRule="auto"/>
        <w:ind w:left="0" w:right="0" w:firstLine="14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应收账款分类披露</w:t>
      </w:r>
      <w:bookmarkEnd w:id="1027"/>
      <w:bookmarkEnd w:id="1028"/>
      <w:bookmarkEnd w:id="10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93,994,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4,818,5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89,176,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76,51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72,686,2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93,994,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4,818,5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89,176,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76,51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72,686,2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p>
    <w:p>
      <w:pPr>
        <w:widowControl w:val="0"/>
        <w:spacing w:line="1" w:lineRule="exact"/>
      </w:pPr>
      <w:r>
        <mc:AlternateContent>
          <mc:Choice Requires="wps">
            <w:drawing>
              <wp:anchor distT="12700" distB="213360" distL="0" distR="0" simplePos="0" relativeHeight="125829455" behindDoc="0" locked="0" layoutInCell="1" allowOverlap="1">
                <wp:simplePos x="0" y="0"/>
                <wp:positionH relativeFrom="page">
                  <wp:posOffset>705485</wp:posOffset>
                </wp:positionH>
                <wp:positionV relativeFrom="paragraph">
                  <wp:posOffset>12700</wp:posOffset>
                </wp:positionV>
                <wp:extent cx="454025" cy="149225"/>
                <wp:wrapTopAndBottom/>
                <wp:docPr id="285" name="Shape 285"/>
                <a:graphic xmlns:a="http://schemas.openxmlformats.org/drawingml/2006/main">
                  <a:graphicData uri="http://schemas.microsoft.com/office/word/2010/wordprocessingShape">
                    <wps:wsp>
                      <wps:cNvSpPr txBox="1"/>
                      <wps:spPr>
                        <a:xfrm>
                          <a:ext cx="45402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w:t>
                            </w:r>
                          </w:p>
                        </w:txbxContent>
                      </wps:txbx>
                      <wps:bodyPr wrap="none" lIns="0" tIns="0" rIns="0" bIns="0">
                        <a:noAutoFit/>
                      </wps:bodyPr>
                    </wps:wsp>
                  </a:graphicData>
                </a:graphic>
              </wp:anchor>
            </w:drawing>
          </mc:Choice>
          <mc:Fallback>
            <w:pict>
              <v:shape id="_x0000_s1311" type="#_x0000_t202" style="position:absolute;margin-left:55.550000000000004pt;margin-top:1.pt;width:35.75pt;height:11.75pt;z-index:-125829298;mso-wrap-distance-left:0;mso-wrap-distance-top:1.pt;mso-wrap-distance-right:0;mso-wrap-distance-bottom:16.8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w:t>
                      </w:r>
                    </w:p>
                  </w:txbxContent>
                </v:textbox>
                <w10:wrap type="topAndBottom" anchorx="page"/>
              </v:shape>
            </w:pict>
          </mc:Fallback>
        </mc:AlternateContent>
      </w:r>
      <w:r>
        <mc:AlternateContent>
          <mc:Choice Requires="wps">
            <w:drawing>
              <wp:anchor distT="12700" distB="213360" distL="0" distR="0" simplePos="0" relativeHeight="125829457" behindDoc="0" locked="0" layoutInCell="1" allowOverlap="1">
                <wp:simplePos x="0" y="0"/>
                <wp:positionH relativeFrom="page">
                  <wp:posOffset>1162685</wp:posOffset>
                </wp:positionH>
                <wp:positionV relativeFrom="paragraph">
                  <wp:posOffset>12700</wp:posOffset>
                </wp:positionV>
                <wp:extent cx="2081530" cy="149225"/>
                <wp:wrapTopAndBottom/>
                <wp:docPr id="287" name="Shape 287"/>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xbxContent>
                      </wps:txbx>
                      <wps:bodyPr wrap="none" lIns="0" tIns="0" rIns="0" bIns="0">
                        <a:noAutoFit/>
                      </wps:bodyPr>
                    </wps:wsp>
                  </a:graphicData>
                </a:graphic>
              </wp:anchor>
            </w:drawing>
          </mc:Choice>
          <mc:Fallback>
            <w:pict>
              <v:shape id="_x0000_s1313" type="#_x0000_t202" style="position:absolute;margin-left:91.549999999999997pt;margin-top:1.pt;width:163.90000000000001pt;height:11.75pt;z-index:-125829296;mso-wrap-distance-left:0;mso-wrap-distance-top:1.pt;mso-wrap-distance-right:0;mso-wrap-distance-bottom:16.8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xbxContent>
                </v:textbox>
                <w10:wrap type="topAndBottom" anchorx="page"/>
              </v:shape>
            </w:pict>
          </mc:Fallback>
        </mc:AlternateContent>
      </w:r>
      <w:r>
        <mc:AlternateContent>
          <mc:Choice Requires="wps">
            <w:drawing>
              <wp:anchor distT="234950" distB="0" distL="0" distR="0" simplePos="0" relativeHeight="125829459" behindDoc="0" locked="0" layoutInCell="1" allowOverlap="1">
                <wp:simplePos x="0" y="0"/>
                <wp:positionH relativeFrom="page">
                  <wp:posOffset>842645</wp:posOffset>
                </wp:positionH>
                <wp:positionV relativeFrom="paragraph">
                  <wp:posOffset>234950</wp:posOffset>
                </wp:positionV>
                <wp:extent cx="286385" cy="140335"/>
                <wp:wrapTopAndBottom/>
                <wp:docPr id="289" name="Shape 289"/>
                <a:graphic xmlns:a="http://schemas.openxmlformats.org/drawingml/2006/main">
                  <a:graphicData uri="http://schemas.microsoft.com/office/word/2010/wordprocessingShape">
                    <wps:wsp>
                      <wps:cNvSpPr txBox="1"/>
                      <wps:spPr>
                        <a:xfrm>
                          <a:ext cx="286385"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xbxContent>
                      </wps:txbx>
                      <wps:bodyPr wrap="none" lIns="0" tIns="0" rIns="0" bIns="0">
                        <a:noAutoFit/>
                      </wps:bodyPr>
                    </wps:wsp>
                  </a:graphicData>
                </a:graphic>
              </wp:anchor>
            </w:drawing>
          </mc:Choice>
          <mc:Fallback>
            <w:pict>
              <v:shape id="_x0000_s1315" type="#_x0000_t202" style="position:absolute;margin-left:66.349999999999994pt;margin-top:18.5pt;width:22.550000000000001pt;height:11.050000000000001pt;z-index:-125829294;mso-wrap-distance-left:0;mso-wrap-distance-top:18.5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xbxContent>
                </v:textbox>
                <w10:wrap type="topAndBottom" anchorx="page"/>
              </v:shape>
            </w:pict>
          </mc:Fallback>
        </mc:AlternateContent>
      </w:r>
      <w:r>
        <mc:AlternateContent>
          <mc:Choice Requires="wps">
            <w:drawing>
              <wp:anchor distT="234950" distB="0" distL="0" distR="0" simplePos="0" relativeHeight="125829461" behindDoc="0" locked="0" layoutInCell="1" allowOverlap="1">
                <wp:simplePos x="0" y="0"/>
                <wp:positionH relativeFrom="page">
                  <wp:posOffset>1171575</wp:posOffset>
                </wp:positionH>
                <wp:positionV relativeFrom="paragraph">
                  <wp:posOffset>234950</wp:posOffset>
                </wp:positionV>
                <wp:extent cx="530225" cy="140335"/>
                <wp:wrapTopAndBottom/>
                <wp:docPr id="291" name="Shape 291"/>
                <a:graphic xmlns:a="http://schemas.openxmlformats.org/drawingml/2006/main">
                  <a:graphicData uri="http://schemas.microsoft.com/office/word/2010/wordprocessingShape">
                    <wps:wsp>
                      <wps:cNvSpPr txBox="1"/>
                      <wps:spPr>
                        <a:xfrm>
                          <a:ext cx="530225" cy="1403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不适用</w:t>
                            </w:r>
                          </w:p>
                        </w:txbxContent>
                      </wps:txbx>
                      <wps:bodyPr wrap="none" lIns="0" tIns="0" rIns="0" bIns="0">
                        <a:noAutoFit/>
                      </wps:bodyPr>
                    </wps:wsp>
                  </a:graphicData>
                </a:graphic>
              </wp:anchor>
            </w:drawing>
          </mc:Choice>
          <mc:Fallback>
            <w:pict>
              <v:shape id="_x0000_s1317" type="#_x0000_t202" style="position:absolute;margin-left:92.25pt;margin-top:18.5pt;width:41.75pt;height:11.050000000000001pt;z-index:-125829292;mso-wrap-distance-left:0;mso-wrap-distance-top:18.5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不适用</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9"/>
        <w:keepNext w:val="0"/>
        <w:keepLines w:val="0"/>
        <w:widowControl w:val="0"/>
        <w:pBdr>
          <w:top w:val="single" w:sz="0" w:space="0" w:color="D3D3D3"/>
          <w:left w:val="single" w:sz="0" w:space="0" w:color="D3D3D3"/>
          <w:bottom w:val="single" w:sz="0" w:space="6" w:color="D3D3D3"/>
          <w:right w:val="single" w:sz="0" w:space="0" w:color="D3D3D3"/>
        </w:pBdr>
        <w:shd w:val="clear" w:color="auto" w:fill="D3D3D3"/>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92,918,616.27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4,645,930.81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426,132.84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93,344,749.11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4,688,544.10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650,165.26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130,033.05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93,994,914.37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4,818,577.15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5.13%</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numPr>
          <w:ilvl w:val="0"/>
          <w:numId w:val="35"/>
        </w:numPr>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本期计提、收回或转回的坏账准备情况</w:t>
      </w:r>
      <w:bookmarkEnd w:id="1031"/>
      <w:bookmarkEnd w:id="1032"/>
      <w:bookmarkEnd w:id="1034"/>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987,775.54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0"/>
        <w:keepNext/>
        <w:keepLines/>
        <w:widowControl w:val="0"/>
        <w:numPr>
          <w:ilvl w:val="0"/>
          <w:numId w:val="35"/>
        </w:numPr>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本期实际核销的应收账款情况</w:t>
      </w:r>
      <w:bookmarkEnd w:id="1035"/>
      <w:bookmarkEnd w:id="1036"/>
      <w:bookmarkEnd w:id="103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numPr>
          <w:ilvl w:val="0"/>
          <w:numId w:val="35"/>
        </w:numPr>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按欠款方归集的期末余额前五名的应收账款情况</w:t>
      </w:r>
      <w:bookmarkEnd w:id="1039"/>
      <w:bookmarkEnd w:id="1040"/>
      <w:bookmarkEnd w:id="104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2107"/>
        <w:gridCol w:w="1934"/>
        <w:gridCol w:w="2957"/>
        <w:gridCol w:w="2597"/>
      </w:tblGrid>
      <w:tr>
        <w:trPr>
          <w:trHeight w:val="403" w:hRule="exact"/>
        </w:trPr>
        <w:tc>
          <w:tcPr>
            <w:vMerge w:val="restart"/>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单位名称</w:t>
            </w:r>
          </w:p>
        </w:tc>
        <w:tc>
          <w:tcPr>
            <w:gridSpan w:val="3"/>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年末余额</w:t>
            </w:r>
          </w:p>
        </w:tc>
      </w:tr>
      <w:tr>
        <w:trPr>
          <w:trHeight w:val="403" w:hRule="exact"/>
        </w:trPr>
        <w:tc>
          <w:tcPr>
            <w:vMerge/>
            <w:tcBorders>
              <w:left w:val="single" w:sz="4"/>
            </w:tcBorders>
            <w:shd w:val="clear" w:color="auto" w:fill="BEBEBE"/>
            <w:vAlign w:val="center"/>
          </w:tcPr>
          <w:p>
            <w:pP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SimSun" w:eastAsia="SimSun" w:hAnsi="SimSun" w:cs="SimSun"/>
                <w:color w:val="000000"/>
                <w:spacing w:val="0"/>
                <w:w w:val="100"/>
                <w:position w:val="0"/>
                <w:sz w:val="19"/>
                <w:szCs w:val="19"/>
              </w:rPr>
              <w:t>应收账款</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占应收账款合计数的比例(%)</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坏账准备</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9,870,395.02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493,519.75</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7,525,733.02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6"/>
                <w:szCs w:val="16"/>
              </w:rPr>
            </w:pPr>
            <w:r>
              <w:rPr>
                <w:color w:val="000000"/>
                <w:spacing w:val="0"/>
                <w:w w:val="100"/>
                <w:position w:val="0"/>
                <w:sz w:val="16"/>
                <w:szCs w:val="16"/>
              </w:rPr>
              <w:t>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376,286.65</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7,074,996.85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6"/>
                <w:szCs w:val="16"/>
              </w:rPr>
            </w:pPr>
            <w:r>
              <w:rPr>
                <w:color w:val="000000"/>
                <w:spacing w:val="0"/>
                <w:w w:val="100"/>
                <w:position w:val="0"/>
                <w:sz w:val="16"/>
                <w:szCs w:val="16"/>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353,749.84</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5,713,160.60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6"/>
                <w:szCs w:val="16"/>
              </w:rPr>
            </w:pPr>
            <w:r>
              <w:rPr>
                <w:color w:val="000000"/>
                <w:spacing w:val="0"/>
                <w:w w:val="100"/>
                <w:position w:val="0"/>
                <w:sz w:val="16"/>
                <w:szCs w:val="16"/>
              </w:rPr>
              <w:t>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285,658.03</w:t>
            </w:r>
          </w:p>
        </w:tc>
      </w:tr>
    </w:tbl>
    <w:p>
      <w:pPr>
        <w:widowControl w:val="0"/>
        <w:spacing w:line="1" w:lineRule="exact"/>
      </w:pPr>
      <w:r>
        <w:br w:type="page"/>
      </w:r>
    </w:p>
    <w:tbl>
      <w:tblPr>
        <w:tblOverlap w:val="never"/>
        <w:jc w:val="center"/>
        <w:tblLayout w:type="fixed"/>
      </w:tblPr>
      <w:tblGrid>
        <w:gridCol w:w="2107"/>
        <w:gridCol w:w="1934"/>
        <w:gridCol w:w="2957"/>
        <w:gridCol w:w="2597"/>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5,619,692.85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280,984.64</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35,803,978.34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1,790,198.92</w:t>
            </w:r>
          </w:p>
        </w:tc>
      </w:tr>
    </w:tbl>
    <w:p>
      <w:pPr>
        <w:widowControl w:val="0"/>
        <w:spacing w:after="359" w:line="1" w:lineRule="exact"/>
      </w:pPr>
    </w:p>
    <w:p>
      <w:pPr>
        <w:pStyle w:val="Style40"/>
        <w:keepNext/>
        <w:keepLines/>
        <w:widowControl w:val="0"/>
        <w:numPr>
          <w:ilvl w:val="0"/>
          <w:numId w:val="35"/>
        </w:numPr>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因金融资产转移而终止确认的应收账款</w:t>
      </w:r>
      <w:bookmarkEnd w:id="1043"/>
      <w:bookmarkEnd w:id="1044"/>
      <w:bookmarkEnd w:id="1046"/>
    </w:p>
    <w:p>
      <w:pPr>
        <w:pStyle w:val="Style40"/>
        <w:keepNext/>
        <w:keepLines/>
        <w:widowControl w:val="0"/>
        <w:numPr>
          <w:ilvl w:val="0"/>
          <w:numId w:val="35"/>
        </w:numPr>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转移应收账款且继续涉入形成的资产、负债金额</w:t>
      </w:r>
      <w:bookmarkEnd w:id="1047"/>
      <w:bookmarkEnd w:id="1048"/>
      <w:bookmarkEnd w:id="105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6</w:t>
      </w:r>
      <w:bookmarkEnd w:id="1053"/>
      <w:r>
        <w:rPr>
          <w:color w:val="000000"/>
          <w:spacing w:val="0"/>
          <w:w w:val="100"/>
          <w:position w:val="0"/>
        </w:rPr>
        <w:t>、预付款项</w:t>
      </w:r>
      <w:bookmarkEnd w:id="1051"/>
      <w:bookmarkEnd w:id="1052"/>
      <w:bookmarkEnd w:id="1054"/>
    </w:p>
    <w:p>
      <w:pPr>
        <w:pStyle w:val="Style40"/>
        <w:keepNext/>
        <w:keepLines/>
        <w:widowControl w:val="0"/>
        <w:numPr>
          <w:ilvl w:val="0"/>
          <w:numId w:val="37"/>
        </w:numPr>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预付款项按账龄列示</w:t>
      </w:r>
      <w:bookmarkEnd w:id="1055"/>
      <w:bookmarkEnd w:id="1056"/>
      <w:bookmarkEnd w:id="10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4,378,908.62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6,154,706.61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2,169,215.80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913,207.55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4,901,709.14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10,032,662.07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0"/>
        <w:keepNext/>
        <w:keepLines/>
        <w:widowControl w:val="0"/>
        <w:numPr>
          <w:ilvl w:val="0"/>
          <w:numId w:val="37"/>
        </w:numPr>
        <w:shd w:val="clear" w:color="auto" w:fill="auto"/>
        <w:bidi w:val="0"/>
        <w:spacing w:before="0" w:after="94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按预付对象归集的期末余额前五名的预付款情况</w:t>
      </w:r>
      <w:bookmarkEnd w:id="1059"/>
      <w:bookmarkEnd w:id="1060"/>
      <w:bookmarkEnd w:id="1062"/>
    </w:p>
    <w:tbl>
      <w:tblPr>
        <w:tblOverlap w:val="never"/>
        <w:jc w:val="center"/>
        <w:tblLayout w:type="fixed"/>
      </w:tblPr>
      <w:tblGrid>
        <w:gridCol w:w="3317"/>
        <w:gridCol w:w="2371"/>
        <w:gridCol w:w="3907"/>
      </w:tblGrid>
      <w:tr>
        <w:trPr>
          <w:trHeight w:val="9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240" w:line="240" w:lineRule="auto"/>
              <w:ind w:left="0" w:right="0" w:firstLine="0"/>
              <w:jc w:val="center"/>
              <w:rPr>
                <w:sz w:val="17"/>
                <w:szCs w:val="17"/>
              </w:rPr>
            </w:pPr>
            <w:r>
              <w:rPr>
                <w:rFonts w:ascii="SimSun" w:eastAsia="SimSun" w:hAnsi="SimSun" w:cs="SimSun"/>
                <w:color w:val="000000"/>
                <w:spacing w:val="0"/>
                <w:w w:val="100"/>
                <w:position w:val="0"/>
                <w:sz w:val="17"/>
                <w:szCs w:val="17"/>
              </w:rPr>
              <w:t>占预付款项年末余额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重庆京东海嘉电子商务有限公司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449,873.89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pPr>
            <w:r>
              <w:rPr>
                <w:color w:val="000000"/>
                <w:spacing w:val="0"/>
                <w:w w:val="100"/>
                <w:position w:val="0"/>
              </w:rPr>
              <w:t>9.18</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北京集佳知识产权代理有限公司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368,210.00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pPr>
            <w:r>
              <w:rPr>
                <w:color w:val="000000"/>
                <w:spacing w:val="0"/>
                <w:w w:val="100"/>
                <w:position w:val="0"/>
              </w:rPr>
              <w:t>7.51</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深圳市运展国际展会有限公司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261,893.00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pPr>
            <w:r>
              <w:rPr>
                <w:color w:val="000000"/>
                <w:spacing w:val="0"/>
                <w:w w:val="100"/>
                <w:position w:val="0"/>
              </w:rPr>
              <w:t>5.34</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广州睿博医疗科技有限公司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248,931.62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pPr>
            <w:r>
              <w:rPr>
                <w:color w:val="000000"/>
                <w:spacing w:val="0"/>
                <w:w w:val="100"/>
                <w:position w:val="0"/>
              </w:rPr>
              <w:t>5.08</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上海蓝冰装饰设计工程有限公司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238,400.00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80" w:right="0" w:firstLine="0"/>
              <w:jc w:val="left"/>
            </w:pPr>
            <w:r>
              <w:rPr>
                <w:color w:val="000000"/>
                <w:spacing w:val="0"/>
                <w:w w:val="100"/>
                <w:position w:val="0"/>
              </w:rPr>
              <w:t>4.86</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1,567,308.51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1217930" distL="0" distR="0" simplePos="0" relativeHeight="125829463" behindDoc="0" locked="0" layoutInCell="1" allowOverlap="1">
                <wp:simplePos x="0" y="0"/>
                <wp:positionH relativeFrom="page">
                  <wp:posOffset>705485</wp:posOffset>
                </wp:positionH>
                <wp:positionV relativeFrom="paragraph">
                  <wp:posOffset>0</wp:posOffset>
                </wp:positionV>
                <wp:extent cx="1066800" cy="152400"/>
                <wp:wrapTopAndBottom/>
                <wp:docPr id="293" name="Shape 293"/>
                <a:graphic xmlns:a="http://schemas.openxmlformats.org/drawingml/2006/main">
                  <a:graphicData uri="http://schemas.microsoft.com/office/word/2010/wordprocessingShape">
                    <wps:wsp>
                      <wps:cNvSpPr txBox="1"/>
                      <wps:spPr>
                        <a:xfrm>
                          <a:ext cx="1066800" cy="152400"/>
                        </a:xfrm>
                        <a:prstGeom prst="rect"/>
                        <a:noFill/>
                      </wps:spPr>
                      <wps:txbx>
                        <w:txbxContent>
                          <w:p>
                            <w:pPr>
                              <w:pStyle w:val="Style33"/>
                              <w:keepNext/>
                              <w:keepLines/>
                              <w:widowControl w:val="0"/>
                              <w:shd w:val="clear" w:color="auto" w:fill="auto"/>
                              <w:bidi w:val="0"/>
                              <w:spacing w:before="0" w:after="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1005"/>
                            <w:bookmarkEnd w:id="1006"/>
                            <w:bookmarkEnd w:id="1007"/>
                          </w:p>
                        </w:txbxContent>
                      </wps:txbx>
                      <wps:bodyPr wrap="none" lIns="0" tIns="0" rIns="0" bIns="0">
                        <a:noAutoFit/>
                      </wps:bodyPr>
                    </wps:wsp>
                  </a:graphicData>
                </a:graphic>
              </wp:anchor>
            </w:drawing>
          </mc:Choice>
          <mc:Fallback>
            <w:pict>
              <v:shape id="_x0000_s1319" type="#_x0000_t202" style="position:absolute;margin-left:55.550000000000004pt;margin-top:0;width:84.pt;height:12.pt;z-index:-125829290;mso-wrap-distance-left:0;mso-wrap-distance-right:0;mso-wrap-distance-bottom:95.900000000000006pt;mso-position-horizontal-relative:page" filled="f" stroked="f">
                <v:textbox inset="0,0,0,0">
                  <w:txbxContent>
                    <w:p>
                      <w:pPr>
                        <w:pStyle w:val="Style33"/>
                        <w:keepNext/>
                        <w:keepLines/>
                        <w:widowControl w:val="0"/>
                        <w:shd w:val="clear" w:color="auto" w:fill="auto"/>
                        <w:bidi w:val="0"/>
                        <w:spacing w:before="0" w:after="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7</w:t>
                      </w:r>
                      <w:r>
                        <w:rPr>
                          <w:color w:val="000000"/>
                          <w:spacing w:val="0"/>
                          <w:w w:val="100"/>
                          <w:position w:val="0"/>
                        </w:rPr>
                        <w:t>、应收利息</w:t>
                      </w:r>
                      <w:bookmarkEnd w:id="1005"/>
                      <w:bookmarkEnd w:id="1006"/>
                      <w:bookmarkEnd w:id="1007"/>
                    </w:p>
                  </w:txbxContent>
                </v:textbox>
                <w10:wrap type="topAndBottom" anchorx="page"/>
              </v:shape>
            </w:pict>
          </mc:Fallback>
        </mc:AlternateContent>
      </w:r>
      <w:r>
        <mc:AlternateContent>
          <mc:Choice Requires="wps">
            <w:drawing>
              <wp:anchor distT="372110" distB="815340" distL="0" distR="0" simplePos="0" relativeHeight="125829465" behindDoc="0" locked="0" layoutInCell="1" allowOverlap="1">
                <wp:simplePos x="0" y="0"/>
                <wp:positionH relativeFrom="page">
                  <wp:posOffset>775335</wp:posOffset>
                </wp:positionH>
                <wp:positionV relativeFrom="paragraph">
                  <wp:posOffset>372110</wp:posOffset>
                </wp:positionV>
                <wp:extent cx="1094105" cy="182880"/>
                <wp:wrapTopAndBottom/>
                <wp:docPr id="295" name="Shape 295"/>
                <a:graphic xmlns:a="http://schemas.openxmlformats.org/drawingml/2006/main">
                  <a:graphicData uri="http://schemas.microsoft.com/office/word/2010/wordprocessingShape">
                    <wps:wsp>
                      <wps:cNvSpPr txBox="1"/>
                      <wps:spPr>
                        <a:xfrm>
                          <a:ext cx="1094105" cy="182880"/>
                        </a:xfrm>
                        <a:prstGeom prst="rect"/>
                        <a:noFill/>
                      </wps:spPr>
                      <wps:txbx>
                        <w:txbxContent>
                          <w:p>
                            <w:pPr>
                              <w:pStyle w:val="Style40"/>
                              <w:keepNext/>
                              <w:keepLines/>
                              <w:widowControl w:val="0"/>
                              <w:shd w:val="clear" w:color="auto" w:fill="auto"/>
                              <w:bidi w:val="0"/>
                              <w:spacing w:before="0" w:after="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8"/>
                            <w:bookmarkEnd w:id="1009"/>
                            <w:bookmarkEnd w:id="1010"/>
                          </w:p>
                        </w:txbxContent>
                      </wps:txbx>
                      <wps:bodyPr wrap="none" lIns="0" tIns="0" rIns="0" bIns="0">
                        <a:noAutoFit/>
                      </wps:bodyPr>
                    </wps:wsp>
                  </a:graphicData>
                </a:graphic>
              </wp:anchor>
            </w:drawing>
          </mc:Choice>
          <mc:Fallback>
            <w:pict>
              <v:shape id="_x0000_s1321" type="#_x0000_t202" style="position:absolute;margin-left:61.050000000000004pt;margin-top:29.300000000000001pt;width:86.150000000000006pt;height:14.4pt;z-index:-125829288;mso-wrap-distance-left:0;mso-wrap-distance-top:29.300000000000001pt;mso-wrap-distance-right:0;mso-wrap-distance-bottom:64.200000000000003pt;mso-position-horizontal-relative:page" filled="f" stroked="f">
                <v:textbox inset="0,0,0,0">
                  <w:txbxContent>
                    <w:p>
                      <w:pPr>
                        <w:pStyle w:val="Style40"/>
                        <w:keepNext/>
                        <w:keepLines/>
                        <w:widowControl w:val="0"/>
                        <w:shd w:val="clear" w:color="auto" w:fill="auto"/>
                        <w:bidi w:val="0"/>
                        <w:spacing w:before="0" w:after="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8"/>
                      <w:bookmarkEnd w:id="1009"/>
                      <w:bookmarkEnd w:id="1010"/>
                    </w:p>
                  </w:txbxContent>
                </v:textbox>
                <w10:wrap type="topAndBottom" anchorx="page"/>
              </v:shape>
            </w:pict>
          </mc:Fallback>
        </mc:AlternateContent>
      </w:r>
      <w:r>
        <mc:AlternateContent>
          <mc:Choice Requires="wps">
            <w:drawing>
              <wp:anchor distT="774065" distB="443865" distL="0" distR="0" simplePos="0" relativeHeight="125829467" behindDoc="0" locked="0" layoutInCell="1" allowOverlap="1">
                <wp:simplePos x="0" y="0"/>
                <wp:positionH relativeFrom="page">
                  <wp:posOffset>6316980</wp:posOffset>
                </wp:positionH>
                <wp:positionV relativeFrom="paragraph">
                  <wp:posOffset>774065</wp:posOffset>
                </wp:positionV>
                <wp:extent cx="536575" cy="152400"/>
                <wp:wrapTopAndBottom/>
                <wp:docPr id="297" name="Shape 297"/>
                <a:graphic xmlns:a="http://schemas.openxmlformats.org/drawingml/2006/main">
                  <a:graphicData uri="http://schemas.microsoft.com/office/word/2010/wordprocessingShape">
                    <wps:wsp>
                      <wps:cNvSpPr txBox="1"/>
                      <wps:spPr>
                        <a:xfrm>
                          <a:ext cx="536575" cy="15240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323" type="#_x0000_t202" style="position:absolute;margin-left:497.40000000000003pt;margin-top:60.950000000000003pt;width:42.25pt;height:12.pt;z-index:-125829286;mso-wrap-distance-left:0;mso-wrap-distance-top:60.950000000000003pt;mso-wrap-distance-right:0;mso-wrap-distance-bottom:34.950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33145" distB="191135" distL="0" distR="0" simplePos="0" relativeHeight="125829469" behindDoc="0" locked="0" layoutInCell="1" allowOverlap="1">
                <wp:simplePos x="0" y="0"/>
                <wp:positionH relativeFrom="page">
                  <wp:posOffset>1604645</wp:posOffset>
                </wp:positionH>
                <wp:positionV relativeFrom="paragraph">
                  <wp:posOffset>1033145</wp:posOffset>
                </wp:positionV>
                <wp:extent cx="252730" cy="146050"/>
                <wp:wrapTopAndBottom/>
                <wp:docPr id="299" name="Shape 29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25" type="#_x0000_t202" style="position:absolute;margin-left:126.35000000000001pt;margin-top:81.350000000000009pt;width:19.900000000000002pt;height:11.5pt;z-index:-125829284;mso-wrap-distance-left:0;mso-wrap-distance-top:81.350000000000009pt;mso-wrap-distance-right:0;mso-wrap-distance-bottom:15.050000000000001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29970" distB="191135" distL="0" distR="0" simplePos="0" relativeHeight="125829471" behindDoc="0" locked="0" layoutInCell="1" allowOverlap="1">
                <wp:simplePos x="0" y="0"/>
                <wp:positionH relativeFrom="page">
                  <wp:posOffset>3515995</wp:posOffset>
                </wp:positionH>
                <wp:positionV relativeFrom="paragraph">
                  <wp:posOffset>1029970</wp:posOffset>
                </wp:positionV>
                <wp:extent cx="484505" cy="149225"/>
                <wp:wrapTopAndBottom/>
                <wp:docPr id="301" name="Shape 30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327" type="#_x0000_t202" style="position:absolute;margin-left:276.85000000000002pt;margin-top:81.100000000000009pt;width:38.149999999999999pt;height:11.75pt;z-index:-125829282;mso-wrap-distance-left:0;mso-wrap-distance-top:81.100000000000009pt;mso-wrap-distance-right:0;mso-wrap-distance-bottom:15.050000000000001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029970" distB="191135" distL="0" distR="0" simplePos="0" relativeHeight="125829473" behindDoc="0" locked="0" layoutInCell="1" allowOverlap="1">
                <wp:simplePos x="0" y="0"/>
                <wp:positionH relativeFrom="page">
                  <wp:posOffset>5542915</wp:posOffset>
                </wp:positionH>
                <wp:positionV relativeFrom="paragraph">
                  <wp:posOffset>1029970</wp:posOffset>
                </wp:positionV>
                <wp:extent cx="481330" cy="149225"/>
                <wp:wrapTopAndBottom/>
                <wp:docPr id="303" name="Shape 30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329" type="#_x0000_t202" style="position:absolute;margin-left:436.44999999999999pt;margin-top:81.100000000000009pt;width:37.899999999999999pt;height:11.75pt;z-index:-125829280;mso-wrap-distance-left:0;mso-wrap-distance-top:81.100000000000009pt;mso-wrap-distance-right:0;mso-wrap-distance-bottom:15.050000000000001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40"/>
        <w:keepNext/>
        <w:keepLines/>
        <w:widowControl w:val="0"/>
        <w:numPr>
          <w:ilvl w:val="0"/>
          <w:numId w:val="39"/>
        </w:numPr>
        <w:shd w:val="clear" w:color="auto" w:fill="auto"/>
        <w:bidi w:val="0"/>
        <w:spacing w:before="0" w:after="360" w:line="240" w:lineRule="auto"/>
        <w:ind w:left="0" w:right="0" w:firstLine="14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重要逾期利息</w:t>
      </w:r>
      <w:bookmarkEnd w:id="1063"/>
      <w:bookmarkEnd w:id="1064"/>
      <w:bookmarkEnd w:id="1066"/>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8</w:t>
      </w:r>
      <w:r>
        <w:rPr>
          <w:color w:val="000000"/>
          <w:spacing w:val="0"/>
          <w:w w:val="100"/>
          <w:position w:val="0"/>
        </w:rPr>
        <w:t>、应收股利</w:t>
      </w:r>
      <w:bookmarkEnd w:id="1067"/>
      <w:bookmarkEnd w:id="1068"/>
      <w:bookmarkEnd w:id="1069"/>
    </w:p>
    <w:p>
      <w:pPr>
        <w:pStyle w:val="Style40"/>
        <w:keepNext/>
        <w:keepLines/>
        <w:widowControl w:val="0"/>
        <w:numPr>
          <w:ilvl w:val="0"/>
          <w:numId w:val="41"/>
        </w:numPr>
        <w:shd w:val="clear" w:color="auto" w:fill="auto"/>
        <w:bidi w:val="0"/>
        <w:spacing w:before="0" w:after="360" w:line="240" w:lineRule="auto"/>
        <w:ind w:left="0" w:right="0" w:firstLine="14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应收股利</w:t>
      </w:r>
      <w:bookmarkEnd w:id="1070"/>
      <w:bookmarkEnd w:id="1071"/>
      <w:bookmarkEnd w:id="107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75" behindDoc="0" locked="0" layoutInCell="1" allowOverlap="1">
                <wp:simplePos x="0" y="0"/>
                <wp:positionH relativeFrom="page">
                  <wp:posOffset>1223645</wp:posOffset>
                </wp:positionH>
                <wp:positionV relativeFrom="paragraph">
                  <wp:posOffset>38100</wp:posOffset>
                </wp:positionV>
                <wp:extent cx="1021080" cy="158750"/>
                <wp:wrapTopAndBottom/>
                <wp:docPr id="305" name="Shape 305"/>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331" type="#_x0000_t202" style="position:absolute;margin-left:96.350000000000009pt;margin-top:3.pt;width:80.400000000000006pt;height:12.5pt;z-index:-125829278;mso-wrap-distance-left:0;mso-wrap-distance-top:3.pt;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477" behindDoc="0" locked="0" layoutInCell="1" allowOverlap="1">
                <wp:simplePos x="0" y="0"/>
                <wp:positionH relativeFrom="page">
                  <wp:posOffset>3515995</wp:posOffset>
                </wp:positionH>
                <wp:positionV relativeFrom="paragraph">
                  <wp:posOffset>38100</wp:posOffset>
                </wp:positionV>
                <wp:extent cx="484505" cy="149225"/>
                <wp:wrapTopAndBottom/>
                <wp:docPr id="307" name="Shape 30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333" type="#_x0000_t202" style="position:absolute;margin-left:276.85000000000002pt;margin-top:3.pt;width:38.149999999999999pt;height:11.75pt;z-index:-125829276;mso-wrap-distance-left:0;mso-wrap-distance-top:3.pt;mso-wrap-distance-right:0;mso-wrap-distance-bottom:0.75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479" behindDoc="0" locked="0" layoutInCell="1" allowOverlap="1">
                <wp:simplePos x="0" y="0"/>
                <wp:positionH relativeFrom="page">
                  <wp:posOffset>5542915</wp:posOffset>
                </wp:positionH>
                <wp:positionV relativeFrom="paragraph">
                  <wp:posOffset>38100</wp:posOffset>
                </wp:positionV>
                <wp:extent cx="481330" cy="149225"/>
                <wp:wrapTopAndBottom/>
                <wp:docPr id="309" name="Shape 30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335" type="#_x0000_t202" style="position:absolute;margin-left:436.44999999999999pt;margin-top:3.pt;width:37.899999999999999pt;height:11.75pt;z-index:-125829274;mso-wrap-distance-left:0;mso-wrap-distance-top:3.pt;mso-wrap-distance-right:0;mso-wrap-distance-bottom:0.75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40"/>
        <w:keepNext/>
        <w:keepLines/>
        <w:widowControl w:val="0"/>
        <w:numPr>
          <w:ilvl w:val="0"/>
          <w:numId w:val="41"/>
        </w:numPr>
        <w:shd w:val="clear" w:color="auto" w:fill="auto"/>
        <w:bidi w:val="0"/>
        <w:spacing w:before="0" w:after="360" w:line="240" w:lineRule="auto"/>
        <w:ind w:left="0" w:right="0" w:firstLine="14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74"/>
      <w:bookmarkEnd w:id="1075"/>
      <w:bookmarkEnd w:id="10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9</w:t>
      </w:r>
      <w:bookmarkEnd w:id="1080"/>
      <w:r>
        <w:rPr>
          <w:color w:val="000000"/>
          <w:spacing w:val="0"/>
          <w:w w:val="100"/>
          <w:position w:val="0"/>
        </w:rPr>
        <w:t>、其他应收款</w:t>
      </w:r>
      <w:bookmarkEnd w:id="1078"/>
      <w:bookmarkEnd w:id="1079"/>
      <w:bookmarkEnd w:id="1081"/>
    </w:p>
    <w:p>
      <w:pPr>
        <w:pStyle w:val="Style40"/>
        <w:keepNext/>
        <w:keepLines/>
        <w:widowControl w:val="0"/>
        <w:numPr>
          <w:ilvl w:val="0"/>
          <w:numId w:val="43"/>
        </w:numPr>
        <w:shd w:val="clear" w:color="auto" w:fill="auto"/>
        <w:bidi w:val="0"/>
        <w:spacing w:before="0" w:after="360" w:line="240" w:lineRule="auto"/>
        <w:ind w:left="0" w:right="0" w:firstLine="14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其他应收款分类披露</w:t>
      </w:r>
      <w:bookmarkEnd w:id="1082"/>
      <w:bookmarkEnd w:id="1083"/>
      <w:bookmarkEnd w:id="10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13,946,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1,462,8</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10.49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12,483,</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9,780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8,934,94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845,320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8,934,94</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432.34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10,927,319.27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546,365.96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1,137,333.76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113,733.38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12,064,653.03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660,099.34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1,112,183.31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222,436.66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378,264.00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189,132.00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391,154.28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391,154.28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13,946,254.62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1,462,822.28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10.49%</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6"/>
      <w:bookmarkEnd w:id="1087"/>
      <w:bookmarkEnd w:id="10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617,501.85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90"/>
      <w:bookmarkEnd w:id="1091"/>
      <w:bookmarkEnd w:id="109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0"/>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w:t>
      </w:r>
      <w:bookmarkEnd w:id="109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94"/>
      <w:bookmarkEnd w:id="1095"/>
      <w:bookmarkEnd w:id="10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1,060,193.93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769,243.00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2,853,726.16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1,793,358.22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7,814,259.54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6,472,028.30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1,092,367.43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717,140.75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1,125,707.56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28,499.76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13,946,254.62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9,780,270.03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8"/>
      <w:bookmarkEnd w:id="1099"/>
      <w:bookmarkEnd w:id="110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7,814,259.54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390,712.98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即征即退税额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831,788.89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41,589.44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员工个人社会保 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690,482.58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34,524.13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中交第四航务工 程局有限公司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564,644.84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6-12</w:t>
            </w:r>
            <w:r>
              <w:rPr>
                <w:rFonts w:ascii="SimSun" w:eastAsia="SimSun" w:hAnsi="SimSun" w:cs="SimSun"/>
                <w:color w:val="000000"/>
                <w:spacing w:val="0"/>
                <w:w w:val="100"/>
                <w:position w:val="0"/>
                <w:sz w:val="17"/>
                <w:szCs w:val="17"/>
              </w:rPr>
              <w:t>个月，</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99,928.97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员工个人住房公 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401,884.85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10,303,060.70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586,849.76</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bookmarkEnd w:id="110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02"/>
      <w:bookmarkEnd w:id="1103"/>
      <w:bookmarkEnd w:id="110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 额及依据</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06"/>
      <w:bookmarkEnd w:id="1107"/>
      <w:bookmarkEnd w:id="1109"/>
    </w:p>
    <w:p>
      <w:pPr>
        <w:pStyle w:val="Style40"/>
        <w:keepNext/>
        <w:keepLines/>
        <w:widowControl w:val="0"/>
        <w:shd w:val="clear" w:color="auto" w:fill="auto"/>
        <w:tabs>
          <w:tab w:pos="493" w:val="left"/>
        </w:tabs>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10"/>
      <w:bookmarkEnd w:id="1111"/>
      <w:bookmarkEnd w:id="1113"/>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14"/>
      <w:bookmarkEnd w:id="1115"/>
      <w:bookmarkEnd w:id="1116"/>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numPr>
          <w:ilvl w:val="0"/>
          <w:numId w:val="45"/>
        </w:numPr>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存货分类</w:t>
      </w:r>
      <w:bookmarkEnd w:id="1117"/>
      <w:bookmarkEnd w:id="1118"/>
      <w:bookmarkEnd w:id="11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20,757,972.24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20,757,972.24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10,144,176.84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10,144,176.84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13,115,124.99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13,115,124.99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3,037,361.62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3,037,361.62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26,389,206.97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26,389,206.97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18,824,799.09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18,824,799.09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8,511,930.94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8,511,930.94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4,629,287.76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4,629,287.76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6,851,974.67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6,851,974.67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3,396,085.74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3,396,085.74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75,626,209.81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75,626,209.81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40,031,711.05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40,031,711.05</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号一上市公司从事种业、种植业务》的披露要求</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号一一上市公司从事广播电影电视业务》的披露要求</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号一一上市公司从事互联网游戏业务》的披露要求</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numPr>
          <w:ilvl w:val="0"/>
          <w:numId w:val="45"/>
        </w:numPr>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存货跌价准备</w:t>
      </w:r>
      <w:bookmarkEnd w:id="1121"/>
      <w:bookmarkEnd w:id="1122"/>
      <w:bookmarkEnd w:id="1124"/>
    </w:p>
    <w:p>
      <w:pPr>
        <w:pStyle w:val="Style21"/>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40"/>
        <w:keepNext/>
        <w:keepLines/>
        <w:widowControl w:val="0"/>
        <w:numPr>
          <w:ilvl w:val="0"/>
          <w:numId w:val="45"/>
        </w:numPr>
        <w:shd w:val="clear" w:color="auto" w:fill="auto"/>
        <w:tabs>
          <w:tab w:pos="493" w:val="left"/>
        </w:tabs>
        <w:bidi w:val="0"/>
        <w:spacing w:before="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存货期末余额含有借款费用资本化金额的说明</w:t>
      </w:r>
      <w:bookmarkEnd w:id="1125"/>
      <w:bookmarkEnd w:id="1126"/>
      <w:bookmarkEnd w:id="1128"/>
    </w:p>
    <w:p>
      <w:pPr>
        <w:pStyle w:val="Style40"/>
        <w:keepNext/>
        <w:keepLines/>
        <w:widowControl w:val="0"/>
        <w:numPr>
          <w:ilvl w:val="0"/>
          <w:numId w:val="45"/>
        </w:numPr>
        <w:shd w:val="clear" w:color="auto" w:fill="auto"/>
        <w:tabs>
          <w:tab w:pos="493"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期末建造合同形成的已完工未结算资产情况</w:t>
      </w:r>
      <w:bookmarkEnd w:id="1129"/>
      <w:bookmarkEnd w:id="1130"/>
      <w:bookmarkEnd w:id="1132"/>
    </w:p>
    <w:p>
      <w:pPr>
        <w:pStyle w:val="Style21"/>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11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33"/>
      <w:bookmarkEnd w:id="1134"/>
      <w:bookmarkEnd w:id="1135"/>
    </w:p>
    <w:p>
      <w:pPr>
        <w:pStyle w:val="Style21"/>
        <w:keepNext w:val="0"/>
        <w:keepLines w:val="0"/>
        <w:widowControl w:val="0"/>
        <w:shd w:val="clear" w:color="auto" w:fill="auto"/>
        <w:bidi w:val="0"/>
        <w:spacing w:before="0" w:after="2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915"/>
        <w:gridCol w:w="1915"/>
        <w:gridCol w:w="1915"/>
        <w:gridCol w:w="1910"/>
        <w:gridCol w:w="193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36"/>
      <w:bookmarkEnd w:id="1137"/>
      <w:bookmarkEnd w:id="113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40"/>
      <w:bookmarkEnd w:id="1141"/>
      <w:bookmarkEnd w:id="11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7,258,046.11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14,588,841.07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695,427.56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7,953,473.67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14,588,841.07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44"/>
      <w:bookmarkEnd w:id="1145"/>
      <w:bookmarkEnd w:id="1147"/>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可供出售金融资产情况</w:t>
      </w:r>
      <w:bookmarkEnd w:id="1148"/>
      <w:bookmarkEnd w:id="1149"/>
      <w:bookmarkEnd w:id="115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5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期末按公允价值计量的可供出售金融资产</w:t>
      </w:r>
      <w:bookmarkEnd w:id="1152"/>
      <w:bookmarkEnd w:id="1153"/>
      <w:bookmarkEnd w:id="11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期末按成本计量的可供出售金融资产</w:t>
      </w:r>
      <w:bookmarkEnd w:id="1156"/>
      <w:bookmarkEnd w:id="1157"/>
      <w:bookmarkEnd w:id="115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 资单位 持股比 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金红利</w:t>
            </w:r>
          </w:p>
        </w:tc>
      </w:tr>
      <w:tr>
        <w:trPr>
          <w:trHeight w:val="9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60"/>
      <w:bookmarkEnd w:id="1161"/>
      <w:bookmarkEnd w:id="11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64"/>
      <w:bookmarkEnd w:id="1165"/>
      <w:bookmarkEnd w:id="11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可供出售权益 工具项目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公允价值相对 于成本的下跌 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已计提减值金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未计提减值原 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8"/>
      <w:bookmarkEnd w:id="1169"/>
      <w:bookmarkEnd w:id="1171"/>
    </w:p>
    <w:p>
      <w:pPr>
        <w:pStyle w:val="Style40"/>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72"/>
      <w:bookmarkEnd w:id="1173"/>
      <w:bookmarkEnd w:id="117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76"/>
      <w:bookmarkEnd w:id="1177"/>
      <w:bookmarkEnd w:id="1179"/>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80"/>
      <w:bookmarkEnd w:id="1181"/>
      <w:bookmarkEnd w:id="118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84"/>
      <w:bookmarkEnd w:id="1185"/>
      <w:bookmarkEnd w:id="1187"/>
    </w:p>
    <w:p>
      <w:pPr>
        <w:pStyle w:val="Style40"/>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8"/>
      <w:bookmarkEnd w:id="1189"/>
      <w:bookmarkEnd w:id="119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40"/>
        <w:keepNext/>
        <w:keepLines/>
        <w:widowControl w:val="0"/>
        <w:numPr>
          <w:ilvl w:val="0"/>
          <w:numId w:val="43"/>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因金融资产转移而终止确认的长期应收款</w:t>
      </w:r>
      <w:bookmarkEnd w:id="1192"/>
      <w:bookmarkEnd w:id="1193"/>
      <w:bookmarkEnd w:id="1195"/>
    </w:p>
    <w:p>
      <w:pPr>
        <w:pStyle w:val="Style40"/>
        <w:keepNext/>
        <w:keepLines/>
        <w:widowControl w:val="0"/>
        <w:numPr>
          <w:ilvl w:val="0"/>
          <w:numId w:val="43"/>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转移长期应收款且继续涉入形成的资产、负债金额</w:t>
      </w:r>
      <w:bookmarkEnd w:id="1196"/>
      <w:bookmarkEnd w:id="1197"/>
      <w:bookmarkEnd w:id="119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00"/>
      <w:bookmarkEnd w:id="1201"/>
      <w:bookmarkEnd w:id="120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 蜡笔网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中山市 易恩自 动化科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235,84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735,15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735,15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04"/>
      <w:bookmarkEnd w:id="1205"/>
      <w:bookmarkEnd w:id="1207"/>
    </w:p>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采用成本计量模式的投资性房地产</w:t>
      </w:r>
      <w:bookmarkEnd w:id="1208"/>
      <w:bookmarkEnd w:id="1209"/>
      <w:bookmarkEnd w:id="121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采用公允价值计量模式的投资性房地产</w:t>
      </w:r>
      <w:bookmarkEnd w:id="1212"/>
      <w:bookmarkEnd w:id="1213"/>
      <w:bookmarkEnd w:id="121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16"/>
      <w:bookmarkEnd w:id="1217"/>
      <w:bookmarkEnd w:id="12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20"/>
      <w:bookmarkEnd w:id="1221"/>
      <w:bookmarkEnd w:id="1223"/>
    </w:p>
    <w:p>
      <w:pPr>
        <w:pStyle w:val="Style40"/>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4"/>
      <w:bookmarkEnd w:id="1225"/>
      <w:bookmarkEnd w:id="12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39,980,695.56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14,998,074.72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6,810,826.34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2,626,488.93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2,876,285.30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67,292,370.85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16,464,970.56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2,553,856.45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491,546.16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2,623,752.83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22,134,126.00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16,464,970.56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2,553,856.45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491,546.16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2,623,752.83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22,134,126.00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323,903.09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276,109.47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749,319.56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323,903.09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276,109.47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749,319.56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39,980,695.56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31,139,142.19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9,088,573.32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3,107,728.09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5,361,038.13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88,677,177.29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1,820,638.86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2,916,611.06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4,364,408.29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2,200,085.04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1,028,541.34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12,330,284.59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927,145.08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1,758,968.50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1,135,168.83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119,058.16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706,014.82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4,646,355.39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927,145.08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1,758,968.50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1,135,168.83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119,058.16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706,014.82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4,646,355.39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101,027.60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216,582.77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459,240.62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101,027.60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216,582.77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132,050.00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459,240.62</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2,747,783.94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4,574,551.96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5,282,994.35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16,517,399.36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37,232,911.62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26,564,590.23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3,805,578.97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3,758,531.97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72,159,777.93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38,160,056.70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12,081,463.66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2,446,418.05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426,403.89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1,847,743.96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54,962,086.26</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暂时闲置的固定资产情况</w:t>
      </w:r>
      <w:bookmarkEnd w:id="1228"/>
      <w:bookmarkEnd w:id="1229"/>
      <w:bookmarkEnd w:id="123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通过融资租赁租入的固定资产情况</w:t>
      </w:r>
      <w:bookmarkEnd w:id="1232"/>
      <w:bookmarkEnd w:id="1233"/>
      <w:bookmarkEnd w:id="1235"/>
    </w:p>
    <w:p>
      <w:pPr>
        <w:pStyle w:val="Style21"/>
        <w:keepNext w:val="0"/>
        <w:keepLines w:val="0"/>
        <w:widowControl w:val="0"/>
        <w:shd w:val="clear" w:color="auto" w:fill="auto"/>
        <w:bidi w:val="0"/>
        <w:spacing w:before="0" w:line="240" w:lineRule="auto"/>
        <w:ind w:left="882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通过经营租赁租出的固定资产</w:t>
      </w:r>
      <w:bookmarkEnd w:id="1236"/>
      <w:bookmarkEnd w:id="1237"/>
      <w:bookmarkEnd w:id="1239"/>
    </w:p>
    <w:p>
      <w:pPr>
        <w:pStyle w:val="Style21"/>
        <w:keepNext w:val="0"/>
        <w:keepLines w:val="0"/>
        <w:widowControl w:val="0"/>
        <w:shd w:val="clear" w:color="auto" w:fill="auto"/>
        <w:bidi w:val="0"/>
        <w:spacing w:before="0" w:line="240" w:lineRule="auto"/>
        <w:ind w:left="882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未办妥产权证书的固定资产情况</w:t>
      </w:r>
      <w:bookmarkEnd w:id="1240"/>
      <w:bookmarkEnd w:id="1241"/>
      <w:bookmarkEnd w:id="1243"/>
    </w:p>
    <w:p>
      <w:pPr>
        <w:pStyle w:val="Style21"/>
        <w:keepNext w:val="0"/>
        <w:keepLines w:val="0"/>
        <w:widowControl w:val="0"/>
        <w:shd w:val="clear" w:color="auto" w:fill="auto"/>
        <w:bidi w:val="0"/>
        <w:spacing w:before="0" w:line="240" w:lineRule="auto"/>
        <w:ind w:left="882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44"/>
      <w:bookmarkEnd w:id="1245"/>
      <w:bookmarkEnd w:id="1247"/>
    </w:p>
    <w:p>
      <w:pPr>
        <w:pStyle w:val="Style40"/>
        <w:keepNext/>
        <w:keepLines/>
        <w:widowControl w:val="0"/>
        <w:numPr>
          <w:ilvl w:val="0"/>
          <w:numId w:val="53"/>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在建工程情况</w:t>
      </w:r>
      <w:bookmarkEnd w:id="1248"/>
      <w:bookmarkEnd w:id="1249"/>
      <w:bookmarkEnd w:id="12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东利村</w:t>
            </w:r>
            <w:r>
              <w:rPr>
                <w:color w:val="000000"/>
                <w:spacing w:val="0"/>
                <w:w w:val="100"/>
                <w:position w:val="0"/>
                <w:sz w:val="18"/>
                <w:szCs w:val="18"/>
              </w:rPr>
              <w:t>2</w:t>
            </w:r>
            <w:r>
              <w:rPr>
                <w:rFonts w:ascii="SimSun" w:eastAsia="SimSun" w:hAnsi="SimSun" w:cs="SimSun"/>
                <w:color w:val="000000"/>
                <w:spacing w:val="0"/>
                <w:w w:val="100"/>
                <w:position w:val="0"/>
                <w:sz w:val="17"/>
                <w:szCs w:val="17"/>
              </w:rPr>
              <w:t>号厂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6,106,703.76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6,106,703.76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826,852.35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东利村</w:t>
            </w:r>
            <w:r>
              <w:rPr>
                <w:color w:val="000000"/>
                <w:spacing w:val="0"/>
                <w:w w:val="100"/>
                <w:position w:val="0"/>
                <w:sz w:val="18"/>
                <w:szCs w:val="18"/>
              </w:rPr>
              <w:t>15</w:t>
            </w:r>
            <w:r>
              <w:rPr>
                <w:rFonts w:ascii="SimSun" w:eastAsia="SimSun" w:hAnsi="SimSun" w:cs="SimSun"/>
                <w:color w:val="000000"/>
                <w:spacing w:val="0"/>
                <w:w w:val="100"/>
                <w:position w:val="0"/>
                <w:sz w:val="17"/>
                <w:szCs w:val="17"/>
              </w:rPr>
              <w:t>亩地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13,413,718.32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13,413,718.32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1,484,966.50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1,484,966.50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民众二期仓库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7,549,078.13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7,549,078.13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113,098.83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东利村</w:t>
            </w:r>
            <w:r>
              <w:rPr>
                <w:color w:val="000000"/>
                <w:spacing w:val="0"/>
                <w:w w:val="100"/>
                <w:position w:val="0"/>
                <w:sz w:val="18"/>
                <w:szCs w:val="18"/>
              </w:rPr>
              <w:t>42</w:t>
            </w:r>
            <w:r>
              <w:rPr>
                <w:rFonts w:ascii="SimSun" w:eastAsia="SimSun" w:hAnsi="SimSun" w:cs="SimSun"/>
                <w:color w:val="000000"/>
                <w:spacing w:val="0"/>
                <w:w w:val="100"/>
                <w:position w:val="0"/>
                <w:sz w:val="17"/>
                <w:szCs w:val="17"/>
              </w:rPr>
              <w:t>亩地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三期研发楼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95,094.34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95,094.34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495,755.42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495,755.42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425,196.32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易恩科技自动 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4,260,976.92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4,260,976.92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设备及其他长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6,626,955.91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6,626,955.91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7,392,243.30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7,392,243.30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38,548,282.80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38,548,282.80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11,816,157.30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11,816,157.30</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重要在建工程项目本期变动情况</w:t>
      </w:r>
      <w:bookmarkEnd w:id="1252"/>
      <w:bookmarkEnd w:id="1253"/>
      <w:bookmarkEnd w:id="12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80" w:right="0" w:firstLine="0"/>
              <w:jc w:val="left"/>
              <w:rPr>
                <w:sz w:val="17"/>
                <w:szCs w:val="17"/>
              </w:rPr>
            </w:pPr>
            <w:r>
              <w:rPr>
                <w:rFonts w:ascii="SimSun" w:eastAsia="SimSun" w:hAnsi="SimSun" w:cs="SimSun"/>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利息</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化金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资金 来源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东利 村</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亩地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1,484,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11,928</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,751.8</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13,413</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,718.3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东利 村</w:t>
            </w:r>
            <w:r>
              <w:rPr>
                <w:color w:val="000000"/>
                <w:spacing w:val="0"/>
                <w:w w:val="100"/>
                <w:position w:val="0"/>
                <w:sz w:val="18"/>
                <w:szCs w:val="18"/>
              </w:rPr>
              <w:t>2</w:t>
            </w:r>
            <w:r>
              <w:rPr>
                <w:rFonts w:ascii="SimSun" w:eastAsia="SimSun" w:hAnsi="SimSun" w:cs="SimSun"/>
                <w:color w:val="000000"/>
                <w:spacing w:val="0"/>
                <w:w w:val="100"/>
                <w:position w:val="0"/>
                <w:sz w:val="17"/>
                <w:szCs w:val="17"/>
              </w:rPr>
              <w:t>号 厂房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826,85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5,279,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6,106,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17,208</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,603.2</w:t>
            </w:r>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本期计提在建工程减值准备情况</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60"/>
      <w:bookmarkEnd w:id="1261"/>
      <w:bookmarkEnd w:id="12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64"/>
      <w:bookmarkEnd w:id="1265"/>
      <w:bookmarkEnd w:id="12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8"/>
      <w:bookmarkEnd w:id="1269"/>
      <w:bookmarkEnd w:id="1271"/>
    </w:p>
    <w:p>
      <w:pPr>
        <w:pStyle w:val="Style40"/>
        <w:keepNext/>
        <w:keepLines/>
        <w:widowControl w:val="0"/>
        <w:numPr>
          <w:ilvl w:val="0"/>
          <w:numId w:val="55"/>
        </w:numPr>
        <w:shd w:val="clear" w:color="auto" w:fill="auto"/>
        <w:tabs>
          <w:tab w:pos="493"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采用成本计量模式的生产性生物资产</w:t>
      </w:r>
      <w:bookmarkEnd w:id="1272"/>
      <w:bookmarkEnd w:id="1273"/>
      <w:bookmarkEnd w:id="127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55"/>
        </w:numPr>
        <w:shd w:val="clear" w:color="auto" w:fill="auto"/>
        <w:tabs>
          <w:tab w:pos="493"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采用公允价值计量模式的生产性生物资产</w:t>
      </w:r>
      <w:bookmarkEnd w:id="1276"/>
      <w:bookmarkEnd w:id="1277"/>
      <w:bookmarkEnd w:id="127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80"/>
      <w:bookmarkEnd w:id="1281"/>
      <w:bookmarkEnd w:id="128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84"/>
      <w:bookmarkEnd w:id="1285"/>
      <w:bookmarkEnd w:id="1287"/>
    </w:p>
    <w:p>
      <w:pPr>
        <w:pStyle w:val="Style40"/>
        <w:keepNext/>
        <w:keepLines/>
        <w:widowControl w:val="0"/>
        <w:numPr>
          <w:ilvl w:val="0"/>
          <w:numId w:val="57"/>
        </w:numPr>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无形资产情况</w:t>
      </w:r>
      <w:bookmarkEnd w:id="1288"/>
      <w:bookmarkEnd w:id="1289"/>
      <w:bookmarkEnd w:id="129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号一一上市公司从事从事互联网游戏业务》的披露要求</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r>
        <w:br w:type="page"/>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34,998,830.88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4,643,732.72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39,642,563.60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1,299,090.43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1,299,090.43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1,299,090.43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1,299,090.43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1,186,007.89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1,186,007.89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1,186,007.89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1,186,007.89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33,812,822.99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5,942,823.15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39,755,646.14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2,455,761.92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1,643,200.95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4,098,962.87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801,528.24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313,662.57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1,115,190.81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801,528.24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313,662.57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1,115,190.81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137,576.94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137,576.94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137,576.94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137,576.94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3,119,713.20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1,956,863.52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5,076,576.74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30,693,109.77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3,985,959.63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34,679,069.40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32,543,068.96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3,000,531.77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35,543,600.73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0"/>
        <w:keepNext/>
        <w:keepLines/>
        <w:widowControl w:val="0"/>
        <w:numPr>
          <w:ilvl w:val="0"/>
          <w:numId w:val="57"/>
        </w:numPr>
        <w:shd w:val="clear" w:color="auto" w:fill="auto"/>
        <w:bidi w:val="0"/>
        <w:spacing w:before="0" w:after="360" w:line="240" w:lineRule="auto"/>
        <w:ind w:left="0" w:right="0" w:firstLine="1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未办妥产权证书的土地使用权情况</w:t>
      </w:r>
      <w:bookmarkEnd w:id="1292"/>
      <w:bookmarkEnd w:id="1293"/>
      <w:bookmarkEnd w:id="12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40" w:line="240" w:lineRule="auto"/>
        <w:ind w:left="0" w:right="0" w:firstLine="0"/>
        <w:jc w:val="left"/>
      </w:pPr>
      <w:r>
        <w:rPr>
          <w:color w:val="000000"/>
          <w:spacing w:val="0"/>
          <w:w w:val="100"/>
          <w:position w:val="0"/>
        </w:rPr>
        <w:t>本期内无未办妥产权证书的土地使用权情况。</w:t>
      </w:r>
    </w:p>
    <w:p>
      <w:pPr>
        <w:pStyle w:val="Style3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96"/>
      <w:bookmarkEnd w:id="1297"/>
      <w:bookmarkEnd w:id="12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00"/>
      <w:bookmarkEnd w:id="1301"/>
      <w:bookmarkEnd w:id="1302"/>
    </w:p>
    <w:p>
      <w:pPr>
        <w:pStyle w:val="Style40"/>
        <w:keepNext/>
        <w:keepLines/>
        <w:widowControl w:val="0"/>
        <w:numPr>
          <w:ilvl w:val="0"/>
          <w:numId w:val="59"/>
        </w:numPr>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商誉账面原值</w:t>
      </w:r>
      <w:bookmarkEnd w:id="1303"/>
      <w:bookmarkEnd w:id="1304"/>
      <w:bookmarkEnd w:id="1306"/>
    </w:p>
    <w:p>
      <w:pPr>
        <w:pStyle w:val="Style21"/>
        <w:keepNext w:val="0"/>
        <w:keepLines w:val="0"/>
        <w:widowControl w:val="0"/>
        <w:shd w:val="clear" w:color="auto" w:fill="auto"/>
        <w:bidi w:val="0"/>
        <w:spacing w:before="0" w:after="80" w:line="240" w:lineRule="auto"/>
        <w:ind w:left="0" w:right="0" w:firstLine="0"/>
        <w:jc w:val="right"/>
      </w:pPr>
      <w:bookmarkStart w:id="1307" w:name="bookmark1307"/>
      <w:r>
        <w:rPr>
          <w:color w:val="000000"/>
          <w:spacing w:val="0"/>
          <w:w w:val="100"/>
          <w:position w:val="0"/>
        </w:rPr>
        <w:t>单</w:t>
      </w:r>
      <w:bookmarkEnd w:id="1307"/>
      <w:r>
        <w:rPr>
          <w:color w:val="000000"/>
          <w:spacing w:val="0"/>
          <w:w w:val="100"/>
          <w:position w:val="0"/>
        </w:rPr>
        <w:t>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359" w:line="1" w:lineRule="exact"/>
      </w:pPr>
    </w:p>
    <w:p>
      <w:pPr>
        <w:pStyle w:val="Style40"/>
        <w:keepNext/>
        <w:keepLines/>
        <w:widowControl w:val="0"/>
        <w:numPr>
          <w:ilvl w:val="0"/>
          <w:numId w:val="59"/>
        </w:numPr>
        <w:shd w:val="clear" w:color="auto" w:fill="auto"/>
        <w:bidi w:val="0"/>
        <w:spacing w:before="0" w:after="360" w:line="240" w:lineRule="auto"/>
        <w:ind w:left="0" w:right="0" w:firstLine="14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商誉减值准备</w:t>
      </w:r>
      <w:bookmarkEnd w:id="1308"/>
      <w:bookmarkEnd w:id="1309"/>
      <w:bookmarkEnd w:id="13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12"/>
      <w:bookmarkEnd w:id="1313"/>
      <w:bookmarkEnd w:id="13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1,588,612.33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3,385,833.59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1,166,635.65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3,807,810.27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1,588,612.33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3,385,833.59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1,166,635.65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3,807,810.27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6"/>
      <w:bookmarkEnd w:id="1317"/>
      <w:bookmarkEnd w:id="1319"/>
    </w:p>
    <w:p>
      <w:pPr>
        <w:pStyle w:val="Style40"/>
        <w:keepNext/>
        <w:keepLines/>
        <w:widowControl w:val="0"/>
        <w:numPr>
          <w:ilvl w:val="0"/>
          <w:numId w:val="61"/>
        </w:numPr>
        <w:shd w:val="clear" w:color="auto" w:fill="auto"/>
        <w:bidi w:val="0"/>
        <w:spacing w:before="0" w:line="240" w:lineRule="auto"/>
        <w:ind w:left="0" w:right="0" w:firstLine="14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未经抵销的递延所得税资产</w:t>
      </w:r>
      <w:bookmarkEnd w:id="1320"/>
      <w:bookmarkEnd w:id="1321"/>
      <w:bookmarkEnd w:id="13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6,281,399.43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1,128,423.81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4,676,122.04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997,946.66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5,111,477.74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1,248,756.83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-17,406.79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102,025.50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11,392,877.17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2,377,180.64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5,579,189.34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1,082,565.37</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14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未经抵销的递延所得税负债</w:t>
      </w:r>
      <w:bookmarkEnd w:id="1324"/>
      <w:bookmarkEnd w:id="1325"/>
      <w:bookmarkEnd w:id="13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以抵销后净额列示的递延所得税资产或负债</w:t>
      </w:r>
      <w:bookmarkEnd w:id="1328"/>
      <w:bookmarkEnd w:id="1329"/>
      <w:bookmarkEnd w:id="13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2,377,180.64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1,082,565.37</w:t>
            </w:r>
          </w:p>
        </w:tc>
      </w:tr>
    </w:tbl>
    <w:p>
      <w:pPr>
        <w:widowControl w:val="0"/>
        <w:spacing w:after="319" w:line="1" w:lineRule="exact"/>
      </w:pPr>
    </w:p>
    <w:p>
      <w:pPr>
        <w:pStyle w:val="Style40"/>
        <w:keepNext/>
        <w:keepLines/>
        <w:widowControl w:val="0"/>
        <w:numPr>
          <w:ilvl w:val="0"/>
          <w:numId w:val="61"/>
        </w:numPr>
        <w:shd w:val="clear" w:color="auto" w:fill="auto"/>
        <w:bidi w:val="0"/>
        <w:spacing w:before="0" w:line="240" w:lineRule="auto"/>
        <w:ind w:left="0" w:right="0" w:firstLine="14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未确认递延所得税资产明细</w:t>
      </w:r>
      <w:bookmarkEnd w:id="1332"/>
      <w:bookmarkEnd w:id="1333"/>
      <w:bookmarkEnd w:id="13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40"/>
        <w:keepNext/>
        <w:keepLines/>
        <w:widowControl w:val="0"/>
        <w:numPr>
          <w:ilvl w:val="0"/>
          <w:numId w:val="61"/>
        </w:numPr>
        <w:shd w:val="clear" w:color="auto" w:fill="auto"/>
        <w:bidi w:val="0"/>
        <w:spacing w:before="0" w:line="240" w:lineRule="auto"/>
        <w:ind w:left="0" w:right="0" w:firstLine="14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未确认递延所得税资产的可抵扣亏损将于以下年度到期</w:t>
      </w:r>
      <w:bookmarkEnd w:id="1336"/>
      <w:bookmarkEnd w:id="1337"/>
      <w:bookmarkEnd w:id="13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40"/>
      <w:bookmarkEnd w:id="1341"/>
      <w:bookmarkEnd w:id="13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44"/>
      <w:bookmarkEnd w:id="1345"/>
      <w:bookmarkEnd w:id="1347"/>
    </w:p>
    <w:p>
      <w:pPr>
        <w:pStyle w:val="Style40"/>
        <w:keepNext/>
        <w:keepLines/>
        <w:widowControl w:val="0"/>
        <w:numPr>
          <w:ilvl w:val="0"/>
          <w:numId w:val="63"/>
        </w:numPr>
        <w:shd w:val="clear" w:color="auto" w:fill="auto"/>
        <w:bidi w:val="0"/>
        <w:spacing w:before="0" w:line="240" w:lineRule="auto"/>
        <w:ind w:left="0" w:right="0" w:firstLine="140"/>
        <w:jc w:val="both"/>
      </w:pPr>
      <w:bookmarkStart w:id="1348" w:name="bookmark1348"/>
      <w:bookmarkStart w:id="1349" w:name="bookmark1349"/>
      <w:bookmarkStart w:id="1350" w:name="bookmark1350"/>
      <w:bookmarkStart w:id="1351" w:name="bookmark1351"/>
      <w:bookmarkEnd w:id="1350"/>
      <w:r>
        <w:rPr>
          <w:color w:val="000000"/>
          <w:spacing w:val="0"/>
          <w:w w:val="100"/>
          <w:position w:val="0"/>
        </w:rPr>
        <w:t>短期借款分类</w:t>
      </w:r>
      <w:bookmarkEnd w:id="1348"/>
      <w:bookmarkEnd w:id="1349"/>
      <w:bookmarkEnd w:id="13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40"/>
        <w:keepNext/>
        <w:keepLines/>
        <w:widowControl w:val="0"/>
        <w:numPr>
          <w:ilvl w:val="0"/>
          <w:numId w:val="63"/>
        </w:numPr>
        <w:shd w:val="clear" w:color="auto" w:fill="auto"/>
        <w:bidi w:val="0"/>
        <w:spacing w:before="0" w:line="240" w:lineRule="auto"/>
        <w:ind w:left="0" w:right="0" w:firstLine="14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已逾期未偿还的短期借款情况</w:t>
      </w:r>
      <w:bookmarkEnd w:id="1352"/>
      <w:bookmarkEnd w:id="1353"/>
      <w:bookmarkEnd w:id="135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56"/>
      <w:bookmarkEnd w:id="1357"/>
      <w:bookmarkEnd w:id="13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680,170.00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680,170.00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680,170.00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360"/>
      <w:bookmarkEnd w:id="1361"/>
      <w:bookmarkEnd w:id="1363"/>
    </w:p>
    <w:p>
      <w:pPr>
        <w:pStyle w:val="Style21"/>
        <w:keepNext w:val="0"/>
        <w:keepLines w:val="0"/>
        <w:widowControl w:val="0"/>
        <w:shd w:val="clear" w:color="auto" w:fill="auto"/>
        <w:bidi w:val="0"/>
        <w:spacing w:before="0" w:after="380" w:line="240" w:lineRule="auto"/>
        <w:ind w:left="0" w:right="0" w:firstLine="0"/>
        <w:jc w:val="both"/>
      </w:pPr>
      <w:bookmarkStart w:id="1364" w:name="bookmark1364"/>
      <w:r>
        <w:rPr>
          <w:color w:val="000000"/>
          <w:spacing w:val="0"/>
          <w:w w:val="100"/>
          <w:position w:val="0"/>
        </w:rPr>
        <w:t>□</w:t>
      </w:r>
      <w:bookmarkEnd w:id="1364"/>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tbl>
      <w:tblPr>
        <w:tblOverlap w:val="never"/>
        <w:jc w:val="center"/>
        <w:tblLayout w:type="fixed"/>
      </w:tblPr>
      <w:tblGrid>
        <w:gridCol w:w="3192"/>
        <w:gridCol w:w="3192"/>
        <w:gridCol w:w="3254"/>
      </w:tblGrid>
      <w:tr>
        <w:trPr>
          <w:trHeight w:val="1061"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20"/>
                <w:szCs w:val="20"/>
              </w:rPr>
            </w:pPr>
            <w:bookmarkStart w:id="1365" w:name="bookmark1365"/>
            <w:r>
              <w:rPr>
                <w:b/>
                <w:bCs/>
                <w:color w:val="000000"/>
                <w:spacing w:val="0"/>
                <w:w w:val="100"/>
                <w:position w:val="0"/>
                <w:sz w:val="20"/>
                <w:szCs w:val="20"/>
              </w:rPr>
              <w:t>34</w:t>
            </w:r>
            <w:r>
              <w:rPr>
                <w:rFonts w:ascii="SimSun" w:eastAsia="SimSun" w:hAnsi="SimSun" w:cs="SimSun"/>
                <w:b/>
                <w:bCs/>
                <w:color w:val="000000"/>
                <w:spacing w:val="0"/>
                <w:w w:val="100"/>
                <w:position w:val="0"/>
                <w:sz w:val="20"/>
                <w:szCs w:val="20"/>
              </w:rPr>
              <w:t>、应付票据</w:t>
            </w:r>
            <w:bookmarkEnd w:id="1365"/>
          </w:p>
        </w:tc>
        <w:tc>
          <w:tcPr>
            <w:gridSpan w:val="2"/>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66"/>
      <w:bookmarkEnd w:id="1367"/>
      <w:bookmarkEnd w:id="1369"/>
    </w:p>
    <w:p>
      <w:pPr>
        <w:pStyle w:val="Style40"/>
        <w:keepNext/>
        <w:keepLines/>
        <w:widowControl w:val="0"/>
        <w:numPr>
          <w:ilvl w:val="0"/>
          <w:numId w:val="65"/>
        </w:numPr>
        <w:shd w:val="clear" w:color="auto" w:fill="auto"/>
        <w:bidi w:val="0"/>
        <w:spacing w:before="0" w:after="360" w:line="240" w:lineRule="auto"/>
        <w:ind w:left="0" w:right="0" w:firstLine="14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应付账款列示</w:t>
      </w:r>
      <w:bookmarkEnd w:id="1370"/>
      <w:bookmarkEnd w:id="1371"/>
      <w:bookmarkEnd w:id="13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97,370,914.43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77,952,271.87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97,370,914.43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77,952,271.87</w:t>
            </w:r>
          </w:p>
        </w:tc>
      </w:tr>
    </w:tbl>
    <w:p>
      <w:pPr>
        <w:widowControl w:val="0"/>
        <w:spacing w:after="359" w:line="1" w:lineRule="exact"/>
      </w:pPr>
    </w:p>
    <w:p>
      <w:pPr>
        <w:pStyle w:val="Style40"/>
        <w:keepNext/>
        <w:keepLines/>
        <w:widowControl w:val="0"/>
        <w:numPr>
          <w:ilvl w:val="0"/>
          <w:numId w:val="65"/>
        </w:numPr>
        <w:shd w:val="clear" w:color="auto" w:fill="auto"/>
        <w:bidi w:val="0"/>
        <w:spacing w:before="0" w:after="360" w:line="240" w:lineRule="auto"/>
        <w:ind w:left="0" w:right="0" w:firstLine="14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4"/>
      <w:bookmarkEnd w:id="1375"/>
      <w:bookmarkEnd w:id="137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type w:val="continuous"/>
          <w:pgSz w:w="11900" w:h="16840"/>
          <w:pgMar w:top="1441" w:right="1107" w:bottom="1360" w:left="1107" w:header="0" w:footer="3" w:gutter="0"/>
          <w:cols w:space="720"/>
          <w:noEndnote/>
          <w:rtlGutter w:val="0"/>
          <w:docGrid w:linePitch="360"/>
        </w:sectPr>
      </w:pPr>
      <w:r>
        <mc:AlternateContent>
          <mc:Choice Requires="wps">
            <w:drawing>
              <wp:anchor distT="41275" distB="0" distL="0" distR="0" simplePos="0" relativeHeight="125829481" behindDoc="0" locked="0" layoutInCell="1" allowOverlap="1">
                <wp:simplePos x="0" y="0"/>
                <wp:positionH relativeFrom="page">
                  <wp:posOffset>1604645</wp:posOffset>
                </wp:positionH>
                <wp:positionV relativeFrom="paragraph">
                  <wp:posOffset>41275</wp:posOffset>
                </wp:positionV>
                <wp:extent cx="252730" cy="146050"/>
                <wp:wrapTopAndBottom/>
                <wp:docPr id="311" name="Shape 31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37" type="#_x0000_t202" style="position:absolute;margin-left:126.35000000000001pt;margin-top:3.25pt;width:19.900000000000002pt;height:11.5pt;z-index:-125829272;mso-wrap-distance-left:0;mso-wrap-distance-top:3.25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83" behindDoc="0" locked="0" layoutInCell="1" allowOverlap="1">
                <wp:simplePos x="0" y="0"/>
                <wp:positionH relativeFrom="page">
                  <wp:posOffset>3515995</wp:posOffset>
                </wp:positionH>
                <wp:positionV relativeFrom="paragraph">
                  <wp:posOffset>38100</wp:posOffset>
                </wp:positionV>
                <wp:extent cx="481330" cy="149225"/>
                <wp:wrapTopAndBottom/>
                <wp:docPr id="313" name="Shape 31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339" type="#_x0000_t202" style="position:absolute;margin-left:276.85000000000002pt;margin-top:3.pt;width:37.899999999999999pt;height:11.75pt;z-index:-125829270;mso-wrap-distance-left:0;mso-wrap-distance-top:3.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3175" distL="0" distR="0" simplePos="0" relativeHeight="125829485" behindDoc="0" locked="0" layoutInCell="1" allowOverlap="1">
                <wp:simplePos x="0" y="0"/>
                <wp:positionH relativeFrom="page">
                  <wp:posOffset>5259070</wp:posOffset>
                </wp:positionH>
                <wp:positionV relativeFrom="paragraph">
                  <wp:posOffset>38100</wp:posOffset>
                </wp:positionV>
                <wp:extent cx="1051560" cy="146050"/>
                <wp:wrapTopAndBottom/>
                <wp:docPr id="315" name="Shape 315"/>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wps:txbx>
                      <wps:bodyPr wrap="none" lIns="0" tIns="0" rIns="0" bIns="0">
                        <a:noAutoFit/>
                      </wps:bodyPr>
                    </wps:wsp>
                  </a:graphicData>
                </a:graphic>
              </wp:anchor>
            </w:drawing>
          </mc:Choice>
          <mc:Fallback>
            <w:pict>
              <v:shape id="_x0000_s1341" type="#_x0000_t202" style="position:absolute;margin-left:414.10000000000002pt;margin-top:3.pt;width:82.799999999999997pt;height:11.5pt;z-index:-125829268;mso-wrap-distance-left:0;mso-wrap-distance-top:3.pt;mso-wrap-distance-right:0;mso-wrap-distance-bottom:0.25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v:textbox>
                <w10:wrap type="topAndBottom" anchorx="page"/>
              </v:shape>
            </w:pict>
          </mc:Fallback>
        </mc:AlternateContent>
      </w:r>
    </w:p>
    <w:p>
      <w:pPr>
        <w:widowControl w:val="0"/>
        <w:spacing w:line="107" w:lineRule="exact"/>
        <w:rPr>
          <w:sz w:val="9"/>
          <w:szCs w:val="9"/>
        </w:rPr>
      </w:pPr>
    </w:p>
    <w:p>
      <w:pPr>
        <w:widowControl w:val="0"/>
        <w:spacing w:line="1" w:lineRule="exact"/>
        <w:sectPr>
          <w:footnotePr>
            <w:pos w:val="pageBottom"/>
            <w:numFmt w:val="decimal"/>
            <w:numRestart w:val="continuous"/>
          </w:footnotePr>
          <w:type w:val="continuous"/>
          <w:pgSz w:w="11900" w:h="16840"/>
          <w:pgMar w:top="1350" w:right="0" w:bottom="1787" w:left="0" w:header="0" w:footer="3" w:gutter="0"/>
          <w:cols w:space="720"/>
          <w:noEndnote/>
          <w:rtlGutter w:val="0"/>
          <w:docGrid w:linePitch="360"/>
        </w:sectPr>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78"/>
      <w:bookmarkEnd w:id="1379"/>
      <w:bookmarkEnd w:id="1381"/>
    </w:p>
    <w:p>
      <w:pPr>
        <w:pStyle w:val="Style40"/>
        <w:keepNext/>
        <w:keepLines/>
        <w:widowControl w:val="0"/>
        <w:numPr>
          <w:ilvl w:val="0"/>
          <w:numId w:val="67"/>
        </w:numPr>
        <w:shd w:val="clear" w:color="auto" w:fill="auto"/>
        <w:bidi w:val="0"/>
        <w:spacing w:before="0" w:after="360" w:line="240" w:lineRule="auto"/>
        <w:ind w:left="0" w:right="0" w:firstLine="14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预收款项列示</w:t>
      </w:r>
      <w:bookmarkEnd w:id="1382"/>
      <w:bookmarkEnd w:id="1383"/>
      <w:bookmarkEnd w:id="13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10,618,764.04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4,960,112.34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10,618,764.04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4,960,112.34</w:t>
            </w:r>
          </w:p>
        </w:tc>
      </w:tr>
    </w:tbl>
    <w:p>
      <w:pPr>
        <w:widowControl w:val="0"/>
        <w:spacing w:after="359" w:line="1" w:lineRule="exact"/>
      </w:pPr>
    </w:p>
    <w:p>
      <w:pPr>
        <w:pStyle w:val="Style40"/>
        <w:keepNext/>
        <w:keepLines/>
        <w:widowControl w:val="0"/>
        <w:numPr>
          <w:ilvl w:val="0"/>
          <w:numId w:val="67"/>
        </w:numPr>
        <w:shd w:val="clear" w:color="auto" w:fill="auto"/>
        <w:bidi w:val="0"/>
        <w:spacing w:before="0" w:after="360" w:line="240" w:lineRule="auto"/>
        <w:ind w:left="0" w:right="0" w:firstLine="14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6"/>
      <w:bookmarkEnd w:id="1387"/>
      <w:bookmarkEnd w:id="138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type w:val="continuous"/>
          <w:pgSz w:w="11900" w:h="16840"/>
          <w:pgMar w:top="1350" w:right="1109" w:bottom="1787" w:left="1104" w:header="0" w:footer="3" w:gutter="0"/>
          <w:cols w:space="720"/>
          <w:noEndnote/>
          <w:rtlGutter w:val="0"/>
          <w:docGrid w:linePitch="360"/>
        </w:sectPr>
      </w:pPr>
      <w:r>
        <mc:AlternateContent>
          <mc:Choice Requires="wps">
            <w:drawing>
              <wp:anchor distT="41275" distB="0" distL="0" distR="0" simplePos="0" relativeHeight="125829487" behindDoc="0" locked="0" layoutInCell="1" allowOverlap="1">
                <wp:simplePos x="0" y="0"/>
                <wp:positionH relativeFrom="page">
                  <wp:posOffset>1604645</wp:posOffset>
                </wp:positionH>
                <wp:positionV relativeFrom="paragraph">
                  <wp:posOffset>41275</wp:posOffset>
                </wp:positionV>
                <wp:extent cx="252730" cy="146050"/>
                <wp:wrapTopAndBottom/>
                <wp:docPr id="317" name="Shape 31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43" type="#_x0000_t202" style="position:absolute;margin-left:126.35000000000001pt;margin-top:3.25pt;width:19.900000000000002pt;height:11.5pt;z-index:-125829266;mso-wrap-distance-left:0;mso-wrap-distance-top:3.25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89" behindDoc="0" locked="0" layoutInCell="1" allowOverlap="1">
                <wp:simplePos x="0" y="0"/>
                <wp:positionH relativeFrom="page">
                  <wp:posOffset>3515995</wp:posOffset>
                </wp:positionH>
                <wp:positionV relativeFrom="paragraph">
                  <wp:posOffset>38100</wp:posOffset>
                </wp:positionV>
                <wp:extent cx="481330" cy="149225"/>
                <wp:wrapTopAndBottom/>
                <wp:docPr id="319" name="Shape 31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345" type="#_x0000_t202" style="position:absolute;margin-left:276.85000000000002pt;margin-top:3.pt;width:37.899999999999999pt;height:11.75pt;z-index:-125829264;mso-wrap-distance-left:0;mso-wrap-distance-top:3.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3175" distL="0" distR="0" simplePos="0" relativeHeight="125829491" behindDoc="0" locked="0" layoutInCell="1" allowOverlap="1">
                <wp:simplePos x="0" y="0"/>
                <wp:positionH relativeFrom="page">
                  <wp:posOffset>5259070</wp:posOffset>
                </wp:positionH>
                <wp:positionV relativeFrom="paragraph">
                  <wp:posOffset>38100</wp:posOffset>
                </wp:positionV>
                <wp:extent cx="1051560" cy="146050"/>
                <wp:wrapTopAndBottom/>
                <wp:docPr id="321" name="Shape 321"/>
                <a:graphic xmlns:a="http://schemas.openxmlformats.org/drawingml/2006/main">
                  <a:graphicData uri="http://schemas.microsoft.com/office/word/2010/wordprocessingShape">
                    <wps:wsp>
                      <wps:cNvSpPr txBox="1"/>
                      <wps:spPr>
                        <a:xfrm>
                          <a:ext cx="1051560" cy="146050"/>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wps:txbx>
                      <wps:bodyPr wrap="none" lIns="0" tIns="0" rIns="0" bIns="0">
                        <a:noAutoFit/>
                      </wps:bodyPr>
                    </wps:wsp>
                  </a:graphicData>
                </a:graphic>
              </wp:anchor>
            </w:drawing>
          </mc:Choice>
          <mc:Fallback>
            <w:pict>
              <v:shape id="_x0000_s1347" type="#_x0000_t202" style="position:absolute;margin-left:414.10000000000002pt;margin-top:3.pt;width:82.799999999999997pt;height:11.5pt;z-index:-125829262;mso-wrap-distance-left:0;mso-wrap-distance-top:3.pt;mso-wrap-distance-right:0;mso-wrap-distance-bottom:0.25pt;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未偿还或结转的原因</w:t>
                      </w:r>
                    </w:p>
                  </w:txbxContent>
                </v:textbox>
                <w10:wrap type="topAndBottom" anchorx="page"/>
              </v:shape>
            </w:pict>
          </mc:Fallback>
        </mc:AlternateContent>
      </w:r>
    </w:p>
    <w:p>
      <w:pPr>
        <w:widowControl w:val="0"/>
        <w:spacing w:before="45" w:after="4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6" w:right="0" w:bottom="1456" w:left="0" w:header="0" w:footer="3" w:gutter="0"/>
          <w:cols w:space="720"/>
          <w:noEndnote/>
          <w:rtlGutter w:val="0"/>
          <w:docGrid w:linePitch="360"/>
        </w:sectPr>
      </w:pPr>
    </w:p>
    <w:p>
      <w:pPr>
        <w:pStyle w:val="Style40"/>
        <w:keepNext/>
        <w:keepLines/>
        <w:widowControl w:val="0"/>
        <w:numPr>
          <w:ilvl w:val="0"/>
          <w:numId w:val="67"/>
        </w:numPr>
        <w:shd w:val="clear" w:color="auto" w:fill="auto"/>
        <w:bidi w:val="0"/>
        <w:spacing w:before="0" w:line="240" w:lineRule="auto"/>
        <w:ind w:left="0" w:right="0" w:firstLine="14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期末建造合同形成的已结算未完工项目情况</w:t>
      </w:r>
      <w:bookmarkEnd w:id="1390"/>
      <w:bookmarkEnd w:id="1391"/>
      <w:bookmarkEnd w:id="1393"/>
    </w:p>
    <w:p>
      <w:pPr>
        <w:pStyle w:val="Style2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p>
    <w:p>
      <w:pPr>
        <w:pStyle w:val="Style21"/>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0" w:right="0" w:firstLine="0"/>
        <w:jc w:val="center"/>
      </w:pPr>
      <w:r>
        <mc:AlternateContent>
          <mc:Choice Requires="wps">
            <w:drawing>
              <wp:anchor distT="0" distB="0" distL="114300" distR="114300" simplePos="0" relativeHeight="125829493" behindDoc="0" locked="0" layoutInCell="1" allowOverlap="1">
                <wp:simplePos x="0" y="0"/>
                <wp:positionH relativeFrom="page">
                  <wp:posOffset>2110740</wp:posOffset>
                </wp:positionH>
                <wp:positionV relativeFrom="paragraph">
                  <wp:posOffset>12700</wp:posOffset>
                </wp:positionV>
                <wp:extent cx="252730" cy="146050"/>
                <wp:wrapSquare wrapText="right"/>
                <wp:docPr id="323" name="Shape 323"/>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349" type="#_x0000_t202" style="position:absolute;margin-left:166.20000000000002pt;margin-top:1.pt;width:19.900000000000002pt;height:11.5pt;z-index:-125829260;mso-wrap-distance-left:9.pt;mso-wrap-distance-right:9.pt;mso-position-horizontal-relative:page" fillcolor="#D3D3D3" stroked="f">
                <v:textbox inset="0,0,0,0">
                  <w:txbxContent>
                    <w:p>
                      <w:pPr>
                        <w:pStyle w:val="Style2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金额</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4"/>
      <w:bookmarkEnd w:id="1395"/>
      <w:bookmarkEnd w:id="1397"/>
    </w:p>
    <w:p>
      <w:pPr>
        <w:pStyle w:val="Style40"/>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8"/>
      <w:bookmarkEnd w:id="1399"/>
      <w:bookmarkEnd w:id="140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20,012,595.12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151,113,986.31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144,870,305.21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26,256,276.22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10,848,996.90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10,838,483.12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10,513.78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20,012,595.12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161,962,983.21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155,708,788.33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26,266,790.00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01"/>
      <w:bookmarkEnd w:id="1402"/>
      <w:bookmarkEnd w:id="14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20,012,595.12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138,188,239.68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131,951,205.78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26,249,629.02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4,691,550.80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4,691,550.80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4,056,062.78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4,049,415.58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2,839,374.21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2,833,660.80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rPr>
                <w:sz w:val="17"/>
                <w:szCs w:val="17"/>
              </w:rPr>
            </w:pPr>
            <w:r>
              <w:rPr>
                <w:rFonts w:ascii="SimSun" w:eastAsia="SimSun" w:hAnsi="SimSun" w:cs="SimSun"/>
                <w:color w:val="000000"/>
                <w:spacing w:val="0"/>
                <w:w w:val="100"/>
                <w:position w:val="0"/>
                <w:sz w:val="17"/>
                <w:szCs w:val="17"/>
              </w:rPr>
              <w:t>工伤保险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582,634.64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582,288.79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rPr>
                <w:sz w:val="17"/>
                <w:szCs w:val="17"/>
              </w:rPr>
            </w:pPr>
            <w:r>
              <w:rPr>
                <w:rFonts w:ascii="SimSun" w:eastAsia="SimSun" w:hAnsi="SimSun" w:cs="SimSun"/>
                <w:color w:val="000000"/>
                <w:spacing w:val="0"/>
                <w:w w:val="100"/>
                <w:position w:val="0"/>
                <w:sz w:val="17"/>
                <w:szCs w:val="17"/>
              </w:rPr>
              <w:t>生育保险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634,053.93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633,465.99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2,650,329.80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2,650,329.80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1,126,446.05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1,126,446.05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401,357.20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401,357.20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20,012,595.12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151,113,986.31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144,870,305.21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26,256,276.22</w:t>
            </w:r>
          </w:p>
        </w:tc>
      </w:tr>
    </w:tbl>
    <w:p>
      <w:pPr>
        <w:widowControl w:val="0"/>
        <w:spacing w:after="319" w:line="1" w:lineRule="exact"/>
      </w:pPr>
    </w:p>
    <w:p>
      <w:pPr>
        <w:pStyle w:val="Style40"/>
        <w:keepNext/>
        <w:keepLines/>
        <w:widowControl w:val="0"/>
        <w:numPr>
          <w:ilvl w:val="0"/>
          <w:numId w:val="65"/>
        </w:numPr>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设定提存计划列示</w:t>
      </w:r>
      <w:bookmarkEnd w:id="1404"/>
      <w:bookmarkEnd w:id="1405"/>
      <w:bookmarkEnd w:id="1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10,041,500.02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10,031,816.28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807,496.88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806,666.84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10,848,996.90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10,838,483.12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10,513.78</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8"/>
      <w:bookmarkEnd w:id="1409"/>
      <w:bookmarkEnd w:id="14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2,457,270.72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4,155,285.36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8,218,539.83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3,951,808.98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487,159.00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298,670.96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141,060.91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313,232.21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579,838.67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443,540.79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152,362.98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152,363.07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163,810.35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109,206.91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104,497.11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12,159,095.65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9,692,415.74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12"/>
      <w:bookmarkEnd w:id="1413"/>
      <w:bookmarkEnd w:id="14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16"/>
      <w:bookmarkEnd w:id="1417"/>
      <w:bookmarkEnd w:id="14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20"/>
      <w:bookmarkEnd w:id="1421"/>
      <w:bookmarkEnd w:id="1423"/>
    </w:p>
    <w:p>
      <w:pPr>
        <w:pStyle w:val="Style40"/>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24"/>
      <w:bookmarkEnd w:id="1425"/>
      <w:bookmarkEnd w:id="142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6,221,262.61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3,794,839.68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6,240,217.51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3,796,980.25</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7"/>
      <w:bookmarkEnd w:id="1428"/>
      <w:bookmarkEnd w:id="14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30"/>
      <w:bookmarkEnd w:id="1431"/>
      <w:bookmarkEnd w:id="1433"/>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34"/>
      <w:bookmarkEnd w:id="1435"/>
      <w:bookmarkEnd w:id="143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38"/>
      <w:bookmarkEnd w:id="1439"/>
      <w:bookmarkEnd w:id="144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42"/>
      <w:bookmarkEnd w:id="1443"/>
      <w:bookmarkEnd w:id="1445"/>
    </w:p>
    <w:p>
      <w:pPr>
        <w:pStyle w:val="Style40"/>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46"/>
      <w:bookmarkEnd w:id="1447"/>
      <w:bookmarkEnd w:id="144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3,286,721.27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3,286,721.27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1"/>
        <w:keepNext w:val="0"/>
        <w:keepLines w:val="0"/>
        <w:widowControl w:val="0"/>
        <w:shd w:val="clear" w:color="auto" w:fill="auto"/>
        <w:bidi w:val="0"/>
        <w:spacing w:before="0" w:after="480" w:line="47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日，公司与中国银行中山分行签订了编号为中型</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GDX47644012060033</w:t>
      </w:r>
      <w:r>
        <w:rPr>
          <w:color w:val="000000"/>
          <w:spacing w:val="0"/>
          <w:w w:val="100"/>
          <w:position w:val="0"/>
        </w:rPr>
        <w:t xml:space="preserve">号的固定资产借款合同，借款最高额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万元，用于中山市火炬开发区东利村项目的建设，借款期限</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个月，利率为浮动利率，以中国人民银行公布施行的一至 五年（含五年）期贷款基准利率为准，截止本年末，公司在该借款合同项下实际借款额为</w:t>
      </w:r>
      <w:r>
        <w:rPr>
          <w:rFonts w:ascii="Times New Roman" w:eastAsia="Times New Roman" w:hAnsi="Times New Roman" w:cs="Times New Roman"/>
          <w:color w:val="000000"/>
          <w:spacing w:val="0"/>
          <w:w w:val="100"/>
          <w:position w:val="0"/>
          <w:sz w:val="18"/>
          <w:szCs w:val="18"/>
        </w:rPr>
        <w:t>3,286,721.27</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49"/>
      <w:bookmarkEnd w:id="1450"/>
      <w:bookmarkEnd w:id="1452"/>
    </w:p>
    <w:p>
      <w:pPr>
        <w:pStyle w:val="Style40"/>
        <w:keepNext/>
        <w:keepLines/>
        <w:widowControl w:val="0"/>
        <w:shd w:val="clear" w:color="auto" w:fill="auto"/>
        <w:bidi w:val="0"/>
        <w:spacing w:before="0" w:after="100" w:line="240" w:lineRule="auto"/>
        <w:ind w:left="0" w:right="0" w:firstLine="0"/>
        <w:jc w:val="both"/>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53"/>
      <w:bookmarkEnd w:id="1454"/>
      <w:bookmarkEnd w:id="1455"/>
    </w:p>
    <w:p>
      <w:pPr>
        <w:pStyle w:val="Style21"/>
        <w:keepNext w:val="0"/>
        <w:keepLines w:val="0"/>
        <w:widowControl w:val="0"/>
        <w:shd w:val="clear" w:color="auto" w:fill="auto"/>
        <w:bidi w:val="0"/>
        <w:spacing w:before="0" w:line="473" w:lineRule="exact"/>
        <w:ind w:left="88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56"/>
      <w:bookmarkEnd w:id="1457"/>
      <w:bookmarkEnd w:id="1459"/>
    </w:p>
    <w:p>
      <w:pPr>
        <w:pStyle w:val="Style21"/>
        <w:keepNext w:val="0"/>
        <w:keepLines w:val="0"/>
        <w:widowControl w:val="0"/>
        <w:shd w:val="clear" w:color="auto" w:fill="auto"/>
        <w:bidi w:val="0"/>
        <w:spacing w:before="0" w:after="380" w:line="240" w:lineRule="auto"/>
        <w:ind w:left="8860" w:right="0" w:firstLine="0"/>
        <w:jc w:val="left"/>
      </w:pPr>
      <w:r>
        <w:rPr>
          <w:color w:val="000000"/>
          <w:spacing w:val="0"/>
          <w:w w:val="100"/>
          <w:position w:val="0"/>
        </w:rPr>
        <w:t>单位： 元</w:t>
      </w:r>
    </w:p>
    <w:p>
      <w:pPr>
        <w:pStyle w:val="Style40"/>
        <w:keepNext/>
        <w:keepLines/>
        <w:widowControl w:val="0"/>
        <w:shd w:val="clear" w:color="auto" w:fill="auto"/>
        <w:tabs>
          <w:tab w:pos="493" w:val="left"/>
        </w:tabs>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60"/>
      <w:bookmarkEnd w:id="1461"/>
      <w:bookmarkEnd w:id="1463"/>
    </w:p>
    <w:p>
      <w:pPr>
        <w:pStyle w:val="Style40"/>
        <w:keepNext/>
        <w:keepLines/>
        <w:widowControl w:val="0"/>
        <w:shd w:val="clear" w:color="auto" w:fill="auto"/>
        <w:tabs>
          <w:tab w:pos="493"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64"/>
      <w:bookmarkEnd w:id="1465"/>
      <w:bookmarkEnd w:id="146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68"/>
      <w:bookmarkEnd w:id="1469"/>
      <w:bookmarkEnd w:id="1471"/>
    </w:p>
    <w:p>
      <w:pPr>
        <w:pStyle w:val="Style40"/>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72"/>
      <w:bookmarkEnd w:id="1473"/>
      <w:bookmarkEnd w:id="1474"/>
    </w:p>
    <w:p>
      <w:pPr>
        <w:pStyle w:val="Style21"/>
        <w:keepNext w:val="0"/>
        <w:keepLines w:val="0"/>
        <w:widowControl w:val="0"/>
        <w:shd w:val="clear" w:color="auto" w:fill="auto"/>
        <w:bidi w:val="0"/>
        <w:spacing w:before="0" w:line="240" w:lineRule="auto"/>
        <w:ind w:left="88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26" w:right="1106" w:bottom="1456" w:left="1104" w:header="0" w:footer="3" w:gutter="0"/>
          <w:cols w:space="720"/>
          <w:noEndnote/>
          <w:rtlGutter w:val="0"/>
          <w:docGrid w:linePitch="360"/>
        </w:sectPr>
      </w:pPr>
      <w:r>
        <w:rPr>
          <w:color w:val="000000"/>
          <w:spacing w:val="0"/>
          <w:w w:val="100"/>
          <w:position w:val="0"/>
        </w:rPr>
        <w:t>其他说明：</w:t>
      </w:r>
    </w:p>
    <w:p>
      <w:pPr>
        <w:pStyle w:val="Style59"/>
        <w:keepNext w:val="0"/>
        <w:keepLines w:val="0"/>
        <w:widowControl w:val="0"/>
        <w:shd w:val="clear" w:color="auto" w:fill="auto"/>
        <w:bidi w:val="0"/>
        <w:spacing w:before="0" w:after="200" w:line="240" w:lineRule="auto"/>
        <w:ind w:left="0" w:right="0" w:firstLine="140"/>
        <w:jc w:val="left"/>
      </w:pPr>
      <w:r>
        <w:rPr>
          <w:spacing w:val="0"/>
          <w:w w:val="100"/>
          <w:position w:val="0"/>
        </w:rPr>
        <w:t>材#乐心医疗</w:t>
      </w:r>
    </w:p>
    <w:p>
      <w:pPr>
        <w:pStyle w:val="Style33"/>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75"/>
      <w:bookmarkEnd w:id="1476"/>
      <w:bookmarkEnd w:id="1478"/>
    </w:p>
    <w:p>
      <w:pPr>
        <w:pStyle w:val="Style40"/>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79"/>
      <w:bookmarkEnd w:id="1480"/>
      <w:bookmarkEnd w:id="1481"/>
    </w:p>
    <w:p>
      <w:pPr>
        <w:pStyle w:val="Style21"/>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82"/>
      <w:bookmarkEnd w:id="1483"/>
      <w:bookmarkEnd w:id="148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85"/>
      <w:bookmarkEnd w:id="1486"/>
      <w:bookmarkEnd w:id="1488"/>
    </w:p>
    <w:p>
      <w:pPr>
        <w:pStyle w:val="Style21"/>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89"/>
      <w:bookmarkEnd w:id="1490"/>
      <w:bookmarkEnd w:id="1492"/>
    </w:p>
    <w:p>
      <w:pPr>
        <w:pStyle w:val="Style21"/>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93"/>
      <w:bookmarkEnd w:id="1494"/>
      <w:bookmarkEnd w:id="1496"/>
    </w:p>
    <w:p>
      <w:pPr>
        <w:pStyle w:val="Style21"/>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1"/>
        <w:keepNext w:val="0"/>
        <w:keepLines w:val="0"/>
        <w:widowControl w:val="0"/>
        <w:shd w:val="clear" w:color="auto" w:fill="auto"/>
        <w:bidi w:val="0"/>
        <w:spacing w:before="0" w:after="180" w:line="240" w:lineRule="auto"/>
        <w:ind w:left="884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932" w:right="1109" w:bottom="1201" w:left="1104"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 外收入金额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 收益相关</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97"/>
      <w:bookmarkEnd w:id="1498"/>
      <w:bookmarkEnd w:id="150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01"/>
      <w:bookmarkEnd w:id="1502"/>
      <w:bookmarkEnd w:id="15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80" w:line="470" w:lineRule="exact"/>
        <w:ind w:left="0" w:right="0" w:firstLine="380"/>
        <w:jc w:val="both"/>
      </w:pPr>
      <w:r>
        <w:rPr>
          <w:color w:val="000000"/>
          <w:spacing w:val="0"/>
          <w:w w:val="100"/>
          <w:position w:val="0"/>
        </w:rPr>
        <w:t>经中国证券监督管理委员会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日证监许可</w:t>
      </w:r>
      <w:r>
        <w:rPr>
          <w:color w:val="000000"/>
          <w:spacing w:val="0"/>
          <w:w w:val="100"/>
          <w:position w:val="0"/>
          <w:sz w:val="18"/>
          <w:szCs w:val="18"/>
        </w:rPr>
        <w:t xml:space="preserve">［2016］ </w:t>
      </w:r>
      <w:r>
        <w:rPr>
          <w:color w:val="000000"/>
          <w:spacing w:val="0"/>
          <w:w w:val="100"/>
          <w:position w:val="0"/>
          <w:sz w:val="18"/>
          <w:szCs w:val="18"/>
        </w:rPr>
        <w:t>2432</w:t>
      </w:r>
      <w:r>
        <w:rPr>
          <w:color w:val="000000"/>
          <w:spacing w:val="0"/>
          <w:w w:val="100"/>
          <w:position w:val="0"/>
        </w:rPr>
        <w:t>号文《关于核准广东乐心医疗电子股份有限公司首次 公开发行股票的批复》核准，公司采用公开发行方式发行人民币普通股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1,480</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元，上述 资金到位情况业经立信会计师事务所（特殊普通合伙）验证，并出具了信会师报字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712054</w:t>
      </w:r>
      <w:r>
        <w:rPr>
          <w:color w:val="000000"/>
          <w:spacing w:val="0"/>
          <w:w w:val="100"/>
          <w:position w:val="0"/>
        </w:rPr>
        <w:t>号验资报告。</w:t>
      </w:r>
    </w:p>
    <w:p>
      <w:pPr>
        <w:pStyle w:val="Style33"/>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04"/>
      <w:bookmarkEnd w:id="1505"/>
      <w:bookmarkEnd w:id="1507"/>
    </w:p>
    <w:p>
      <w:pPr>
        <w:pStyle w:val="Style40"/>
        <w:keepNext/>
        <w:keepLines/>
        <w:widowControl w:val="0"/>
        <w:shd w:val="clear" w:color="auto" w:fill="auto"/>
        <w:tabs>
          <w:tab w:pos="493" w:val="left"/>
        </w:tabs>
        <w:bidi w:val="0"/>
        <w:spacing w:before="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08"/>
      <w:bookmarkEnd w:id="1509"/>
      <w:bookmarkEnd w:id="1511"/>
    </w:p>
    <w:p>
      <w:pPr>
        <w:pStyle w:val="Style40"/>
        <w:keepNext/>
        <w:keepLines/>
        <w:widowControl w:val="0"/>
        <w:shd w:val="clear" w:color="auto" w:fill="auto"/>
        <w:tabs>
          <w:tab w:pos="493" w:val="left"/>
        </w:tabs>
        <w:bidi w:val="0"/>
        <w:spacing w:before="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12"/>
      <w:bookmarkEnd w:id="1513"/>
      <w:bookmarkEnd w:id="151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1"/>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16"/>
      <w:bookmarkEnd w:id="1517"/>
      <w:bookmarkEnd w:id="151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57,220,080.13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194,460,100.00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251,680,180.13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57,220,080.13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194,460,100.00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251,680,180.13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系公司</w:t>
      </w:r>
      <w:r>
        <w:rPr>
          <w:color w:val="000000"/>
          <w:spacing w:val="0"/>
          <w:w w:val="100"/>
          <w:position w:val="0"/>
          <w:sz w:val="18"/>
          <w:szCs w:val="18"/>
        </w:rPr>
        <w:t>2016</w:t>
      </w:r>
      <w:r>
        <w:rPr>
          <w:color w:val="000000"/>
          <w:spacing w:val="0"/>
          <w:w w:val="100"/>
          <w:position w:val="0"/>
        </w:rPr>
        <w:t>年首次公开发行人民币普通股</w:t>
      </w:r>
      <w:r>
        <w:rPr>
          <w:color w:val="000000"/>
          <w:spacing w:val="0"/>
          <w:w w:val="100"/>
          <w:position w:val="0"/>
          <w:sz w:val="18"/>
          <w:szCs w:val="18"/>
        </w:rPr>
        <w:t>（A</w:t>
      </w:r>
      <w:r>
        <w:rPr>
          <w:color w:val="000000"/>
          <w:spacing w:val="0"/>
          <w:w w:val="100"/>
          <w:position w:val="0"/>
        </w:rPr>
        <w:t>股）募集资金形成资本溢价</w:t>
      </w:r>
      <w:r>
        <w:rPr>
          <w:color w:val="000000"/>
          <w:spacing w:val="0"/>
          <w:w w:val="100"/>
          <w:position w:val="0"/>
          <w:sz w:val="18"/>
          <w:szCs w:val="18"/>
        </w:rPr>
        <w:t>194,460,100.00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20"/>
      <w:bookmarkEnd w:id="1521"/>
      <w:bookmarkEnd w:id="152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24"/>
      <w:bookmarkEnd w:id="1525"/>
      <w:bookmarkEnd w:id="15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本期所</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得税前</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入其他综合 收益当期转 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税后归</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属于少</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28,834.6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28,834.6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28,834.6</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28"/>
      <w:bookmarkEnd w:id="1529"/>
      <w:bookmarkEnd w:id="153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32"/>
      <w:bookmarkEnd w:id="1533"/>
      <w:bookmarkEnd w:id="153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13,809,232.19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23,159,945.07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13,809,232.19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9,350,712.88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23,159,945.07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3"/>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36"/>
      <w:bookmarkEnd w:id="1537"/>
      <w:bookmarkEnd w:id="15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109,400,845.75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77,772,558.68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109,400,845.75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77,772,558.68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80,520,708.66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50,188,819.66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9,350,712.88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4,257,412.59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8,281,754.00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14,303,120.00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172,289,087.53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109,400,845.75</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20" w:line="240" w:lineRule="auto"/>
        <w:ind w:left="0" w:right="0" w:firstLine="0"/>
        <w:jc w:val="left"/>
      </w:pPr>
      <w:bookmarkStart w:id="1540" w:name="bookmark1540"/>
      <w:r>
        <w:rPr>
          <w:rFonts w:ascii="Times New Roman" w:eastAsia="Times New Roman" w:hAnsi="Times New Roman" w:cs="Times New Roman"/>
          <w:color w:val="000000"/>
          <w:spacing w:val="0"/>
          <w:w w:val="100"/>
          <w:position w:val="0"/>
          <w:sz w:val="18"/>
          <w:szCs w:val="18"/>
        </w:rPr>
        <w:t>1</w:t>
      </w:r>
      <w:bookmarkEnd w:id="15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541" w:name="bookmark1541"/>
      <w:r>
        <w:rPr>
          <w:rFonts w:ascii="Times New Roman" w:eastAsia="Times New Roman" w:hAnsi="Times New Roman" w:cs="Times New Roman"/>
          <w:color w:val="000000"/>
          <w:spacing w:val="0"/>
          <w:w w:val="100"/>
          <w:position w:val="0"/>
          <w:sz w:val="18"/>
          <w:szCs w:val="18"/>
        </w:rPr>
        <w:t>2</w:t>
      </w:r>
      <w:bookmarkEnd w:id="15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542" w:name="bookmark1542"/>
      <w:r>
        <w:rPr>
          <w:rFonts w:ascii="Times New Roman" w:eastAsia="Times New Roman" w:hAnsi="Times New Roman" w:cs="Times New Roman"/>
          <w:color w:val="000000"/>
          <w:spacing w:val="0"/>
          <w:w w:val="100"/>
          <w:position w:val="0"/>
          <w:sz w:val="18"/>
          <w:szCs w:val="18"/>
        </w:rPr>
        <w:t>3</w:t>
      </w:r>
      <w:bookmarkEnd w:id="15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20" w:line="240" w:lineRule="auto"/>
        <w:ind w:left="0" w:right="0" w:firstLine="0"/>
        <w:jc w:val="left"/>
      </w:pPr>
      <w:bookmarkStart w:id="1543" w:name="bookmark1543"/>
      <w:r>
        <w:rPr>
          <w:rFonts w:ascii="Times New Roman" w:eastAsia="Times New Roman" w:hAnsi="Times New Roman" w:cs="Times New Roman"/>
          <w:color w:val="000000"/>
          <w:spacing w:val="0"/>
          <w:w w:val="100"/>
          <w:position w:val="0"/>
          <w:sz w:val="18"/>
          <w:szCs w:val="18"/>
        </w:rPr>
        <w:t>4</w:t>
      </w:r>
      <w:bookmarkEnd w:id="15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544" w:name="bookmark1544"/>
      <w:r>
        <w:rPr>
          <w:rFonts w:ascii="Times New Roman" w:eastAsia="Times New Roman" w:hAnsi="Times New Roman" w:cs="Times New Roman"/>
          <w:color w:val="000000"/>
          <w:spacing w:val="0"/>
          <w:w w:val="100"/>
          <w:position w:val="0"/>
          <w:sz w:val="18"/>
          <w:szCs w:val="18"/>
        </w:rPr>
        <w:t>5</w:t>
      </w:r>
      <w:bookmarkEnd w:id="15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45"/>
      <w:bookmarkEnd w:id="1546"/>
      <w:bookmarkEnd w:id="154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770,444,166.69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515,962,396.83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628,502,499.43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458,717,146.95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200,272.76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312,258.70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770,644,439.45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515,970,447.83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629,005,528.60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459,029,405.65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49"/>
      <w:bookmarkEnd w:id="1550"/>
      <w:bookmarkEnd w:id="15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2,520,412.45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2,032,962.70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1,169,028.37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1,069,973.79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148,043.85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587,506.98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779,352.27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713,315.86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w:t>
            </w:r>
          </w:p>
        </w:tc>
      </w:tr>
    </w:tbl>
    <w:p>
      <w:pPr>
        <w:spacing w:lineRule="exact" w:line="1"/>
        <w:rPr>
          <w:sz w:val="2"/>
          <w:szCs w:val="2"/>
        </w:rPr>
      </w:pPr>
      <w:r>
        <w:br w:type="page"/>
      </w:r>
    </w:p>
    <w:p>
      <w:pPr>
        <w:widowControl w:val="0"/>
        <w:spacing w:line="1" w:lineRule="exact"/>
      </w:pPr>
      <w:r>
        <mc:AlternateContent>
          <mc:Choice Requires="wps">
            <w:drawing>
              <wp:anchor distT="0" distB="38100" distL="0" distR="0" simplePos="0" relativeHeight="125829495" behindDoc="0" locked="0" layoutInCell="1" allowOverlap="1">
                <wp:simplePos x="0" y="0"/>
                <wp:positionH relativeFrom="page">
                  <wp:posOffset>768350</wp:posOffset>
                </wp:positionH>
                <wp:positionV relativeFrom="paragraph">
                  <wp:posOffset>0</wp:posOffset>
                </wp:positionV>
                <wp:extent cx="252730" cy="149225"/>
                <wp:wrapTopAndBottom/>
                <wp:docPr id="335" name="Shape 33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361" type="#_x0000_t202" style="position:absolute;margin-left:60.5pt;margin-top:0;width:19.900000000000002pt;height:11.75pt;z-index:-125829258;mso-wrap-distance-left:0;mso-wrap-distance-right:0;mso-wrap-distance-bottom: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3175" distB="40640" distL="0" distR="0" simplePos="0" relativeHeight="125829497" behindDoc="0" locked="0" layoutInCell="1" allowOverlap="1">
                <wp:simplePos x="0" y="0"/>
                <wp:positionH relativeFrom="page">
                  <wp:posOffset>4081780</wp:posOffset>
                </wp:positionH>
                <wp:positionV relativeFrom="paragraph">
                  <wp:posOffset>3175</wp:posOffset>
                </wp:positionV>
                <wp:extent cx="628015" cy="143510"/>
                <wp:wrapTopAndBottom/>
                <wp:docPr id="337" name="Shape 337"/>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7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5,250,262.20</w:t>
                            </w:r>
                          </w:p>
                        </w:txbxContent>
                      </wps:txbx>
                      <wps:bodyPr wrap="none" lIns="0" tIns="0" rIns="0" bIns="0">
                        <a:noAutoFit/>
                      </wps:bodyPr>
                    </wps:wsp>
                  </a:graphicData>
                </a:graphic>
              </wp:anchor>
            </w:drawing>
          </mc:Choice>
          <mc:Fallback>
            <w:pict>
              <v:shape id="_x0000_s1363" type="#_x0000_t202" style="position:absolute;margin-left:321.40000000000003pt;margin-top:0.25pt;width:49.450000000000003pt;height:11.300000000000001pt;z-index:-125829256;mso-wrap-distance-left:0;mso-wrap-distance-top:0.25pt;mso-wrap-distance-right:0;mso-wrap-distance-bottom:3.2000000000000002pt;mso-position-horizontal-relative:page" filled="f" stroked="f">
                <v:textbox inset="0,0,0,0">
                  <w:txbxContent>
                    <w:p>
                      <w:pPr>
                        <w:pStyle w:val="Style7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5,250,262.20</w:t>
                      </w:r>
                    </w:p>
                  </w:txbxContent>
                </v:textbox>
                <w10:wrap type="topAndBottom" anchorx="page"/>
              </v:shape>
            </w:pict>
          </mc:Fallback>
        </mc:AlternateContent>
      </w:r>
      <w:r>
        <mc:AlternateContent>
          <mc:Choice Requires="wps">
            <w:drawing>
              <wp:anchor distT="3175" distB="40640" distL="0" distR="0" simplePos="0" relativeHeight="125829499" behindDoc="0" locked="0" layoutInCell="1" allowOverlap="1">
                <wp:simplePos x="0" y="0"/>
                <wp:positionH relativeFrom="page">
                  <wp:posOffset>6108700</wp:posOffset>
                </wp:positionH>
                <wp:positionV relativeFrom="paragraph">
                  <wp:posOffset>3175</wp:posOffset>
                </wp:positionV>
                <wp:extent cx="624840" cy="143510"/>
                <wp:wrapTopAndBottom/>
                <wp:docPr id="339" name="Shape 339"/>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3,816,360.22</w:t>
                            </w:r>
                          </w:p>
                        </w:txbxContent>
                      </wps:txbx>
                      <wps:bodyPr wrap="none" lIns="0" tIns="0" rIns="0" bIns="0">
                        <a:noAutoFit/>
                      </wps:bodyPr>
                    </wps:wsp>
                  </a:graphicData>
                </a:graphic>
              </wp:anchor>
            </w:drawing>
          </mc:Choice>
          <mc:Fallback>
            <w:pict>
              <v:shape id="_x0000_s1365" type="#_x0000_t202" style="position:absolute;margin-left:481.pt;margin-top:0.25pt;width:49.200000000000003pt;height:11.300000000000001pt;z-index:-125829254;mso-wrap-distance-left:0;mso-wrap-distance-top:0.25pt;mso-wrap-distance-right:0;mso-wrap-distance-bottom:3.2000000000000002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3,816,360.22</w:t>
                      </w:r>
                    </w:p>
                  </w:txbxContent>
                </v:textbox>
                <w10:wrap type="topAndBottom" anchorx="page"/>
              </v:shape>
            </w:pict>
          </mc:Fallback>
        </mc:AlternateConten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53"/>
      <w:bookmarkEnd w:id="1554"/>
      <w:bookmarkEnd w:id="155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广告及市场推广费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28,864,398.50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18,325,499.99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运输及船务费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14,477,123.80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16,757,231.43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23,450,722.19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13,048,257.19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2,699,339.13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2,203,980.09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1,879,128.47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780,693.01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726,845.16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457,383.25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4,283,992.15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1,444,707.43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76,381,549.40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53,017,752.39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57"/>
      <w:bookmarkEnd w:id="1558"/>
      <w:bookmarkEnd w:id="15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59,345,845.35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37,540,008.35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员工薪酬及社保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19,247,231.07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14,711,926.90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折旧及资产摊销费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3,396,847.55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2,687,245.16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2,604,520.95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4,261,538.26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1,974,189.14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1,051,971.49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1,791,141.12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747,423.48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797,049.43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1,035,767.51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699,892.16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1,241,625.86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743,999.53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6,477,069.96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4,974,334.94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97,459,071.89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68,524,307.68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61"/>
      <w:bookmarkEnd w:id="1562"/>
      <w:bookmarkEnd w:id="1564"/>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1,046,435.00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1,346,293.58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-8,422,366.43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-3,283,529.95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-233,562.73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-9,571,302.44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-4,863,386.26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65"/>
      <w:bookmarkEnd w:id="1566"/>
      <w:bookmarkEnd w:id="15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1,605,277.39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1,480,634.43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1,105,966.88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1,979,944.94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69"/>
      <w:bookmarkEnd w:id="1570"/>
      <w:bookmarkEnd w:id="15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-2,602,320.00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 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-2,602,320.00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以公允价值计量且其变动计入当期损益的金融资产和金融负债系公司为规避汇率波动风险签订的远期外汇结算合约，在 资产负债表日根据资产负债表日汇率和远期外汇的公允价值计算公允价值变动收益。</w:t>
      </w:r>
    </w:p>
    <w:p>
      <w:pPr>
        <w:pStyle w:val="Style33"/>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73"/>
      <w:bookmarkEnd w:id="1574"/>
      <w:bookmarkEnd w:id="157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-499,310.51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-1,156,276.00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2,115,224.00</w:t>
            </w:r>
          </w:p>
        </w:tc>
      </w:tr>
      <w:tr>
        <w:trPr>
          <w:trHeight w:val="288"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益的金融资产取得的投资收益</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-1,406,760.66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2,027,945.00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77"/>
      <w:bookmarkEnd w:id="1578"/>
      <w:bookmarkEnd w:id="158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753,334.73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753,334.73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746,866.55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746,866.55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8,561,002.94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12,320,715.25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8,561,002.94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900,542.54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377,563.37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377,563.37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10,592,443.58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12,365,440.46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9,691,901.04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省外经贸 易扶持资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 方政府招 商引资等 地方性扶 持政策而 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出口信保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451,851.00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中山火炬 高技术产 业开发区 财政结算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企业开拓 国际市场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32,967.50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电子商务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互联网及 大数据专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总部企业 经营贡献 奖配套资 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动工建设 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 方政府招 商引资等 地方性扶 持政策而 获得的补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412,136.80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项目配套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工业与信 息化发展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贸易发展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经济发展 和科技信 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企业研究 开发省级 财政补助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科技发展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高企及培 育入库企 业配套资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经济发展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和科技信 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而获得的 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科技项目 区配套资 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企业转型 升级（机器 人专题）资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健康产业 专项发展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 家为保障 某种公用 事业或社 会必要产 品供应或 价格控制 职能而获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加工贸易 转型升级 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奖励上市 而给予的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产学研合 作项目专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扶持重点 产业发展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财政结算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724,993.25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上规上限 专项经费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129,662.00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科技创新 专项项目 和资金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外贸稳定 增长资金 拨付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90,469.00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外贸先进 企业开发 区补助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中山火炬 高技术产 业开发区 经济发展 和科技信 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广东省企 业研究开 发省级财 政补助资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1,065,500.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技术改造 专项资金 资助计划 总部企业 经营贡献 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火炬开发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5,749,800.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中山市商 务局省参 展项目金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中山市商 务局省参 展项目金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开发区财 政结算中 心补助款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火炬开发 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企业纳税 大户及优 秀管理团 队奖励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中山市民 众镇人民 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 方政府招 商引资等 地方性扶 持政策而 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创税奖励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中山市民 众镇人民 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 方政府招 商引资等 地方性扶 持政策而 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知识产权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中山市知 识产权局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国际科技 合作与创 新发展项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中山市商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72,593.00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企业转型 升级方向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广东省经 济和信息 化委广 东省财政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基于天河 二号的云 超算与大 数据创新 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广东省科 学技术厅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知识产权 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中山市知 识产权局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国际化项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开拓国际 市场事项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高新技术 产品资助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中山市科 学技术局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8,561,002.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12,320,715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7</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81"/>
      <w:bookmarkEnd w:id="1582"/>
      <w:bookmarkEnd w:id="158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170,120.43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183,309.69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170,120.43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170,120.43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183,309.69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170,120.43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351,532.27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245,112.10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351,532.27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18,610.39</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540,263.09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511,605.71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540,263.09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7</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85"/>
      <w:bookmarkEnd w:id="1586"/>
      <w:bookmarkEnd w:id="1588"/>
    </w:p>
    <w:p>
      <w:pPr>
        <w:pStyle w:val="Style40"/>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9"/>
      <w:bookmarkEnd w:id="1590"/>
      <w:bookmarkEnd w:id="15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14,147,940.13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9,088,658.87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-1,294,615.27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-496,874.80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12,853,324.86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8,591,784.07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2"/>
      <w:bookmarkEnd w:id="1593"/>
      <w:bookmarkEnd w:id="159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93,374,033.52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14,006,105.03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213,785.02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-262,023.85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581,507.58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-288,535.03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4,172,681.35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-5,635,855.56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12,853,324.86</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7</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95"/>
      <w:bookmarkEnd w:id="1596"/>
      <w:bookmarkEnd w:id="1598"/>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详见附注七第</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项。</w:t>
      </w:r>
    </w:p>
    <w:p>
      <w:pPr>
        <w:pStyle w:val="Style33"/>
        <w:keepNext/>
        <w:keepLines/>
        <w:widowControl w:val="0"/>
        <w:shd w:val="clear" w:color="auto" w:fill="auto"/>
        <w:tabs>
          <w:tab w:pos="478"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99"/>
      <w:bookmarkEnd w:id="1600"/>
      <w:bookmarkEnd w:id="1602"/>
    </w:p>
    <w:p>
      <w:pPr>
        <w:pStyle w:val="Style40"/>
        <w:keepNext/>
        <w:keepLines/>
        <w:widowControl w:val="0"/>
        <w:shd w:val="clear" w:color="auto" w:fill="auto"/>
        <w:bidi w:val="0"/>
        <w:spacing w:before="0" w:after="36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3"/>
      <w:bookmarkEnd w:id="1604"/>
      <w:bookmarkEnd w:id="1605"/>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1,046,435.00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1,346,293.58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8,561,002.94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12,320,715.25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41,713.72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10,145,046.69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13,708,722.55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6"/>
      <w:bookmarkEnd w:id="1607"/>
      <w:bookmarkEnd w:id="16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1,466,549.30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2,279,462.83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52,138,322.00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39,969,495.20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30,900,763.35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23,834,126.46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906,747.58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85,412,382.23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66,106,815.05</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9"/>
      <w:bookmarkEnd w:id="1610"/>
      <w:bookmarkEnd w:id="161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3"/>
      <w:bookmarkEnd w:id="1614"/>
      <w:bookmarkEnd w:id="161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 期损益的金融资产的损失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1,156,276.00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1,156,276.00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17"/>
      <w:bookmarkEnd w:id="1618"/>
      <w:bookmarkEnd w:id="162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40"/>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w:t>
      </w:r>
      <w:bookmarkEnd w:id="162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1"/>
      <w:bookmarkEnd w:id="1622"/>
      <w:bookmarkEnd w:id="162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新股发行相关费用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22,063,900.00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22,063,900.00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25"/>
      <w:bookmarkEnd w:id="1626"/>
      <w:bookmarkEnd w:id="1628"/>
    </w:p>
    <w:p>
      <w:pPr>
        <w:pStyle w:val="Style40"/>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9"/>
      <w:bookmarkEnd w:id="1630"/>
      <w:bookmarkEnd w:id="163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80,520,708.66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50,188,819.66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1,105,966.88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1,979,944.94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固定资产折旧、油气资产折耗、生产性 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4,646,355.39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2,912,768.49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1,314,672.39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517,470.66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 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183,309.69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固定资产报废损失（收益以“一”号填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公允价值变动损失（收益以“一”号填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2,602,320.00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-3,966,209.30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1,406,760.66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-2,027,945.00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递延所得税资产减少（增加以“一”号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-1,294,615.27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-16,337.31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递延所得税负债增加（减少以“一”号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-480,537.50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-35,594,498.76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-10,019,932.54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经营性应收项目的减少（增加以“一”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-16,312,889.91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-30,358,821.24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经营性应付项目的增加（减少以“一” 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46,646,994.01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20,495,759.13</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78,177,014.52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35,967,834.96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319,902,598.40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90,221,420.33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90,221,420.33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98,697,730.96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229,681,178.07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-8,476,310.63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32"/>
      <w:bookmarkEnd w:id="1633"/>
      <w:bookmarkEnd w:id="16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35"/>
      <w:bookmarkEnd w:id="1636"/>
      <w:bookmarkEnd w:id="163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39"/>
      <w:bookmarkEnd w:id="1640"/>
      <w:bookmarkEnd w:id="1642"/>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319,902,598.40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90,221,420.33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319,902,598.40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90,220,920.33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319,902,598.40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90,221,420.33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22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643"/>
      <w:bookmarkEnd w:id="1644"/>
      <w:bookmarkEnd w:id="1646"/>
    </w:p>
    <w:p>
      <w:pPr>
        <w:pStyle w:val="Style21"/>
        <w:keepNext w:val="0"/>
        <w:keepLines w:val="0"/>
        <w:widowControl w:val="0"/>
        <w:shd w:val="clear" w:color="auto" w:fill="auto"/>
        <w:bidi w:val="0"/>
        <w:spacing w:before="0" w:after="380" w:line="360" w:lineRule="exact"/>
        <w:ind w:left="0" w:right="0" w:firstLine="0"/>
        <w:jc w:val="both"/>
      </w:pPr>
      <w:r>
        <w:rPr>
          <w:color w:val="000000"/>
          <w:spacing w:val="0"/>
          <w:w w:val="100"/>
          <w:position w:val="0"/>
        </w:rPr>
        <w:t>说明对上年期末余额进行调整的“其他”项目名称及调整金额等事项: 无</w:t>
      </w:r>
    </w:p>
    <w:p>
      <w:pPr>
        <w:pStyle w:val="Style33"/>
        <w:keepNext/>
        <w:keepLines/>
        <w:widowControl w:val="0"/>
        <w:shd w:val="clear" w:color="auto" w:fill="auto"/>
        <w:bidi w:val="0"/>
        <w:spacing w:before="0" w:after="38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647"/>
      <w:bookmarkEnd w:id="1648"/>
      <w:bookmarkEnd w:id="16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8,311,883.00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8,311,883.00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60" w:line="47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日，本公司与中国银行中山分行签订了编号为中型</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GDY476440120160033</w:t>
      </w:r>
      <w:r>
        <w:rPr>
          <w:color w:val="000000"/>
          <w:spacing w:val="0"/>
          <w:w w:val="100"/>
          <w:position w:val="0"/>
        </w:rPr>
        <w:t>号的最高额抵押合同，将位于中 山市火炬开发区东利村的土地使用权抵押给中国银行（土地面积</w:t>
      </w:r>
      <w:r>
        <w:rPr>
          <w:rFonts w:ascii="Times New Roman" w:eastAsia="Times New Roman" w:hAnsi="Times New Roman" w:cs="Times New Roman"/>
          <w:color w:val="000000"/>
          <w:spacing w:val="0"/>
          <w:w w:val="100"/>
          <w:position w:val="0"/>
          <w:sz w:val="18"/>
          <w:szCs w:val="18"/>
        </w:rPr>
        <w:t>10,410.10</w:t>
      </w:r>
      <w:r>
        <w:rPr>
          <w:color w:val="000000"/>
          <w:spacing w:val="0"/>
          <w:w w:val="100"/>
          <w:position w:val="0"/>
        </w:rPr>
        <w:t>平方米，证号为“中府国用（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）第易</w:t>
      </w:r>
      <w:r>
        <w:rPr>
          <w:rFonts w:ascii="Times New Roman" w:eastAsia="Times New Roman" w:hAnsi="Times New Roman" w:cs="Times New Roman"/>
          <w:color w:val="000000"/>
          <w:spacing w:val="0"/>
          <w:w w:val="100"/>
          <w:position w:val="0"/>
          <w:sz w:val="18"/>
          <w:szCs w:val="18"/>
        </w:rPr>
        <w:t xml:space="preserve">1507063 </w:t>
      </w:r>
      <w:r>
        <w:rPr>
          <w:color w:val="000000"/>
          <w:spacing w:val="0"/>
          <w:w w:val="100"/>
          <w:position w:val="0"/>
        </w:rPr>
        <w:t>号"）。</w:t>
      </w:r>
    </w:p>
    <w:p>
      <w:pPr>
        <w:pStyle w:val="Style33"/>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51"/>
      <w:bookmarkEnd w:id="1652"/>
      <w:bookmarkEnd w:id="1654"/>
    </w:p>
    <w:p>
      <w:pPr>
        <w:pStyle w:val="Style40"/>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5"/>
      <w:bookmarkEnd w:id="1656"/>
      <w:bookmarkEnd w:id="16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10,329,775.26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71,657,650.98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11,821,442.14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82,005,344.80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5,525,728.54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25,967.34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40"/>
        <w:keepNext/>
        <w:keepLines/>
        <w:widowControl w:val="0"/>
        <w:shd w:val="clear" w:color="auto" w:fill="auto"/>
        <w:bidi w:val="0"/>
        <w:spacing w:before="0" w:line="317" w:lineRule="exact"/>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8"/>
      <w:bookmarkEnd w:id="1659"/>
      <w:bookmarkEnd w:id="1660"/>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5"/>
        <w:gridCol w:w="1925"/>
        <w:gridCol w:w="2165"/>
        <w:gridCol w:w="2678"/>
      </w:tblGrid>
      <w:tr>
        <w:trPr>
          <w:trHeight w:val="5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选择依据</w:t>
            </w:r>
          </w:p>
        </w:tc>
      </w:tr>
    </w:tbl>
    <w:p>
      <w:pPr>
        <w:widowControl w:val="0"/>
        <w:spacing w:line="1" w:lineRule="exact"/>
      </w:pPr>
    </w:p>
    <w:tbl>
      <w:tblPr>
        <w:tblOverlap w:val="never"/>
        <w:jc w:val="center"/>
        <w:tblLayout w:type="fixed"/>
      </w:tblPr>
      <w:tblGrid>
        <w:gridCol w:w="2405"/>
        <w:gridCol w:w="1925"/>
        <w:gridCol w:w="2165"/>
        <w:gridCol w:w="2678"/>
      </w:tblGrid>
      <w:tr>
        <w:trPr>
          <w:trHeight w:val="5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记账本位币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选择依据</w:t>
            </w:r>
          </w:p>
        </w:tc>
      </w:tr>
      <w:tr>
        <w:trPr>
          <w:trHeight w:val="5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Lifesense Health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所属地主要币种</w:t>
            </w:r>
          </w:p>
        </w:tc>
      </w:tr>
      <w:tr>
        <w:trPr>
          <w:trHeight w:val="5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香港创源有限公司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tabs>
          <w:tab w:pos="478" w:val="left"/>
        </w:tabs>
        <w:bidi w:val="0"/>
        <w:spacing w:before="0" w:after="24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61"/>
      <w:bookmarkEnd w:id="1662"/>
      <w:bookmarkEnd w:id="1664"/>
    </w:p>
    <w:p>
      <w:pPr>
        <w:pStyle w:val="Style2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按照套期类别披露套期项目及相关套期工具、被套期风险的定性和定量信息: 无</w:t>
      </w:r>
    </w:p>
    <w:p>
      <w:pPr>
        <w:pStyle w:val="Style33"/>
        <w:keepNext/>
        <w:keepLines/>
        <w:widowControl w:val="0"/>
        <w:shd w:val="clear" w:color="auto" w:fill="auto"/>
        <w:tabs>
          <w:tab w:pos="478" w:val="left"/>
        </w:tabs>
        <w:bidi w:val="0"/>
        <w:spacing w:before="0" w:after="24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65"/>
      <w:bookmarkEnd w:id="1666"/>
      <w:bookmarkEnd w:id="1668"/>
    </w:p>
    <w:p>
      <w:pPr>
        <w:pStyle w:val="Style2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八</w:t>
      </w:r>
      <w:bookmarkEnd w:id="1671"/>
      <w:r>
        <w:rPr>
          <w:color w:val="000000"/>
          <w:spacing w:val="0"/>
          <w:w w:val="100"/>
          <w:position w:val="0"/>
        </w:rPr>
        <w:t>、合并范围的变更</w:t>
      </w:r>
      <w:bookmarkEnd w:id="1669"/>
      <w:bookmarkEnd w:id="1670"/>
      <w:bookmarkEnd w:id="1672"/>
    </w:p>
    <w:p>
      <w:pPr>
        <w:pStyle w:val="Style33"/>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73"/>
      <w:bookmarkEnd w:id="1674"/>
      <w:bookmarkEnd w:id="1675"/>
    </w:p>
    <w:p>
      <w:pPr>
        <w:pStyle w:val="Style40"/>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76"/>
      <w:bookmarkEnd w:id="1677"/>
      <w:bookmarkEnd w:id="16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购买日至</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期末被购</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期末被购</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买方的收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买方的净</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79"/>
      <w:bookmarkEnd w:id="1680"/>
      <w:bookmarkEnd w:id="168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82"/>
      <w:bookmarkEnd w:id="1683"/>
      <w:bookmarkEnd w:id="168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445" w:right="1116" w:bottom="1466" w:left="1093" w:header="0" w:footer="3" w:gutter="0"/>
          <w:cols w:space="720"/>
          <w:noEndnote/>
          <w:rtlGutter w:val="0"/>
          <w:docGrid w:linePitch="360"/>
        </w:sectPr>
      </w:pPr>
    </w:p>
    <w:p>
      <w:pPr>
        <w:pStyle w:val="Style59"/>
        <w:keepNext w:val="0"/>
        <w:keepLines w:val="0"/>
        <w:widowControl w:val="0"/>
        <w:shd w:val="clear" w:color="auto" w:fill="auto"/>
        <w:bidi w:val="0"/>
        <w:spacing w:before="0" w:after="240" w:line="240" w:lineRule="auto"/>
        <w:ind w:left="0" w:right="0"/>
        <w:jc w:val="left"/>
      </w:pPr>
      <w:r>
        <w:rPr>
          <w:spacing w:val="0"/>
          <w:w w:val="100"/>
          <w:position w:val="0"/>
        </w:rPr>
        <w:t>材#乐心医疗</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69"/>
        </w:numPr>
        <w:shd w:val="clear" w:color="auto" w:fill="auto"/>
        <w:tabs>
          <w:tab w:pos="493"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购买日之前持有的股权按照公允价值重新计量产生的利得或损失</w:t>
      </w:r>
      <w:bookmarkEnd w:id="1686"/>
      <w:bookmarkEnd w:id="1687"/>
      <w:bookmarkEnd w:id="16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40"/>
        <w:keepNext/>
        <w:keepLines/>
        <w:widowControl w:val="0"/>
        <w:numPr>
          <w:ilvl w:val="0"/>
          <w:numId w:val="69"/>
        </w:numPr>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 xml:space="preserve"> 购买日或合并当期期末无法合理确定合并对价或被购买方可辨认资产、负债公允价值的相关说明</w:t>
      </w:r>
      <w:bookmarkEnd w:id="1690"/>
      <w:bookmarkEnd w:id="1691"/>
      <w:bookmarkEnd w:id="1693"/>
    </w:p>
    <w:p>
      <w:pPr>
        <w:pStyle w:val="Style40"/>
        <w:keepNext/>
        <w:keepLines/>
        <w:widowControl w:val="0"/>
        <w:numPr>
          <w:ilvl w:val="0"/>
          <w:numId w:val="69"/>
        </w:numPr>
        <w:shd w:val="clear" w:color="auto" w:fill="auto"/>
        <w:tabs>
          <w:tab w:pos="493" w:val="left"/>
        </w:tabs>
        <w:bidi w:val="0"/>
        <w:spacing w:before="0" w:line="240" w:lineRule="auto"/>
        <w:ind w:left="0" w:right="0" w:firstLine="0"/>
        <w:jc w:val="left"/>
      </w:pPr>
      <w:bookmarkStart w:id="1690" w:name="bookmark1690"/>
      <w:bookmarkStart w:id="1691" w:name="bookmark1691"/>
      <w:bookmarkStart w:id="1694" w:name="bookmark1694"/>
      <w:bookmarkStart w:id="1695" w:name="bookmark1695"/>
      <w:bookmarkEnd w:id="1694"/>
      <w:r>
        <w:rPr>
          <w:color w:val="000000"/>
          <w:spacing w:val="0"/>
          <w:w w:val="100"/>
          <w:position w:val="0"/>
        </w:rPr>
        <w:t>其他说明</w:t>
      </w:r>
      <w:bookmarkEnd w:id="1690"/>
      <w:bookmarkEnd w:id="1691"/>
      <w:bookmarkEnd w:id="1695"/>
    </w:p>
    <w:p>
      <w:pPr>
        <w:pStyle w:val="Style33"/>
        <w:keepNext/>
        <w:keepLines/>
        <w:widowControl w:val="0"/>
        <w:shd w:val="clear" w:color="auto" w:fill="auto"/>
        <w:bidi w:val="0"/>
        <w:spacing w:before="0" w:after="380" w:line="240" w:lineRule="auto"/>
        <w:ind w:left="0" w:right="0" w:firstLine="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96"/>
      <w:bookmarkEnd w:id="1697"/>
      <w:bookmarkEnd w:id="1698"/>
    </w:p>
    <w:p>
      <w:pPr>
        <w:pStyle w:val="Style40"/>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99"/>
      <w:bookmarkEnd w:id="1700"/>
      <w:bookmarkEnd w:id="170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rPr>
                <w:sz w:val="17"/>
                <w:szCs w:val="17"/>
              </w:rPr>
            </w:pPr>
            <w:r>
              <w:rPr>
                <w:rFonts w:ascii="SimSun" w:eastAsia="SimSun" w:hAnsi="SimSun" w:cs="SimSun"/>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60" w:right="0" w:firstLine="0"/>
              <w:jc w:val="left"/>
              <w:rPr>
                <w:sz w:val="17"/>
                <w:szCs w:val="17"/>
              </w:rPr>
            </w:pPr>
            <w:r>
              <w:rPr>
                <w:rFonts w:ascii="SimSun" w:eastAsia="SimSun" w:hAnsi="SimSun" w:cs="SimSun"/>
                <w:color w:val="000000"/>
                <w:spacing w:val="0"/>
                <w:w w:val="100"/>
                <w:position w:val="0"/>
                <w:sz w:val="17"/>
                <w:szCs w:val="17"/>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 期初至合 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比较期间 被合并方 的净利润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02"/>
      <w:bookmarkEnd w:id="1703"/>
      <w:bookmarkEnd w:id="170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71"/>
        </w:numPr>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合并日被合并方资产、负债的账面价值</w:t>
      </w:r>
      <w:bookmarkEnd w:id="1705"/>
      <w:bookmarkEnd w:id="1706"/>
      <w:bookmarkEnd w:id="170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30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932" w:right="1109" w:bottom="1201" w:left="1104"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、反向购买</w:t>
      </w:r>
      <w:bookmarkEnd w:id="1709"/>
      <w:bookmarkEnd w:id="1710"/>
      <w:bookmarkEnd w:id="171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w:t>
        <w:tab/>
        <w:t>处置子公司</w:t>
      </w:r>
      <w:bookmarkEnd w:id="1713"/>
      <w:bookmarkEnd w:id="1714"/>
      <w:bookmarkEnd w:id="171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w:t>
        <w:tab/>
        <w:t>其他原因的合并范围变动</w:t>
      </w:r>
      <w:bookmarkEnd w:id="1717"/>
      <w:bookmarkEnd w:id="1718"/>
      <w:bookmarkEnd w:id="172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本期通过设立或投资等方式取得的子公司</w:t>
      </w:r>
    </w:p>
    <w:p>
      <w:pPr>
        <w:widowControl w:val="0"/>
        <w:spacing w:line="1" w:lineRule="exact"/>
      </w:pPr>
      <w:r>
        <mc:AlternateContent>
          <mc:Choice Requires="wps">
            <w:drawing>
              <wp:anchor distT="514350" distB="2059940" distL="0" distR="0" simplePos="0" relativeHeight="125829501" behindDoc="0" locked="0" layoutInCell="1" allowOverlap="1">
                <wp:simplePos x="0" y="0"/>
                <wp:positionH relativeFrom="page">
                  <wp:posOffset>800100</wp:posOffset>
                </wp:positionH>
                <wp:positionV relativeFrom="paragraph">
                  <wp:posOffset>514350</wp:posOffset>
                </wp:positionV>
                <wp:extent cx="323215" cy="292735"/>
                <wp:wrapTopAndBottom/>
                <wp:docPr id="361" name="Shape 361"/>
                <a:graphic xmlns:a="http://schemas.openxmlformats.org/drawingml/2006/main">
                  <a:graphicData uri="http://schemas.microsoft.com/office/word/2010/wordprocessingShape">
                    <wps:wsp>
                      <wps:cNvSpPr txBox="1"/>
                      <wps:spPr>
                        <a:xfrm>
                          <a:ext cx="323215" cy="29273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亍公司</w:t>
                            </w:r>
                          </w:p>
                          <w:p>
                            <w:pPr>
                              <w:pStyle w:val="Style88"/>
                              <w:keepNext w:val="0"/>
                              <w:keepLines w:val="0"/>
                              <w:widowControl w:val="0"/>
                              <w:shd w:val="clear" w:color="auto" w:fill="auto"/>
                              <w:bidi w:val="0"/>
                              <w:spacing w:before="0" w:after="0" w:line="204" w:lineRule="auto"/>
                              <w:ind w:left="0" w:right="0" w:firstLine="0"/>
                              <w:jc w:val="left"/>
                            </w:pPr>
                            <w:r>
                              <w:rPr>
                                <w:color w:val="302C50"/>
                                <w:spacing w:val="0"/>
                                <w:w w:val="100"/>
                                <w:position w:val="0"/>
                              </w:rPr>
                              <w:t>全祢</w:t>
                            </w:r>
                          </w:p>
                        </w:txbxContent>
                      </wps:txbx>
                      <wps:bodyPr lIns="0" tIns="0" rIns="0" bIns="0">
                        <a:noAutoFit/>
                      </wps:bodyPr>
                    </wps:wsp>
                  </a:graphicData>
                </a:graphic>
              </wp:anchor>
            </w:drawing>
          </mc:Choice>
          <mc:Fallback>
            <w:pict>
              <v:shape id="_x0000_s1387" type="#_x0000_t202" style="position:absolute;margin-left:63.pt;margin-top:40.5pt;width:25.449999999999999pt;height:23.050000000000001pt;z-index:-125829252;mso-wrap-distance-left:0;mso-wrap-distance-top:40.5pt;mso-wrap-distance-right:0;mso-wrap-distance-bottom:162.20000000000002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亍公司</w:t>
                      </w:r>
                    </w:p>
                    <w:p>
                      <w:pPr>
                        <w:pStyle w:val="Style88"/>
                        <w:keepNext w:val="0"/>
                        <w:keepLines w:val="0"/>
                        <w:widowControl w:val="0"/>
                        <w:shd w:val="clear" w:color="auto" w:fill="auto"/>
                        <w:bidi w:val="0"/>
                        <w:spacing w:before="0" w:after="0" w:line="204" w:lineRule="auto"/>
                        <w:ind w:left="0" w:right="0" w:firstLine="0"/>
                        <w:jc w:val="left"/>
                      </w:pPr>
                      <w:r>
                        <w:rPr>
                          <w:color w:val="302C50"/>
                          <w:spacing w:val="0"/>
                          <w:w w:val="100"/>
                          <w:position w:val="0"/>
                        </w:rPr>
                        <w:t>全祢</w:t>
                      </w:r>
                    </w:p>
                  </w:txbxContent>
                </v:textbox>
                <w10:wrap type="topAndBottom" anchorx="page"/>
              </v:shape>
            </w:pict>
          </mc:Fallback>
        </mc:AlternateContent>
      </w:r>
      <w:r>
        <mc:AlternateContent>
          <mc:Choice Requires="wps">
            <w:drawing>
              <wp:anchor distT="453390" distB="1993265" distL="0" distR="0" simplePos="0" relativeHeight="125829503" behindDoc="0" locked="0" layoutInCell="1" allowOverlap="1">
                <wp:simplePos x="0" y="0"/>
                <wp:positionH relativeFrom="page">
                  <wp:posOffset>1315720</wp:posOffset>
                </wp:positionH>
                <wp:positionV relativeFrom="paragraph">
                  <wp:posOffset>453390</wp:posOffset>
                </wp:positionV>
                <wp:extent cx="237490" cy="420370"/>
                <wp:wrapTopAndBottom/>
                <wp:docPr id="363" name="Shape 363"/>
                <a:graphic xmlns:a="http://schemas.openxmlformats.org/drawingml/2006/main">
                  <a:graphicData uri="http://schemas.microsoft.com/office/word/2010/wordprocessingShape">
                    <wps:wsp>
                      <wps:cNvSpPr txBox="1"/>
                      <wps:spPr>
                        <a:xfrm>
                          <a:ext cx="237490" cy="420370"/>
                        </a:xfrm>
                        <a:prstGeom prst="rect"/>
                        <a:noFill/>
                      </wps:spPr>
                      <wps:txbx>
                        <w:txbxContent>
                          <w:p>
                            <w:pPr>
                              <w:pStyle w:val="Style88"/>
                              <w:keepNext w:val="0"/>
                              <w:keepLines w:val="0"/>
                              <w:widowControl w:val="0"/>
                              <w:shd w:val="clear" w:color="auto" w:fill="auto"/>
                              <w:bidi w:val="0"/>
                              <w:spacing w:before="0" w:after="0"/>
                              <w:ind w:left="0" w:right="0" w:firstLine="0"/>
                              <w:jc w:val="center"/>
                            </w:pPr>
                            <w:r>
                              <w:rPr>
                                <w:spacing w:val="0"/>
                                <w:w w:val="100"/>
                                <w:position w:val="0"/>
                              </w:rPr>
                              <w:t>于公</w:t>
                            </w:r>
                            <w:r>
                              <w:rPr>
                                <w:rFonts w:ascii="Arial" w:eastAsia="Arial" w:hAnsi="Arial" w:cs="Arial"/>
                                <w:spacing w:val="0"/>
                                <w:w w:val="100"/>
                                <w:position w:val="0"/>
                              </w:rPr>
                              <w:br/>
                            </w:r>
                            <w:r>
                              <w:rPr>
                                <w:spacing w:val="0"/>
                                <w:w w:val="100"/>
                                <w:position w:val="0"/>
                              </w:rPr>
                              <w:t>司类</w:t>
                            </w:r>
                            <w:r>
                              <w:rPr>
                                <w:rFonts w:ascii="Arial" w:eastAsia="Arial" w:hAnsi="Arial" w:cs="Arial"/>
                                <w:spacing w:val="0"/>
                                <w:w w:val="100"/>
                                <w:position w:val="0"/>
                              </w:rPr>
                              <w:br/>
                            </w:r>
                            <w:r>
                              <w:rPr>
                                <w:spacing w:val="0"/>
                                <w:w w:val="100"/>
                                <w:position w:val="0"/>
                              </w:rPr>
                              <w:t>型</w:t>
                            </w:r>
                          </w:p>
                        </w:txbxContent>
                      </wps:txbx>
                      <wps:bodyPr lIns="0" tIns="0" rIns="0" bIns="0">
                        <a:noAutoFit/>
                      </wps:bodyPr>
                    </wps:wsp>
                  </a:graphicData>
                </a:graphic>
              </wp:anchor>
            </w:drawing>
          </mc:Choice>
          <mc:Fallback>
            <w:pict>
              <v:shape id="_x0000_s1389" type="#_x0000_t202" style="position:absolute;margin-left:103.60000000000001pt;margin-top:35.700000000000003pt;width:18.699999999999999pt;height:33.100000000000001pt;z-index:-125829250;mso-wrap-distance-left:0;mso-wrap-distance-top:35.700000000000003pt;mso-wrap-distance-right:0;mso-wrap-distance-bottom:156.95000000000002pt;mso-position-horizontal-relative:page" filled="f" stroked="f">
                <v:textbox inset="0,0,0,0">
                  <w:txbxContent>
                    <w:p>
                      <w:pPr>
                        <w:pStyle w:val="Style88"/>
                        <w:keepNext w:val="0"/>
                        <w:keepLines w:val="0"/>
                        <w:widowControl w:val="0"/>
                        <w:shd w:val="clear" w:color="auto" w:fill="auto"/>
                        <w:bidi w:val="0"/>
                        <w:spacing w:before="0" w:after="0"/>
                        <w:ind w:left="0" w:right="0" w:firstLine="0"/>
                        <w:jc w:val="center"/>
                      </w:pPr>
                      <w:r>
                        <w:rPr>
                          <w:spacing w:val="0"/>
                          <w:w w:val="100"/>
                          <w:position w:val="0"/>
                        </w:rPr>
                        <w:t>于公</w:t>
                      </w:r>
                      <w:r>
                        <w:rPr>
                          <w:rFonts w:ascii="Arial" w:eastAsia="Arial" w:hAnsi="Arial" w:cs="Arial"/>
                          <w:spacing w:val="0"/>
                          <w:w w:val="100"/>
                          <w:position w:val="0"/>
                        </w:rPr>
                        <w:br/>
                      </w:r>
                      <w:r>
                        <w:rPr>
                          <w:spacing w:val="0"/>
                          <w:w w:val="100"/>
                          <w:position w:val="0"/>
                        </w:rPr>
                        <w:t>司类</w:t>
                      </w:r>
                      <w:r>
                        <w:rPr>
                          <w:rFonts w:ascii="Arial" w:eastAsia="Arial" w:hAnsi="Arial" w:cs="Arial"/>
                          <w:spacing w:val="0"/>
                          <w:w w:val="100"/>
                          <w:position w:val="0"/>
                        </w:rPr>
                        <w:br/>
                      </w:r>
                      <w:r>
                        <w:rPr>
                          <w:spacing w:val="0"/>
                          <w:w w:val="100"/>
                          <w:position w:val="0"/>
                        </w:rPr>
                        <w:t>型</w:t>
                      </w:r>
                    </w:p>
                  </w:txbxContent>
                </v:textbox>
                <w10:wrap type="topAndBottom" anchorx="page"/>
              </v:shape>
            </w:pict>
          </mc:Fallback>
        </mc:AlternateContent>
      </w:r>
      <w:r>
        <w:drawing>
          <wp:anchor distT="1285240" distB="965835" distL="0" distR="0" simplePos="0" relativeHeight="125829505" behindDoc="0" locked="0" layoutInCell="1" allowOverlap="1">
            <wp:simplePos x="0" y="0"/>
            <wp:positionH relativeFrom="page">
              <wp:posOffset>715010</wp:posOffset>
            </wp:positionH>
            <wp:positionV relativeFrom="paragraph">
              <wp:posOffset>1285240</wp:posOffset>
            </wp:positionV>
            <wp:extent cx="847090" cy="615950"/>
            <wp:wrapTopAndBottom/>
            <wp:docPr id="365" name="Shape 365"/>
            <a:graphic xmlns:a="http://schemas.openxmlformats.org/drawingml/2006/main">
              <a:graphicData uri="http://schemas.openxmlformats.org/drawingml/2006/picture">
                <pic:pic xmlns:pic="http://schemas.openxmlformats.org/drawingml/2006/picture">
                  <pic:nvPicPr>
                    <pic:cNvPr id="366" name="Picture box 366"/>
                    <pic:cNvPicPr/>
                  </pic:nvPicPr>
                  <pic:blipFill>
                    <a:blip r:embed="rId103"/>
                    <a:stretch/>
                  </pic:blipFill>
                  <pic:spPr>
                    <a:xfrm>
                      <a:ext cx="847090" cy="615950"/>
                    </a:xfrm>
                    <a:prstGeom prst="rect"/>
                  </pic:spPr>
                </pic:pic>
              </a:graphicData>
            </a:graphic>
          </wp:anchor>
        </w:drawing>
      </w:r>
      <w:r>
        <mc:AlternateContent>
          <mc:Choice Requires="wps">
            <w:drawing>
              <wp:anchor distT="2141855" distB="320040" distL="0" distR="0" simplePos="0" relativeHeight="125829506" behindDoc="0" locked="0" layoutInCell="1" allowOverlap="1">
                <wp:simplePos x="0" y="0"/>
                <wp:positionH relativeFrom="page">
                  <wp:posOffset>772795</wp:posOffset>
                </wp:positionH>
                <wp:positionV relativeFrom="paragraph">
                  <wp:posOffset>2141855</wp:posOffset>
                </wp:positionV>
                <wp:extent cx="389890" cy="405130"/>
                <wp:wrapTopAndBottom/>
                <wp:docPr id="367" name="Shape 367"/>
                <a:graphic xmlns:a="http://schemas.openxmlformats.org/drawingml/2006/main">
                  <a:graphicData uri="http://schemas.microsoft.com/office/word/2010/wordprocessingShape">
                    <wps:wsp>
                      <wps:cNvSpPr txBox="1"/>
                      <wps:spPr>
                        <a:xfrm>
                          <a:ext cx="389890" cy="405130"/>
                        </a:xfrm>
                        <a:prstGeom prst="rect"/>
                        <a:noFill/>
                      </wps:spPr>
                      <wps:txbx>
                        <w:txbxContent>
                          <w:p>
                            <w:pPr>
                              <w:pStyle w:val="Style88"/>
                              <w:keepNext w:val="0"/>
                              <w:keepLines w:val="0"/>
                              <w:widowControl w:val="0"/>
                              <w:shd w:val="clear" w:color="auto" w:fill="auto"/>
                              <w:bidi w:val="0"/>
                              <w:spacing w:before="0" w:after="0" w:line="209" w:lineRule="exact"/>
                              <w:ind w:left="0" w:right="0" w:firstLine="0"/>
                              <w:jc w:val="both"/>
                              <w:rPr>
                                <w:sz w:val="16"/>
                                <w:szCs w:val="16"/>
                              </w:rPr>
                            </w:pPr>
                            <w:r>
                              <w:rPr>
                                <w:spacing w:val="0"/>
                                <w:w w:val="100"/>
                                <w:position w:val="0"/>
                                <w:sz w:val="18"/>
                                <w:szCs w:val="18"/>
                              </w:rPr>
                              <w:t>香港创</w:t>
                            </w:r>
                            <w:r>
                              <w:rPr>
                                <w:rFonts w:ascii="Arial" w:eastAsia="Arial" w:hAnsi="Arial" w:cs="Arial"/>
                                <w:spacing w:val="0"/>
                                <w:w w:val="100"/>
                                <w:position w:val="0"/>
                                <w:sz w:val="18"/>
                                <w:szCs w:val="18"/>
                              </w:rPr>
                              <w:t xml:space="preserve"> </w:t>
                            </w:r>
                            <w:r>
                              <w:rPr>
                                <w:spacing w:val="0"/>
                                <w:w w:val="100"/>
                                <w:position w:val="0"/>
                                <w:sz w:val="18"/>
                                <w:szCs w:val="18"/>
                              </w:rPr>
                              <w:t>源有限</w:t>
                            </w:r>
                            <w:r>
                              <w:rPr>
                                <w:rFonts w:ascii="Arial" w:eastAsia="Arial" w:hAnsi="Arial" w:cs="Arial"/>
                                <w:spacing w:val="0"/>
                                <w:w w:val="100"/>
                                <w:position w:val="0"/>
                                <w:sz w:val="18"/>
                                <w:szCs w:val="18"/>
                              </w:rPr>
                              <w:t xml:space="preserve"> </w:t>
                            </w:r>
                            <w:r>
                              <w:rPr>
                                <w:rFonts w:ascii="SimHei" w:eastAsia="SimHei" w:hAnsi="SimHei" w:cs="SimHei"/>
                                <w:i/>
                                <w:iCs/>
                                <w:spacing w:val="0"/>
                                <w:w w:val="100"/>
                                <w:position w:val="0"/>
                                <w:sz w:val="16"/>
                                <w:szCs w:val="16"/>
                              </w:rPr>
                              <w:t>公司</w:t>
                            </w:r>
                          </w:p>
                        </w:txbxContent>
                      </wps:txbx>
                      <wps:bodyPr lIns="0" tIns="0" rIns="0" bIns="0">
                        <a:noAutoFit/>
                      </wps:bodyPr>
                    </wps:wsp>
                  </a:graphicData>
                </a:graphic>
              </wp:anchor>
            </w:drawing>
          </mc:Choice>
          <mc:Fallback>
            <w:pict>
              <v:shape id="_x0000_s1393" type="#_x0000_t202" style="position:absolute;margin-left:60.850000000000001pt;margin-top:168.65000000000001pt;width:30.699999999999999pt;height:31.900000000000002pt;z-index:-125829247;mso-wrap-distance-left:0;mso-wrap-distance-top:168.65000000000001pt;mso-wrap-distance-right:0;mso-wrap-distance-bottom:25.199999999999999pt;mso-position-horizontal-relative:page" filled="f" stroked="f">
                <v:textbox inset="0,0,0,0">
                  <w:txbxContent>
                    <w:p>
                      <w:pPr>
                        <w:pStyle w:val="Style88"/>
                        <w:keepNext w:val="0"/>
                        <w:keepLines w:val="0"/>
                        <w:widowControl w:val="0"/>
                        <w:shd w:val="clear" w:color="auto" w:fill="auto"/>
                        <w:bidi w:val="0"/>
                        <w:spacing w:before="0" w:after="0" w:line="209" w:lineRule="exact"/>
                        <w:ind w:left="0" w:right="0" w:firstLine="0"/>
                        <w:jc w:val="both"/>
                        <w:rPr>
                          <w:sz w:val="16"/>
                          <w:szCs w:val="16"/>
                        </w:rPr>
                      </w:pPr>
                      <w:r>
                        <w:rPr>
                          <w:spacing w:val="0"/>
                          <w:w w:val="100"/>
                          <w:position w:val="0"/>
                          <w:sz w:val="18"/>
                          <w:szCs w:val="18"/>
                        </w:rPr>
                        <w:t>香港创</w:t>
                      </w:r>
                      <w:r>
                        <w:rPr>
                          <w:rFonts w:ascii="Arial" w:eastAsia="Arial" w:hAnsi="Arial" w:cs="Arial"/>
                          <w:spacing w:val="0"/>
                          <w:w w:val="100"/>
                          <w:position w:val="0"/>
                          <w:sz w:val="18"/>
                          <w:szCs w:val="18"/>
                        </w:rPr>
                        <w:t xml:space="preserve"> </w:t>
                      </w:r>
                      <w:r>
                        <w:rPr>
                          <w:spacing w:val="0"/>
                          <w:w w:val="100"/>
                          <w:position w:val="0"/>
                          <w:sz w:val="18"/>
                          <w:szCs w:val="18"/>
                        </w:rPr>
                        <w:t>源有限</w:t>
                      </w:r>
                      <w:r>
                        <w:rPr>
                          <w:rFonts w:ascii="Arial" w:eastAsia="Arial" w:hAnsi="Arial" w:cs="Arial"/>
                          <w:spacing w:val="0"/>
                          <w:w w:val="100"/>
                          <w:position w:val="0"/>
                          <w:sz w:val="18"/>
                          <w:szCs w:val="18"/>
                        </w:rPr>
                        <w:t xml:space="preserve"> </w:t>
                      </w:r>
                      <w:r>
                        <w:rPr>
                          <w:rFonts w:ascii="SimHei" w:eastAsia="SimHei" w:hAnsi="SimHei" w:cs="SimHei"/>
                          <w:i/>
                          <w:iCs/>
                          <w:spacing w:val="0"/>
                          <w:w w:val="100"/>
                          <w:position w:val="0"/>
                          <w:sz w:val="16"/>
                          <w:szCs w:val="16"/>
                        </w:rPr>
                        <w:t>公司</w:t>
                      </w:r>
                    </w:p>
                  </w:txbxContent>
                </v:textbox>
                <w10:wrap type="topAndBottom" anchorx="page"/>
              </v:shape>
            </w:pict>
          </mc:Fallback>
        </mc:AlternateContent>
      </w:r>
      <w:r>
        <mc:AlternateContent>
          <mc:Choice Requires="wps">
            <w:drawing>
              <wp:anchor distT="2205990" distB="374650" distL="0" distR="0" simplePos="0" relativeHeight="125829508" behindDoc="0" locked="0" layoutInCell="1" allowOverlap="1">
                <wp:simplePos x="0" y="0"/>
                <wp:positionH relativeFrom="page">
                  <wp:posOffset>1315720</wp:posOffset>
                </wp:positionH>
                <wp:positionV relativeFrom="paragraph">
                  <wp:posOffset>2205990</wp:posOffset>
                </wp:positionV>
                <wp:extent cx="231775" cy="286385"/>
                <wp:wrapTopAndBottom/>
                <wp:docPr id="369" name="Shape 369"/>
                <a:graphic xmlns:a="http://schemas.openxmlformats.org/drawingml/2006/main">
                  <a:graphicData uri="http://schemas.microsoft.com/office/word/2010/wordprocessingShape">
                    <wps:wsp>
                      <wps:cNvSpPr txBox="1"/>
                      <wps:spPr>
                        <a:xfrm>
                          <a:ext cx="231775" cy="286385"/>
                        </a:xfrm>
                        <a:prstGeom prst="rect"/>
                        <a:noFill/>
                      </wps:spPr>
                      <wps:txbx>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境外</w:t>
                            </w:r>
                            <w:r>
                              <w:rPr>
                                <w:rFonts w:ascii="Arial" w:eastAsia="Arial" w:hAnsi="Arial" w:cs="Arial"/>
                                <w:spacing w:val="0"/>
                                <w:w w:val="100"/>
                                <w:position w:val="0"/>
                              </w:rPr>
                              <w:t xml:space="preserve"> </w:t>
                            </w:r>
                            <w:r>
                              <w:rPr>
                                <w:spacing w:val="0"/>
                                <w:w w:val="100"/>
                                <w:position w:val="0"/>
                              </w:rPr>
                              <w:t>公司</w:t>
                            </w:r>
                          </w:p>
                        </w:txbxContent>
                      </wps:txbx>
                      <wps:bodyPr lIns="0" tIns="0" rIns="0" bIns="0">
                        <a:noAutoFit/>
                      </wps:bodyPr>
                    </wps:wsp>
                  </a:graphicData>
                </a:graphic>
              </wp:anchor>
            </w:drawing>
          </mc:Choice>
          <mc:Fallback>
            <w:pict>
              <v:shape id="_x0000_s1395" type="#_x0000_t202" style="position:absolute;margin-left:103.60000000000001pt;margin-top:173.70000000000002pt;width:18.25pt;height:22.550000000000001pt;z-index:-125829245;mso-wrap-distance-left:0;mso-wrap-distance-top:173.70000000000002pt;mso-wrap-distance-right:0;mso-wrap-distance-bottom:29.5pt;mso-position-horizontal-relative:page" filled="f" stroked="f">
                <v:textbox inset="0,0,0,0">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境外</w:t>
                      </w:r>
                      <w:r>
                        <w:rPr>
                          <w:rFonts w:ascii="Arial" w:eastAsia="Arial" w:hAnsi="Arial" w:cs="Arial"/>
                          <w:spacing w:val="0"/>
                          <w:w w:val="100"/>
                          <w:position w:val="0"/>
                        </w:rPr>
                        <w:t xml:space="preserve"> </w:t>
                      </w:r>
                      <w:r>
                        <w:rPr>
                          <w:spacing w:val="0"/>
                          <w:w w:val="100"/>
                          <w:position w:val="0"/>
                        </w:rPr>
                        <w:t>公司</w:t>
                      </w:r>
                    </w:p>
                  </w:txbxContent>
                </v:textbox>
                <w10:wrap type="topAndBottom" anchorx="page"/>
              </v:shape>
            </w:pict>
          </mc:Fallback>
        </mc:AlternateContent>
      </w:r>
      <w:r>
        <mc:AlternateContent>
          <mc:Choice Requires="wps">
            <w:drawing>
              <wp:anchor distT="520065" distB="2060575" distL="0" distR="0" simplePos="0" relativeHeight="125829510" behindDoc="0" locked="0" layoutInCell="1" allowOverlap="1">
                <wp:simplePos x="0" y="0"/>
                <wp:positionH relativeFrom="page">
                  <wp:posOffset>2001520</wp:posOffset>
                </wp:positionH>
                <wp:positionV relativeFrom="paragraph">
                  <wp:posOffset>520065</wp:posOffset>
                </wp:positionV>
                <wp:extent cx="247015" cy="286385"/>
                <wp:wrapTopAndBottom/>
                <wp:docPr id="371" name="Shape 371"/>
                <a:graphic xmlns:a="http://schemas.openxmlformats.org/drawingml/2006/main">
                  <a:graphicData uri="http://schemas.microsoft.com/office/word/2010/wordprocessingShape">
                    <wps:wsp>
                      <wps:cNvSpPr txBox="1"/>
                      <wps:spPr>
                        <a:xfrm>
                          <a:ext cx="247015" cy="286385"/>
                        </a:xfrm>
                        <a:prstGeom prst="rect"/>
                        <a:noFill/>
                      </wps:spPr>
                      <wps:txbx>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业务</w:t>
                            </w:r>
                            <w:r>
                              <w:rPr>
                                <w:rFonts w:ascii="Arial" w:eastAsia="Arial" w:hAnsi="Arial" w:cs="Arial"/>
                                <w:spacing w:val="0"/>
                                <w:w w:val="100"/>
                                <w:position w:val="0"/>
                              </w:rPr>
                              <w:t xml:space="preserve"> </w:t>
                            </w:r>
                            <w:r>
                              <w:rPr>
                                <w:spacing w:val="0"/>
                                <w:w w:val="100"/>
                                <w:position w:val="0"/>
                              </w:rPr>
                              <w:t>性质</w:t>
                            </w:r>
                          </w:p>
                        </w:txbxContent>
                      </wps:txbx>
                      <wps:bodyPr lIns="0" tIns="0" rIns="0" bIns="0">
                        <a:noAutoFit/>
                      </wps:bodyPr>
                    </wps:wsp>
                  </a:graphicData>
                </a:graphic>
              </wp:anchor>
            </w:drawing>
          </mc:Choice>
          <mc:Fallback>
            <w:pict>
              <v:shape id="_x0000_s1397" type="#_x0000_t202" style="position:absolute;margin-left:157.59999999999999pt;margin-top:40.950000000000003pt;width:19.449999999999999pt;height:22.550000000000001pt;z-index:-125829243;mso-wrap-distance-left:0;mso-wrap-distance-top:40.950000000000003pt;mso-wrap-distance-right:0;mso-wrap-distance-bottom:162.25pt;mso-position-horizontal-relative:page" filled="f" stroked="f">
                <v:textbox inset="0,0,0,0">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业务</w:t>
                      </w:r>
                      <w:r>
                        <w:rPr>
                          <w:rFonts w:ascii="Arial" w:eastAsia="Arial" w:hAnsi="Arial" w:cs="Arial"/>
                          <w:spacing w:val="0"/>
                          <w:w w:val="100"/>
                          <w:position w:val="0"/>
                        </w:rPr>
                        <w:t xml:space="preserve"> </w:t>
                      </w:r>
                      <w:r>
                        <w:rPr>
                          <w:spacing w:val="0"/>
                          <w:w w:val="100"/>
                          <w:position w:val="0"/>
                        </w:rPr>
                        <w:t>性质</w:t>
                      </w:r>
                    </w:p>
                  </w:txbxContent>
                </v:textbox>
                <w10:wrap type="topAndBottom" anchorx="page"/>
              </v:shape>
            </w:pict>
          </mc:Fallback>
        </mc:AlternateContent>
      </w:r>
      <w:r>
        <w:drawing>
          <wp:anchor distT="1486535" distB="1234440" distL="0" distR="0" simplePos="0" relativeHeight="125829512" behindDoc="0" locked="0" layoutInCell="1" allowOverlap="1">
            <wp:simplePos x="0" y="0"/>
            <wp:positionH relativeFrom="page">
              <wp:posOffset>1995170</wp:posOffset>
            </wp:positionH>
            <wp:positionV relativeFrom="paragraph">
              <wp:posOffset>1486535</wp:posOffset>
            </wp:positionV>
            <wp:extent cx="262255" cy="146050"/>
            <wp:wrapTopAndBottom/>
            <wp:docPr id="373" name="Shape 373"/>
            <a:graphic xmlns:a="http://schemas.openxmlformats.org/drawingml/2006/main">
              <a:graphicData uri="http://schemas.openxmlformats.org/drawingml/2006/picture">
                <pic:pic xmlns:pic="http://schemas.openxmlformats.org/drawingml/2006/picture">
                  <pic:nvPicPr>
                    <pic:cNvPr id="374" name="Picture box 374"/>
                    <pic:cNvPicPr/>
                  </pic:nvPicPr>
                  <pic:blipFill>
                    <a:blip r:embed="rId105"/>
                    <a:stretch/>
                  </pic:blipFill>
                  <pic:spPr>
                    <a:xfrm>
                      <a:ext cx="262255" cy="146050"/>
                    </a:xfrm>
                    <a:prstGeom prst="rect"/>
                  </pic:spPr>
                </pic:pic>
              </a:graphicData>
            </a:graphic>
          </wp:anchor>
        </w:drawing>
      </w:r>
      <w:r>
        <mc:AlternateContent>
          <mc:Choice Requires="wps">
            <w:drawing>
              <wp:anchor distT="520065" distB="2060575" distL="0" distR="0" simplePos="0" relativeHeight="125829513" behindDoc="0" locked="0" layoutInCell="1" allowOverlap="1">
                <wp:simplePos x="0" y="0"/>
                <wp:positionH relativeFrom="page">
                  <wp:posOffset>2413000</wp:posOffset>
                </wp:positionH>
                <wp:positionV relativeFrom="paragraph">
                  <wp:posOffset>520065</wp:posOffset>
                </wp:positionV>
                <wp:extent cx="234950" cy="286385"/>
                <wp:wrapTopAndBottom/>
                <wp:docPr id="375" name="Shape 375"/>
                <a:graphic xmlns:a="http://schemas.openxmlformats.org/drawingml/2006/main">
                  <a:graphicData uri="http://schemas.microsoft.com/office/word/2010/wordprocessingShape">
                    <wps:wsp>
                      <wps:cNvSpPr txBox="1"/>
                      <wps:spPr>
                        <a:xfrm>
                          <a:ext cx="234950" cy="286385"/>
                        </a:xfrm>
                        <a:prstGeom prst="rect"/>
                        <a:noFill/>
                      </wps:spPr>
                      <wps:txbx>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注册</w:t>
                            </w:r>
                            <w:r>
                              <w:rPr>
                                <w:rFonts w:ascii="Arial" w:eastAsia="Arial" w:hAnsi="Arial" w:cs="Arial"/>
                                <w:spacing w:val="0"/>
                                <w:w w:val="100"/>
                                <w:position w:val="0"/>
                              </w:rPr>
                              <w:t xml:space="preserve"> </w:t>
                            </w:r>
                            <w:r>
                              <w:rPr>
                                <w:spacing w:val="0"/>
                                <w:w w:val="100"/>
                                <w:position w:val="0"/>
                              </w:rPr>
                              <w:t>率本</w:t>
                            </w:r>
                          </w:p>
                        </w:txbxContent>
                      </wps:txbx>
                      <wps:bodyPr lIns="0" tIns="0" rIns="0" bIns="0">
                        <a:noAutoFit/>
                      </wps:bodyPr>
                    </wps:wsp>
                  </a:graphicData>
                </a:graphic>
              </wp:anchor>
            </w:drawing>
          </mc:Choice>
          <mc:Fallback>
            <w:pict>
              <v:shape id="_x0000_s1401" type="#_x0000_t202" style="position:absolute;margin-left:190.pt;margin-top:40.950000000000003pt;width:18.5pt;height:22.550000000000001pt;z-index:-125829240;mso-wrap-distance-left:0;mso-wrap-distance-top:40.950000000000003pt;mso-wrap-distance-right:0;mso-wrap-distance-bottom:162.25pt;mso-position-horizontal-relative:page" filled="f" stroked="f">
                <v:textbox inset="0,0,0,0">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注册</w:t>
                      </w:r>
                      <w:r>
                        <w:rPr>
                          <w:rFonts w:ascii="Arial" w:eastAsia="Arial" w:hAnsi="Arial" w:cs="Arial"/>
                          <w:spacing w:val="0"/>
                          <w:w w:val="100"/>
                          <w:position w:val="0"/>
                        </w:rPr>
                        <w:t xml:space="preserve"> </w:t>
                      </w:r>
                      <w:r>
                        <w:rPr>
                          <w:spacing w:val="0"/>
                          <w:w w:val="100"/>
                          <w:position w:val="0"/>
                        </w:rPr>
                        <w:t>率本</w:t>
                      </w:r>
                    </w:p>
                  </w:txbxContent>
                </v:textbox>
                <w10:wrap type="topAndBottom" anchorx="page"/>
              </v:shape>
            </w:pict>
          </mc:Fallback>
        </mc:AlternateContent>
      </w:r>
      <w:r>
        <mc:AlternateContent>
          <mc:Choice Requires="wps">
            <w:drawing>
              <wp:anchor distT="1443990" distB="1155065" distL="0" distR="0" simplePos="0" relativeHeight="125829515" behindDoc="0" locked="0" layoutInCell="1" allowOverlap="1">
                <wp:simplePos x="0" y="0"/>
                <wp:positionH relativeFrom="page">
                  <wp:posOffset>2403475</wp:posOffset>
                </wp:positionH>
                <wp:positionV relativeFrom="paragraph">
                  <wp:posOffset>1443990</wp:posOffset>
                </wp:positionV>
                <wp:extent cx="252730" cy="267970"/>
                <wp:wrapTopAndBottom/>
                <wp:docPr id="377" name="Shape 377"/>
                <a:graphic xmlns:a="http://schemas.openxmlformats.org/drawingml/2006/main">
                  <a:graphicData uri="http://schemas.microsoft.com/office/word/2010/wordprocessingShape">
                    <wps:wsp>
                      <wps:cNvSpPr txBox="1"/>
                      <wps:spPr>
                        <a:xfrm>
                          <a:ext cx="252730" cy="267970"/>
                        </a:xfrm>
                        <a:prstGeom prst="rect"/>
                        <a:noFill/>
                      </wps:spPr>
                      <wps:txbx>
                        <w:txbxContent>
                          <w:p>
                            <w:pPr>
                              <w:pStyle w:val="Style75"/>
                              <w:keepNext w:val="0"/>
                              <w:keepLines w:val="0"/>
                              <w:widowControl w:val="0"/>
                              <w:shd w:val="clear" w:color="auto" w:fill="auto"/>
                              <w:bidi w:val="0"/>
                              <w:spacing w:before="0" w:after="0" w:line="216" w:lineRule="auto"/>
                              <w:ind w:left="0" w:right="0" w:firstLine="0"/>
                              <w:jc w:val="left"/>
                            </w:pPr>
                            <w:r>
                              <w:rPr>
                                <w:b/>
                                <w:bCs/>
                                <w:color w:val="433A4E"/>
                                <w:spacing w:val="0"/>
                                <w:w w:val="100"/>
                                <w:position w:val="0"/>
                              </w:rPr>
                              <w:t xml:space="preserve">50 </w:t>
                            </w:r>
                            <w:r>
                              <w:rPr>
                                <w:b/>
                                <w:bCs/>
                                <w:color w:val="282238"/>
                                <w:spacing w:val="0"/>
                                <w:w w:val="100"/>
                                <w:position w:val="0"/>
                              </w:rPr>
                              <w:t xml:space="preserve">77 </w:t>
                            </w:r>
                            <w:r>
                              <w:rPr>
                                <w:rFonts w:ascii="Arial Unicode MS" w:eastAsia="Arial Unicode MS" w:hAnsi="Arial Unicode MS" w:cs="Arial Unicode MS"/>
                                <w:color w:val="000000"/>
                                <w:spacing w:val="0"/>
                                <w:w w:val="100"/>
                                <w:position w:val="0"/>
                              </w:rPr>
                              <w:t>美元</w:t>
                            </w:r>
                          </w:p>
                        </w:txbxContent>
                      </wps:txbx>
                      <wps:bodyPr lIns="0" tIns="0" rIns="0" bIns="0">
                        <a:noAutoFit/>
                      </wps:bodyPr>
                    </wps:wsp>
                  </a:graphicData>
                </a:graphic>
              </wp:anchor>
            </w:drawing>
          </mc:Choice>
          <mc:Fallback>
            <w:pict>
              <v:shape id="_x0000_s1403" type="#_x0000_t202" style="position:absolute;margin-left:189.25pt;margin-top:113.7pt;width:19.900000000000002pt;height:21.100000000000001pt;z-index:-125829238;mso-wrap-distance-left:0;mso-wrap-distance-top:113.7pt;mso-wrap-distance-right:0;mso-wrap-distance-bottom:90.950000000000003pt;mso-position-horizontal-relative:page" filled="f" stroked="f">
                <v:textbox inset="0,0,0,0">
                  <w:txbxContent>
                    <w:p>
                      <w:pPr>
                        <w:pStyle w:val="Style75"/>
                        <w:keepNext w:val="0"/>
                        <w:keepLines w:val="0"/>
                        <w:widowControl w:val="0"/>
                        <w:shd w:val="clear" w:color="auto" w:fill="auto"/>
                        <w:bidi w:val="0"/>
                        <w:spacing w:before="0" w:after="0" w:line="216" w:lineRule="auto"/>
                        <w:ind w:left="0" w:right="0" w:firstLine="0"/>
                        <w:jc w:val="left"/>
                      </w:pPr>
                      <w:r>
                        <w:rPr>
                          <w:b/>
                          <w:bCs/>
                          <w:color w:val="433A4E"/>
                          <w:spacing w:val="0"/>
                          <w:w w:val="100"/>
                          <w:position w:val="0"/>
                        </w:rPr>
                        <w:t xml:space="preserve">50 </w:t>
                      </w:r>
                      <w:r>
                        <w:rPr>
                          <w:b/>
                          <w:bCs/>
                          <w:color w:val="282238"/>
                          <w:spacing w:val="0"/>
                          <w:w w:val="100"/>
                          <w:position w:val="0"/>
                        </w:rPr>
                        <w:t xml:space="preserve">77 </w:t>
                      </w:r>
                      <w:r>
                        <w:rPr>
                          <w:rFonts w:ascii="Arial Unicode MS" w:eastAsia="Arial Unicode MS" w:hAnsi="Arial Unicode MS" w:cs="Arial Unicode MS"/>
                          <w:color w:val="000000"/>
                          <w:spacing w:val="0"/>
                          <w:w w:val="100"/>
                          <w:position w:val="0"/>
                        </w:rPr>
                        <w:t>美元</w:t>
                      </w:r>
                    </w:p>
                  </w:txbxContent>
                </v:textbox>
                <w10:wrap type="topAndBottom" anchorx="page"/>
              </v:shape>
            </w:pict>
          </mc:Fallback>
        </mc:AlternateContent>
      </w:r>
      <w:r>
        <mc:AlternateContent>
          <mc:Choice Requires="wps">
            <w:drawing>
              <wp:anchor distT="2218055" distB="374650" distL="0" distR="0" simplePos="0" relativeHeight="125829517" behindDoc="0" locked="0" layoutInCell="1" allowOverlap="1">
                <wp:simplePos x="0" y="0"/>
                <wp:positionH relativeFrom="page">
                  <wp:posOffset>2391410</wp:posOffset>
                </wp:positionH>
                <wp:positionV relativeFrom="paragraph">
                  <wp:posOffset>2218055</wp:posOffset>
                </wp:positionV>
                <wp:extent cx="262255" cy="274320"/>
                <wp:wrapTopAndBottom/>
                <wp:docPr id="379" name="Shape 379"/>
                <a:graphic xmlns:a="http://schemas.openxmlformats.org/drawingml/2006/main">
                  <a:graphicData uri="http://schemas.microsoft.com/office/word/2010/wordprocessingShape">
                    <wps:wsp>
                      <wps:cNvSpPr txBox="1"/>
                      <wps:spPr>
                        <a:xfrm>
                          <a:ext cx="262255" cy="274320"/>
                        </a:xfrm>
                        <a:prstGeom prst="rect"/>
                        <a:noFill/>
                      </wps:spPr>
                      <wps:txbx>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如万</w:t>
                            </w:r>
                            <w:r>
                              <w:rPr>
                                <w:rFonts w:ascii="Arial" w:eastAsia="Arial" w:hAnsi="Arial" w:cs="Arial"/>
                                <w:spacing w:val="0"/>
                                <w:w w:val="100"/>
                                <w:position w:val="0"/>
                              </w:rPr>
                              <w:t xml:space="preserve"> </w:t>
                            </w:r>
                            <w:r>
                              <w:rPr>
                                <w:color w:val="000000"/>
                                <w:spacing w:val="0"/>
                                <w:w w:val="100"/>
                                <w:position w:val="0"/>
                              </w:rPr>
                              <w:t>美元</w:t>
                            </w:r>
                          </w:p>
                        </w:txbxContent>
                      </wps:txbx>
                      <wps:bodyPr lIns="0" tIns="0" rIns="0" bIns="0">
                        <a:noAutoFit/>
                      </wps:bodyPr>
                    </wps:wsp>
                  </a:graphicData>
                </a:graphic>
              </wp:anchor>
            </w:drawing>
          </mc:Choice>
          <mc:Fallback>
            <w:pict>
              <v:shape id="_x0000_s1405" type="#_x0000_t202" style="position:absolute;margin-left:188.30000000000001pt;margin-top:174.65000000000001pt;width:20.650000000000002pt;height:21.600000000000001pt;z-index:-125829236;mso-wrap-distance-left:0;mso-wrap-distance-top:174.65000000000001pt;mso-wrap-distance-right:0;mso-wrap-distance-bottom:29.5pt;mso-position-horizontal-relative:page" filled="f" stroked="f">
                <v:textbox inset="0,0,0,0">
                  <w:txbxContent>
                    <w:p>
                      <w:pPr>
                        <w:pStyle w:val="Style88"/>
                        <w:keepNext w:val="0"/>
                        <w:keepLines w:val="0"/>
                        <w:widowControl w:val="0"/>
                        <w:shd w:val="clear" w:color="auto" w:fill="auto"/>
                        <w:bidi w:val="0"/>
                        <w:spacing w:before="0" w:after="0" w:line="206" w:lineRule="auto"/>
                        <w:ind w:left="0" w:right="0" w:firstLine="0"/>
                        <w:jc w:val="left"/>
                      </w:pPr>
                      <w:r>
                        <w:rPr>
                          <w:spacing w:val="0"/>
                          <w:w w:val="100"/>
                          <w:position w:val="0"/>
                        </w:rPr>
                        <w:t>如万</w:t>
                      </w:r>
                      <w:r>
                        <w:rPr>
                          <w:rFonts w:ascii="Arial" w:eastAsia="Arial" w:hAnsi="Arial" w:cs="Arial"/>
                          <w:spacing w:val="0"/>
                          <w:w w:val="100"/>
                          <w:position w:val="0"/>
                        </w:rPr>
                        <w:t xml:space="preserve"> </w:t>
                      </w:r>
                      <w:r>
                        <w:rPr>
                          <w:color w:val="000000"/>
                          <w:spacing w:val="0"/>
                          <w:w w:val="100"/>
                          <w:position w:val="0"/>
                        </w:rPr>
                        <w:t>美元</w:t>
                      </w:r>
                    </w:p>
                  </w:txbxContent>
                </v:textbox>
                <w10:wrap type="topAndBottom" anchorx="page"/>
              </v:shape>
            </w:pict>
          </mc:Fallback>
        </mc:AlternateContent>
      </w:r>
      <w:r>
        <mc:AlternateContent>
          <mc:Choice Requires="wps">
            <w:drawing>
              <wp:anchor distT="577850" distB="2124710" distL="0" distR="0" simplePos="0" relativeHeight="125829519" behindDoc="0" locked="0" layoutInCell="1" allowOverlap="1">
                <wp:simplePos x="0" y="0"/>
                <wp:positionH relativeFrom="page">
                  <wp:posOffset>2964180</wp:posOffset>
                </wp:positionH>
                <wp:positionV relativeFrom="paragraph">
                  <wp:posOffset>577850</wp:posOffset>
                </wp:positionV>
                <wp:extent cx="429895" cy="164465"/>
                <wp:wrapTopAndBottom/>
                <wp:docPr id="381" name="Shape 381"/>
                <a:graphic xmlns:a="http://schemas.openxmlformats.org/drawingml/2006/main">
                  <a:graphicData uri="http://schemas.microsoft.com/office/word/2010/wordprocessingShape">
                    <wps:wsp>
                      <wps:cNvSpPr txBox="1"/>
                      <wps:spPr>
                        <a:xfrm>
                          <a:ext cx="429895" cy="16446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耍营范围</w:t>
                            </w:r>
                          </w:p>
                        </w:txbxContent>
                      </wps:txbx>
                      <wps:bodyPr wrap="none" lIns="0" tIns="0" rIns="0" bIns="0">
                        <a:noAutoFit/>
                      </wps:bodyPr>
                    </wps:wsp>
                  </a:graphicData>
                </a:graphic>
              </wp:anchor>
            </w:drawing>
          </mc:Choice>
          <mc:Fallback>
            <w:pict>
              <v:shape id="_x0000_s1407" type="#_x0000_t202" style="position:absolute;margin-left:233.40000000000001pt;margin-top:45.5pt;width:33.850000000000001pt;height:12.950000000000001pt;z-index:-125829234;mso-wrap-distance-left:0;mso-wrap-distance-top:45.5pt;mso-wrap-distance-right:0;mso-wrap-distance-bottom:167.3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耍营范围</w:t>
                      </w:r>
                    </w:p>
                  </w:txbxContent>
                </v:textbox>
                <w10:wrap type="topAndBottom" anchorx="page"/>
              </v:shape>
            </w:pict>
          </mc:Fallback>
        </mc:AlternateContent>
      </w:r>
      <w:r>
        <mc:AlternateContent>
          <mc:Choice Requires="wps">
            <w:drawing>
              <wp:anchor distT="1367790" distB="1087755" distL="0" distR="0" simplePos="0" relativeHeight="125829521" behindDoc="0" locked="0" layoutInCell="1" allowOverlap="1">
                <wp:simplePos x="0" y="0"/>
                <wp:positionH relativeFrom="page">
                  <wp:posOffset>2794000</wp:posOffset>
                </wp:positionH>
                <wp:positionV relativeFrom="paragraph">
                  <wp:posOffset>1367790</wp:posOffset>
                </wp:positionV>
                <wp:extent cx="749935" cy="411480"/>
                <wp:wrapTopAndBottom/>
                <wp:docPr id="383" name="Shape 383"/>
                <a:graphic xmlns:a="http://schemas.openxmlformats.org/drawingml/2006/main">
                  <a:graphicData uri="http://schemas.microsoft.com/office/word/2010/wordprocessingShape">
                    <wps:wsp>
                      <wps:cNvSpPr txBox="1"/>
                      <wps:spPr>
                        <a:xfrm>
                          <a:ext cx="749935" cy="411480"/>
                        </a:xfrm>
                        <a:prstGeom prst="rect"/>
                        <a:noFill/>
                      </wps:spPr>
                      <wps:txbx>
                        <w:txbxContent>
                          <w:p>
                            <w:pPr>
                              <w:pStyle w:val="Style88"/>
                              <w:keepNext w:val="0"/>
                              <w:keepLines w:val="0"/>
                              <w:widowControl w:val="0"/>
                              <w:shd w:val="clear" w:color="auto" w:fill="auto"/>
                              <w:bidi w:val="0"/>
                              <w:spacing w:before="0" w:after="0" w:line="202" w:lineRule="auto"/>
                              <w:ind w:left="0" w:right="0" w:firstLine="0"/>
                              <w:jc w:val="both"/>
                            </w:pPr>
                            <w:r>
                              <w:rPr>
                                <w:spacing w:val="0"/>
                                <w:w w:val="100"/>
                                <w:position w:val="0"/>
                              </w:rPr>
                              <w:t>悝患浸件产品开</w:t>
                            </w:r>
                            <w:r>
                              <w:rPr>
                                <w:rFonts w:ascii="Arial" w:eastAsia="Arial" w:hAnsi="Arial" w:cs="Arial"/>
                                <w:spacing w:val="0"/>
                                <w:w w:val="100"/>
                                <w:position w:val="0"/>
                              </w:rPr>
                              <w:t xml:space="preserve"> </w:t>
                            </w:r>
                            <w:r>
                              <w:rPr>
                                <w:spacing w:val="0"/>
                                <w:w w:val="100"/>
                                <w:position w:val="0"/>
                              </w:rPr>
                              <w:t>浸〜软件和信息</w:t>
                            </w:r>
                            <w:r>
                              <w:rPr>
                                <w:rFonts w:ascii="Arial" w:eastAsia="Arial" w:hAnsi="Arial" w:cs="Arial"/>
                                <w:spacing w:val="0"/>
                                <w:w w:val="100"/>
                                <w:position w:val="0"/>
                              </w:rPr>
                              <w:t xml:space="preserve"> </w:t>
                            </w:r>
                            <w:r>
                              <w:rPr>
                                <w:spacing w:val="0"/>
                                <w:w w:val="100"/>
                                <w:position w:val="0"/>
                              </w:rPr>
                              <w:t>技术表答</w:t>
                            </w:r>
                          </w:p>
                        </w:txbxContent>
                      </wps:txbx>
                      <wps:bodyPr lIns="0" tIns="0" rIns="0" bIns="0">
                        <a:noAutoFit/>
                      </wps:bodyPr>
                    </wps:wsp>
                  </a:graphicData>
                </a:graphic>
              </wp:anchor>
            </w:drawing>
          </mc:Choice>
          <mc:Fallback>
            <w:pict>
              <v:shape id="_x0000_s1409" type="#_x0000_t202" style="position:absolute;margin-left:220.pt;margin-top:107.7pt;width:59.050000000000004pt;height:32.399999999999999pt;z-index:-125829232;mso-wrap-distance-left:0;mso-wrap-distance-top:107.7pt;mso-wrap-distance-right:0;mso-wrap-distance-bottom:85.650000000000006pt;mso-position-horizontal-relative:page" filled="f" stroked="f">
                <v:textbox inset="0,0,0,0">
                  <w:txbxContent>
                    <w:p>
                      <w:pPr>
                        <w:pStyle w:val="Style88"/>
                        <w:keepNext w:val="0"/>
                        <w:keepLines w:val="0"/>
                        <w:widowControl w:val="0"/>
                        <w:shd w:val="clear" w:color="auto" w:fill="auto"/>
                        <w:bidi w:val="0"/>
                        <w:spacing w:before="0" w:after="0" w:line="202" w:lineRule="auto"/>
                        <w:ind w:left="0" w:right="0" w:firstLine="0"/>
                        <w:jc w:val="both"/>
                      </w:pPr>
                      <w:r>
                        <w:rPr>
                          <w:spacing w:val="0"/>
                          <w:w w:val="100"/>
                          <w:position w:val="0"/>
                        </w:rPr>
                        <w:t>悝患浸件产品开</w:t>
                      </w:r>
                      <w:r>
                        <w:rPr>
                          <w:rFonts w:ascii="Arial" w:eastAsia="Arial" w:hAnsi="Arial" w:cs="Arial"/>
                          <w:spacing w:val="0"/>
                          <w:w w:val="100"/>
                          <w:position w:val="0"/>
                        </w:rPr>
                        <w:t xml:space="preserve"> </w:t>
                      </w:r>
                      <w:r>
                        <w:rPr>
                          <w:spacing w:val="0"/>
                          <w:w w:val="100"/>
                          <w:position w:val="0"/>
                        </w:rPr>
                        <w:t>浸〜软件和信息</w:t>
                      </w:r>
                      <w:r>
                        <w:rPr>
                          <w:rFonts w:ascii="Arial" w:eastAsia="Arial" w:hAnsi="Arial" w:cs="Arial"/>
                          <w:spacing w:val="0"/>
                          <w:w w:val="100"/>
                          <w:position w:val="0"/>
                        </w:rPr>
                        <w:t xml:space="preserve"> </w:t>
                      </w:r>
                      <w:r>
                        <w:rPr>
                          <w:spacing w:val="0"/>
                          <w:w w:val="100"/>
                          <w:position w:val="0"/>
                        </w:rPr>
                        <w:t>技术表答</w:t>
                      </w:r>
                    </w:p>
                  </w:txbxContent>
                </v:textbox>
                <w10:wrap type="topAndBottom" anchorx="page"/>
              </v:shape>
            </w:pict>
          </mc:Fallback>
        </mc:AlternateContent>
      </w:r>
      <w:r>
        <mc:AlternateContent>
          <mc:Choice Requires="wps">
            <w:drawing>
              <wp:anchor distT="1882775" distB="39370" distL="0" distR="0" simplePos="0" relativeHeight="125829523" behindDoc="0" locked="0" layoutInCell="1" allowOverlap="1">
                <wp:simplePos x="0" y="0"/>
                <wp:positionH relativeFrom="page">
                  <wp:posOffset>2794000</wp:posOffset>
                </wp:positionH>
                <wp:positionV relativeFrom="paragraph">
                  <wp:posOffset>1882775</wp:posOffset>
                </wp:positionV>
                <wp:extent cx="749935" cy="944880"/>
                <wp:wrapTopAndBottom/>
                <wp:docPr id="385" name="Shape 385"/>
                <a:graphic xmlns:a="http://schemas.openxmlformats.org/drawingml/2006/main">
                  <a:graphicData uri="http://schemas.microsoft.com/office/word/2010/wordprocessingShape">
                    <wps:wsp>
                      <wps:cNvSpPr txBox="1"/>
                      <wps:spPr>
                        <a:xfrm>
                          <a:ext cx="749935" cy="944880"/>
                        </a:xfrm>
                        <a:prstGeom prst="rect"/>
                        <a:noFill/>
                      </wps:spPr>
                      <wps:txbx>
                        <w:txbxContent>
                          <w:p>
                            <w:pPr>
                              <w:pStyle w:val="Style88"/>
                              <w:keepNext w:val="0"/>
                              <w:keepLines w:val="0"/>
                              <w:widowControl w:val="0"/>
                              <w:shd w:val="clear" w:color="auto" w:fill="auto"/>
                              <w:bidi w:val="0"/>
                              <w:spacing w:before="0" w:after="0" w:line="211" w:lineRule="auto"/>
                              <w:ind w:left="0" w:right="0" w:firstLine="0"/>
                              <w:jc w:val="both"/>
                            </w:pPr>
                            <w:r>
                              <w:rPr>
                                <w:color w:val="000000"/>
                                <w:spacing w:val="0"/>
                                <w:w w:val="100"/>
                                <w:position w:val="0"/>
                              </w:rPr>
                              <w:t>电子产</w:t>
                            </w:r>
                            <w:r>
                              <w:rPr>
                                <w:spacing w:val="0"/>
                                <w:w w:val="100"/>
                                <w:position w:val="0"/>
                              </w:rPr>
                              <w:t>品的开浸</w:t>
                            </w:r>
                            <w:r>
                              <w:rPr>
                                <w:rFonts w:ascii="Arial" w:eastAsia="Arial" w:hAnsi="Arial" w:cs="Arial"/>
                                <w:spacing w:val="0"/>
                                <w:w w:val="100"/>
                                <w:position w:val="0"/>
                              </w:rPr>
                              <w:t xml:space="preserve"> </w:t>
                            </w:r>
                            <w:r>
                              <w:rPr>
                                <w:color w:val="433A4E"/>
                                <w:spacing w:val="0"/>
                                <w:w w:val="100"/>
                                <w:position w:val="0"/>
                              </w:rPr>
                              <w:t>和</w:t>
                            </w:r>
                            <w:r>
                              <w:rPr>
                                <w:spacing w:val="0"/>
                                <w:w w:val="100"/>
                                <w:position w:val="0"/>
                              </w:rPr>
                              <w:t>胡夸、医疗赛</w:t>
                            </w:r>
                            <w:r>
                              <w:rPr>
                                <w:rFonts w:ascii="Arial" w:eastAsia="Arial" w:hAnsi="Arial" w:cs="Arial"/>
                                <w:spacing w:val="0"/>
                                <w:w w:val="100"/>
                                <w:position w:val="0"/>
                              </w:rPr>
                              <w:t xml:space="preserve"> </w:t>
                            </w:r>
                            <w:r>
                              <w:rPr>
                                <w:rFonts w:ascii="Arial" w:eastAsia="Arial" w:hAnsi="Arial" w:cs="Arial"/>
                                <w:color w:val="433A4E"/>
                                <w:spacing w:val="0"/>
                                <w:w w:val="100"/>
                                <w:position w:val="0"/>
                              </w:rPr>
                              <w:t>•</w:t>
                            </w:r>
                            <w:r>
                              <w:rPr>
                                <w:color w:val="433A4E"/>
                                <w:spacing w:val="0"/>
                                <w:w w:val="100"/>
                                <w:position w:val="0"/>
                              </w:rPr>
                              <w:t>槌</w:t>
                            </w:r>
                            <w:r>
                              <w:rPr>
                                <w:spacing w:val="0"/>
                                <w:w w:val="100"/>
                                <w:position w:val="0"/>
                              </w:rPr>
                              <w:t>产品的研弘</w:t>
                            </w:r>
                            <w:r>
                              <w:rPr>
                                <w:rFonts w:ascii="Arial" w:eastAsia="Arial" w:hAnsi="Arial" w:cs="Arial"/>
                                <w:spacing w:val="0"/>
                                <w:w w:val="100"/>
                                <w:position w:val="0"/>
                              </w:rPr>
                              <w:t xml:space="preserve"> </w:t>
                            </w:r>
                            <w:r>
                              <w:rPr>
                                <w:spacing w:val="0"/>
                                <w:w w:val="100"/>
                                <w:position w:val="0"/>
                              </w:rPr>
                              <w:t>健</w:t>
                            </w:r>
                            <w:r>
                              <w:rPr>
                                <w:color w:val="000000"/>
                                <w:spacing w:val="0"/>
                                <w:w w:val="100"/>
                                <w:position w:val="0"/>
                              </w:rPr>
                              <w:t>康管理</w:t>
                            </w:r>
                            <w:r>
                              <w:rPr>
                                <w:spacing w:val="0"/>
                                <w:w w:val="100"/>
                                <w:position w:val="0"/>
                              </w:rPr>
                              <w:t>咨知</w:t>
                            </w:r>
                            <w:r>
                              <w:rPr>
                                <w:rFonts w:ascii="Arial" w:eastAsia="Arial" w:hAnsi="Arial" w:cs="Arial"/>
                                <w:spacing w:val="0"/>
                                <w:w w:val="100"/>
                                <w:position w:val="0"/>
                              </w:rPr>
                              <w:t xml:space="preserve"> </w:t>
                            </w:r>
                            <w:r>
                              <w:rPr>
                                <w:color w:val="433A4E"/>
                                <w:spacing w:val="0"/>
                                <w:w w:val="100"/>
                                <w:position w:val="0"/>
                              </w:rPr>
                              <w:t>投</w:t>
                            </w:r>
                            <w:r>
                              <w:rPr>
                                <w:spacing w:val="0"/>
                                <w:w w:val="100"/>
                                <w:position w:val="0"/>
                              </w:rPr>
                              <w:t>密控股〜</w:t>
                            </w:r>
                            <w:r>
                              <w:rPr>
                                <w:color w:val="433A4E"/>
                                <w:spacing w:val="0"/>
                                <w:w w:val="100"/>
                                <w:position w:val="0"/>
                              </w:rPr>
                              <w:t>业务</w:t>
                            </w:r>
                            <w:r>
                              <w:rPr>
                                <w:rFonts w:ascii="Arial" w:eastAsia="Arial" w:hAnsi="Arial" w:cs="Arial"/>
                                <w:color w:val="433A4E"/>
                                <w:spacing w:val="0"/>
                                <w:w w:val="100"/>
                                <w:position w:val="0"/>
                              </w:rPr>
                              <w:t xml:space="preserve"> </w:t>
                            </w:r>
                            <w:r>
                              <w:rPr>
                                <w:color w:val="433A4E"/>
                                <w:spacing w:val="0"/>
                                <w:w w:val="100"/>
                                <w:position w:val="0"/>
                              </w:rPr>
                              <w:t>咨询以</w:t>
                            </w:r>
                            <w:r>
                              <w:rPr>
                                <w:rFonts w:ascii="SimSun" w:eastAsia="SimSun" w:hAnsi="SimSun" w:cs="SimSun"/>
                                <w:i/>
                                <w:iCs/>
                                <w:color w:val="433A4E"/>
                                <w:spacing w:val="0"/>
                                <w:w w:val="100"/>
                                <w:position w:val="0"/>
                                <w:sz w:val="22"/>
                                <w:szCs w:val="22"/>
                              </w:rPr>
                              <w:t>及政府</w:t>
                            </w:r>
                            <w:r>
                              <w:rPr>
                                <w:spacing w:val="0"/>
                                <w:w w:val="100"/>
                                <w:position w:val="0"/>
                              </w:rPr>
                              <w:t>许</w:t>
                            </w:r>
                            <w:r>
                              <w:rPr>
                                <w:rFonts w:ascii="Arial" w:eastAsia="Arial" w:hAnsi="Arial" w:cs="Arial"/>
                                <w:spacing w:val="0"/>
                                <w:w w:val="100"/>
                                <w:position w:val="0"/>
                              </w:rPr>
                              <w:t xml:space="preserve"> </w:t>
                            </w:r>
                            <w:r>
                              <w:rPr>
                                <w:spacing w:val="0"/>
                                <w:w w:val="100"/>
                                <w:position w:val="0"/>
                              </w:rPr>
                              <w:t>可的其他业容</w:t>
                            </w:r>
                          </w:p>
                        </w:txbxContent>
                      </wps:txbx>
                      <wps:bodyPr lIns="0" tIns="0" rIns="0" bIns="0">
                        <a:noAutoFit/>
                      </wps:bodyPr>
                    </wps:wsp>
                  </a:graphicData>
                </a:graphic>
              </wp:anchor>
            </w:drawing>
          </mc:Choice>
          <mc:Fallback>
            <w:pict>
              <v:shape id="_x0000_s1411" type="#_x0000_t202" style="position:absolute;margin-left:220.pt;margin-top:148.25pt;width:59.050000000000004pt;height:74.400000000000006pt;z-index:-125829230;mso-wrap-distance-left:0;mso-wrap-distance-top:148.25pt;mso-wrap-distance-right:0;mso-wrap-distance-bottom:3.1000000000000001pt;mso-position-horizontal-relative:page" filled="f" stroked="f">
                <v:textbox inset="0,0,0,0">
                  <w:txbxContent>
                    <w:p>
                      <w:pPr>
                        <w:pStyle w:val="Style88"/>
                        <w:keepNext w:val="0"/>
                        <w:keepLines w:val="0"/>
                        <w:widowControl w:val="0"/>
                        <w:shd w:val="clear" w:color="auto" w:fill="auto"/>
                        <w:bidi w:val="0"/>
                        <w:spacing w:before="0" w:after="0" w:line="211" w:lineRule="auto"/>
                        <w:ind w:left="0" w:right="0" w:firstLine="0"/>
                        <w:jc w:val="both"/>
                      </w:pPr>
                      <w:r>
                        <w:rPr>
                          <w:color w:val="000000"/>
                          <w:spacing w:val="0"/>
                          <w:w w:val="100"/>
                          <w:position w:val="0"/>
                        </w:rPr>
                        <w:t>电子产</w:t>
                      </w:r>
                      <w:r>
                        <w:rPr>
                          <w:spacing w:val="0"/>
                          <w:w w:val="100"/>
                          <w:position w:val="0"/>
                        </w:rPr>
                        <w:t>品的开浸</w:t>
                      </w:r>
                      <w:r>
                        <w:rPr>
                          <w:rFonts w:ascii="Arial" w:eastAsia="Arial" w:hAnsi="Arial" w:cs="Arial"/>
                          <w:spacing w:val="0"/>
                          <w:w w:val="100"/>
                          <w:position w:val="0"/>
                        </w:rPr>
                        <w:t xml:space="preserve"> </w:t>
                      </w:r>
                      <w:r>
                        <w:rPr>
                          <w:color w:val="433A4E"/>
                          <w:spacing w:val="0"/>
                          <w:w w:val="100"/>
                          <w:position w:val="0"/>
                        </w:rPr>
                        <w:t>和</w:t>
                      </w:r>
                      <w:r>
                        <w:rPr>
                          <w:spacing w:val="0"/>
                          <w:w w:val="100"/>
                          <w:position w:val="0"/>
                        </w:rPr>
                        <w:t>胡夸、医疗赛</w:t>
                      </w:r>
                      <w:r>
                        <w:rPr>
                          <w:rFonts w:ascii="Arial" w:eastAsia="Arial" w:hAnsi="Arial" w:cs="Arial"/>
                          <w:spacing w:val="0"/>
                          <w:w w:val="100"/>
                          <w:position w:val="0"/>
                        </w:rPr>
                        <w:t xml:space="preserve"> </w:t>
                      </w:r>
                      <w:r>
                        <w:rPr>
                          <w:rFonts w:ascii="Arial" w:eastAsia="Arial" w:hAnsi="Arial" w:cs="Arial"/>
                          <w:color w:val="433A4E"/>
                          <w:spacing w:val="0"/>
                          <w:w w:val="100"/>
                          <w:position w:val="0"/>
                        </w:rPr>
                        <w:t>•</w:t>
                      </w:r>
                      <w:r>
                        <w:rPr>
                          <w:color w:val="433A4E"/>
                          <w:spacing w:val="0"/>
                          <w:w w:val="100"/>
                          <w:position w:val="0"/>
                        </w:rPr>
                        <w:t>槌</w:t>
                      </w:r>
                      <w:r>
                        <w:rPr>
                          <w:spacing w:val="0"/>
                          <w:w w:val="100"/>
                          <w:position w:val="0"/>
                        </w:rPr>
                        <w:t>产品的研弘</w:t>
                      </w:r>
                      <w:r>
                        <w:rPr>
                          <w:rFonts w:ascii="Arial" w:eastAsia="Arial" w:hAnsi="Arial" w:cs="Arial"/>
                          <w:spacing w:val="0"/>
                          <w:w w:val="100"/>
                          <w:position w:val="0"/>
                        </w:rPr>
                        <w:t xml:space="preserve"> </w:t>
                      </w:r>
                      <w:r>
                        <w:rPr>
                          <w:spacing w:val="0"/>
                          <w:w w:val="100"/>
                          <w:position w:val="0"/>
                        </w:rPr>
                        <w:t>健</w:t>
                      </w:r>
                      <w:r>
                        <w:rPr>
                          <w:color w:val="000000"/>
                          <w:spacing w:val="0"/>
                          <w:w w:val="100"/>
                          <w:position w:val="0"/>
                        </w:rPr>
                        <w:t>康管理</w:t>
                      </w:r>
                      <w:r>
                        <w:rPr>
                          <w:spacing w:val="0"/>
                          <w:w w:val="100"/>
                          <w:position w:val="0"/>
                        </w:rPr>
                        <w:t>咨知</w:t>
                      </w:r>
                      <w:r>
                        <w:rPr>
                          <w:rFonts w:ascii="Arial" w:eastAsia="Arial" w:hAnsi="Arial" w:cs="Arial"/>
                          <w:spacing w:val="0"/>
                          <w:w w:val="100"/>
                          <w:position w:val="0"/>
                        </w:rPr>
                        <w:t xml:space="preserve"> </w:t>
                      </w:r>
                      <w:r>
                        <w:rPr>
                          <w:color w:val="433A4E"/>
                          <w:spacing w:val="0"/>
                          <w:w w:val="100"/>
                          <w:position w:val="0"/>
                        </w:rPr>
                        <w:t>投</w:t>
                      </w:r>
                      <w:r>
                        <w:rPr>
                          <w:spacing w:val="0"/>
                          <w:w w:val="100"/>
                          <w:position w:val="0"/>
                        </w:rPr>
                        <w:t>密控股〜</w:t>
                      </w:r>
                      <w:r>
                        <w:rPr>
                          <w:color w:val="433A4E"/>
                          <w:spacing w:val="0"/>
                          <w:w w:val="100"/>
                          <w:position w:val="0"/>
                        </w:rPr>
                        <w:t>业务</w:t>
                      </w:r>
                      <w:r>
                        <w:rPr>
                          <w:rFonts w:ascii="Arial" w:eastAsia="Arial" w:hAnsi="Arial" w:cs="Arial"/>
                          <w:color w:val="433A4E"/>
                          <w:spacing w:val="0"/>
                          <w:w w:val="100"/>
                          <w:position w:val="0"/>
                        </w:rPr>
                        <w:t xml:space="preserve"> </w:t>
                      </w:r>
                      <w:r>
                        <w:rPr>
                          <w:color w:val="433A4E"/>
                          <w:spacing w:val="0"/>
                          <w:w w:val="100"/>
                          <w:position w:val="0"/>
                        </w:rPr>
                        <w:t>咨询以</w:t>
                      </w:r>
                      <w:r>
                        <w:rPr>
                          <w:rFonts w:ascii="SimSun" w:eastAsia="SimSun" w:hAnsi="SimSun" w:cs="SimSun"/>
                          <w:i/>
                          <w:iCs/>
                          <w:color w:val="433A4E"/>
                          <w:spacing w:val="0"/>
                          <w:w w:val="100"/>
                          <w:position w:val="0"/>
                          <w:sz w:val="22"/>
                          <w:szCs w:val="22"/>
                        </w:rPr>
                        <w:t>及政府</w:t>
                      </w:r>
                      <w:r>
                        <w:rPr>
                          <w:spacing w:val="0"/>
                          <w:w w:val="100"/>
                          <w:position w:val="0"/>
                        </w:rPr>
                        <w:t>许</w:t>
                      </w:r>
                      <w:r>
                        <w:rPr>
                          <w:rFonts w:ascii="Arial" w:eastAsia="Arial" w:hAnsi="Arial" w:cs="Arial"/>
                          <w:spacing w:val="0"/>
                          <w:w w:val="100"/>
                          <w:position w:val="0"/>
                        </w:rPr>
                        <w:t xml:space="preserve"> </w:t>
                      </w:r>
                      <w:r>
                        <w:rPr>
                          <w:spacing w:val="0"/>
                          <w:w w:val="100"/>
                          <w:position w:val="0"/>
                        </w:rPr>
                        <w:t>可的其他业容</w:t>
                      </w:r>
                    </w:p>
                  </w:txbxContent>
                </v:textbox>
                <w10:wrap type="topAndBottom" anchorx="page"/>
              </v:shape>
            </w:pict>
          </mc:Fallback>
        </mc:AlternateContent>
      </w:r>
      <w:r>
        <mc:AlternateContent>
          <mc:Choice Requires="wps">
            <w:drawing>
              <wp:anchor distT="377190" distB="1917065" distL="0" distR="0" simplePos="0" relativeHeight="125829525" behindDoc="0" locked="0" layoutInCell="1" allowOverlap="1">
                <wp:simplePos x="0" y="0"/>
                <wp:positionH relativeFrom="page">
                  <wp:posOffset>3708400</wp:posOffset>
                </wp:positionH>
                <wp:positionV relativeFrom="paragraph">
                  <wp:posOffset>377190</wp:posOffset>
                </wp:positionV>
                <wp:extent cx="234950" cy="572770"/>
                <wp:wrapTopAndBottom/>
                <wp:docPr id="387" name="Shape 387"/>
                <a:graphic xmlns:a="http://schemas.openxmlformats.org/drawingml/2006/main">
                  <a:graphicData uri="http://schemas.microsoft.com/office/word/2010/wordprocessingShape">
                    <wps:wsp>
                      <wps:cNvSpPr txBox="1"/>
                      <wps:spPr>
                        <a:xfrm>
                          <a:ext cx="234950" cy="572770"/>
                        </a:xfrm>
                        <a:prstGeom prst="rect"/>
                        <a:noFill/>
                      </wps:spPr>
                      <wps:txbx>
                        <w:txbxContent>
                          <w:p>
                            <w:pPr>
                              <w:pStyle w:val="Style88"/>
                              <w:keepNext w:val="0"/>
                              <w:keepLines w:val="0"/>
                              <w:widowControl w:val="0"/>
                              <w:shd w:val="clear" w:color="auto" w:fill="auto"/>
                              <w:bidi w:val="0"/>
                              <w:spacing w:before="0" w:after="0" w:line="223" w:lineRule="auto"/>
                              <w:ind w:left="0" w:right="0" w:firstLine="0"/>
                              <w:jc w:val="both"/>
                            </w:pPr>
                            <w:r>
                              <w:rPr>
                                <w:spacing w:val="0"/>
                                <w:w w:val="100"/>
                                <w:position w:val="0"/>
                              </w:rPr>
                              <w:t>期末</w:t>
                            </w:r>
                            <w:r>
                              <w:rPr>
                                <w:rFonts w:ascii="Arial" w:eastAsia="Arial" w:hAnsi="Arial" w:cs="Arial"/>
                                <w:spacing w:val="0"/>
                                <w:w w:val="100"/>
                                <w:position w:val="0"/>
                              </w:rPr>
                              <w:t xml:space="preserve"> </w:t>
                            </w:r>
                            <w:r>
                              <w:rPr>
                                <w:spacing w:val="0"/>
                                <w:w w:val="100"/>
                                <w:position w:val="0"/>
                              </w:rPr>
                              <w:t>生际</w:t>
                            </w:r>
                            <w:r>
                              <w:rPr>
                                <w:rFonts w:ascii="Arial" w:eastAsia="Arial" w:hAnsi="Arial" w:cs="Arial"/>
                                <w:spacing w:val="0"/>
                                <w:w w:val="100"/>
                                <w:position w:val="0"/>
                              </w:rPr>
                              <w:t xml:space="preserve"> </w:t>
                            </w:r>
                            <w:r>
                              <w:rPr>
                                <w:color w:val="433A4E"/>
                                <w:spacing w:val="0"/>
                                <w:w w:val="100"/>
                                <w:position w:val="0"/>
                              </w:rPr>
                              <w:t>投斐</w:t>
                            </w:r>
                          </w:p>
                          <w:p>
                            <w:pPr>
                              <w:pStyle w:val="Style2"/>
                              <w:keepNext w:val="0"/>
                              <w:keepLines w:val="0"/>
                              <w:widowControl w:val="0"/>
                              <w:shd w:val="clear" w:color="auto" w:fill="auto"/>
                              <w:bidi w:val="0"/>
                              <w:spacing w:before="0" w:after="0" w:line="233" w:lineRule="auto"/>
                              <w:ind w:left="0" w:right="0" w:firstLine="0"/>
                              <w:jc w:val="left"/>
                              <w:rPr>
                                <w:sz w:val="20"/>
                                <w:szCs w:val="20"/>
                              </w:rPr>
                            </w:pPr>
                            <w:r>
                              <w:rPr>
                                <w:b/>
                                <w:bCs/>
                                <w:color w:val="433A4E"/>
                                <w:spacing w:val="0"/>
                                <w:w w:val="100"/>
                                <w:position w:val="0"/>
                                <w:sz w:val="20"/>
                                <w:szCs w:val="20"/>
                              </w:rPr>
                              <w:t>S</w:t>
                            </w:r>
                          </w:p>
                        </w:txbxContent>
                      </wps:txbx>
                      <wps:bodyPr lIns="0" tIns="0" rIns="0" bIns="0">
                        <a:noAutoFit/>
                      </wps:bodyPr>
                    </wps:wsp>
                  </a:graphicData>
                </a:graphic>
              </wp:anchor>
            </w:drawing>
          </mc:Choice>
          <mc:Fallback>
            <w:pict>
              <v:shape id="_x0000_s1413" type="#_x0000_t202" style="position:absolute;margin-left:292.pt;margin-top:29.699999999999999pt;width:18.5pt;height:45.100000000000001pt;z-index:-125829228;mso-wrap-distance-left:0;mso-wrap-distance-top:29.699999999999999pt;mso-wrap-distance-right:0;mso-wrap-distance-bottom:150.95000000000002pt;mso-position-horizontal-relative:page" filled="f" stroked="f">
                <v:textbox inset="0,0,0,0">
                  <w:txbxContent>
                    <w:p>
                      <w:pPr>
                        <w:pStyle w:val="Style88"/>
                        <w:keepNext w:val="0"/>
                        <w:keepLines w:val="0"/>
                        <w:widowControl w:val="0"/>
                        <w:shd w:val="clear" w:color="auto" w:fill="auto"/>
                        <w:bidi w:val="0"/>
                        <w:spacing w:before="0" w:after="0" w:line="223" w:lineRule="auto"/>
                        <w:ind w:left="0" w:right="0" w:firstLine="0"/>
                        <w:jc w:val="both"/>
                      </w:pPr>
                      <w:r>
                        <w:rPr>
                          <w:spacing w:val="0"/>
                          <w:w w:val="100"/>
                          <w:position w:val="0"/>
                        </w:rPr>
                        <w:t>期末</w:t>
                      </w:r>
                      <w:r>
                        <w:rPr>
                          <w:rFonts w:ascii="Arial" w:eastAsia="Arial" w:hAnsi="Arial" w:cs="Arial"/>
                          <w:spacing w:val="0"/>
                          <w:w w:val="100"/>
                          <w:position w:val="0"/>
                        </w:rPr>
                        <w:t xml:space="preserve"> </w:t>
                      </w:r>
                      <w:r>
                        <w:rPr>
                          <w:spacing w:val="0"/>
                          <w:w w:val="100"/>
                          <w:position w:val="0"/>
                        </w:rPr>
                        <w:t>生际</w:t>
                      </w:r>
                      <w:r>
                        <w:rPr>
                          <w:rFonts w:ascii="Arial" w:eastAsia="Arial" w:hAnsi="Arial" w:cs="Arial"/>
                          <w:spacing w:val="0"/>
                          <w:w w:val="100"/>
                          <w:position w:val="0"/>
                        </w:rPr>
                        <w:t xml:space="preserve"> </w:t>
                      </w:r>
                      <w:r>
                        <w:rPr>
                          <w:color w:val="433A4E"/>
                          <w:spacing w:val="0"/>
                          <w:w w:val="100"/>
                          <w:position w:val="0"/>
                        </w:rPr>
                        <w:t>投斐</w:t>
                      </w:r>
                    </w:p>
                    <w:p>
                      <w:pPr>
                        <w:pStyle w:val="Style2"/>
                        <w:keepNext w:val="0"/>
                        <w:keepLines w:val="0"/>
                        <w:widowControl w:val="0"/>
                        <w:shd w:val="clear" w:color="auto" w:fill="auto"/>
                        <w:bidi w:val="0"/>
                        <w:spacing w:before="0" w:after="0" w:line="233" w:lineRule="auto"/>
                        <w:ind w:left="0" w:right="0" w:firstLine="0"/>
                        <w:jc w:val="left"/>
                        <w:rPr>
                          <w:sz w:val="20"/>
                          <w:szCs w:val="20"/>
                        </w:rPr>
                      </w:pPr>
                      <w:r>
                        <w:rPr>
                          <w:b/>
                          <w:bCs/>
                          <w:color w:val="433A4E"/>
                          <w:spacing w:val="0"/>
                          <w:w w:val="100"/>
                          <w:position w:val="0"/>
                          <w:sz w:val="20"/>
                          <w:szCs w:val="20"/>
                        </w:rPr>
                        <w:t>S</w:t>
                      </w:r>
                    </w:p>
                  </w:txbxContent>
                </v:textbox>
                <w10:wrap type="topAndBottom" anchorx="page"/>
              </v:shape>
            </w:pict>
          </mc:Fallback>
        </mc:AlternateContent>
      </w:r>
      <w:r>
        <mc:AlternateContent>
          <mc:Choice Requires="wps">
            <w:drawing>
              <wp:anchor distT="1443990" distB="1155065" distL="0" distR="0" simplePos="0" relativeHeight="125829527" behindDoc="0" locked="0" layoutInCell="1" allowOverlap="1">
                <wp:simplePos x="0" y="0"/>
                <wp:positionH relativeFrom="page">
                  <wp:posOffset>3708400</wp:posOffset>
                </wp:positionH>
                <wp:positionV relativeFrom="paragraph">
                  <wp:posOffset>1443990</wp:posOffset>
                </wp:positionV>
                <wp:extent cx="274320" cy="267970"/>
                <wp:wrapTopAndBottom/>
                <wp:docPr id="389" name="Shape 389"/>
                <a:graphic xmlns:a="http://schemas.openxmlformats.org/drawingml/2006/main">
                  <a:graphicData uri="http://schemas.microsoft.com/office/word/2010/wordprocessingShape">
                    <wps:wsp>
                      <wps:cNvSpPr txBox="1"/>
                      <wps:spPr>
                        <a:xfrm>
                          <a:ext cx="274320" cy="267970"/>
                        </a:xfrm>
                        <a:prstGeom prst="rect"/>
                        <a:noFill/>
                      </wps:spPr>
                      <wps:txbx>
                        <w:txbxContent>
                          <w:p>
                            <w:pPr>
                              <w:pStyle w:val="Style75"/>
                              <w:keepNext w:val="0"/>
                              <w:keepLines w:val="0"/>
                              <w:widowControl w:val="0"/>
                              <w:shd w:val="clear" w:color="auto" w:fill="auto"/>
                              <w:bidi w:val="0"/>
                              <w:spacing w:before="0" w:after="0" w:line="206" w:lineRule="auto"/>
                              <w:ind w:left="0" w:right="0" w:firstLine="0"/>
                              <w:jc w:val="center"/>
                            </w:pPr>
                            <w:r>
                              <w:rPr>
                                <w:b/>
                                <w:bCs/>
                                <w:color w:val="282238"/>
                                <w:spacing w:val="0"/>
                                <w:w w:val="100"/>
                                <w:position w:val="0"/>
                              </w:rPr>
                              <w:t>20 77</w:t>
                              <w:br/>
                            </w:r>
                            <w:r>
                              <w:rPr>
                                <w:rFonts w:ascii="Arial Unicode MS" w:eastAsia="Arial Unicode MS" w:hAnsi="Arial Unicode MS" w:cs="Arial Unicode MS"/>
                                <w:color w:val="282238"/>
                                <w:spacing w:val="0"/>
                                <w:w w:val="100"/>
                                <w:position w:val="0"/>
                              </w:rPr>
                              <w:t>美元</w:t>
                            </w:r>
                          </w:p>
                        </w:txbxContent>
                      </wps:txbx>
                      <wps:bodyPr lIns="0" tIns="0" rIns="0" bIns="0">
                        <a:noAutoFit/>
                      </wps:bodyPr>
                    </wps:wsp>
                  </a:graphicData>
                </a:graphic>
              </wp:anchor>
            </w:drawing>
          </mc:Choice>
          <mc:Fallback>
            <w:pict>
              <v:shape id="_x0000_s1415" type="#_x0000_t202" style="position:absolute;margin-left:292.pt;margin-top:113.7pt;width:21.600000000000001pt;height:21.100000000000001pt;z-index:-125829226;mso-wrap-distance-left:0;mso-wrap-distance-top:113.7pt;mso-wrap-distance-right:0;mso-wrap-distance-bottom:90.950000000000003pt;mso-position-horizontal-relative:page" filled="f" stroked="f">
                <v:textbox inset="0,0,0,0">
                  <w:txbxContent>
                    <w:p>
                      <w:pPr>
                        <w:pStyle w:val="Style75"/>
                        <w:keepNext w:val="0"/>
                        <w:keepLines w:val="0"/>
                        <w:widowControl w:val="0"/>
                        <w:shd w:val="clear" w:color="auto" w:fill="auto"/>
                        <w:bidi w:val="0"/>
                        <w:spacing w:before="0" w:after="0" w:line="206" w:lineRule="auto"/>
                        <w:ind w:left="0" w:right="0" w:firstLine="0"/>
                        <w:jc w:val="center"/>
                      </w:pPr>
                      <w:r>
                        <w:rPr>
                          <w:b/>
                          <w:bCs/>
                          <w:color w:val="282238"/>
                          <w:spacing w:val="0"/>
                          <w:w w:val="100"/>
                          <w:position w:val="0"/>
                        </w:rPr>
                        <w:t>20 77</w:t>
                        <w:br/>
                      </w:r>
                      <w:r>
                        <w:rPr>
                          <w:rFonts w:ascii="Arial Unicode MS" w:eastAsia="Arial Unicode MS" w:hAnsi="Arial Unicode MS" w:cs="Arial Unicode MS"/>
                          <w:color w:val="282238"/>
                          <w:spacing w:val="0"/>
                          <w:w w:val="100"/>
                          <w:position w:val="0"/>
                        </w:rPr>
                        <w:t>美元</w:t>
                      </w:r>
                    </w:p>
                  </w:txbxContent>
                </v:textbox>
                <w10:wrap type="topAndBottom" anchorx="page"/>
              </v:shape>
            </w:pict>
          </mc:Fallback>
        </mc:AlternateContent>
      </w:r>
      <w:r>
        <mc:AlternateContent>
          <mc:Choice Requires="wps">
            <w:drawing>
              <wp:anchor distT="187960" distB="1755775" distL="0" distR="0" simplePos="0" relativeHeight="125829529" behindDoc="0" locked="0" layoutInCell="1" allowOverlap="1">
                <wp:simplePos x="0" y="0"/>
                <wp:positionH relativeFrom="page">
                  <wp:posOffset>4125595</wp:posOffset>
                </wp:positionH>
                <wp:positionV relativeFrom="paragraph">
                  <wp:posOffset>187960</wp:posOffset>
                </wp:positionV>
                <wp:extent cx="323215" cy="923290"/>
                <wp:wrapTopAndBottom/>
                <wp:docPr id="391" name="Shape 391"/>
                <a:graphic xmlns:a="http://schemas.openxmlformats.org/drawingml/2006/main">
                  <a:graphicData uri="http://schemas.microsoft.com/office/word/2010/wordprocessingShape">
                    <wps:wsp>
                      <wps:cNvSpPr txBox="1"/>
                      <wps:spPr>
                        <a:xfrm>
                          <a:ext cx="323215" cy="923290"/>
                        </a:xfrm>
                        <a:prstGeom prst="rect"/>
                        <a:noFill/>
                      </wps:spPr>
                      <wps:txbx>
                        <w:txbxContent>
                          <w:p>
                            <w:pPr>
                              <w:pStyle w:val="Style102"/>
                              <w:keepNext w:val="0"/>
                              <w:keepLines w:val="0"/>
                              <w:widowControl w:val="0"/>
                              <w:shd w:val="clear" w:color="auto" w:fill="auto"/>
                              <w:bidi w:val="0"/>
                              <w:spacing w:before="0" w:after="0" w:line="173" w:lineRule="exact"/>
                              <w:ind w:left="0" w:right="0" w:firstLine="0"/>
                              <w:jc w:val="left"/>
                            </w:pPr>
                            <w:r>
                              <w:rPr>
                                <w:spacing w:val="0"/>
                                <w:w w:val="100"/>
                                <w:position w:val="0"/>
                              </w:rPr>
                              <w:t>*稣御嵌睫</w:t>
                            </w:r>
                            <w:r>
                              <w:rPr>
                                <w:color w:val="000000"/>
                                <w:spacing w:val="0"/>
                                <w:w w:val="100"/>
                                <w:position w:val="0"/>
                              </w:rPr>
                              <w:t>繇</w:t>
                            </w:r>
                            <w:r>
                              <w:rPr>
                                <w:rFonts w:ascii="Arial" w:eastAsia="Arial" w:hAnsi="Arial" w:cs="Arial"/>
                                <w:spacing w:val="0"/>
                                <w:w w:val="100"/>
                                <w:position w:val="0"/>
                                <w:sz w:val="14"/>
                                <w:szCs w:val="14"/>
                              </w:rPr>
                              <w:t>®</w:t>
                            </w:r>
                            <w:r>
                              <w:rPr>
                                <w:spacing w:val="0"/>
                                <w:w w:val="100"/>
                                <w:position w:val="0"/>
                              </w:rPr>
                              <w:t xml:space="preserve"> </w:t>
                            </w:r>
                            <w:r>
                              <w:rPr>
                                <w:color w:val="000000"/>
                                <w:spacing w:val="0"/>
                                <w:w w:val="100"/>
                                <w:position w:val="0"/>
                              </w:rPr>
                              <w:t>生</w:t>
                            </w:r>
                            <w:r>
                              <w:rPr>
                                <w:spacing w:val="0"/>
                                <w:w w:val="100"/>
                                <w:position w:val="0"/>
                              </w:rPr>
                              <w:t>伺于挣</w:t>
                            </w:r>
                            <w:r>
                              <w:rPr>
                                <w:color w:val="433A4E"/>
                                <w:spacing w:val="0"/>
                                <w:w w:val="100"/>
                                <w:position w:val="0"/>
                              </w:rPr>
                              <w:t>的琐</w:t>
                            </w:r>
                          </w:p>
                        </w:txbxContent>
                      </wps:txbx>
                      <wps:bodyPr upright="1" vert="eaVert" lIns="0" tIns="0" rIns="0" bIns="0">
                        <a:noAutoFit/>
                      </wps:bodyPr>
                    </wps:wsp>
                  </a:graphicData>
                </a:graphic>
              </wp:anchor>
            </w:drawing>
          </mc:Choice>
          <mc:Fallback>
            <w:pict>
              <v:shape id="_x0000_s1417" type="#_x0000_t202" style="position:absolute;margin-left:324.85000000000002pt;margin-top:14.800000000000001pt;width:25.449999999999999pt;height:72.700000000000003pt;z-index:-125829224;mso-wrap-distance-left:0;mso-wrap-distance-top:14.800000000000001pt;mso-wrap-distance-right:0;mso-wrap-distance-bottom:138.25pt;mso-position-horizontal-relative:page" filled="f" stroked="f">
                <v:textbox style="layout-flow:vertical-ideographic" inset="0,0,0,0">
                  <w:txbxContent>
                    <w:p>
                      <w:pPr>
                        <w:pStyle w:val="Style102"/>
                        <w:keepNext w:val="0"/>
                        <w:keepLines w:val="0"/>
                        <w:widowControl w:val="0"/>
                        <w:shd w:val="clear" w:color="auto" w:fill="auto"/>
                        <w:bidi w:val="0"/>
                        <w:spacing w:before="0" w:after="0" w:line="173" w:lineRule="exact"/>
                        <w:ind w:left="0" w:right="0" w:firstLine="0"/>
                        <w:jc w:val="left"/>
                      </w:pPr>
                      <w:r>
                        <w:rPr>
                          <w:spacing w:val="0"/>
                          <w:w w:val="100"/>
                          <w:position w:val="0"/>
                        </w:rPr>
                        <w:t>*稣御嵌睫</w:t>
                      </w:r>
                      <w:r>
                        <w:rPr>
                          <w:color w:val="000000"/>
                          <w:spacing w:val="0"/>
                          <w:w w:val="100"/>
                          <w:position w:val="0"/>
                        </w:rPr>
                        <w:t>繇</w:t>
                      </w:r>
                      <w:r>
                        <w:rPr>
                          <w:rFonts w:ascii="Arial" w:eastAsia="Arial" w:hAnsi="Arial" w:cs="Arial"/>
                          <w:spacing w:val="0"/>
                          <w:w w:val="100"/>
                          <w:position w:val="0"/>
                          <w:sz w:val="14"/>
                          <w:szCs w:val="14"/>
                        </w:rPr>
                        <w:t>®</w:t>
                      </w:r>
                      <w:r>
                        <w:rPr>
                          <w:spacing w:val="0"/>
                          <w:w w:val="100"/>
                          <w:position w:val="0"/>
                        </w:rPr>
                        <w:t xml:space="preserve"> </w:t>
                      </w:r>
                      <w:r>
                        <w:rPr>
                          <w:color w:val="000000"/>
                          <w:spacing w:val="0"/>
                          <w:w w:val="100"/>
                          <w:position w:val="0"/>
                        </w:rPr>
                        <w:t>生</w:t>
                      </w:r>
                      <w:r>
                        <w:rPr>
                          <w:spacing w:val="0"/>
                          <w:w w:val="100"/>
                          <w:position w:val="0"/>
                        </w:rPr>
                        <w:t>伺于挣</w:t>
                      </w:r>
                      <w:r>
                        <w:rPr>
                          <w:color w:val="433A4E"/>
                          <w:spacing w:val="0"/>
                          <w:w w:val="100"/>
                          <w:position w:val="0"/>
                        </w:rPr>
                        <w:t>的琐</w:t>
                      </w:r>
                    </w:p>
                  </w:txbxContent>
                </v:textbox>
                <w10:wrap type="topAndBottom" anchorx="page"/>
              </v:shape>
            </w:pict>
          </mc:Fallback>
        </mc:AlternateContent>
      </w:r>
      <w:r>
        <mc:AlternateContent>
          <mc:Choice Requires="wps">
            <w:drawing>
              <wp:anchor distT="255270" distB="1822450" distL="0" distR="0" simplePos="0" relativeHeight="125829531" behindDoc="0" locked="0" layoutInCell="1" allowOverlap="1">
                <wp:simplePos x="0" y="0"/>
                <wp:positionH relativeFrom="page">
                  <wp:posOffset>5649595</wp:posOffset>
                </wp:positionH>
                <wp:positionV relativeFrom="paragraph">
                  <wp:posOffset>255270</wp:posOffset>
                </wp:positionV>
                <wp:extent cx="133985" cy="789305"/>
                <wp:wrapTopAndBottom/>
                <wp:docPr id="393" name="Shape 393"/>
                <a:graphic xmlns:a="http://schemas.openxmlformats.org/drawingml/2006/main">
                  <a:graphicData uri="http://schemas.microsoft.com/office/word/2010/wordprocessingShape">
                    <wps:wsp>
                      <wps:cNvSpPr txBox="1"/>
                      <wps:spPr>
                        <a:xfrm>
                          <a:ext cx="133985" cy="78930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spacing w:val="0"/>
                                <w:w w:val="100"/>
                                <w:position w:val="0"/>
                              </w:rPr>
                              <w:t>少数度求权益</w:t>
                            </w:r>
                          </w:p>
                        </w:txbxContent>
                      </wps:txbx>
                      <wps:bodyPr upright="1" vert="eaVert" lIns="0" tIns="0" rIns="0" bIns="0">
                        <a:noAutoFit/>
                      </wps:bodyPr>
                    </wps:wsp>
                  </a:graphicData>
                </a:graphic>
              </wp:anchor>
            </w:drawing>
          </mc:Choice>
          <mc:Fallback>
            <w:pict>
              <v:shape id="_x0000_s1419" type="#_x0000_t202" style="position:absolute;margin-left:444.85000000000002pt;margin-top:20.100000000000001pt;width:10.550000000000001pt;height:62.149999999999999pt;z-index:-125829222;mso-wrap-distance-left:0;mso-wrap-distance-top:20.100000000000001pt;mso-wrap-distance-right:0;mso-wrap-distance-bottom:143.5pt;mso-position-horizontal-relative:page" filled="f" stroked="f">
                <v:textbox style="layout-flow:vertical-ideographic" inset="0,0,0,0">
                  <w:txbxContent>
                    <w:p>
                      <w:pPr>
                        <w:pStyle w:val="Style102"/>
                        <w:keepNext w:val="0"/>
                        <w:keepLines w:val="0"/>
                        <w:widowControl w:val="0"/>
                        <w:shd w:val="clear" w:color="auto" w:fill="auto"/>
                        <w:bidi w:val="0"/>
                        <w:spacing w:before="0" w:after="0" w:line="240" w:lineRule="auto"/>
                        <w:ind w:left="0" w:right="0" w:firstLine="0"/>
                        <w:jc w:val="left"/>
                      </w:pPr>
                      <w:r>
                        <w:rPr>
                          <w:spacing w:val="0"/>
                          <w:w w:val="100"/>
                          <w:position w:val="0"/>
                        </w:rPr>
                        <w:t>少数度求权益</w:t>
                      </w:r>
                    </w:p>
                  </w:txbxContent>
                </v:textbox>
                <w10:wrap type="topAndBottom" anchorx="page"/>
              </v:shape>
            </w:pict>
          </mc:Fallback>
        </mc:AlternateContent>
      </w:r>
      <w:r>
        <mc:AlternateContent>
          <mc:Choice Requires="wps">
            <w:drawing>
              <wp:anchor distT="389255" distB="1925955" distL="0" distR="0" simplePos="0" relativeHeight="125829533" behindDoc="0" locked="0" layoutInCell="1" allowOverlap="1">
                <wp:simplePos x="0" y="0"/>
                <wp:positionH relativeFrom="page">
                  <wp:posOffset>5945505</wp:posOffset>
                </wp:positionH>
                <wp:positionV relativeFrom="paragraph">
                  <wp:posOffset>389255</wp:posOffset>
                </wp:positionV>
                <wp:extent cx="542290" cy="551815"/>
                <wp:wrapTopAndBottom/>
                <wp:docPr id="395" name="Shape 395"/>
                <a:graphic xmlns:a="http://schemas.openxmlformats.org/drawingml/2006/main">
                  <a:graphicData uri="http://schemas.microsoft.com/office/word/2010/wordprocessingShape">
                    <wps:wsp>
                      <wps:cNvSpPr txBox="1"/>
                      <wps:spPr>
                        <a:xfrm>
                          <a:ext cx="542290" cy="551815"/>
                        </a:xfrm>
                        <a:prstGeom prst="rect"/>
                        <a:noFill/>
                      </wps:spPr>
                      <wps:txbx>
                        <w:txbxContent>
                          <w:p>
                            <w:pPr>
                              <w:pStyle w:val="Style88"/>
                              <w:keepNext w:val="0"/>
                              <w:keepLines w:val="0"/>
                              <w:widowControl w:val="0"/>
                              <w:shd w:val="clear" w:color="auto" w:fill="auto"/>
                              <w:bidi w:val="0"/>
                              <w:spacing w:before="0" w:after="0"/>
                              <w:ind w:left="0" w:right="0" w:firstLine="0"/>
                              <w:jc w:val="both"/>
                            </w:pPr>
                            <w:r>
                              <w:rPr>
                                <w:spacing w:val="0"/>
                                <w:w w:val="100"/>
                                <w:position w:val="0"/>
                              </w:rPr>
                              <w:t>少敛</w:t>
                            </w:r>
                            <w:r>
                              <w:rPr>
                                <w:rFonts w:ascii="Arial" w:eastAsia="Arial" w:hAnsi="Arial" w:cs="Arial"/>
                                <w:spacing w:val="0"/>
                                <w:w w:val="100"/>
                                <w:position w:val="0"/>
                              </w:rPr>
                              <w:t>■</w:t>
                            </w:r>
                            <w:r>
                              <w:rPr>
                                <w:spacing w:val="0"/>
                                <w:w w:val="100"/>
                                <w:position w:val="0"/>
                              </w:rPr>
                              <w:t>求权</w:t>
                            </w:r>
                            <w:r>
                              <w:rPr>
                                <w:rFonts w:ascii="Arial" w:eastAsia="Arial" w:hAnsi="Arial" w:cs="Arial"/>
                                <w:spacing w:val="0"/>
                                <w:w w:val="100"/>
                                <w:position w:val="0"/>
                              </w:rPr>
                              <w:t xml:space="preserve"> </w:t>
                            </w:r>
                            <w:r>
                              <w:rPr>
                                <w:color w:val="000000"/>
                                <w:spacing w:val="0"/>
                                <w:w w:val="100"/>
                                <w:position w:val="0"/>
                              </w:rPr>
                              <w:t>益中用于冲</w:t>
                            </w:r>
                            <w:r>
                              <w:rPr>
                                <w:rFonts w:ascii="Arial" w:eastAsia="Arial" w:hAnsi="Arial" w:cs="Arial"/>
                                <w:color w:val="000000"/>
                                <w:spacing w:val="0"/>
                                <w:w w:val="100"/>
                                <w:position w:val="0"/>
                              </w:rPr>
                              <w:t xml:space="preserve"> </w:t>
                            </w:r>
                            <w:r>
                              <w:rPr>
                                <w:spacing w:val="0"/>
                                <w:w w:val="100"/>
                                <w:position w:val="0"/>
                              </w:rPr>
                              <w:t>减少数股东</w:t>
                            </w:r>
                            <w:r>
                              <w:rPr>
                                <w:rFonts w:ascii="Arial" w:eastAsia="Arial" w:hAnsi="Arial" w:cs="Arial"/>
                                <w:spacing w:val="0"/>
                                <w:w w:val="100"/>
                                <w:position w:val="0"/>
                              </w:rPr>
                              <w:t xml:space="preserve"> </w:t>
                            </w:r>
                            <w:r>
                              <w:rPr>
                                <w:spacing w:val="0"/>
                                <w:w w:val="100"/>
                                <w:position w:val="0"/>
                              </w:rPr>
                              <w:t>损益的金散</w:t>
                            </w:r>
                          </w:p>
                        </w:txbxContent>
                      </wps:txbx>
                      <wps:bodyPr lIns="0" tIns="0" rIns="0" bIns="0">
                        <a:noAutoFit/>
                      </wps:bodyPr>
                    </wps:wsp>
                  </a:graphicData>
                </a:graphic>
              </wp:anchor>
            </w:drawing>
          </mc:Choice>
          <mc:Fallback>
            <w:pict>
              <v:shape id="_x0000_s1421" type="#_x0000_t202" style="position:absolute;margin-left:468.15000000000003pt;margin-top:30.650000000000002pt;width:42.700000000000003pt;height:43.450000000000003pt;z-index:-125829220;mso-wrap-distance-left:0;mso-wrap-distance-top:30.650000000000002pt;mso-wrap-distance-right:0;mso-wrap-distance-bottom:151.65000000000001pt;mso-position-horizontal-relative:page" filled="f" stroked="f">
                <v:textbox inset="0,0,0,0">
                  <w:txbxContent>
                    <w:p>
                      <w:pPr>
                        <w:pStyle w:val="Style88"/>
                        <w:keepNext w:val="0"/>
                        <w:keepLines w:val="0"/>
                        <w:widowControl w:val="0"/>
                        <w:shd w:val="clear" w:color="auto" w:fill="auto"/>
                        <w:bidi w:val="0"/>
                        <w:spacing w:before="0" w:after="0"/>
                        <w:ind w:left="0" w:right="0" w:firstLine="0"/>
                        <w:jc w:val="both"/>
                      </w:pPr>
                      <w:r>
                        <w:rPr>
                          <w:spacing w:val="0"/>
                          <w:w w:val="100"/>
                          <w:position w:val="0"/>
                        </w:rPr>
                        <w:t>少敛</w:t>
                      </w:r>
                      <w:r>
                        <w:rPr>
                          <w:rFonts w:ascii="Arial" w:eastAsia="Arial" w:hAnsi="Arial" w:cs="Arial"/>
                          <w:spacing w:val="0"/>
                          <w:w w:val="100"/>
                          <w:position w:val="0"/>
                        </w:rPr>
                        <w:t>■</w:t>
                      </w:r>
                      <w:r>
                        <w:rPr>
                          <w:spacing w:val="0"/>
                          <w:w w:val="100"/>
                          <w:position w:val="0"/>
                        </w:rPr>
                        <w:t>求权</w:t>
                      </w:r>
                      <w:r>
                        <w:rPr>
                          <w:rFonts w:ascii="Arial" w:eastAsia="Arial" w:hAnsi="Arial" w:cs="Arial"/>
                          <w:spacing w:val="0"/>
                          <w:w w:val="100"/>
                          <w:position w:val="0"/>
                        </w:rPr>
                        <w:t xml:space="preserve"> </w:t>
                      </w:r>
                      <w:r>
                        <w:rPr>
                          <w:color w:val="000000"/>
                          <w:spacing w:val="0"/>
                          <w:w w:val="100"/>
                          <w:position w:val="0"/>
                        </w:rPr>
                        <w:t>益中用于冲</w:t>
                      </w:r>
                      <w:r>
                        <w:rPr>
                          <w:rFonts w:ascii="Arial" w:eastAsia="Arial" w:hAnsi="Arial" w:cs="Arial"/>
                          <w:color w:val="000000"/>
                          <w:spacing w:val="0"/>
                          <w:w w:val="100"/>
                          <w:position w:val="0"/>
                        </w:rPr>
                        <w:t xml:space="preserve"> </w:t>
                      </w:r>
                      <w:r>
                        <w:rPr>
                          <w:spacing w:val="0"/>
                          <w:w w:val="100"/>
                          <w:position w:val="0"/>
                        </w:rPr>
                        <w:t>减少数股东</w:t>
                      </w:r>
                      <w:r>
                        <w:rPr>
                          <w:rFonts w:ascii="Arial" w:eastAsia="Arial" w:hAnsi="Arial" w:cs="Arial"/>
                          <w:spacing w:val="0"/>
                          <w:w w:val="100"/>
                          <w:position w:val="0"/>
                        </w:rPr>
                        <w:t xml:space="preserve"> </w:t>
                      </w:r>
                      <w:r>
                        <w:rPr>
                          <w:spacing w:val="0"/>
                          <w:w w:val="100"/>
                          <w:position w:val="0"/>
                        </w:rPr>
                        <w:t>损益的金散</w:t>
                      </w:r>
                    </w:p>
                  </w:txbxContent>
                </v:textbox>
                <w10:wrap type="topAndBottom" anchorx="page"/>
              </v:shape>
            </w:pict>
          </mc:Fallback>
        </mc:AlternateContent>
      </w:r>
      <w:r>
        <mc:AlternateContent>
          <mc:Choice Requires="wps">
            <w:drawing>
              <wp:anchor distT="50800" distB="1603375" distL="0" distR="0" simplePos="0" relativeHeight="125829535" behindDoc="0" locked="0" layoutInCell="1" allowOverlap="1">
                <wp:simplePos x="0" y="0"/>
                <wp:positionH relativeFrom="page">
                  <wp:posOffset>6621780</wp:posOffset>
                </wp:positionH>
                <wp:positionV relativeFrom="paragraph">
                  <wp:posOffset>50800</wp:posOffset>
                </wp:positionV>
                <wp:extent cx="646430" cy="1212850"/>
                <wp:wrapTopAndBottom/>
                <wp:docPr id="397" name="Shape 397"/>
                <a:graphic xmlns:a="http://schemas.openxmlformats.org/drawingml/2006/main">
                  <a:graphicData uri="http://schemas.microsoft.com/office/word/2010/wordprocessingShape">
                    <wps:wsp>
                      <wps:cNvSpPr txBox="1"/>
                      <wps:spPr>
                        <a:xfrm>
                          <a:ext cx="646430" cy="1212850"/>
                        </a:xfrm>
                        <a:prstGeom prst="rect"/>
                        <a:noFill/>
                      </wps:spPr>
                      <wps:txbx>
                        <w:txbxContent>
                          <w:p>
                            <w:pPr>
                              <w:pStyle w:val="Style88"/>
                              <w:keepNext w:val="0"/>
                              <w:keepLines w:val="0"/>
                              <w:widowControl w:val="0"/>
                              <w:shd w:val="clear" w:color="auto" w:fill="auto"/>
                              <w:bidi w:val="0"/>
                              <w:spacing w:before="0" w:after="0"/>
                              <w:ind w:left="0" w:right="0" w:firstLine="0"/>
                              <w:jc w:val="both"/>
                            </w:pPr>
                            <w:r>
                              <w:rPr>
                                <w:spacing w:val="0"/>
                                <w:w w:val="100"/>
                                <w:position w:val="0"/>
                              </w:rPr>
                              <w:t>从母公</w:t>
                            </w:r>
                            <w:r>
                              <w:rPr>
                                <w:color w:val="000000"/>
                                <w:spacing w:val="0"/>
                                <w:w w:val="100"/>
                                <w:position w:val="0"/>
                              </w:rPr>
                              <w:t>司所有</w:t>
                            </w:r>
                            <w:r>
                              <w:rPr>
                                <w:rFonts w:ascii="Arial" w:eastAsia="Arial" w:hAnsi="Arial" w:cs="Arial"/>
                                <w:color w:val="000000"/>
                                <w:spacing w:val="0"/>
                                <w:w w:val="100"/>
                                <w:position w:val="0"/>
                              </w:rPr>
                              <w:t xml:space="preserve"> </w:t>
                            </w:r>
                            <w:r>
                              <w:rPr>
                                <w:spacing w:val="0"/>
                                <w:w w:val="100"/>
                                <w:position w:val="0"/>
                              </w:rPr>
                              <w:t>巷枚益冲减于</w:t>
                            </w:r>
                            <w:r>
                              <w:rPr>
                                <w:rFonts w:ascii="Arial" w:eastAsia="Arial" w:hAnsi="Arial" w:cs="Arial"/>
                                <w:spacing w:val="0"/>
                                <w:w w:val="100"/>
                                <w:position w:val="0"/>
                              </w:rPr>
                              <w:t xml:space="preserve"> </w:t>
                            </w:r>
                            <w:r>
                              <w:rPr>
                                <w:spacing w:val="0"/>
                                <w:w w:val="100"/>
                                <w:position w:val="0"/>
                              </w:rPr>
                              <w:t>公司少数度宗</w:t>
                            </w:r>
                            <w:r>
                              <w:rPr>
                                <w:rFonts w:ascii="Arial" w:eastAsia="Arial" w:hAnsi="Arial" w:cs="Arial"/>
                                <w:spacing w:val="0"/>
                                <w:w w:val="100"/>
                                <w:position w:val="0"/>
                              </w:rPr>
                              <w:t xml:space="preserve"> </w:t>
                            </w:r>
                            <w:r>
                              <w:rPr>
                                <w:spacing w:val="0"/>
                                <w:w w:val="100"/>
                                <w:position w:val="0"/>
                              </w:rPr>
                              <w:t>分担的本</w:t>
                            </w:r>
                            <w:r>
                              <w:rPr>
                                <w:color w:val="000000"/>
                                <w:spacing w:val="0"/>
                                <w:w w:val="100"/>
                                <w:position w:val="0"/>
                              </w:rPr>
                              <w:t>期亏</w:t>
                            </w:r>
                            <w:r>
                              <w:rPr>
                                <w:rFonts w:ascii="Arial" w:eastAsia="Arial" w:hAnsi="Arial" w:cs="Arial"/>
                                <w:color w:val="000000"/>
                                <w:spacing w:val="0"/>
                                <w:w w:val="100"/>
                                <w:position w:val="0"/>
                              </w:rPr>
                              <w:t xml:space="preserve"> </w:t>
                            </w:r>
                            <w:r>
                              <w:rPr>
                                <w:spacing w:val="0"/>
                                <w:w w:val="100"/>
                                <w:position w:val="0"/>
                              </w:rPr>
                              <w:t>损</w:t>
                            </w:r>
                            <w:r>
                              <w:rPr>
                                <w:rFonts w:ascii="Arial" w:eastAsia="Arial" w:hAnsi="Arial" w:cs="Arial"/>
                                <w:spacing w:val="0"/>
                                <w:w w:val="100"/>
                                <w:position w:val="0"/>
                              </w:rPr>
                              <w:t>.</w:t>
                            </w:r>
                            <w:r>
                              <w:rPr>
                                <w:spacing w:val="0"/>
                                <w:w w:val="100"/>
                                <w:position w:val="0"/>
                              </w:rPr>
                              <w:t>超过少数股</w:t>
                            </w:r>
                            <w:r>
                              <w:rPr>
                                <w:rFonts w:ascii="Arial" w:eastAsia="Arial" w:hAnsi="Arial" w:cs="Arial"/>
                                <w:spacing w:val="0"/>
                                <w:w w:val="100"/>
                                <w:position w:val="0"/>
                              </w:rPr>
                              <w:t xml:space="preserve"> </w:t>
                            </w:r>
                            <w:r>
                              <w:rPr>
                                <w:spacing w:val="0"/>
                                <w:w w:val="100"/>
                                <w:position w:val="0"/>
                              </w:rPr>
                              <w:t>东在该于公司</w:t>
                            </w:r>
                            <w:r>
                              <w:rPr>
                                <w:rFonts w:ascii="Arial" w:eastAsia="Arial" w:hAnsi="Arial" w:cs="Arial"/>
                                <w:spacing w:val="0"/>
                                <w:w w:val="100"/>
                                <w:position w:val="0"/>
                              </w:rPr>
                              <w:t xml:space="preserve"> </w:t>
                            </w:r>
                            <w:r>
                              <w:rPr>
                                <w:spacing w:val="0"/>
                                <w:w w:val="100"/>
                                <w:position w:val="0"/>
                              </w:rPr>
                              <w:t>期切所有裁</w:t>
                            </w:r>
                            <w:r>
                              <w:rPr>
                                <w:rFonts w:ascii="Arial" w:eastAsia="Arial" w:hAnsi="Arial" w:cs="Arial"/>
                                <w:spacing w:val="0"/>
                                <w:w w:val="100"/>
                                <w:position w:val="0"/>
                              </w:rPr>
                              <w:t xml:space="preserve">. </w:t>
                            </w:r>
                            <w:r>
                              <w:rPr>
                                <w:spacing w:val="0"/>
                                <w:w w:val="100"/>
                                <w:position w:val="0"/>
                              </w:rPr>
                              <w:t>益中所享有任</w:t>
                            </w:r>
                          </w:p>
                          <w:p>
                            <w:pPr>
                              <w:pStyle w:val="Style88"/>
                              <w:keepNext w:val="0"/>
                              <w:keepLines w:val="0"/>
                              <w:widowControl w:val="0"/>
                              <w:shd w:val="clear" w:color="auto" w:fill="auto"/>
                              <w:bidi w:val="0"/>
                              <w:spacing w:before="0" w:after="0"/>
                              <w:ind w:left="0" w:right="0" w:firstLine="0"/>
                              <w:jc w:val="right"/>
                            </w:pPr>
                            <w:r>
                              <w:rPr>
                                <w:spacing w:val="0"/>
                                <w:w w:val="100"/>
                                <w:position w:val="0"/>
                              </w:rPr>
                              <w:t>起后的余觐</w:t>
                            </w:r>
                          </w:p>
                        </w:txbxContent>
                      </wps:txbx>
                      <wps:bodyPr lIns="0" tIns="0" rIns="0" bIns="0">
                        <a:noAutoFit/>
                      </wps:bodyPr>
                    </wps:wsp>
                  </a:graphicData>
                </a:graphic>
              </wp:anchor>
            </w:drawing>
          </mc:Choice>
          <mc:Fallback>
            <w:pict>
              <v:shape id="_x0000_s1423" type="#_x0000_t202" style="position:absolute;margin-left:521.39999999999998pt;margin-top:4.pt;width:50.899999999999999pt;height:95.5pt;z-index:-125829218;mso-wrap-distance-left:0;mso-wrap-distance-top:4.pt;mso-wrap-distance-right:0;mso-wrap-distance-bottom:126.25pt;mso-position-horizontal-relative:page" filled="f" stroked="f">
                <v:textbox inset="0,0,0,0">
                  <w:txbxContent>
                    <w:p>
                      <w:pPr>
                        <w:pStyle w:val="Style88"/>
                        <w:keepNext w:val="0"/>
                        <w:keepLines w:val="0"/>
                        <w:widowControl w:val="0"/>
                        <w:shd w:val="clear" w:color="auto" w:fill="auto"/>
                        <w:bidi w:val="0"/>
                        <w:spacing w:before="0" w:after="0"/>
                        <w:ind w:left="0" w:right="0" w:firstLine="0"/>
                        <w:jc w:val="both"/>
                      </w:pPr>
                      <w:r>
                        <w:rPr>
                          <w:spacing w:val="0"/>
                          <w:w w:val="100"/>
                          <w:position w:val="0"/>
                        </w:rPr>
                        <w:t>从母公</w:t>
                      </w:r>
                      <w:r>
                        <w:rPr>
                          <w:color w:val="000000"/>
                          <w:spacing w:val="0"/>
                          <w:w w:val="100"/>
                          <w:position w:val="0"/>
                        </w:rPr>
                        <w:t>司所有</w:t>
                      </w:r>
                      <w:r>
                        <w:rPr>
                          <w:rFonts w:ascii="Arial" w:eastAsia="Arial" w:hAnsi="Arial" w:cs="Arial"/>
                          <w:color w:val="000000"/>
                          <w:spacing w:val="0"/>
                          <w:w w:val="100"/>
                          <w:position w:val="0"/>
                        </w:rPr>
                        <w:t xml:space="preserve"> </w:t>
                      </w:r>
                      <w:r>
                        <w:rPr>
                          <w:spacing w:val="0"/>
                          <w:w w:val="100"/>
                          <w:position w:val="0"/>
                        </w:rPr>
                        <w:t>巷枚益冲减于</w:t>
                      </w:r>
                      <w:r>
                        <w:rPr>
                          <w:rFonts w:ascii="Arial" w:eastAsia="Arial" w:hAnsi="Arial" w:cs="Arial"/>
                          <w:spacing w:val="0"/>
                          <w:w w:val="100"/>
                          <w:position w:val="0"/>
                        </w:rPr>
                        <w:t xml:space="preserve"> </w:t>
                      </w:r>
                      <w:r>
                        <w:rPr>
                          <w:spacing w:val="0"/>
                          <w:w w:val="100"/>
                          <w:position w:val="0"/>
                        </w:rPr>
                        <w:t>公司少数度宗</w:t>
                      </w:r>
                      <w:r>
                        <w:rPr>
                          <w:rFonts w:ascii="Arial" w:eastAsia="Arial" w:hAnsi="Arial" w:cs="Arial"/>
                          <w:spacing w:val="0"/>
                          <w:w w:val="100"/>
                          <w:position w:val="0"/>
                        </w:rPr>
                        <w:t xml:space="preserve"> </w:t>
                      </w:r>
                      <w:r>
                        <w:rPr>
                          <w:spacing w:val="0"/>
                          <w:w w:val="100"/>
                          <w:position w:val="0"/>
                        </w:rPr>
                        <w:t>分担的本</w:t>
                      </w:r>
                      <w:r>
                        <w:rPr>
                          <w:color w:val="000000"/>
                          <w:spacing w:val="0"/>
                          <w:w w:val="100"/>
                          <w:position w:val="0"/>
                        </w:rPr>
                        <w:t>期亏</w:t>
                      </w:r>
                      <w:r>
                        <w:rPr>
                          <w:rFonts w:ascii="Arial" w:eastAsia="Arial" w:hAnsi="Arial" w:cs="Arial"/>
                          <w:color w:val="000000"/>
                          <w:spacing w:val="0"/>
                          <w:w w:val="100"/>
                          <w:position w:val="0"/>
                        </w:rPr>
                        <w:t xml:space="preserve"> </w:t>
                      </w:r>
                      <w:r>
                        <w:rPr>
                          <w:spacing w:val="0"/>
                          <w:w w:val="100"/>
                          <w:position w:val="0"/>
                        </w:rPr>
                        <w:t>损</w:t>
                      </w:r>
                      <w:r>
                        <w:rPr>
                          <w:rFonts w:ascii="Arial" w:eastAsia="Arial" w:hAnsi="Arial" w:cs="Arial"/>
                          <w:spacing w:val="0"/>
                          <w:w w:val="100"/>
                          <w:position w:val="0"/>
                        </w:rPr>
                        <w:t>.</w:t>
                      </w:r>
                      <w:r>
                        <w:rPr>
                          <w:spacing w:val="0"/>
                          <w:w w:val="100"/>
                          <w:position w:val="0"/>
                        </w:rPr>
                        <w:t>超过少数股</w:t>
                      </w:r>
                      <w:r>
                        <w:rPr>
                          <w:rFonts w:ascii="Arial" w:eastAsia="Arial" w:hAnsi="Arial" w:cs="Arial"/>
                          <w:spacing w:val="0"/>
                          <w:w w:val="100"/>
                          <w:position w:val="0"/>
                        </w:rPr>
                        <w:t xml:space="preserve"> </w:t>
                      </w:r>
                      <w:r>
                        <w:rPr>
                          <w:spacing w:val="0"/>
                          <w:w w:val="100"/>
                          <w:position w:val="0"/>
                        </w:rPr>
                        <w:t>东在该于公司</w:t>
                      </w:r>
                      <w:r>
                        <w:rPr>
                          <w:rFonts w:ascii="Arial" w:eastAsia="Arial" w:hAnsi="Arial" w:cs="Arial"/>
                          <w:spacing w:val="0"/>
                          <w:w w:val="100"/>
                          <w:position w:val="0"/>
                        </w:rPr>
                        <w:t xml:space="preserve"> </w:t>
                      </w:r>
                      <w:r>
                        <w:rPr>
                          <w:spacing w:val="0"/>
                          <w:w w:val="100"/>
                          <w:position w:val="0"/>
                        </w:rPr>
                        <w:t>期切所有裁</w:t>
                      </w:r>
                      <w:r>
                        <w:rPr>
                          <w:rFonts w:ascii="Arial" w:eastAsia="Arial" w:hAnsi="Arial" w:cs="Arial"/>
                          <w:spacing w:val="0"/>
                          <w:w w:val="100"/>
                          <w:position w:val="0"/>
                        </w:rPr>
                        <w:t xml:space="preserve">. </w:t>
                      </w:r>
                      <w:r>
                        <w:rPr>
                          <w:spacing w:val="0"/>
                          <w:w w:val="100"/>
                          <w:position w:val="0"/>
                        </w:rPr>
                        <w:t>益中所享有任</w:t>
                      </w:r>
                    </w:p>
                    <w:p>
                      <w:pPr>
                        <w:pStyle w:val="Style88"/>
                        <w:keepNext w:val="0"/>
                        <w:keepLines w:val="0"/>
                        <w:widowControl w:val="0"/>
                        <w:shd w:val="clear" w:color="auto" w:fill="auto"/>
                        <w:bidi w:val="0"/>
                        <w:spacing w:before="0" w:after="0"/>
                        <w:ind w:left="0" w:right="0" w:firstLine="0"/>
                        <w:jc w:val="right"/>
                      </w:pPr>
                      <w:r>
                        <w:rPr>
                          <w:spacing w:val="0"/>
                          <w:w w:val="100"/>
                          <w:position w:val="0"/>
                        </w:rPr>
                        <w:t>起后的余觐</w:t>
                      </w:r>
                    </w:p>
                  </w:txbxContent>
                </v:textbox>
                <w10:wrap type="topAndBottom" anchorx="page"/>
              </v:shape>
            </w:pict>
          </mc:Fallback>
        </mc:AlternateContent>
      </w:r>
      <w:r>
        <w:drawing>
          <wp:anchor distT="1285240" distB="0" distL="0" distR="0" simplePos="0" relativeHeight="125829537" behindDoc="0" locked="0" layoutInCell="1" allowOverlap="1">
            <wp:simplePos x="0" y="0"/>
            <wp:positionH relativeFrom="page">
              <wp:posOffset>4610100</wp:posOffset>
            </wp:positionH>
            <wp:positionV relativeFrom="paragraph">
              <wp:posOffset>1285240</wp:posOffset>
            </wp:positionV>
            <wp:extent cx="2773680" cy="1584960"/>
            <wp:wrapTopAndBottom/>
            <wp:docPr id="399" name="Shape 399"/>
            <a:graphic xmlns:a="http://schemas.openxmlformats.org/drawingml/2006/main">
              <a:graphicData uri="http://schemas.openxmlformats.org/drawingml/2006/picture">
                <pic:pic xmlns:pic="http://schemas.openxmlformats.org/drawingml/2006/picture">
                  <pic:nvPicPr>
                    <pic:cNvPr id="400" name="Picture box 400"/>
                    <pic:cNvPicPr/>
                  </pic:nvPicPr>
                  <pic:blipFill>
                    <a:blip r:embed="rId107"/>
                    <a:stretch/>
                  </pic:blipFill>
                  <pic:spPr>
                    <a:xfrm>
                      <a:ext cx="2773680" cy="1584960"/>
                    </a:xfrm>
                    <a:prstGeom prst="rect"/>
                  </pic:spPr>
                </pic:pic>
              </a:graphicData>
            </a:graphic>
          </wp:anchor>
        </w:drawing>
      </w:r>
    </w:p>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说明：公司于</w:t>
      </w:r>
      <w:r>
        <w:rPr>
          <w:color w:val="000000"/>
          <w:spacing w:val="0"/>
          <w:w w:val="100"/>
          <w:position w:val="0"/>
          <w:sz w:val="20"/>
          <w:szCs w:val="20"/>
        </w:rPr>
        <w:t>2016</w:t>
      </w:r>
      <w:r>
        <w:rPr>
          <w:rFonts w:ascii="SimSun" w:eastAsia="SimSun" w:hAnsi="SimSun" w:cs="SimSun"/>
          <w:color w:val="000000"/>
          <w:spacing w:val="0"/>
          <w:w w:val="100"/>
          <w:position w:val="0"/>
          <w:sz w:val="19"/>
          <w:szCs w:val="19"/>
        </w:rPr>
        <w:t>年</w:t>
      </w:r>
      <w:r>
        <w:rPr>
          <w:color w:val="000000"/>
          <w:spacing w:val="0"/>
          <w:w w:val="100"/>
          <w:position w:val="0"/>
          <w:sz w:val="20"/>
          <w:szCs w:val="20"/>
        </w:rPr>
        <w:t>5</w:t>
      </w:r>
      <w:r>
        <w:rPr>
          <w:rFonts w:ascii="SimSun" w:eastAsia="SimSun" w:hAnsi="SimSun" w:cs="SimSun"/>
          <w:color w:val="000000"/>
          <w:spacing w:val="0"/>
          <w:w w:val="100"/>
          <w:position w:val="0"/>
          <w:sz w:val="19"/>
          <w:szCs w:val="19"/>
        </w:rPr>
        <w:t>月</w:t>
      </w:r>
      <w:r>
        <w:rPr>
          <w:color w:val="000000"/>
          <w:spacing w:val="0"/>
          <w:w w:val="100"/>
          <w:position w:val="0"/>
          <w:sz w:val="20"/>
          <w:szCs w:val="20"/>
        </w:rPr>
        <w:t>5</w:t>
      </w:r>
      <w:r>
        <w:rPr>
          <w:rFonts w:ascii="SimSun" w:eastAsia="SimSun" w:hAnsi="SimSun" w:cs="SimSun"/>
          <w:color w:val="000000"/>
          <w:spacing w:val="0"/>
          <w:w w:val="100"/>
          <w:position w:val="0"/>
          <w:sz w:val="19"/>
          <w:szCs w:val="19"/>
        </w:rPr>
        <w:t>日在美国设立全资子公司</w:t>
      </w:r>
      <w:r>
        <w:rPr>
          <w:color w:val="000000"/>
          <w:spacing w:val="0"/>
          <w:w w:val="100"/>
          <w:position w:val="0"/>
          <w:sz w:val="20"/>
          <w:szCs w:val="20"/>
        </w:rPr>
        <w:t>Lifesense Health Inc.</w:t>
      </w:r>
      <w:r>
        <w:rPr>
          <w:color w:val="000000"/>
          <w:spacing w:val="0"/>
          <w:w w:val="100"/>
          <w:position w:val="0"/>
          <w:sz w:val="20"/>
          <w:szCs w:val="20"/>
        </w:rPr>
        <w:t>,</w:t>
      </w:r>
      <w:r>
        <w:rPr>
          <w:rFonts w:ascii="SimSun" w:eastAsia="SimSun" w:hAnsi="SimSun" w:cs="SimSun"/>
          <w:color w:val="000000"/>
          <w:spacing w:val="0"/>
          <w:w w:val="100"/>
          <w:position w:val="0"/>
          <w:sz w:val="19"/>
          <w:szCs w:val="19"/>
        </w:rPr>
        <w:t>注册地址为</w:t>
      </w:r>
      <w:r>
        <w:rPr>
          <w:color w:val="000000"/>
          <w:spacing w:val="0"/>
          <w:w w:val="100"/>
          <w:position w:val="0"/>
          <w:sz w:val="20"/>
          <w:szCs w:val="20"/>
        </w:rPr>
        <w:t>2225E. Bayshore,STE200 Palo Alto CA 94303,</w:t>
      </w:r>
      <w:r>
        <w:rPr>
          <w:rFonts w:ascii="SimSun" w:eastAsia="SimSun" w:hAnsi="SimSun" w:cs="SimSun"/>
          <w:color w:val="000000"/>
          <w:spacing w:val="0"/>
          <w:w w:val="100"/>
          <w:position w:val="0"/>
          <w:sz w:val="19"/>
          <w:szCs w:val="19"/>
        </w:rPr>
        <w:t>并取得了广东省商务厅核发的企业境外投资证书（境外投资证第</w:t>
      </w:r>
      <w:r>
        <w:rPr>
          <w:color w:val="000000"/>
          <w:spacing w:val="0"/>
          <w:w w:val="100"/>
          <w:position w:val="0"/>
          <w:sz w:val="20"/>
          <w:szCs w:val="20"/>
        </w:rPr>
        <w:t>N4400201600378）,</w:t>
      </w:r>
      <w:r>
        <w:rPr>
          <w:rFonts w:ascii="SimSun" w:eastAsia="SimSun" w:hAnsi="SimSun" w:cs="SimSun"/>
          <w:color w:val="000000"/>
          <w:spacing w:val="0"/>
          <w:w w:val="100"/>
          <w:position w:val="0"/>
          <w:sz w:val="19"/>
          <w:szCs w:val="19"/>
        </w:rPr>
        <w:t xml:space="preserve">截止 </w:t>
      </w:r>
      <w:r>
        <w:rPr>
          <w:color w:val="000000"/>
          <w:spacing w:val="0"/>
          <w:w w:val="100"/>
          <w:position w:val="0"/>
          <w:sz w:val="20"/>
          <w:szCs w:val="20"/>
        </w:rPr>
        <w:t>2016</w:t>
      </w:r>
      <w:r>
        <w:rPr>
          <w:rFonts w:ascii="SimSun" w:eastAsia="SimSun" w:hAnsi="SimSun" w:cs="SimSun"/>
          <w:color w:val="000000"/>
          <w:spacing w:val="0"/>
          <w:w w:val="100"/>
          <w:position w:val="0"/>
          <w:sz w:val="19"/>
          <w:szCs w:val="19"/>
        </w:rPr>
        <w:t>年</w:t>
      </w:r>
      <w:r>
        <w:rPr>
          <w:color w:val="000000"/>
          <w:spacing w:val="0"/>
          <w:w w:val="100"/>
          <w:position w:val="0"/>
          <w:sz w:val="20"/>
          <w:szCs w:val="20"/>
        </w:rPr>
        <w:t>12</w:t>
      </w:r>
      <w:r>
        <w:rPr>
          <w:rFonts w:ascii="SimSun" w:eastAsia="SimSun" w:hAnsi="SimSun" w:cs="SimSun"/>
          <w:color w:val="000000"/>
          <w:spacing w:val="0"/>
          <w:w w:val="100"/>
          <w:position w:val="0"/>
          <w:sz w:val="19"/>
          <w:szCs w:val="19"/>
        </w:rPr>
        <w:t>月</w:t>
      </w:r>
      <w:r>
        <w:rPr>
          <w:color w:val="000000"/>
          <w:spacing w:val="0"/>
          <w:w w:val="100"/>
          <w:position w:val="0"/>
          <w:sz w:val="20"/>
          <w:szCs w:val="20"/>
        </w:rPr>
        <w:t>31</w:t>
      </w:r>
      <w:r>
        <w:rPr>
          <w:rFonts w:ascii="SimSun" w:eastAsia="SimSun" w:hAnsi="SimSun" w:cs="SimSun"/>
          <w:color w:val="000000"/>
          <w:spacing w:val="0"/>
          <w:w w:val="100"/>
          <w:position w:val="0"/>
          <w:sz w:val="19"/>
          <w:szCs w:val="19"/>
        </w:rPr>
        <w:t>日，实际投资额为</w:t>
      </w:r>
      <w:r>
        <w:rPr>
          <w:color w:val="000000"/>
          <w:spacing w:val="0"/>
          <w:w w:val="100"/>
          <w:position w:val="0"/>
          <w:sz w:val="20"/>
          <w:szCs w:val="20"/>
        </w:rPr>
        <w:t>200,000.00</w:t>
      </w:r>
      <w:r>
        <w:rPr>
          <w:rFonts w:ascii="SimSun" w:eastAsia="SimSun" w:hAnsi="SimSun" w:cs="SimSun"/>
          <w:color w:val="000000"/>
          <w:spacing w:val="0"/>
          <w:w w:val="100"/>
          <w:position w:val="0"/>
          <w:sz w:val="19"/>
          <w:szCs w:val="19"/>
        </w:rPr>
        <w:t>美元，折合</w:t>
      </w:r>
      <w:r>
        <w:rPr>
          <w:color w:val="000000"/>
          <w:spacing w:val="0"/>
          <w:w w:val="100"/>
          <w:position w:val="0"/>
          <w:sz w:val="20"/>
          <w:szCs w:val="20"/>
        </w:rPr>
        <w:t>1,353,445.00</w:t>
      </w:r>
      <w:r>
        <w:rPr>
          <w:rFonts w:ascii="SimSun" w:eastAsia="SimSun" w:hAnsi="SimSun" w:cs="SimSun"/>
          <w:color w:val="000000"/>
          <w:spacing w:val="0"/>
          <w:w w:val="100"/>
          <w:position w:val="0"/>
          <w:sz w:val="19"/>
          <w:szCs w:val="19"/>
        </w:rPr>
        <w:t>元人民币。</w:t>
      </w:r>
    </w:p>
    <w:p>
      <w:pPr>
        <w:pStyle w:val="Style2"/>
        <w:keepNext w:val="0"/>
        <w:keepLines w:val="0"/>
        <w:widowControl w:val="0"/>
        <w:shd w:val="clear" w:color="auto" w:fill="auto"/>
        <w:bidi w:val="0"/>
        <w:spacing w:before="0" w:after="740" w:line="312" w:lineRule="exact"/>
        <w:ind w:left="0" w:right="0" w:firstLine="0"/>
        <w:jc w:val="left"/>
        <w:rPr>
          <w:sz w:val="19"/>
          <w:szCs w:val="19"/>
        </w:rPr>
      </w:pPr>
      <w:r>
        <w:rPr>
          <w:rFonts w:ascii="SimSun" w:eastAsia="SimSun" w:hAnsi="SimSun" w:cs="SimSun"/>
          <w:color w:val="000000"/>
          <w:spacing w:val="0"/>
          <w:w w:val="100"/>
          <w:position w:val="0"/>
          <w:sz w:val="19"/>
          <w:szCs w:val="19"/>
        </w:rPr>
        <w:t>公司于</w:t>
      </w:r>
      <w:r>
        <w:rPr>
          <w:color w:val="000000"/>
          <w:spacing w:val="0"/>
          <w:w w:val="100"/>
          <w:position w:val="0"/>
          <w:sz w:val="20"/>
          <w:szCs w:val="20"/>
        </w:rPr>
        <w:t>2016</w:t>
      </w:r>
      <w:r>
        <w:rPr>
          <w:rFonts w:ascii="SimSun" w:eastAsia="SimSun" w:hAnsi="SimSun" w:cs="SimSun"/>
          <w:color w:val="000000"/>
          <w:spacing w:val="0"/>
          <w:w w:val="100"/>
          <w:position w:val="0"/>
          <w:sz w:val="19"/>
          <w:szCs w:val="19"/>
        </w:rPr>
        <w:t>年</w:t>
      </w:r>
      <w:r>
        <w:rPr>
          <w:color w:val="000000"/>
          <w:spacing w:val="0"/>
          <w:w w:val="100"/>
          <w:position w:val="0"/>
          <w:sz w:val="20"/>
          <w:szCs w:val="20"/>
        </w:rPr>
        <w:t>12</w:t>
      </w:r>
      <w:r>
        <w:rPr>
          <w:rFonts w:ascii="SimSun" w:eastAsia="SimSun" w:hAnsi="SimSun" w:cs="SimSun"/>
          <w:color w:val="000000"/>
          <w:spacing w:val="0"/>
          <w:w w:val="100"/>
          <w:position w:val="0"/>
          <w:sz w:val="19"/>
          <w:szCs w:val="19"/>
        </w:rPr>
        <w:t>月</w:t>
      </w:r>
      <w:r>
        <w:rPr>
          <w:color w:val="000000"/>
          <w:spacing w:val="0"/>
          <w:w w:val="100"/>
          <w:position w:val="0"/>
          <w:sz w:val="20"/>
          <w:szCs w:val="20"/>
        </w:rPr>
        <w:t>20</w:t>
      </w:r>
      <w:r>
        <w:rPr>
          <w:rFonts w:ascii="SimSun" w:eastAsia="SimSun" w:hAnsi="SimSun" w:cs="SimSun"/>
          <w:color w:val="000000"/>
          <w:spacing w:val="0"/>
          <w:w w:val="100"/>
          <w:position w:val="0"/>
          <w:sz w:val="19"/>
          <w:szCs w:val="19"/>
        </w:rPr>
        <w:t>日在香港设立全资子公司香港创源有限公司，注册地址为香港九龙湾宏开道</w:t>
      </w:r>
      <w:r>
        <w:rPr>
          <w:color w:val="000000"/>
          <w:spacing w:val="0"/>
          <w:w w:val="100"/>
          <w:position w:val="0"/>
          <w:sz w:val="20"/>
          <w:szCs w:val="20"/>
        </w:rPr>
        <w:t>8</w:t>
      </w:r>
      <w:r>
        <w:rPr>
          <w:rFonts w:ascii="SimSun" w:eastAsia="SimSun" w:hAnsi="SimSun" w:cs="SimSun"/>
          <w:color w:val="000000"/>
          <w:spacing w:val="0"/>
          <w:w w:val="100"/>
          <w:position w:val="0"/>
          <w:sz w:val="19"/>
          <w:szCs w:val="19"/>
        </w:rPr>
        <w:t>号其士商业中 心</w:t>
      </w:r>
      <w:r>
        <w:rPr>
          <w:color w:val="000000"/>
          <w:spacing w:val="0"/>
          <w:w w:val="100"/>
          <w:position w:val="0"/>
          <w:sz w:val="20"/>
          <w:szCs w:val="20"/>
        </w:rPr>
        <w:t>10</w:t>
      </w:r>
      <w:r>
        <w:rPr>
          <w:rFonts w:ascii="SimSun" w:eastAsia="SimSun" w:hAnsi="SimSun" w:cs="SimSun"/>
          <w:color w:val="000000"/>
          <w:spacing w:val="0"/>
          <w:w w:val="100"/>
          <w:position w:val="0"/>
          <w:sz w:val="19"/>
          <w:szCs w:val="19"/>
        </w:rPr>
        <w:t>楼</w:t>
      </w:r>
      <w:r>
        <w:rPr>
          <w:color w:val="000000"/>
          <w:spacing w:val="0"/>
          <w:w w:val="100"/>
          <w:position w:val="0"/>
          <w:sz w:val="20"/>
          <w:szCs w:val="20"/>
        </w:rPr>
        <w:t>9</w:t>
      </w:r>
      <w:r>
        <w:rPr>
          <w:rFonts w:ascii="SimSun" w:eastAsia="SimSun" w:hAnsi="SimSun" w:cs="SimSun"/>
          <w:color w:val="000000"/>
          <w:spacing w:val="0"/>
          <w:w w:val="100"/>
          <w:position w:val="0"/>
          <w:sz w:val="19"/>
          <w:szCs w:val="19"/>
        </w:rPr>
        <w:t>室，并取得香港特别行政区公司注册处核发的编号为</w:t>
      </w:r>
      <w:r>
        <w:rPr>
          <w:color w:val="000000"/>
          <w:spacing w:val="0"/>
          <w:w w:val="100"/>
          <w:position w:val="0"/>
          <w:sz w:val="20"/>
          <w:szCs w:val="20"/>
        </w:rPr>
        <w:t>2467085</w:t>
      </w:r>
      <w:r>
        <w:rPr>
          <w:rFonts w:ascii="SimSun" w:eastAsia="SimSun" w:hAnsi="SimSun" w:cs="SimSun"/>
          <w:color w:val="000000"/>
          <w:spacing w:val="0"/>
          <w:w w:val="100"/>
          <w:position w:val="0"/>
          <w:sz w:val="19"/>
          <w:szCs w:val="19"/>
        </w:rPr>
        <w:t>公司注册证明书。</w:t>
      </w:r>
    </w:p>
    <w:p>
      <w:pPr>
        <w:pStyle w:val="Style33"/>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color w:val="000000"/>
          <w:spacing w:val="0"/>
          <w:w w:val="100"/>
          <w:position w:val="0"/>
        </w:rPr>
        <w:t>、其他</w:t>
      </w:r>
      <w:bookmarkEnd w:id="1721"/>
      <w:bookmarkEnd w:id="1722"/>
      <w:bookmarkEnd w:id="172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九</w:t>
      </w:r>
      <w:bookmarkEnd w:id="1727"/>
      <w:r>
        <w:rPr>
          <w:color w:val="000000"/>
          <w:spacing w:val="0"/>
          <w:w w:val="100"/>
          <w:position w:val="0"/>
        </w:rPr>
        <w:t>、在其他主体中的权益</w:t>
      </w:r>
      <w:bookmarkEnd w:id="1725"/>
      <w:bookmarkEnd w:id="1726"/>
      <w:bookmarkEnd w:id="1728"/>
    </w:p>
    <w:p>
      <w:pPr>
        <w:pStyle w:val="Style33"/>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9"/>
      <w:bookmarkEnd w:id="1730"/>
      <w:bookmarkEnd w:id="1731"/>
    </w:p>
    <w:p>
      <w:pPr>
        <w:pStyle w:val="Style40"/>
        <w:keepNext/>
        <w:keepLines/>
        <w:widowControl w:val="0"/>
        <w:shd w:val="clear" w:color="auto" w:fill="auto"/>
        <w:bidi w:val="0"/>
        <w:spacing w:before="0" w:after="360" w:line="240" w:lineRule="auto"/>
        <w:ind w:left="0" w:right="0" w:firstLine="14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32"/>
      <w:bookmarkEnd w:id="1733"/>
      <w:bookmarkEnd w:id="173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中山市创源传 感器有限公司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深圳市乐心医 疗电子有限公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Lifesense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Health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香港创源有限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35"/>
      <w:bookmarkEnd w:id="1736"/>
      <w:bookmarkEnd w:id="173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期末少数股东权益余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73"/>
        </w:numPr>
        <w:shd w:val="clear" w:color="auto" w:fill="auto"/>
        <w:bidi w:val="0"/>
        <w:spacing w:before="0" w:after="40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重要非全资子公司的主要财务信息</w:t>
      </w:r>
      <w:bookmarkEnd w:id="1738"/>
      <w:bookmarkEnd w:id="1739"/>
      <w:bookmarkEnd w:id="1741"/>
    </w:p>
    <w:p>
      <w:pPr>
        <w:pStyle w:val="Style21"/>
        <w:keepNext w:val="0"/>
        <w:keepLines w:val="0"/>
        <w:widowControl w:val="0"/>
        <w:shd w:val="clear" w:color="auto" w:fill="auto"/>
        <w:bidi w:val="0"/>
        <w:spacing w:before="0" w:after="260" w:line="240" w:lineRule="auto"/>
        <w:ind w:left="0" w:right="0" w:firstLine="0"/>
        <w:jc w:val="right"/>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20" w:right="1069" w:bottom="1470" w:left="105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rPr>
                <w:sz w:val="17"/>
                <w:szCs w:val="17"/>
              </w:rPr>
            </w:pPr>
            <w:r>
              <w:rPr>
                <w:rFonts w:ascii="SimSun" w:eastAsia="SimSun" w:hAnsi="SimSun" w:cs="SimSun"/>
                <w:color w:val="000000"/>
                <w:spacing w:val="0"/>
                <w:w w:val="100"/>
                <w:position w:val="0"/>
                <w:sz w:val="17"/>
                <w:szCs w:val="17"/>
              </w:rPr>
              <w:t>负债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rPr>
                <w:sz w:val="17"/>
                <w:szCs w:val="17"/>
              </w:rPr>
            </w:pPr>
            <w:r>
              <w:rPr>
                <w:rFonts w:ascii="SimSun" w:eastAsia="SimSun" w:hAnsi="SimSun" w:cs="SimSun"/>
                <w:color w:val="000000"/>
                <w:spacing w:val="0"/>
                <w:w w:val="100"/>
                <w:position w:val="0"/>
                <w:sz w:val="17"/>
                <w:szCs w:val="17"/>
              </w:rPr>
              <w:t>负债 合计</w:t>
            </w:r>
          </w:p>
        </w:tc>
      </w:tr>
    </w:tbl>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0"/>
              <w:jc w:val="left"/>
              <w:rPr>
                <w:sz w:val="17"/>
                <w:szCs w:val="17"/>
              </w:rPr>
            </w:pPr>
            <w:r>
              <w:rPr>
                <w:rFonts w:ascii="SimSun" w:eastAsia="SimSun" w:hAnsi="SimSun" w:cs="SimSun"/>
                <w:color w:val="000000"/>
                <w:spacing w:val="0"/>
                <w:w w:val="100"/>
                <w:position w:val="0"/>
                <w:sz w:val="17"/>
                <w:szCs w:val="17"/>
              </w:rPr>
              <w:t>经营活动 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0"/>
              <w:jc w:val="left"/>
              <w:rPr>
                <w:sz w:val="17"/>
                <w:szCs w:val="17"/>
              </w:rPr>
            </w:pPr>
            <w:r>
              <w:rPr>
                <w:rFonts w:ascii="SimSun" w:eastAsia="SimSun" w:hAnsi="SimSun" w:cs="SimSun"/>
                <w:color w:val="000000"/>
                <w:spacing w:val="0"/>
                <w:w w:val="100"/>
                <w:position w:val="0"/>
                <w:sz w:val="17"/>
                <w:szCs w:val="17"/>
              </w:rPr>
              <w:t>经营活动 现金流量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shd w:val="clear" w:color="auto" w:fill="auto"/>
        <w:tabs>
          <w:tab w:pos="633" w:val="left"/>
        </w:tabs>
        <w:bidi w:val="0"/>
        <w:spacing w:before="0" w:after="360" w:line="240" w:lineRule="auto"/>
        <w:ind w:left="0" w:right="0" w:firstLine="14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42"/>
      <w:bookmarkEnd w:id="1743"/>
      <w:bookmarkEnd w:id="1745"/>
    </w:p>
    <w:p>
      <w:pPr>
        <w:pStyle w:val="Style40"/>
        <w:keepNext/>
        <w:keepLines/>
        <w:widowControl w:val="0"/>
        <w:shd w:val="clear" w:color="auto" w:fill="auto"/>
        <w:tabs>
          <w:tab w:pos="633" w:val="left"/>
        </w:tabs>
        <w:bidi w:val="0"/>
        <w:spacing w:before="0" w:after="360" w:line="240" w:lineRule="auto"/>
        <w:ind w:left="0" w:right="0" w:firstLine="14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w:t>
      </w:r>
      <w:bookmarkEnd w:id="17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46"/>
      <w:bookmarkEnd w:id="1747"/>
      <w:bookmarkEnd w:id="174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50"/>
      <w:bookmarkEnd w:id="1751"/>
      <w:bookmarkEnd w:id="1752"/>
    </w:p>
    <w:p>
      <w:pPr>
        <w:pStyle w:val="Style40"/>
        <w:keepNext/>
        <w:keepLines/>
        <w:widowControl w:val="0"/>
        <w:shd w:val="clear" w:color="auto" w:fill="auto"/>
        <w:tabs>
          <w:tab w:pos="493" w:val="left"/>
        </w:tabs>
        <w:bidi w:val="0"/>
        <w:spacing w:before="0" w:after="36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53"/>
      <w:bookmarkEnd w:id="1754"/>
      <w:bookmarkEnd w:id="1756"/>
    </w:p>
    <w:p>
      <w:pPr>
        <w:pStyle w:val="Style40"/>
        <w:keepNext/>
        <w:keepLines/>
        <w:widowControl w:val="0"/>
        <w:shd w:val="clear" w:color="auto" w:fill="auto"/>
        <w:tabs>
          <w:tab w:pos="493" w:val="left"/>
        </w:tabs>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7"/>
      <w:bookmarkEnd w:id="1758"/>
      <w:bookmarkEnd w:id="176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3</w:t>
      </w:r>
      <w:bookmarkEnd w:id="1763"/>
      <w:r>
        <w:rPr>
          <w:color w:val="000000"/>
          <w:spacing w:val="0"/>
          <w:w w:val="100"/>
          <w:position w:val="0"/>
        </w:rPr>
        <w:t>、在合营安排或联营企业中的权益</w:t>
      </w:r>
      <w:bookmarkEnd w:id="1761"/>
      <w:bookmarkEnd w:id="1762"/>
      <w:bookmarkEnd w:id="1764"/>
    </w:p>
    <w:p>
      <w:pPr>
        <w:pStyle w:val="Style40"/>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65"/>
      <w:bookmarkEnd w:id="1766"/>
      <w:bookmarkEnd w:id="176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pStyle w:val="Style21"/>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36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无</w:t>
      </w:r>
    </w:p>
    <w:p>
      <w:pPr>
        <w:pStyle w:val="Style40"/>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68"/>
      <w:bookmarkEnd w:id="1769"/>
      <w:bookmarkEnd w:id="1770"/>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numPr>
          <w:ilvl w:val="0"/>
          <w:numId w:val="75"/>
        </w:numPr>
        <w:shd w:val="clear" w:color="auto" w:fill="auto"/>
        <w:bidi w:val="0"/>
        <w:spacing w:before="0" w:after="360" w:line="240" w:lineRule="auto"/>
        <w:ind w:left="0" w:right="0" w:firstLine="14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重要联营企业的主要财务信息</w:t>
      </w:r>
      <w:bookmarkEnd w:id="1771"/>
      <w:bookmarkEnd w:id="1772"/>
      <w:bookmarkEnd w:id="17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75"/>
        </w:numPr>
        <w:shd w:val="clear" w:color="auto" w:fill="auto"/>
        <w:bidi w:val="0"/>
        <w:spacing w:before="0" w:after="36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不重要的合营企业和联营企业的汇总财务信息</w:t>
      </w:r>
      <w:bookmarkEnd w:id="1775"/>
      <w:bookmarkEnd w:id="1776"/>
      <w:bookmarkEnd w:id="1778"/>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248,825.85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-44,157.23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合营企业或联营企业向本公司转移资金的能力存在重大限制的说明</w:t>
      </w:r>
      <w:bookmarkEnd w:id="1779"/>
      <w:bookmarkEnd w:id="1780"/>
      <w:bookmarkEnd w:id="1782"/>
    </w:p>
    <w:p>
      <w:pPr>
        <w:pStyle w:val="Style40"/>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合营企业或联营企业发生的超额亏损</w:t>
      </w:r>
      <w:bookmarkEnd w:id="1783"/>
      <w:bookmarkEnd w:id="1784"/>
      <w:bookmarkEnd w:id="178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与合营企业投资相关的未确认承诺</w:t>
      </w:r>
      <w:bookmarkEnd w:id="1787"/>
      <w:bookmarkEnd w:id="1788"/>
      <w:bookmarkEnd w:id="1790"/>
    </w:p>
    <w:p>
      <w:pPr>
        <w:pStyle w:val="Style40"/>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与合营企业或联营企业投资相关的或有负债</w:t>
      </w:r>
      <w:bookmarkEnd w:id="1791"/>
      <w:bookmarkEnd w:id="1792"/>
      <w:bookmarkEnd w:id="1794"/>
    </w:p>
    <w:p>
      <w:pPr>
        <w:pStyle w:val="Style33"/>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color w:val="000000"/>
          <w:spacing w:val="0"/>
          <w:w w:val="100"/>
          <w:position w:val="0"/>
        </w:rPr>
        <w:t>、重要的共同经营</w:t>
      </w:r>
      <w:bookmarkEnd w:id="1795"/>
      <w:bookmarkEnd w:id="1796"/>
      <w:bookmarkEnd w:id="1798"/>
    </w:p>
    <w:tbl>
      <w:tblPr>
        <w:tblOverlap w:val="never"/>
        <w:jc w:val="center"/>
        <w:tblLayout w:type="fixed"/>
      </w:tblPr>
      <w:tblGrid>
        <w:gridCol w:w="1603"/>
        <w:gridCol w:w="1594"/>
        <w:gridCol w:w="1594"/>
        <w:gridCol w:w="1594"/>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共同经营为单独主体的，分类为共同经营的依据：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10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color w:val="000000"/>
          <w:spacing w:val="0"/>
          <w:w w:val="100"/>
          <w:position w:val="0"/>
        </w:rPr>
        <w:t>、</w:t>
        <w:tab/>
        <w:t>在未纳入合并财务报表范围的结构化主体中的权益</w:t>
      </w:r>
      <w:bookmarkEnd w:id="1799"/>
      <w:bookmarkEnd w:id="1800"/>
      <w:bookmarkEnd w:id="1802"/>
    </w:p>
    <w:p>
      <w:pPr>
        <w:pStyle w:val="Style21"/>
        <w:keepNext w:val="0"/>
        <w:keepLines w:val="0"/>
        <w:widowControl w:val="0"/>
        <w:shd w:val="clear" w:color="auto" w:fill="auto"/>
        <w:bidi w:val="0"/>
        <w:spacing w:before="0" w:after="380" w:line="469" w:lineRule="exact"/>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6</w:t>
      </w:r>
      <w:bookmarkEnd w:id="1805"/>
      <w:r>
        <w:rPr>
          <w:color w:val="000000"/>
          <w:spacing w:val="0"/>
          <w:w w:val="100"/>
          <w:position w:val="0"/>
        </w:rPr>
        <w:t>、</w:t>
        <w:tab/>
        <w:t>其他</w:t>
      </w:r>
      <w:bookmarkEnd w:id="1803"/>
      <w:bookmarkEnd w:id="1804"/>
      <w:bookmarkEnd w:id="1806"/>
    </w:p>
    <w:p>
      <w:pPr>
        <w:pStyle w:val="Style27"/>
        <w:keepNext/>
        <w:keepLines/>
        <w:widowControl w:val="0"/>
        <w:shd w:val="clear" w:color="auto" w:fill="auto"/>
        <w:bidi w:val="0"/>
        <w:spacing w:before="0" w:after="160" w:line="240" w:lineRule="auto"/>
        <w:ind w:left="0" w:right="0" w:firstLine="0"/>
        <w:jc w:val="left"/>
      </w:pPr>
      <w:bookmarkStart w:id="1807" w:name="bookmark1807"/>
      <w:bookmarkStart w:id="1808" w:name="bookmark1808"/>
      <w:bookmarkStart w:id="1809" w:name="bookmark1809"/>
      <w:r>
        <w:rPr>
          <w:color w:val="000000"/>
          <w:spacing w:val="0"/>
          <w:w w:val="100"/>
          <w:position w:val="0"/>
        </w:rPr>
        <w:t>十、与金融工具相关的风险</w:t>
      </w:r>
      <w:bookmarkEnd w:id="1807"/>
      <w:bookmarkEnd w:id="1808"/>
      <w:bookmarkEnd w:id="1809"/>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的确定，并对风险管理目标和政策承担最终责任。本公司的内部审计师也会审计风险管理的政策和程序，并且将有关发现汇 报给审计委员会。</w:t>
      </w:r>
    </w:p>
    <w:p>
      <w:pPr>
        <w:pStyle w:val="Style21"/>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本公司风险管理的总体目标是在不过度影响公司竞争力和应变力的情况下，制定尽可能降低风险的风险管理政策。</w:t>
      </w:r>
    </w:p>
    <w:p>
      <w:pPr>
        <w:pStyle w:val="Style21"/>
        <w:keepNext w:val="0"/>
        <w:keepLines w:val="0"/>
        <w:widowControl w:val="0"/>
        <w:shd w:val="clear" w:color="auto" w:fill="auto"/>
        <w:tabs>
          <w:tab w:pos="488" w:val="left"/>
        </w:tabs>
        <w:bidi w:val="0"/>
        <w:spacing w:before="0" w:after="0" w:line="545" w:lineRule="auto"/>
        <w:ind w:left="0" w:right="0" w:firstLine="0"/>
        <w:jc w:val="both"/>
      </w:pPr>
      <w:bookmarkStart w:id="1810" w:name="bookmark1810"/>
      <w:r>
        <w:rPr>
          <w:rFonts w:ascii="Times New Roman" w:eastAsia="Times New Roman" w:hAnsi="Times New Roman" w:cs="Times New Roman"/>
          <w:b/>
          <w:bCs/>
          <w:color w:val="000000"/>
          <w:spacing w:val="0"/>
          <w:w w:val="100"/>
          <w:position w:val="0"/>
          <w:sz w:val="18"/>
          <w:szCs w:val="18"/>
        </w:rPr>
        <w:t>（</w:t>
      </w:r>
      <w:bookmarkEnd w:id="1810"/>
      <w:r>
        <w:rPr>
          <w:b/>
          <w:bCs/>
          <w:color w:val="000000"/>
          <w:spacing w:val="0"/>
          <w:w w:val="100"/>
          <w:position w:val="0"/>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信用风险</w:t>
      </w:r>
    </w:p>
    <w:p>
      <w:pPr>
        <w:pStyle w:val="Style21"/>
        <w:keepNext w:val="0"/>
        <w:keepLines w:val="0"/>
        <w:widowControl w:val="0"/>
        <w:shd w:val="clear" w:color="auto" w:fill="auto"/>
        <w:bidi w:val="0"/>
        <w:spacing w:before="0" w:after="0" w:line="469"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可获取时）。公司对每一客户均设置了赊销限额，该限额为无需获得额外批准的最大额度。公司的主要客户为境处客户，为 主要客户的应收款项办理了出口业务信用保险。</w:t>
      </w:r>
    </w:p>
    <w:p>
      <w:pPr>
        <w:pStyle w:val="Style21"/>
        <w:keepNext w:val="0"/>
        <w:keepLines w:val="0"/>
        <w:widowControl w:val="0"/>
        <w:shd w:val="clear" w:color="auto" w:fill="auto"/>
        <w:bidi w:val="0"/>
        <w:spacing w:before="0" w:after="260" w:line="469"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1"/>
        <w:keepNext w:val="0"/>
        <w:keepLines w:val="0"/>
        <w:widowControl w:val="0"/>
        <w:shd w:val="clear" w:color="auto" w:fill="auto"/>
        <w:tabs>
          <w:tab w:pos="483" w:val="left"/>
        </w:tabs>
        <w:bidi w:val="0"/>
        <w:spacing w:before="0" w:after="0" w:line="545" w:lineRule="auto"/>
        <w:ind w:left="0" w:right="0" w:firstLine="0"/>
        <w:jc w:val="both"/>
      </w:pPr>
      <w:bookmarkStart w:id="1811" w:name="bookmark1811"/>
      <w:r>
        <w:rPr>
          <w:rFonts w:ascii="Times New Roman" w:eastAsia="Times New Roman" w:hAnsi="Times New Roman" w:cs="Times New Roman"/>
          <w:b/>
          <w:bCs/>
          <w:color w:val="000000"/>
          <w:spacing w:val="0"/>
          <w:w w:val="100"/>
          <w:position w:val="0"/>
          <w:sz w:val="18"/>
          <w:szCs w:val="18"/>
        </w:rPr>
        <w:t>（</w:t>
      </w:r>
      <w:bookmarkEnd w:id="1811"/>
      <w:r>
        <w:rPr>
          <w:b/>
          <w:bCs/>
          <w:color w:val="000000"/>
          <w:spacing w:val="0"/>
          <w:w w:val="100"/>
          <w:position w:val="0"/>
        </w:rPr>
        <w:t>二</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市场风险</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1812" w:name="bookmark1812"/>
      <w:r>
        <w:rPr>
          <w:color w:val="000000"/>
          <w:spacing w:val="0"/>
          <w:w w:val="100"/>
          <w:position w:val="0"/>
        </w:rPr>
        <w:t>（</w:t>
      </w:r>
      <w:bookmarkEnd w:id="18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1"/>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利率风险，是指金融工具的公允价值或未来现金流量因市场利率变动而发生波动的风险。本公司没有带息负债，没有面 临的利率风险。</w:t>
      </w:r>
    </w:p>
    <w:p>
      <w:pPr>
        <w:pStyle w:val="Style21"/>
        <w:keepNext w:val="0"/>
        <w:keepLines w:val="0"/>
        <w:widowControl w:val="0"/>
        <w:shd w:val="clear" w:color="auto" w:fill="auto"/>
        <w:tabs>
          <w:tab w:pos="825" w:val="left"/>
        </w:tabs>
        <w:bidi w:val="0"/>
        <w:spacing w:before="0" w:after="0" w:line="469" w:lineRule="exact"/>
        <w:ind w:left="0" w:right="0" w:firstLine="380"/>
        <w:jc w:val="both"/>
      </w:pPr>
      <w:bookmarkStart w:id="1813" w:name="bookmark1813"/>
      <w:r>
        <w:rPr>
          <w:color w:val="000000"/>
          <w:spacing w:val="0"/>
          <w:w w:val="100"/>
          <w:position w:val="0"/>
        </w:rPr>
        <w:t>（</w:t>
      </w:r>
      <w:bookmarkEnd w:id="18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21"/>
        <w:keepNext w:val="0"/>
        <w:keepLines w:val="0"/>
        <w:widowControl w:val="0"/>
        <w:shd w:val="clear" w:color="auto" w:fill="auto"/>
        <w:bidi w:val="0"/>
        <w:spacing w:before="0" w:after="160" w:line="469" w:lineRule="exact"/>
        <w:ind w:left="0" w:right="0" w:firstLine="380"/>
        <w:jc w:val="both"/>
      </w:pPr>
      <w:r>
        <w:rPr>
          <w:color w:val="000000"/>
          <w:spacing w:val="0"/>
          <w:w w:val="100"/>
          <w:position w:val="0"/>
        </w:rPr>
        <w:t>外汇风险，是指金融工具的公允价值或未来现金流量因外汇汇率变动而发生波动的风险。本公司尽可能将外币收入与外 币支出相匹配以降低外汇风险。此外，公司签署远期外汇合约以达到规避外汇风险的目的。</w:t>
      </w:r>
      <w:r>
        <w:br w:type="page"/>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 xml:space="preserve">本公司面临的外汇风险主要来源于以美元计价的金融资产和金融负债，外币金融资产和外币金融负债折算成人民币的金 </w:t>
      </w:r>
      <w:r>
        <w:rPr>
          <w:color w:val="000000"/>
          <w:spacing w:val="0"/>
          <w:w w:val="100"/>
          <w:position w:val="0"/>
        </w:rPr>
        <w:t>额列示如下:</w:t>
      </w:r>
    </w:p>
    <w:tbl>
      <w:tblPr>
        <w:tblOverlap w:val="never"/>
        <w:jc w:val="center"/>
        <w:tblLayout w:type="fixed"/>
      </w:tblPr>
      <w:tblGrid>
        <w:gridCol w:w="1070"/>
        <w:gridCol w:w="1493"/>
        <w:gridCol w:w="898"/>
        <w:gridCol w:w="1176"/>
        <w:gridCol w:w="1306"/>
        <w:gridCol w:w="797"/>
        <w:gridCol w:w="1450"/>
      </w:tblGrid>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7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0"/>
              <w:jc w:val="center"/>
              <w:rPr>
                <w:sz w:val="17"/>
                <w:szCs w:val="17"/>
              </w:rPr>
            </w:pPr>
            <w:r>
              <w:rPr>
                <w:rFonts w:ascii="SimSun" w:eastAsia="SimSun" w:hAnsi="SimSun" w:cs="SimSun"/>
                <w:color w:val="000000"/>
                <w:spacing w:val="0"/>
                <w:w w:val="100"/>
                <w:position w:val="0"/>
                <w:sz w:val="17"/>
                <w:szCs w:val="17"/>
              </w:rPr>
              <w:t>其他 外币</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r>
      <w:tr>
        <w:trPr>
          <w:trHeight w:val="37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82,005,344.80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82,005,344.8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53,308,035.05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53,308,035.05</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5,525,728.54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5,525,728.54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89,611.68</w:t>
            </w:r>
          </w:p>
        </w:tc>
      </w:tr>
    </w:tbl>
    <w:p>
      <w:pPr>
        <w:widowControl w:val="0"/>
        <w:spacing w:after="279" w:line="1" w:lineRule="exact"/>
      </w:pPr>
    </w:p>
    <w:p>
      <w:pPr>
        <w:pStyle w:val="Style21"/>
        <w:keepNext w:val="0"/>
        <w:keepLines w:val="0"/>
        <w:widowControl w:val="0"/>
        <w:shd w:val="clear" w:color="auto" w:fill="auto"/>
        <w:bidi w:val="0"/>
        <w:spacing w:before="0" w:after="220" w:line="317" w:lineRule="exact"/>
        <w:ind w:left="0" w:right="0" w:firstLine="0"/>
        <w:jc w:val="both"/>
      </w:pPr>
      <w:r>
        <w:rPr>
          <w:color w:val="000000"/>
          <w:spacing w:val="0"/>
          <w:w w:val="100"/>
          <w:position w:val="0"/>
        </w:rPr>
        <w:t>在所有其他变量保持不变的情况下，如果人民币对美元升值或贬值</w:t>
      </w:r>
      <w:r>
        <w:rPr>
          <w:color w:val="000000"/>
          <w:spacing w:val="0"/>
          <w:w w:val="100"/>
          <w:position w:val="0"/>
          <w:sz w:val="18"/>
          <w:szCs w:val="18"/>
        </w:rPr>
        <w:t>1%,</w:t>
      </w:r>
      <w:r>
        <w:rPr>
          <w:color w:val="000000"/>
          <w:spacing w:val="0"/>
          <w:w w:val="100"/>
          <w:position w:val="0"/>
        </w:rPr>
        <w:t>对本公司净利润的影响如下。管理层认为</w:t>
      </w:r>
      <w:r>
        <w:rPr>
          <w:color w:val="000000"/>
          <w:spacing w:val="0"/>
          <w:w w:val="100"/>
          <w:position w:val="0"/>
          <w:sz w:val="18"/>
          <w:szCs w:val="18"/>
        </w:rPr>
        <w:t>1%</w:t>
      </w:r>
      <w:r>
        <w:rPr>
          <w:color w:val="000000"/>
          <w:spacing w:val="0"/>
          <w:w w:val="100"/>
          <w:position w:val="0"/>
        </w:rPr>
        <w:t>合理反映 了人民币对美元可能发生变动的合理范围。</w:t>
      </w:r>
    </w:p>
    <w:tbl>
      <w:tblPr>
        <w:tblOverlap w:val="never"/>
        <w:jc w:val="center"/>
        <w:tblLayout w:type="fixed"/>
      </w:tblPr>
      <w:tblGrid>
        <w:gridCol w:w="2016"/>
        <w:gridCol w:w="3163"/>
        <w:gridCol w:w="298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汇率变化</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对;争利闾的彩响</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本年发生额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17"/>
                <w:szCs w:val="17"/>
              </w:rPr>
              <w:t>上升</w:t>
            </w:r>
            <w:r>
              <w:rPr>
                <w:color w:val="302C5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282238"/>
                <w:spacing w:val="0"/>
                <w:w w:val="100"/>
                <w:position w:val="0"/>
                <w:sz w:val="20"/>
                <w:szCs w:val="20"/>
              </w:rPr>
              <w:t>-2,571,275.64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302C50"/>
                <w:spacing w:val="0"/>
                <w:w w:val="100"/>
                <w:position w:val="0"/>
                <w:sz w:val="20"/>
                <w:szCs w:val="20"/>
              </w:rPr>
              <w:t>-2</w:t>
            </w:r>
            <w:r>
              <w:rPr>
                <w:color w:val="302C50"/>
                <w:spacing w:val="0"/>
                <w:w w:val="100"/>
                <w:position w:val="0"/>
                <w:sz w:val="20"/>
                <w:szCs w:val="20"/>
              </w:rPr>
              <w:t>,60330934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17"/>
                <w:szCs w:val="17"/>
              </w:rPr>
              <w:t>下降</w:t>
            </w:r>
            <w:r>
              <w:rPr>
                <w:color w:val="302C5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282238"/>
                <w:spacing w:val="0"/>
                <w:w w:val="100"/>
                <w:position w:val="0"/>
                <w:sz w:val="20"/>
                <w:szCs w:val="20"/>
              </w:rPr>
              <w:t>2.542310-SS</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524A59"/>
                <w:spacing w:val="0"/>
                <w:w w:val="100"/>
                <w:position w:val="0"/>
                <w:sz w:val="20"/>
                <w:szCs w:val="20"/>
              </w:rPr>
              <w:t>2</w:t>
            </w:r>
            <w:r>
              <w:rPr>
                <w:color w:val="524A59"/>
                <w:spacing w:val="0"/>
                <w:w w:val="100"/>
                <w:position w:val="0"/>
                <w:sz w:val="20"/>
                <w:szCs w:val="20"/>
                <w:vertAlign w:val="subscript"/>
              </w:rPr>
              <w:t>?</w:t>
            </w:r>
            <w:r>
              <w:rPr>
                <w:color w:val="524A59"/>
                <w:spacing w:val="0"/>
                <w:w w:val="100"/>
                <w:position w:val="0"/>
                <w:sz w:val="20"/>
                <w:szCs w:val="20"/>
              </w:rPr>
              <w:t>569</w:t>
            </w:r>
            <w:r>
              <w:rPr>
                <w:color w:val="524A59"/>
                <w:spacing w:val="0"/>
                <w:w w:val="100"/>
                <w:position w:val="0"/>
                <w:sz w:val="20"/>
                <w:szCs w:val="20"/>
                <w:vertAlign w:val="subscript"/>
              </w:rPr>
              <w:t>?</w:t>
            </w:r>
            <w:r>
              <w:rPr>
                <w:color w:val="524A59"/>
                <w:spacing w:val="0"/>
                <w:w w:val="100"/>
                <w:position w:val="0"/>
                <w:sz w:val="20"/>
                <w:szCs w:val="20"/>
              </w:rPr>
              <w:t>031.47</w:t>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left="0" w:right="0" w:firstLine="0"/>
        <w:jc w:val="both"/>
      </w:pPr>
      <w:bookmarkStart w:id="1814" w:name="bookmark1814"/>
      <w:r>
        <w:rPr>
          <w:b/>
          <w:bCs/>
          <w:color w:val="000000"/>
          <w:spacing w:val="0"/>
          <w:w w:val="100"/>
          <w:position w:val="0"/>
        </w:rPr>
        <w:t>（</w:t>
      </w:r>
      <w:bookmarkEnd w:id="1814"/>
      <w:r>
        <w:rPr>
          <w:b/>
          <w:bCs/>
          <w:color w:val="000000"/>
          <w:spacing w:val="0"/>
          <w:w w:val="100"/>
          <w:position w:val="0"/>
        </w:rPr>
        <w:t>三）流动性风险</w:t>
      </w:r>
    </w:p>
    <w:p>
      <w:pPr>
        <w:pStyle w:val="Style21"/>
        <w:keepNext w:val="0"/>
        <w:keepLines w:val="0"/>
        <w:widowControl w:val="0"/>
        <w:shd w:val="clear" w:color="auto" w:fill="auto"/>
        <w:bidi w:val="0"/>
        <w:spacing w:before="0" w:after="460" w:line="240" w:lineRule="auto"/>
        <w:ind w:left="0" w:right="0" w:firstLine="380"/>
        <w:jc w:val="left"/>
      </w:pPr>
      <w:r>
        <w:rPr>
          <w:color w:val="000000"/>
          <w:spacing w:val="0"/>
          <w:w w:val="100"/>
          <w:position w:val="0"/>
        </w:rPr>
        <w:t xml:space="preserve">流动风险，是指企业在履行以交付现金或其他金融资产的方式结算的义务时发生资金短缺的风险。本公司的政策是确保 </w:t>
      </w:r>
      <w:r>
        <w:rPr>
          <w:color w:val="000000"/>
          <w:spacing w:val="0"/>
          <w:w w:val="100"/>
          <w:position w:val="0"/>
        </w:rPr>
        <w:t xml:space="preserve">拥有充足的现金以偿还到期债务。流动性风险由本公司的财务部门集中控制。财务部门通过监控现金余额、确保公司在所有 </w:t>
      </w:r>
      <w:r>
        <w:rPr>
          <w:color w:val="000000"/>
          <w:spacing w:val="0"/>
          <w:w w:val="100"/>
          <w:position w:val="0"/>
        </w:rPr>
        <w:t>合理预测的情况下拥有充足的资金偿还债务。</w:t>
      </w:r>
    </w:p>
    <w:p>
      <w:pPr>
        <w:pStyle w:val="Style27"/>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r>
        <w:rPr>
          <w:color w:val="000000"/>
          <w:spacing w:val="0"/>
          <w:w w:val="100"/>
          <w:position w:val="0"/>
        </w:rPr>
        <w:t>十一、公允价值的披露</w:t>
      </w:r>
      <w:bookmarkEnd w:id="1815"/>
      <w:bookmarkEnd w:id="1816"/>
      <w:bookmarkEnd w:id="1817"/>
    </w:p>
    <w:p>
      <w:pPr>
        <w:pStyle w:val="Style33"/>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18"/>
      <w:bookmarkEnd w:id="1819"/>
      <w:bookmarkEnd w:id="182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21"/>
      <w:bookmarkEnd w:id="1822"/>
      <w:bookmarkEnd w:id="1823"/>
    </w:p>
    <w:p>
      <w:pPr>
        <w:pStyle w:val="Style29"/>
        <w:keepNext w:val="0"/>
        <w:keepLines w:val="0"/>
        <w:widowControl w:val="0"/>
        <w:shd w:val="clear" w:color="auto" w:fill="auto"/>
        <w:bidi w:val="0"/>
        <w:spacing w:before="0" w:after="0" w:line="240" w:lineRule="auto"/>
        <w:ind w:left="0" w:right="0" w:firstLine="0"/>
        <w:jc w:val="center"/>
        <w:rPr>
          <w:sz w:val="20"/>
          <w:szCs w:val="20"/>
        </w:rPr>
      </w:pPr>
      <w:bookmarkStart w:id="1824" w:name="bookmark182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、持续和非持续第二层次公允价值计量项目，采用的估值技术和重要参数的定性及定量信息</w:t>
      </w:r>
      <w:bookmarkEnd w:id="1824"/>
    </w:p>
    <w:tbl>
      <w:tblPr>
        <w:tblOverlap w:val="never"/>
        <w:jc w:val="left"/>
        <w:tblLayout w:type="fixed"/>
      </w:tblPr>
      <w:tblGrid>
        <w:gridCol w:w="2544"/>
        <w:gridCol w:w="1392"/>
        <w:gridCol w:w="1651"/>
        <w:gridCol w:w="1291"/>
        <w:gridCol w:w="1315"/>
      </w:tblGrid>
      <w:tr>
        <w:trPr>
          <w:trHeight w:val="37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年末公允侑值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估值技术</w:t>
            </w:r>
          </w:p>
        </w:tc>
        <w:tc>
          <w:tcPr>
            <w:gridSpan w:val="2"/>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重要参数</w:t>
            </w:r>
          </w:p>
        </w:tc>
      </w:tr>
      <w:tr>
        <w:trPr>
          <w:trHeight w:val="37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定性信息</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定里信息</w:t>
            </w:r>
          </w:p>
        </w:tc>
      </w:tr>
      <w:tr>
        <w:trPr>
          <w:trHeight w:val="3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套期工具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4</w:t>
      </w:r>
      <w:bookmarkEnd w:id="1827"/>
      <w:r>
        <w:rPr>
          <w:color w:val="000000"/>
          <w:spacing w:val="0"/>
          <w:w w:val="100"/>
          <w:position w:val="0"/>
        </w:rPr>
        <w:t>、</w:t>
        <w:tab/>
        <w:t>持续和非持续第三层次公允价值计量项目，采用的估值技术和重要参数的定性及定量信息</w:t>
      </w:r>
      <w:bookmarkEnd w:id="1825"/>
      <w:bookmarkEnd w:id="1826"/>
      <w:bookmarkEnd w:id="1828"/>
    </w:p>
    <w:p>
      <w:pPr>
        <w:pStyle w:val="Style33"/>
        <w:keepNext/>
        <w:keepLines/>
        <w:widowControl w:val="0"/>
        <w:shd w:val="clear" w:color="auto" w:fill="auto"/>
        <w:tabs>
          <w:tab w:pos="378"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5</w:t>
      </w:r>
      <w:bookmarkEnd w:id="1831"/>
      <w:r>
        <w:rPr>
          <w:color w:val="000000"/>
          <w:spacing w:val="0"/>
          <w:w w:val="100"/>
          <w:position w:val="0"/>
        </w:rPr>
        <w:t>、</w:t>
        <w:tab/>
        <w:t>持续的第三层次公允价值计量项目，期初与期末账面价值间的调节信息及不可观察参数敏感性分析</w:t>
      </w:r>
      <w:bookmarkEnd w:id="1829"/>
      <w:bookmarkEnd w:id="1830"/>
      <w:bookmarkEnd w:id="1832"/>
    </w:p>
    <w:p>
      <w:pPr>
        <w:pStyle w:val="Style33"/>
        <w:keepNext/>
        <w:keepLines/>
        <w:widowControl w:val="0"/>
        <w:shd w:val="clear" w:color="auto" w:fill="auto"/>
        <w:tabs>
          <w:tab w:pos="378"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6</w:t>
      </w:r>
      <w:bookmarkEnd w:id="1835"/>
      <w:r>
        <w:rPr>
          <w:color w:val="000000"/>
          <w:spacing w:val="0"/>
          <w:w w:val="100"/>
          <w:position w:val="0"/>
        </w:rPr>
        <w:t>、</w:t>
        <w:tab/>
        <w:t>持续的公允价值计量项目，本期内发生各层级之间转换的，转换的原因及确定转换时点的政策</w:t>
      </w:r>
      <w:bookmarkEnd w:id="1833"/>
      <w:bookmarkEnd w:id="1834"/>
      <w:bookmarkEnd w:id="1836"/>
    </w:p>
    <w:p>
      <w:pPr>
        <w:pStyle w:val="Style33"/>
        <w:keepNext/>
        <w:keepLines/>
        <w:widowControl w:val="0"/>
        <w:shd w:val="clear" w:color="auto" w:fill="auto"/>
        <w:tabs>
          <w:tab w:pos="373"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7</w:t>
      </w:r>
      <w:bookmarkEnd w:id="1839"/>
      <w:r>
        <w:rPr>
          <w:color w:val="000000"/>
          <w:spacing w:val="0"/>
          <w:w w:val="100"/>
          <w:position w:val="0"/>
        </w:rPr>
        <w:t>、</w:t>
        <w:tab/>
        <w:t>本期内发生的估值技术变更及变更原因</w:t>
      </w:r>
      <w:bookmarkEnd w:id="1837"/>
      <w:bookmarkEnd w:id="1838"/>
      <w:bookmarkEnd w:id="1840"/>
    </w:p>
    <w:p>
      <w:pPr>
        <w:pStyle w:val="Style33"/>
        <w:keepNext/>
        <w:keepLines/>
        <w:widowControl w:val="0"/>
        <w:shd w:val="clear" w:color="auto" w:fill="auto"/>
        <w:tabs>
          <w:tab w:pos="378"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8</w:t>
      </w:r>
      <w:bookmarkEnd w:id="1843"/>
      <w:r>
        <w:rPr>
          <w:color w:val="000000"/>
          <w:spacing w:val="0"/>
          <w:w w:val="100"/>
          <w:position w:val="0"/>
        </w:rPr>
        <w:t>、</w:t>
        <w:tab/>
        <w:t>不以公允价值计量的金融资产和金融负债的公允价值情况</w:t>
      </w:r>
      <w:bookmarkEnd w:id="1841"/>
      <w:bookmarkEnd w:id="1842"/>
      <w:bookmarkEnd w:id="1844"/>
    </w:p>
    <w:p>
      <w:pPr>
        <w:pStyle w:val="Style33"/>
        <w:keepNext/>
        <w:keepLines/>
        <w:widowControl w:val="0"/>
        <w:shd w:val="clear" w:color="auto" w:fill="auto"/>
        <w:tabs>
          <w:tab w:pos="378"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9</w:t>
      </w:r>
      <w:bookmarkEnd w:id="1847"/>
      <w:r>
        <w:rPr>
          <w:color w:val="000000"/>
          <w:spacing w:val="0"/>
          <w:w w:val="100"/>
          <w:position w:val="0"/>
        </w:rPr>
        <w:t>、</w:t>
        <w:tab/>
        <w:t>其他</w:t>
      </w:r>
      <w:bookmarkEnd w:id="1845"/>
      <w:bookmarkEnd w:id="1846"/>
      <w:bookmarkEnd w:id="1848"/>
    </w:p>
    <w:p>
      <w:pPr>
        <w:pStyle w:val="Style27"/>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十二、关联方及关联交易</w:t>
      </w:r>
      <w:bookmarkEnd w:id="1849"/>
      <w:bookmarkEnd w:id="1850"/>
      <w:bookmarkEnd w:id="1851"/>
    </w:p>
    <w:p>
      <w:pPr>
        <w:pStyle w:val="Style33"/>
        <w:keepNext/>
        <w:keepLines/>
        <w:widowControl w:val="0"/>
        <w:shd w:val="clear" w:color="auto" w:fill="auto"/>
        <w:bidi w:val="0"/>
        <w:spacing w:before="0" w:after="300" w:line="240" w:lineRule="auto"/>
        <w:ind w:left="0" w:right="0" w:firstLine="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52"/>
      <w:bookmarkEnd w:id="1853"/>
      <w:bookmarkEnd w:id="1854"/>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 本企业最终控制方是潘伟潮。 其他说明：</w:t>
      </w:r>
    </w:p>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55"/>
      <w:bookmarkEnd w:id="1856"/>
      <w:bookmarkEnd w:id="185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本企业子公司的情况详见附注附注九、在其他主体中的权益。</w:t>
      </w:r>
    </w:p>
    <w:p>
      <w:pPr>
        <w:pStyle w:val="Style33"/>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3</w:t>
      </w:r>
      <w:bookmarkEnd w:id="1860"/>
      <w:r>
        <w:rPr>
          <w:color w:val="000000"/>
          <w:spacing w:val="0"/>
          <w:w w:val="100"/>
          <w:position w:val="0"/>
        </w:rPr>
        <w:t>、本企业合营和联营企业情况</w:t>
      </w:r>
      <w:bookmarkEnd w:id="1858"/>
      <w:bookmarkEnd w:id="1859"/>
      <w:bookmarkEnd w:id="186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中山市易恩自动化科技有限公司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bl>
    <w:p>
      <w:pPr>
        <w:pStyle w:val="Style29"/>
        <w:keepNext w:val="0"/>
        <w:keepLines w:val="0"/>
        <w:widowControl w:val="0"/>
        <w:shd w:val="clear" w:color="auto" w:fill="auto"/>
        <w:bidi w:val="0"/>
        <w:spacing w:before="0" w:after="0" w:line="240" w:lineRule="auto"/>
        <w:ind w:left="0" w:right="0" w:firstLine="0"/>
        <w:jc w:val="left"/>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420" w:right="1069" w:bottom="1470" w:left="1059" w:header="0" w:footer="3" w:gutter="0"/>
          <w:cols w:space="720"/>
          <w:noEndnote/>
          <w:titlePg/>
          <w:rtlGutter w:val="0"/>
          <w:docGrid w:linePitch="360"/>
        </w:sectPr>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本公司持有其</w:t>
      </w:r>
      <w:r>
        <w:rPr>
          <w:color w:val="000000"/>
          <w:spacing w:val="0"/>
          <w:w w:val="100"/>
          <w:position w:val="0"/>
          <w:sz w:val="18"/>
          <w:szCs w:val="18"/>
        </w:rPr>
        <w:t>28%</w:t>
      </w:r>
      <w:r>
        <w:rPr>
          <w:color w:val="000000"/>
          <w:spacing w:val="0"/>
          <w:w w:val="100"/>
          <w:position w:val="0"/>
        </w:rPr>
        <w:t>的股权</w:t>
      </w:r>
    </w:p>
    <w:p>
      <w:pPr>
        <w:pStyle w:val="Style33"/>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4</w:t>
      </w:r>
      <w:bookmarkEnd w:id="1864"/>
      <w:r>
        <w:rPr>
          <w:color w:val="000000"/>
          <w:spacing w:val="0"/>
          <w:w w:val="100"/>
          <w:position w:val="0"/>
        </w:rPr>
        <w:t>、其他关联方情况</w:t>
      </w:r>
      <w:bookmarkEnd w:id="1862"/>
      <w:bookmarkEnd w:id="1863"/>
      <w:bookmarkEnd w:id="186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5</w:t>
      </w:r>
      <w:bookmarkEnd w:id="1868"/>
      <w:r>
        <w:rPr>
          <w:color w:val="000000"/>
          <w:spacing w:val="0"/>
          <w:w w:val="100"/>
          <w:position w:val="0"/>
        </w:rPr>
        <w:t>、关联交易情况</w:t>
      </w:r>
      <w:bookmarkEnd w:id="1866"/>
      <w:bookmarkEnd w:id="1867"/>
      <w:bookmarkEnd w:id="1869"/>
    </w:p>
    <w:p>
      <w:pPr>
        <w:pStyle w:val="Style40"/>
        <w:keepNext/>
        <w:keepLines/>
        <w:widowControl w:val="0"/>
        <w:shd w:val="clear" w:color="auto" w:fill="auto"/>
        <w:bidi w:val="0"/>
        <w:spacing w:before="0" w:after="360" w:line="240" w:lineRule="auto"/>
        <w:ind w:left="0" w:right="0" w:firstLine="14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70"/>
      <w:bookmarkEnd w:id="1871"/>
      <w:bookmarkEnd w:id="187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中山市易恩自动 化科技有限公司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采购定制开发 的自动化生产 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13,961,004.06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5,656,980.35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73"/>
      <w:bookmarkEnd w:id="1874"/>
      <w:bookmarkEnd w:id="1875"/>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管收益</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承包收 </w:t>
            </w:r>
            <w:r>
              <w:rPr>
                <w:rFonts w:ascii="SimSun" w:eastAsia="SimSun" w:hAnsi="SimSun" w:cs="SimSun"/>
                <w:color w:val="000000"/>
                <w:spacing w:val="0"/>
                <w:w w:val="100"/>
                <w:position w:val="0"/>
                <w:sz w:val="17"/>
                <w:szCs w:val="17"/>
                <w:u w:val="single"/>
              </w:rPr>
              <w:t>益</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 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w:t>
      </w:r>
      <w:bookmarkEnd w:id="187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76"/>
      <w:bookmarkEnd w:id="1877"/>
      <w:bookmarkEnd w:id="1879"/>
    </w:p>
    <w:p>
      <w:pPr>
        <w:pStyle w:val="Style21"/>
        <w:keepNext w:val="0"/>
        <w:keepLines w:val="0"/>
        <w:widowControl w:val="0"/>
        <w:shd w:val="clear" w:color="auto" w:fill="auto"/>
        <w:bidi w:val="0"/>
        <w:spacing w:before="0" w:after="360" w:line="240" w:lineRule="auto"/>
        <w:ind w:left="0" w:right="0" w:firstLine="0"/>
        <w:jc w:val="lef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513" w:right="1109" w:bottom="1667" w:left="1104" w:header="0" w:footer="3" w:gutter="0"/>
          <w:cols w:space="720"/>
          <w:noEndnote/>
          <w:rtlGutter w:val="0"/>
          <w:docGrid w:linePitch="360"/>
        </w:sectPr>
      </w:pPr>
      <w:r>
        <w:rPr>
          <w:color w:val="000000"/>
          <w:spacing w:val="0"/>
          <w:w w:val="100"/>
          <w:position w:val="0"/>
        </w:rPr>
        <w:t>本公司作为出租方:</w:t>
      </w:r>
    </w:p>
    <w:tbl>
      <w:tblPr>
        <w:tblOverlap w:val="never"/>
        <w:jc w:val="center"/>
        <w:tblLayout w:type="fixed"/>
      </w:tblPr>
      <w:tblGrid>
        <w:gridCol w:w="2395"/>
        <w:gridCol w:w="2395"/>
        <w:gridCol w:w="2390"/>
        <w:gridCol w:w="2458"/>
      </w:tblGrid>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0"/>
        <w:keepNext/>
        <w:keepLines/>
        <w:widowControl w:val="0"/>
        <w:numPr>
          <w:ilvl w:val="0"/>
          <w:numId w:val="73"/>
        </w:numPr>
        <w:shd w:val="clear" w:color="auto" w:fill="auto"/>
        <w:bidi w:val="0"/>
        <w:spacing w:before="0" w:after="400" w:line="240" w:lineRule="auto"/>
        <w:ind w:left="0" w:right="0" w:firstLine="14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关联担保情况</w:t>
      </w:r>
      <w:bookmarkEnd w:id="1880"/>
      <w:bookmarkEnd w:id="1881"/>
      <w:bookmarkEnd w:id="1883"/>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潘伟潮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麦炯章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1"/>
        <w:keepNext w:val="0"/>
        <w:keepLines w:val="0"/>
        <w:widowControl w:val="0"/>
        <w:shd w:val="clear" w:color="auto" w:fill="auto"/>
        <w:bidi w:val="0"/>
        <w:spacing w:before="0" w:after="0" w:line="475"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日，潘伟潮与建设银行中山市分行签订了合同编号为</w:t>
      </w:r>
      <w:r>
        <w:rPr>
          <w:color w:val="000000"/>
          <w:spacing w:val="0"/>
          <w:w w:val="100"/>
          <w:position w:val="0"/>
          <w:sz w:val="18"/>
          <w:szCs w:val="18"/>
        </w:rPr>
        <w:t>2013</w:t>
      </w:r>
      <w:r>
        <w:rPr>
          <w:color w:val="000000"/>
          <w:spacing w:val="0"/>
          <w:w w:val="100"/>
          <w:position w:val="0"/>
        </w:rPr>
        <w:t>年保字第</w:t>
      </w:r>
      <w:r>
        <w:rPr>
          <w:color w:val="000000"/>
          <w:spacing w:val="0"/>
          <w:w w:val="100"/>
          <w:position w:val="0"/>
          <w:sz w:val="18"/>
          <w:szCs w:val="18"/>
        </w:rPr>
        <w:t>54</w:t>
      </w:r>
      <w:r>
        <w:rPr>
          <w:color w:val="000000"/>
          <w:spacing w:val="0"/>
          <w:w w:val="100"/>
          <w:position w:val="0"/>
        </w:rPr>
        <w:t>号最高额担保合同，为本公司与建设 银行中山市分行在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日期间内签订的主合同项下的一系列债务，提供最高额为</w:t>
      </w:r>
      <w:r>
        <w:rPr>
          <w:color w:val="000000"/>
          <w:spacing w:val="0"/>
          <w:w w:val="100"/>
          <w:position w:val="0"/>
          <w:sz w:val="18"/>
          <w:szCs w:val="18"/>
        </w:rPr>
        <w:t>3,300</w:t>
      </w:r>
      <w:r>
        <w:rPr>
          <w:color w:val="000000"/>
          <w:spacing w:val="0"/>
          <w:w w:val="100"/>
          <w:position w:val="0"/>
        </w:rPr>
        <w:t>万元的连带责 任保证。</w:t>
      </w:r>
    </w:p>
    <w:p>
      <w:pPr>
        <w:pStyle w:val="Style21"/>
        <w:keepNext w:val="0"/>
        <w:keepLines w:val="0"/>
        <w:widowControl w:val="0"/>
        <w:shd w:val="clear" w:color="auto" w:fill="auto"/>
        <w:bidi w:val="0"/>
        <w:spacing w:before="0" w:after="460" w:line="475" w:lineRule="exact"/>
        <w:ind w:left="0" w:right="0" w:firstLine="38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日，麦炯章与建设银行中山市分行签订了合同编号为</w:t>
      </w:r>
      <w:r>
        <w:rPr>
          <w:color w:val="000000"/>
          <w:spacing w:val="0"/>
          <w:w w:val="100"/>
          <w:position w:val="0"/>
          <w:sz w:val="18"/>
          <w:szCs w:val="18"/>
        </w:rPr>
        <w:t>2013</w:t>
      </w:r>
      <w:r>
        <w:rPr>
          <w:color w:val="000000"/>
          <w:spacing w:val="0"/>
          <w:w w:val="100"/>
          <w:position w:val="0"/>
        </w:rPr>
        <w:t>年保字第</w:t>
      </w:r>
      <w:r>
        <w:rPr>
          <w:color w:val="000000"/>
          <w:spacing w:val="0"/>
          <w:w w:val="100"/>
          <w:position w:val="0"/>
          <w:sz w:val="18"/>
          <w:szCs w:val="18"/>
        </w:rPr>
        <w:t>53</w:t>
      </w:r>
      <w:r>
        <w:rPr>
          <w:color w:val="000000"/>
          <w:spacing w:val="0"/>
          <w:w w:val="100"/>
          <w:position w:val="0"/>
        </w:rPr>
        <w:t>号最高额担保合同，为本公司与建设 银行中山市分行在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日期间内签订的主合同项下的一系列债务，提供最高额为</w:t>
      </w:r>
      <w:r>
        <w:rPr>
          <w:color w:val="000000"/>
          <w:spacing w:val="0"/>
          <w:w w:val="100"/>
          <w:position w:val="0"/>
          <w:sz w:val="18"/>
          <w:szCs w:val="18"/>
        </w:rPr>
        <w:t>3,300</w:t>
      </w:r>
      <w:r>
        <w:rPr>
          <w:color w:val="000000"/>
          <w:spacing w:val="0"/>
          <w:w w:val="100"/>
          <w:position w:val="0"/>
        </w:rPr>
        <w:t>万元的连带责 任保证。</w:t>
      </w:r>
    </w:p>
    <w:p>
      <w:pPr>
        <w:pStyle w:val="Style40"/>
        <w:keepNext/>
        <w:keepLines/>
        <w:widowControl w:val="0"/>
        <w:numPr>
          <w:ilvl w:val="0"/>
          <w:numId w:val="73"/>
        </w:numPr>
        <w:shd w:val="clear" w:color="auto" w:fill="auto"/>
        <w:bidi w:val="0"/>
        <w:spacing w:before="0" w:after="400" w:line="240" w:lineRule="auto"/>
        <w:ind w:left="0" w:right="0" w:firstLine="14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关联方资金拆借</w:t>
      </w:r>
      <w:bookmarkEnd w:id="1884"/>
      <w:bookmarkEnd w:id="1885"/>
      <w:bookmarkEnd w:id="1887"/>
    </w:p>
    <w:p>
      <w:pPr>
        <w:widowControl w:val="0"/>
        <w:jc w:val="center"/>
        <w:rPr>
          <w:sz w:val="2"/>
          <w:szCs w:val="2"/>
        </w:rPr>
      </w:pPr>
      <w:r>
        <w:drawing>
          <wp:inline>
            <wp:extent cx="6120130" cy="951230"/>
            <wp:docPr id="442" name="Picutre 442"/>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23"/>
                    <a:stretch/>
                  </pic:blipFill>
                  <pic:spPr>
                    <a:xfrm>
                      <a:ext cx="6120130" cy="951230"/>
                    </a:xfrm>
                    <a:prstGeom prst="rect"/>
                  </pic:spPr>
                </pic:pic>
              </a:graphicData>
            </a:graphic>
          </wp:inline>
        </w:drawing>
      </w:r>
    </w:p>
    <w:p>
      <w:pPr>
        <w:widowControl w:val="0"/>
        <w:spacing w:after="339" w:line="1" w:lineRule="exact"/>
      </w:pPr>
    </w:p>
    <w:p>
      <w:pPr>
        <w:pStyle w:val="Style40"/>
        <w:keepNext/>
        <w:keepLines/>
        <w:widowControl w:val="0"/>
        <w:numPr>
          <w:ilvl w:val="0"/>
          <w:numId w:val="73"/>
        </w:numPr>
        <w:shd w:val="clear" w:color="auto" w:fill="auto"/>
        <w:bidi w:val="0"/>
        <w:spacing w:before="0" w:after="400" w:line="240" w:lineRule="auto"/>
        <w:ind w:left="0" w:right="0" w:firstLine="14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关联方资产转让、债务重组情况</w:t>
      </w:r>
      <w:bookmarkEnd w:id="1888"/>
      <w:bookmarkEnd w:id="1889"/>
      <w:bookmarkEnd w:id="189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40"/>
        <w:keepNext/>
        <w:keepLines/>
        <w:widowControl w:val="0"/>
        <w:numPr>
          <w:ilvl w:val="0"/>
          <w:numId w:val="73"/>
        </w:numPr>
        <w:shd w:val="clear" w:color="auto" w:fill="auto"/>
        <w:bidi w:val="0"/>
        <w:spacing w:before="0" w:after="360" w:line="240" w:lineRule="auto"/>
        <w:ind w:left="0" w:right="0" w:firstLine="14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关键管理人员报酬</w:t>
      </w:r>
      <w:bookmarkEnd w:id="1892"/>
      <w:bookmarkEnd w:id="1893"/>
      <w:bookmarkEnd w:id="18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4,233,047.93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3,234,126.77</w:t>
            </w:r>
          </w:p>
        </w:tc>
      </w:tr>
    </w:tbl>
    <w:p>
      <w:pPr>
        <w:widowControl w:val="0"/>
        <w:spacing w:after="359" w:line="1" w:lineRule="exact"/>
      </w:pPr>
    </w:p>
    <w:p>
      <w:pPr>
        <w:pStyle w:val="Style40"/>
        <w:keepNext/>
        <w:keepLines/>
        <w:widowControl w:val="0"/>
        <w:numPr>
          <w:ilvl w:val="0"/>
          <w:numId w:val="73"/>
        </w:numPr>
        <w:shd w:val="clear" w:color="auto" w:fill="auto"/>
        <w:bidi w:val="0"/>
        <w:spacing w:before="0" w:after="36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其他关联交易</w:t>
      </w:r>
      <w:bookmarkEnd w:id="1896"/>
      <w:bookmarkEnd w:id="1897"/>
      <w:bookmarkEnd w:id="1899"/>
    </w:p>
    <w:p>
      <w:pPr>
        <w:pStyle w:val="Style33"/>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6</w:t>
      </w:r>
      <w:bookmarkEnd w:id="1902"/>
      <w:r>
        <w:rPr>
          <w:color w:val="000000"/>
          <w:spacing w:val="0"/>
          <w:w w:val="100"/>
          <w:position w:val="0"/>
        </w:rPr>
        <w:t>、关联方应收应付款项</w:t>
      </w:r>
      <w:bookmarkEnd w:id="1900"/>
      <w:bookmarkEnd w:id="1901"/>
      <w:bookmarkEnd w:id="1903"/>
    </w:p>
    <w:p>
      <w:pPr>
        <w:pStyle w:val="Style40"/>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04"/>
      <w:bookmarkEnd w:id="1905"/>
      <w:bookmarkEnd w:id="190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在建工程</w:t>
            </w:r>
            <w:r>
              <w:rPr>
                <w:color w:val="000000"/>
                <w:spacing w:val="0"/>
                <w:w w:val="100"/>
                <w:position w:val="0"/>
                <w:sz w:val="18"/>
                <w:szCs w:val="18"/>
              </w:rPr>
              <w:t>-</w:t>
            </w:r>
            <w:r>
              <w:rPr>
                <w:rFonts w:ascii="SimSun" w:eastAsia="SimSun" w:hAnsi="SimSun" w:cs="SimSun"/>
                <w:color w:val="000000"/>
                <w:spacing w:val="0"/>
                <w:w w:val="100"/>
                <w:position w:val="0"/>
                <w:sz w:val="17"/>
                <w:szCs w:val="17"/>
              </w:rPr>
              <w:t>预付账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中山市易恩自动 化科技有限公司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3,837,900.00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1,573,800.00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7"/>
      <w:bookmarkEnd w:id="1908"/>
      <w:bookmarkEnd w:id="1909"/>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中山市易恩自动化科技有限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7</w:t>
      </w:r>
      <w:bookmarkEnd w:id="1912"/>
      <w:r>
        <w:rPr>
          <w:color w:val="000000"/>
          <w:spacing w:val="0"/>
          <w:w w:val="100"/>
          <w:position w:val="0"/>
        </w:rPr>
        <w:t>、关联方承诺</w:t>
      </w:r>
      <w:bookmarkEnd w:id="1910"/>
      <w:bookmarkEnd w:id="1911"/>
      <w:bookmarkEnd w:id="191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8</w:t>
      </w:r>
      <w:bookmarkEnd w:id="1916"/>
      <w:r>
        <w:rPr>
          <w:color w:val="000000"/>
          <w:spacing w:val="0"/>
          <w:w w:val="100"/>
          <w:position w:val="0"/>
        </w:rPr>
        <w:t>、其他</w:t>
      </w:r>
      <w:bookmarkEnd w:id="1914"/>
      <w:bookmarkEnd w:id="1915"/>
      <w:bookmarkEnd w:id="1917"/>
    </w:p>
    <w:p>
      <w:pPr>
        <w:pStyle w:val="Style27"/>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十三、股份支付</w:t>
      </w:r>
      <w:bookmarkEnd w:id="1918"/>
      <w:bookmarkEnd w:id="1919"/>
      <w:bookmarkEnd w:id="1920"/>
    </w:p>
    <w:p>
      <w:pPr>
        <w:pStyle w:val="Style33"/>
        <w:keepNext/>
        <w:keepLines/>
        <w:widowControl w:val="0"/>
        <w:shd w:val="clear" w:color="auto" w:fill="auto"/>
        <w:tabs>
          <w:tab w:pos="368" w:val="left"/>
        </w:tabs>
        <w:bidi w:val="0"/>
        <w:spacing w:before="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1</w:t>
      </w:r>
      <w:bookmarkEnd w:id="1923"/>
      <w:r>
        <w:rPr>
          <w:color w:val="000000"/>
          <w:spacing w:val="0"/>
          <w:w w:val="100"/>
          <w:position w:val="0"/>
        </w:rPr>
        <w:t>、</w:t>
        <w:tab/>
        <w:t>股份支付总体情况</w:t>
      </w:r>
      <w:bookmarkEnd w:id="1921"/>
      <w:bookmarkEnd w:id="1922"/>
      <w:bookmarkEnd w:id="192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bookmarkEnd w:id="1927"/>
      <w:r>
        <w:rPr>
          <w:color w:val="000000"/>
          <w:spacing w:val="0"/>
          <w:w w:val="100"/>
          <w:position w:val="0"/>
        </w:rPr>
        <w:t>、</w:t>
        <w:tab/>
        <w:t>以权益结算的股份支付情况</w:t>
      </w:r>
      <w:bookmarkEnd w:id="1925"/>
      <w:bookmarkEnd w:id="1926"/>
      <w:bookmarkEnd w:id="1928"/>
    </w:p>
    <w:p>
      <w:pPr>
        <w:pStyle w:val="Style21"/>
        <w:keepNext w:val="0"/>
        <w:keepLines w:val="0"/>
        <w:widowControl w:val="0"/>
        <w:shd w:val="clear" w:color="auto" w:fill="auto"/>
        <w:bidi w:val="0"/>
        <w:spacing w:before="0" w:after="36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97" w:right="1109" w:bottom="1417"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9"/>
        <w:keepNext w:val="0"/>
        <w:keepLines w:val="0"/>
        <w:widowControl w:val="0"/>
        <w:shd w:val="clear" w:color="auto" w:fill="auto"/>
        <w:bidi w:val="0"/>
        <w:spacing w:before="0" w:after="200" w:line="240" w:lineRule="auto"/>
        <w:ind w:left="0" w:right="0" w:firstLine="0"/>
        <w:jc w:val="left"/>
      </w:pPr>
      <w:r>
        <w:rPr>
          <w:spacing w:val="0"/>
          <w:w w:val="100"/>
          <w:position w:val="0"/>
        </w:rPr>
        <w:t>材#乐心医疗</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w:t>
        <w:tab/>
        <w:t>以现金结算的股份支付情况</w:t>
      </w:r>
      <w:bookmarkEnd w:id="1929"/>
      <w:bookmarkEnd w:id="1930"/>
      <w:bookmarkEnd w:id="193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w:t>
        <w:tab/>
        <w:t>股份支付的修改、终止情况</w:t>
      </w:r>
      <w:bookmarkEnd w:id="1933"/>
      <w:bookmarkEnd w:id="1934"/>
      <w:bookmarkEnd w:id="193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5</w:t>
      </w:r>
      <w:bookmarkEnd w:id="1939"/>
      <w:r>
        <w:rPr>
          <w:color w:val="000000"/>
          <w:spacing w:val="0"/>
          <w:w w:val="100"/>
          <w:position w:val="0"/>
        </w:rPr>
        <w:t>、</w:t>
        <w:tab/>
        <w:t>其他</w:t>
      </w:r>
      <w:bookmarkEnd w:id="1937"/>
      <w:bookmarkEnd w:id="1938"/>
      <w:bookmarkEnd w:id="1940"/>
    </w:p>
    <w:p>
      <w:pPr>
        <w:pStyle w:val="Style27"/>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r>
        <w:rPr>
          <w:color w:val="000000"/>
          <w:spacing w:val="0"/>
          <w:w w:val="100"/>
          <w:position w:val="0"/>
        </w:rPr>
        <w:t>十四、承诺及或有事项</w:t>
      </w:r>
      <w:bookmarkEnd w:id="1941"/>
      <w:bookmarkEnd w:id="1942"/>
      <w:bookmarkEnd w:id="1943"/>
    </w:p>
    <w:p>
      <w:pPr>
        <w:pStyle w:val="Style33"/>
        <w:keepNext/>
        <w:keepLines/>
        <w:widowControl w:val="0"/>
        <w:shd w:val="clear" w:color="auto" w:fill="auto"/>
        <w:tabs>
          <w:tab w:pos="368" w:val="left"/>
        </w:tabs>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bookmarkEnd w:id="1946"/>
      <w:r>
        <w:rPr>
          <w:color w:val="000000"/>
          <w:spacing w:val="0"/>
          <w:w w:val="100"/>
          <w:position w:val="0"/>
        </w:rPr>
        <w:t>、</w:t>
        <w:tab/>
        <w:t>重要承诺事项</w:t>
      </w:r>
      <w:bookmarkEnd w:id="1944"/>
      <w:bookmarkEnd w:id="1945"/>
      <w:bookmarkEnd w:id="194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截止财务报告批准报出日，公司无需要披露的重大承诺事项。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bookmarkEnd w:id="1950"/>
      <w:r>
        <w:rPr>
          <w:color w:val="000000"/>
          <w:spacing w:val="0"/>
          <w:w w:val="100"/>
          <w:position w:val="0"/>
        </w:rPr>
        <w:t>、</w:t>
        <w:tab/>
        <w:t>或有事项</w:t>
      </w:r>
      <w:bookmarkEnd w:id="1948"/>
      <w:bookmarkEnd w:id="1949"/>
      <w:bookmarkEnd w:id="1951"/>
    </w:p>
    <w:p>
      <w:pPr>
        <w:pStyle w:val="Style40"/>
        <w:keepNext/>
        <w:keepLines/>
        <w:widowControl w:val="0"/>
        <w:shd w:val="clear" w:color="auto" w:fill="auto"/>
        <w:tabs>
          <w:tab w:pos="493" w:val="left"/>
        </w:tabs>
        <w:bidi w:val="0"/>
        <w:spacing w:before="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52"/>
      <w:bookmarkEnd w:id="1953"/>
      <w:bookmarkEnd w:id="1955"/>
    </w:p>
    <w:p>
      <w:pPr>
        <w:pStyle w:val="Style40"/>
        <w:keepNext/>
        <w:keepLines/>
        <w:widowControl w:val="0"/>
        <w:shd w:val="clear" w:color="auto" w:fill="auto"/>
        <w:tabs>
          <w:tab w:pos="493"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56"/>
      <w:bookmarkEnd w:id="1957"/>
      <w:bookmarkEnd w:id="195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其他</w:t>
      </w:r>
      <w:bookmarkEnd w:id="1960"/>
      <w:bookmarkEnd w:id="1961"/>
      <w:bookmarkEnd w:id="1963"/>
    </w:p>
    <w:p>
      <w:pPr>
        <w:pStyle w:val="Style27"/>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r>
        <w:rPr>
          <w:color w:val="000000"/>
          <w:spacing w:val="0"/>
          <w:w w:val="100"/>
          <w:position w:val="0"/>
        </w:rPr>
        <w:t>十五、资产负债表日后事项</w:t>
      </w:r>
      <w:bookmarkEnd w:id="1964"/>
      <w:bookmarkEnd w:id="1965"/>
      <w:bookmarkEnd w:id="1966"/>
    </w:p>
    <w:p>
      <w:pPr>
        <w:pStyle w:val="Style33"/>
        <w:keepNext/>
        <w:keepLines/>
        <w:widowControl w:val="0"/>
        <w:shd w:val="clear" w:color="auto" w:fill="auto"/>
        <w:bidi w:val="0"/>
        <w:spacing w:before="0" w:after="38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67"/>
      <w:bookmarkEnd w:id="1968"/>
      <w:bookmarkEnd w:id="19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970" w:name="bookmark197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70"/>
    </w:p>
    <w:p>
      <w:pPr>
        <w:widowControl w:val="0"/>
        <w:spacing w:after="379" w:line="1" w:lineRule="exact"/>
      </w:pPr>
    </w:p>
    <w:p>
      <w:pPr>
        <w:pStyle w:val="Style2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932" w:right="1109" w:bottom="1201" w:left="1104" w:header="0" w:footer="3" w:gutter="0"/>
          <w:cols w:space="720"/>
          <w:noEndnote/>
          <w:rtlGutter w:val="0"/>
          <w:docGrid w:linePitch="360"/>
        </w:sectPr>
      </w:pPr>
      <w:r>
        <mc:AlternateContent>
          <mc:Choice Requires="wps">
            <w:drawing>
              <wp:anchor distT="0" distB="0" distL="114300" distR="114300" simplePos="0" relativeHeight="125829538" behindDoc="0" locked="0" layoutInCell="1" allowOverlap="1">
                <wp:simplePos x="0" y="0"/>
                <wp:positionH relativeFrom="page">
                  <wp:posOffset>6065520</wp:posOffset>
                </wp:positionH>
                <wp:positionV relativeFrom="paragraph">
                  <wp:posOffset>12700</wp:posOffset>
                </wp:positionV>
                <wp:extent cx="673735" cy="143510"/>
                <wp:wrapSquare wrapText="left"/>
                <wp:docPr id="463" name="Shape 463"/>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11,800,000.00</w:t>
                            </w:r>
                          </w:p>
                        </w:txbxContent>
                      </wps:txbx>
                      <wps:bodyPr wrap="none" lIns="0" tIns="0" rIns="0" bIns="0">
                        <a:noAutoFit/>
                      </wps:bodyPr>
                    </wps:wsp>
                  </a:graphicData>
                </a:graphic>
              </wp:anchor>
            </w:drawing>
          </mc:Choice>
          <mc:Fallback>
            <w:pict>
              <v:shape id="_x0000_s1489" type="#_x0000_t202" style="position:absolute;margin-left:477.60000000000002pt;margin-top:1.pt;width:53.050000000000004pt;height:11.300000000000001pt;z-index:-125829215;mso-wrap-distance-left:9.pt;mso-wrap-distance-right:9.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11,800,000.00</w:t>
                      </w:r>
                    </w:p>
                  </w:txbxContent>
                </v:textbox>
                <w10:wrap type="square" side="left" anchorx="page"/>
              </v:shape>
            </w:pict>
          </mc:Fallback>
        </mc:AlternateContent>
      </w:r>
      <w:r>
        <w:rPr>
          <w:color w:val="000000"/>
          <w:spacing w:val="0"/>
          <w:w w:val="100"/>
          <w:position w:val="0"/>
        </w:rPr>
        <w:t>拟分配的利润或股利</w:t>
      </w:r>
    </w:p>
    <w:p>
      <w:pPr>
        <w:pStyle w:val="Style33"/>
        <w:keepNext/>
        <w:keepLines/>
        <w:widowControl w:val="0"/>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3</w:t>
      </w:r>
      <w:bookmarkEnd w:id="1973"/>
      <w:r>
        <w:rPr>
          <w:color w:val="000000"/>
          <w:spacing w:val="0"/>
          <w:w w:val="100"/>
          <w:position w:val="0"/>
        </w:rPr>
        <w:t>、销售退回</w:t>
      </w:r>
      <w:bookmarkEnd w:id="1971"/>
      <w:bookmarkEnd w:id="1972"/>
      <w:bookmarkEnd w:id="1974"/>
    </w:p>
    <w:p>
      <w:pPr>
        <w:pStyle w:val="Style33"/>
        <w:keepNext/>
        <w:keepLines/>
        <w:widowControl w:val="0"/>
        <w:shd w:val="clear" w:color="auto" w:fill="auto"/>
        <w:bidi w:val="0"/>
        <w:spacing w:before="0" w:after="18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4</w:t>
      </w:r>
      <w:bookmarkEnd w:id="1977"/>
      <w:r>
        <w:rPr>
          <w:color w:val="000000"/>
          <w:spacing w:val="0"/>
          <w:w w:val="100"/>
          <w:position w:val="0"/>
        </w:rPr>
        <w:t>、其他资产负债表日后事项说明</w:t>
      </w:r>
      <w:bookmarkEnd w:id="1975"/>
      <w:bookmarkEnd w:id="1976"/>
      <w:bookmarkEnd w:id="1978"/>
    </w:p>
    <w:p>
      <w:pPr>
        <w:pStyle w:val="Style21"/>
        <w:keepNext w:val="0"/>
        <w:keepLines w:val="0"/>
        <w:widowControl w:val="0"/>
        <w:shd w:val="clear" w:color="auto" w:fill="auto"/>
        <w:bidi w:val="0"/>
        <w:spacing w:before="0" w:after="460" w:line="480" w:lineRule="exact"/>
        <w:ind w:left="0" w:right="0" w:firstLine="380"/>
        <w:jc w:val="left"/>
      </w:pPr>
      <w:r>
        <w:rPr>
          <w:color w:val="000000"/>
          <w:spacing w:val="0"/>
          <w:w w:val="100"/>
          <w:position w:val="0"/>
        </w:rPr>
        <w:t>除上述第</w:t>
      </w:r>
      <w:r>
        <w:rPr>
          <w:color w:val="000000"/>
          <w:spacing w:val="0"/>
          <w:w w:val="100"/>
          <w:position w:val="0"/>
          <w:sz w:val="18"/>
          <w:szCs w:val="18"/>
        </w:rPr>
        <w:t>2</w:t>
      </w:r>
      <w:r>
        <w:rPr>
          <w:color w:val="000000"/>
          <w:spacing w:val="0"/>
          <w:w w:val="100"/>
          <w:position w:val="0"/>
        </w:rPr>
        <w:t>项“利润分配情况”及公司拟以资本公积向全体股东每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22</w:t>
      </w:r>
      <w:r>
        <w:rPr>
          <w:color w:val="000000"/>
          <w:spacing w:val="0"/>
          <w:w w:val="100"/>
          <w:position w:val="0"/>
        </w:rPr>
        <w:t>股事项外，截止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日，本公司无 其他应披露未披露资产表日后事项。</w:t>
      </w:r>
    </w:p>
    <w:p>
      <w:pPr>
        <w:pStyle w:val="Style27"/>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r>
        <w:rPr>
          <w:color w:val="000000"/>
          <w:spacing w:val="0"/>
          <w:w w:val="100"/>
          <w:position w:val="0"/>
        </w:rPr>
        <w:t>十六、其他重要事项</w:t>
      </w:r>
      <w:bookmarkEnd w:id="1979"/>
      <w:bookmarkEnd w:id="1980"/>
      <w:bookmarkEnd w:id="1981"/>
    </w:p>
    <w:p>
      <w:pPr>
        <w:pStyle w:val="Style33"/>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82"/>
      <w:bookmarkEnd w:id="1983"/>
      <w:bookmarkEnd w:id="1984"/>
    </w:p>
    <w:p>
      <w:pPr>
        <w:pStyle w:val="Style40"/>
        <w:keepNext/>
        <w:keepLines/>
        <w:widowControl w:val="0"/>
        <w:shd w:val="clear" w:color="auto" w:fill="auto"/>
        <w:bidi w:val="0"/>
        <w:spacing w:before="0" w:after="360" w:line="240" w:lineRule="auto"/>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5"/>
      <w:bookmarkEnd w:id="1986"/>
      <w:bookmarkEnd w:id="19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88"/>
      <w:bookmarkEnd w:id="1989"/>
      <w:bookmarkEnd w:id="1990"/>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2</w:t>
      </w:r>
      <w:bookmarkEnd w:id="1993"/>
      <w:r>
        <w:rPr>
          <w:color w:val="000000"/>
          <w:spacing w:val="0"/>
          <w:w w:val="100"/>
          <w:position w:val="0"/>
        </w:rPr>
        <w:t>、</w:t>
        <w:tab/>
        <w:t>债务重组</w:t>
      </w:r>
      <w:bookmarkEnd w:id="1991"/>
      <w:bookmarkEnd w:id="1992"/>
      <w:bookmarkEnd w:id="1994"/>
    </w:p>
    <w:p>
      <w:pPr>
        <w:pStyle w:val="Style33"/>
        <w:keepNext/>
        <w:keepLines/>
        <w:widowControl w:val="0"/>
        <w:shd w:val="clear" w:color="auto" w:fill="auto"/>
        <w:tabs>
          <w:tab w:pos="378" w:val="left"/>
        </w:tabs>
        <w:bidi w:val="0"/>
        <w:spacing w:before="0" w:line="240" w:lineRule="auto"/>
        <w:ind w:left="0" w:right="0" w:firstLine="0"/>
        <w:jc w:val="both"/>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3</w:t>
      </w:r>
      <w:bookmarkEnd w:id="1997"/>
      <w:r>
        <w:rPr>
          <w:color w:val="000000"/>
          <w:spacing w:val="0"/>
          <w:w w:val="100"/>
          <w:position w:val="0"/>
        </w:rPr>
        <w:t>、</w:t>
        <w:tab/>
        <w:t>资产置换</w:t>
      </w:r>
      <w:bookmarkEnd w:id="1995"/>
      <w:bookmarkEnd w:id="1996"/>
      <w:bookmarkEnd w:id="1998"/>
    </w:p>
    <w:p>
      <w:pPr>
        <w:pStyle w:val="Style40"/>
        <w:keepNext/>
        <w:keepLines/>
        <w:widowControl w:val="0"/>
        <w:shd w:val="clear" w:color="auto" w:fill="auto"/>
        <w:tabs>
          <w:tab w:pos="493" w:val="left"/>
        </w:tabs>
        <w:bidi w:val="0"/>
        <w:spacing w:before="0" w:after="360" w:line="240" w:lineRule="auto"/>
        <w:ind w:left="0" w:right="0" w:firstLine="0"/>
        <w:jc w:val="both"/>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99"/>
      <w:bookmarkEnd w:id="2000"/>
      <w:bookmarkEnd w:id="2002"/>
    </w:p>
    <w:p>
      <w:pPr>
        <w:pStyle w:val="Style40"/>
        <w:keepNext/>
        <w:keepLines/>
        <w:widowControl w:val="0"/>
        <w:shd w:val="clear" w:color="auto" w:fill="auto"/>
        <w:tabs>
          <w:tab w:pos="493" w:val="left"/>
        </w:tabs>
        <w:bidi w:val="0"/>
        <w:spacing w:before="0" w:after="360" w:line="240" w:lineRule="auto"/>
        <w:ind w:left="0" w:right="0" w:firstLine="0"/>
        <w:jc w:val="both"/>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03"/>
      <w:bookmarkEnd w:id="2004"/>
      <w:bookmarkEnd w:id="2006"/>
    </w:p>
    <w:p>
      <w:pPr>
        <w:pStyle w:val="Style33"/>
        <w:keepNext/>
        <w:keepLines/>
        <w:widowControl w:val="0"/>
        <w:shd w:val="clear" w:color="auto" w:fill="auto"/>
        <w:tabs>
          <w:tab w:pos="378" w:val="left"/>
        </w:tabs>
        <w:bidi w:val="0"/>
        <w:spacing w:before="0" w:line="240" w:lineRule="auto"/>
        <w:ind w:left="0" w:right="0" w:firstLine="0"/>
        <w:jc w:val="both"/>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4</w:t>
      </w:r>
      <w:bookmarkEnd w:id="2009"/>
      <w:r>
        <w:rPr>
          <w:color w:val="000000"/>
          <w:spacing w:val="0"/>
          <w:w w:val="100"/>
          <w:position w:val="0"/>
        </w:rPr>
        <w:t>、</w:t>
        <w:tab/>
        <w:t>年金计划</w:t>
      </w:r>
      <w:bookmarkEnd w:id="2007"/>
      <w:bookmarkEnd w:id="2008"/>
      <w:bookmarkEnd w:id="2010"/>
    </w:p>
    <w:p>
      <w:pPr>
        <w:pStyle w:val="Style33"/>
        <w:keepNext/>
        <w:keepLines/>
        <w:widowControl w:val="0"/>
        <w:shd w:val="clear" w:color="auto" w:fill="auto"/>
        <w:tabs>
          <w:tab w:pos="378" w:val="left"/>
        </w:tabs>
        <w:bidi w:val="0"/>
        <w:spacing w:before="0" w:line="240" w:lineRule="auto"/>
        <w:ind w:left="0" w:right="0" w:firstLine="0"/>
        <w:jc w:val="both"/>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5</w:t>
      </w:r>
      <w:bookmarkEnd w:id="2013"/>
      <w:r>
        <w:rPr>
          <w:color w:val="000000"/>
          <w:spacing w:val="0"/>
          <w:w w:val="100"/>
          <w:position w:val="0"/>
        </w:rPr>
        <w:t>、</w:t>
        <w:tab/>
        <w:t>终止经营</w:t>
      </w:r>
      <w:bookmarkEnd w:id="2011"/>
      <w:bookmarkEnd w:id="2012"/>
      <w:bookmarkEnd w:id="2014"/>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归属于母公司 所有者的终止 经营利润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6</w:t>
      </w:r>
      <w:bookmarkEnd w:id="2017"/>
      <w:r>
        <w:rPr>
          <w:color w:val="000000"/>
          <w:spacing w:val="0"/>
          <w:w w:val="100"/>
          <w:position w:val="0"/>
        </w:rPr>
        <w:t>、分部信息</w:t>
      </w:r>
      <w:bookmarkEnd w:id="2015"/>
      <w:bookmarkEnd w:id="2016"/>
      <w:bookmarkEnd w:id="2018"/>
    </w:p>
    <w:p>
      <w:pPr>
        <w:pStyle w:val="Style40"/>
        <w:keepNext/>
        <w:keepLines/>
        <w:widowControl w:val="0"/>
        <w:shd w:val="clear" w:color="auto" w:fill="auto"/>
        <w:tabs>
          <w:tab w:pos="493" w:val="left"/>
        </w:tabs>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19"/>
      <w:bookmarkEnd w:id="2020"/>
      <w:bookmarkEnd w:id="2022"/>
    </w:p>
    <w:p>
      <w:pPr>
        <w:pStyle w:val="Style40"/>
        <w:keepNext/>
        <w:keepLines/>
        <w:widowControl w:val="0"/>
        <w:shd w:val="clear" w:color="auto" w:fill="auto"/>
        <w:tabs>
          <w:tab w:pos="493" w:val="left"/>
        </w:tabs>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23"/>
      <w:bookmarkEnd w:id="2024"/>
      <w:bookmarkEnd w:id="20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27"/>
      <w:bookmarkEnd w:id="2028"/>
      <w:bookmarkEnd w:id="2030"/>
    </w:p>
    <w:p>
      <w:pPr>
        <w:pStyle w:val="Style40"/>
        <w:keepNext/>
        <w:keepLines/>
        <w:widowControl w:val="0"/>
        <w:shd w:val="clear" w:color="auto" w:fill="auto"/>
        <w:tabs>
          <w:tab w:pos="493" w:val="left"/>
        </w:tabs>
        <w:bidi w:val="0"/>
        <w:spacing w:before="0" w:after="36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31"/>
      <w:bookmarkEnd w:id="2032"/>
      <w:bookmarkEnd w:id="2034"/>
    </w:p>
    <w:p>
      <w:pPr>
        <w:pStyle w:val="Style33"/>
        <w:keepNext/>
        <w:keepLines/>
        <w:widowControl w:val="0"/>
        <w:shd w:val="clear" w:color="auto" w:fill="auto"/>
        <w:tabs>
          <w:tab w:pos="382" w:val="left"/>
        </w:tabs>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7</w:t>
      </w:r>
      <w:bookmarkEnd w:id="2037"/>
      <w:r>
        <w:rPr>
          <w:color w:val="000000"/>
          <w:spacing w:val="0"/>
          <w:w w:val="100"/>
          <w:position w:val="0"/>
        </w:rPr>
        <w:t>、</w:t>
        <w:tab/>
        <w:t>其他对投资者决策有影响的重要交易和事项</w:t>
      </w:r>
      <w:bookmarkEnd w:id="2035"/>
      <w:bookmarkEnd w:id="2036"/>
      <w:bookmarkEnd w:id="2038"/>
    </w:p>
    <w:p>
      <w:pPr>
        <w:pStyle w:val="Style33"/>
        <w:keepNext/>
        <w:keepLines/>
        <w:widowControl w:val="0"/>
        <w:shd w:val="clear" w:color="auto" w:fill="auto"/>
        <w:tabs>
          <w:tab w:pos="382" w:val="left"/>
        </w:tabs>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8</w:t>
      </w:r>
      <w:bookmarkEnd w:id="2041"/>
      <w:r>
        <w:rPr>
          <w:color w:val="000000"/>
          <w:spacing w:val="0"/>
          <w:w w:val="100"/>
          <w:position w:val="0"/>
        </w:rPr>
        <w:t>、</w:t>
        <w:tab/>
        <w:t>其他</w:t>
      </w:r>
      <w:bookmarkEnd w:id="2039"/>
      <w:bookmarkEnd w:id="2040"/>
      <w:bookmarkEnd w:id="2042"/>
    </w:p>
    <w:p>
      <w:pPr>
        <w:pStyle w:val="Style27"/>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color w:val="000000"/>
          <w:spacing w:val="0"/>
          <w:w w:val="100"/>
          <w:position w:val="0"/>
        </w:rPr>
        <w:t>十七、母公司财务报表主要项目注释</w:t>
      </w:r>
      <w:bookmarkEnd w:id="2043"/>
      <w:bookmarkEnd w:id="2044"/>
      <w:bookmarkEnd w:id="2045"/>
    </w:p>
    <w:p>
      <w:pPr>
        <w:pStyle w:val="Style33"/>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6"/>
      <w:bookmarkEnd w:id="2047"/>
      <w:bookmarkEnd w:id="2048"/>
    </w:p>
    <w:p>
      <w:pPr>
        <w:pStyle w:val="Style40"/>
        <w:keepNext/>
        <w:keepLines/>
        <w:widowControl w:val="0"/>
        <w:shd w:val="clear" w:color="auto" w:fill="auto"/>
        <w:bidi w:val="0"/>
        <w:spacing w:before="0" w:after="36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9"/>
      <w:bookmarkEnd w:id="2050"/>
      <w:bookmarkEnd w:id="20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113,24</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5,291.0</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3,813,5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109,43</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1,742.2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122,0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120,436,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113,24</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5,291.0</w:t>
            </w:r>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3,813,5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109,43</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1,742.2</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122,0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120,436,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218.78</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75,849,705.68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3,792,485.29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76,060,340.75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3,813,548.80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76,060,340.75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3,813,548.80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2"/>
      <w:bookmarkEnd w:id="2053"/>
      <w:bookmarkEnd w:id="205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2,195,261.81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44" w:right="1108" w:bottom="1650" w:left="1105" w:header="0" w:footer="3" w:gutter="0"/>
          <w:cols w:space="720"/>
          <w:noEndnote/>
          <w:rtlGutter w:val="0"/>
          <w:docGrid w:linePitch="360"/>
        </w:sectPr>
      </w:pPr>
      <w:r>
        <mc:AlternateContent>
          <mc:Choice Requires="wps">
            <w:drawing>
              <wp:anchor distT="38100" distB="3175" distL="0" distR="0" simplePos="0" relativeHeight="125829540" behindDoc="0" locked="0" layoutInCell="1" allowOverlap="1">
                <wp:simplePos x="0" y="0"/>
                <wp:positionH relativeFrom="page">
                  <wp:posOffset>1547495</wp:posOffset>
                </wp:positionH>
                <wp:positionV relativeFrom="paragraph">
                  <wp:posOffset>38100</wp:posOffset>
                </wp:positionV>
                <wp:extent cx="481330" cy="146050"/>
                <wp:wrapTopAndBottom/>
                <wp:docPr id="475" name="Shape 47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501" type="#_x0000_t202" style="position:absolute;margin-left:121.85000000000001pt;margin-top:3.pt;width:37.899999999999999pt;height:11.5pt;z-index:-125829213;mso-wrap-distance-left:0;mso-wrap-distance-top:3.pt;mso-wrap-distance-right:0;mso-wrap-distance-bottom:0.25pt;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38100" distB="0" distL="0" distR="0" simplePos="0" relativeHeight="125829542" behindDoc="0" locked="0" layoutInCell="1" allowOverlap="1">
                <wp:simplePos x="0" y="0"/>
                <wp:positionH relativeFrom="page">
                  <wp:posOffset>3430905</wp:posOffset>
                </wp:positionH>
                <wp:positionV relativeFrom="paragraph">
                  <wp:posOffset>38100</wp:posOffset>
                </wp:positionV>
                <wp:extent cx="822960" cy="149225"/>
                <wp:wrapTopAndBottom/>
                <wp:docPr id="477" name="Shape 477"/>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收回或转回金额</w:t>
                            </w:r>
                          </w:p>
                        </w:txbxContent>
                      </wps:txbx>
                      <wps:bodyPr wrap="none" lIns="0" tIns="0" rIns="0" bIns="0">
                        <a:noAutoFit/>
                      </wps:bodyPr>
                    </wps:wsp>
                  </a:graphicData>
                </a:graphic>
              </wp:anchor>
            </w:drawing>
          </mc:Choice>
          <mc:Fallback>
            <w:pict>
              <v:shape id="_x0000_s1503" type="#_x0000_t202" style="position:absolute;margin-left:270.14999999999998pt;margin-top:3.pt;width:64.799999999999997pt;height:11.75pt;z-index:-125829211;mso-wrap-distance-left:0;mso-wrap-distance-top:3.pt;mso-wrap-distance-right:0;mso-position-horizontal-relative:page" filled="f" stroked="f">
                <v:textbox inset="0,0,0,0">
                  <w:txbxContent>
                    <w:p>
                      <w:pPr>
                        <w:pStyle w:val="Style2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收回或转回金额</w:t>
                      </w:r>
                    </w:p>
                  </w:txbxContent>
                </v:textbox>
                <w10:wrap type="topAndBottom" anchorx="page"/>
              </v:shape>
            </w:pict>
          </mc:Fallback>
        </mc:AlternateContent>
      </w:r>
      <w:r>
        <mc:AlternateContent>
          <mc:Choice Requires="wps">
            <w:drawing>
              <wp:anchor distT="38100" distB="0" distL="0" distR="0" simplePos="0" relativeHeight="125829544" behindDoc="0" locked="0" layoutInCell="1" allowOverlap="1">
                <wp:simplePos x="0" y="0"/>
                <wp:positionH relativeFrom="page">
                  <wp:posOffset>5570855</wp:posOffset>
                </wp:positionH>
                <wp:positionV relativeFrom="paragraph">
                  <wp:posOffset>38100</wp:posOffset>
                </wp:positionV>
                <wp:extent cx="478790" cy="149225"/>
                <wp:wrapTopAndBottom/>
                <wp:docPr id="479" name="Shape 479"/>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收回方式</w:t>
                            </w:r>
                          </w:p>
                        </w:txbxContent>
                      </wps:txbx>
                      <wps:bodyPr wrap="none" lIns="0" tIns="0" rIns="0" bIns="0">
                        <a:noAutoFit/>
                      </wps:bodyPr>
                    </wps:wsp>
                  </a:graphicData>
                </a:graphic>
              </wp:anchor>
            </w:drawing>
          </mc:Choice>
          <mc:Fallback>
            <w:pict>
              <v:shape id="_x0000_s1505" type="#_x0000_t202" style="position:absolute;margin-left:438.65000000000003pt;margin-top:3.pt;width:37.700000000000003pt;height:11.75pt;z-index:-125829209;mso-wrap-distance-left:0;mso-wrap-distance-top:3.pt;mso-wrap-distance-right:0;mso-position-horizontal-relative:page" filled="f" stroked="f">
                <v:textbox inset="0,0,0,0">
                  <w:txbxContent>
                    <w:p>
                      <w:pPr>
                        <w:pStyle w:val="Style2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收回方式</w:t>
                      </w:r>
                    </w:p>
                  </w:txbxContent>
                </v:textbox>
                <w10:wrap type="topAndBottom" anchorx="page"/>
              </v:shape>
            </w:pict>
          </mc:Fallback>
        </mc:AlternateContent>
      </w: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0" w:right="0" w:bottom="1417" w:left="0" w:header="0" w:footer="3" w:gutter="0"/>
          <w:cols w:space="720"/>
          <w:noEndnote/>
          <w:rtlGutter w:val="0"/>
          <w:docGrid w:linePitch="360"/>
        </w:sectPr>
      </w:pPr>
    </w:p>
    <w:p>
      <w:pPr>
        <w:pStyle w:val="Style40"/>
        <w:keepNext/>
        <w:keepLines/>
        <w:widowControl w:val="0"/>
        <w:numPr>
          <w:ilvl w:val="0"/>
          <w:numId w:val="77"/>
        </w:numPr>
        <w:shd w:val="clear" w:color="auto" w:fill="auto"/>
        <w:bidi w:val="0"/>
        <w:spacing w:before="0" w:line="240" w:lineRule="auto"/>
        <w:ind w:left="0" w:right="0" w:firstLine="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本期实际核销的应收账款情况</w:t>
      </w:r>
      <w:bookmarkEnd w:id="2055"/>
      <w:bookmarkEnd w:id="2056"/>
      <w:bookmarkEnd w:id="2058"/>
    </w:p>
    <w:p>
      <w:pPr>
        <w:pStyle w:val="Style2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p>
    <w:p>
      <w:pPr>
        <w:pStyle w:val="Style21"/>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200" w:line="240" w:lineRule="auto"/>
        <w:ind w:left="4040" w:right="0" w:firstLine="0"/>
        <w:jc w:val="left"/>
      </w:pPr>
      <w:r>
        <mc:AlternateContent>
          <mc:Choice Requires="wps">
            <w:drawing>
              <wp:anchor distT="0" distB="0" distL="114300" distR="114300" simplePos="0" relativeHeight="125829546" behindDoc="0" locked="0" layoutInCell="1" allowOverlap="1">
                <wp:simplePos x="0" y="0"/>
                <wp:positionH relativeFrom="page">
                  <wp:posOffset>2172335</wp:posOffset>
                </wp:positionH>
                <wp:positionV relativeFrom="paragraph">
                  <wp:posOffset>12700</wp:posOffset>
                </wp:positionV>
                <wp:extent cx="252730" cy="146050"/>
                <wp:wrapSquare wrapText="right"/>
                <wp:docPr id="481" name="Shape 481"/>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507" type="#_x0000_t202" style="position:absolute;margin-left:171.05000000000001pt;margin-top:1.pt;width:19.900000000000002pt;height:11.5pt;z-index:-125829207;mso-wrap-distance-left:9.pt;mso-wrap-distance-right:9.pt;mso-position-horizontal-relative:page" fillcolor="#D3D3D3" stroked="f">
                <v:textbox inset="0,0,0,0">
                  <w:txbxContent>
                    <w:p>
                      <w:pPr>
                        <w:pStyle w:val="Style21"/>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核销金额</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40"/>
        <w:keepNext/>
        <w:keepLines/>
        <w:widowControl w:val="0"/>
        <w:numPr>
          <w:ilvl w:val="0"/>
          <w:numId w:val="77"/>
        </w:numPr>
        <w:shd w:val="clear" w:color="auto" w:fill="auto"/>
        <w:bidi w:val="0"/>
        <w:spacing w:before="0" w:after="440" w:line="240" w:lineRule="auto"/>
        <w:ind w:left="0" w:right="0" w:firstLine="14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按欠款方归集的期末余额前五名的应收账款情况</w:t>
      </w:r>
      <w:bookmarkEnd w:id="2059"/>
      <w:bookmarkEnd w:id="2060"/>
      <w:bookmarkEnd w:id="2062"/>
    </w:p>
    <w:p>
      <w:pPr>
        <w:widowControl w:val="0"/>
        <w:jc w:val="left"/>
        <w:rPr>
          <w:sz w:val="2"/>
          <w:szCs w:val="2"/>
        </w:rPr>
      </w:pPr>
      <w:r>
        <w:drawing>
          <wp:inline>
            <wp:extent cx="5273040" cy="2419985"/>
            <wp:docPr id="483" name="Picutre 483"/>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37"/>
                    <a:stretch/>
                  </pic:blipFill>
                  <pic:spPr>
                    <a:xfrm>
                      <a:ext cx="5273040" cy="2419985"/>
                    </a:xfrm>
                    <a:prstGeom prst="rect"/>
                  </pic:spPr>
                </pic:pic>
              </a:graphicData>
            </a:graphic>
          </wp:inline>
        </w:drawing>
      </w:r>
    </w:p>
    <w:p>
      <w:pPr>
        <w:widowControl w:val="0"/>
        <w:spacing w:after="439" w:line="1" w:lineRule="exact"/>
      </w:pPr>
    </w:p>
    <w:p>
      <w:pPr>
        <w:pStyle w:val="Style40"/>
        <w:keepNext/>
        <w:keepLines/>
        <w:widowControl w:val="0"/>
        <w:numPr>
          <w:ilvl w:val="0"/>
          <w:numId w:val="77"/>
        </w:numPr>
        <w:shd w:val="clear" w:color="auto" w:fill="auto"/>
        <w:bidi w:val="0"/>
        <w:spacing w:before="0" w:line="240" w:lineRule="auto"/>
        <w:ind w:left="0" w:right="0" w:firstLine="14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因金融资产转移而终止确认的应收账款</w:t>
      </w:r>
      <w:bookmarkEnd w:id="2063"/>
      <w:bookmarkEnd w:id="2064"/>
      <w:bookmarkEnd w:id="2066"/>
    </w:p>
    <w:p>
      <w:pPr>
        <w:pStyle w:val="Style40"/>
        <w:keepNext/>
        <w:keepLines/>
        <w:widowControl w:val="0"/>
        <w:numPr>
          <w:ilvl w:val="0"/>
          <w:numId w:val="77"/>
        </w:numPr>
        <w:shd w:val="clear" w:color="auto" w:fill="auto"/>
        <w:bidi w:val="0"/>
        <w:spacing w:before="0" w:line="240" w:lineRule="auto"/>
        <w:ind w:left="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转移应收账款且继续涉入形成的资产、负债金额</w:t>
      </w:r>
      <w:bookmarkEnd w:id="2067"/>
      <w:bookmarkEnd w:id="2068"/>
      <w:bookmarkEnd w:id="207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71"/>
      <w:bookmarkEnd w:id="2072"/>
      <w:bookmarkEnd w:id="2073"/>
    </w:p>
    <w:p>
      <w:pPr>
        <w:pStyle w:val="Style40"/>
        <w:keepNext/>
        <w:keepLines/>
        <w:widowControl w:val="0"/>
        <w:shd w:val="clear" w:color="auto" w:fill="auto"/>
        <w:bidi w:val="0"/>
        <w:spacing w:before="0" w:line="240" w:lineRule="auto"/>
        <w:ind w:left="0" w:right="0" w:firstLine="0"/>
        <w:jc w:val="left"/>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74"/>
      <w:bookmarkEnd w:id="2075"/>
      <w:bookmarkEnd w:id="2076"/>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10,292,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605,25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9,687,0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10,37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7,998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10,292,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605,25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9,687,0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10,37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7,998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10,285,4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期末单项金额重大并单项计提坏账准备的其他应收款:</w:t>
      </w:r>
    </w:p>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9,560,721.76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478,036.08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496,409.00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49,640.90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10,057,130.76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527,676.98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171,661.93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34,332.39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10,292,292.69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605,259.37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5.88%</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7"/>
      <w:bookmarkEnd w:id="2078"/>
      <w:bookmarkEnd w:id="207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512,707.95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w:t>
      </w:r>
      <w:bookmarkEnd w:id="208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80"/>
      <w:bookmarkEnd w:id="2081"/>
      <w:bookmarkEnd w:id="208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84"/>
      <w:bookmarkEnd w:id="2085"/>
      <w:bookmarkEnd w:id="2087"/>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员工借款及备用金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664,743.93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656,743.00</w:t>
            </w:r>
          </w:p>
        </w:tc>
      </w:tr>
    </w:tbl>
    <w:p>
      <w:pPr>
        <w:widowControl w:val="0"/>
        <w:spacing w:line="1" w:lineRule="exact"/>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7,814,259.54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9,339,716.21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279,964.98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1,072,095.70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10,292,292.69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10,377,998.55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88"/>
      <w:bookmarkEnd w:id="2089"/>
      <w:bookmarkEnd w:id="20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7,814,259.54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390,712.98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软件即征即退税额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817,829.84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40,891.49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326,309.00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16,315.45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中山市财政局民众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员工个人社会保险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187,596.02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9,345,994.40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467,299.72</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w:t>
      </w:r>
      <w:bookmarkEnd w:id="209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92"/>
      <w:bookmarkEnd w:id="2093"/>
      <w:bookmarkEnd w:id="20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158750" distB="103505" distL="0" distR="0" simplePos="0" relativeHeight="125829548" behindDoc="0" locked="0" layoutInCell="1" allowOverlap="1">
                <wp:simplePos x="0" y="0"/>
                <wp:positionH relativeFrom="page">
                  <wp:posOffset>1122680</wp:posOffset>
                </wp:positionH>
                <wp:positionV relativeFrom="paragraph">
                  <wp:posOffset>158750</wp:posOffset>
                </wp:positionV>
                <wp:extent cx="481330" cy="146050"/>
                <wp:wrapTopAndBottom/>
                <wp:docPr id="484" name="Shape 48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510" type="#_x0000_t202" style="position:absolute;margin-left:88.400000000000006pt;margin-top:12.5pt;width:37.899999999999999pt;height:11.5pt;z-index:-125829205;mso-wrap-distance-left:0;mso-wrap-distance-top:12.5pt;mso-wrap-distance-right:0;mso-wrap-distance-bottom:8.1500000000000004pt;mso-position-horizontal-relative:page" filled="f" stroked="f">
                <v:textbox inset="0,0,0,0">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158750" distB="100330" distL="0" distR="0" simplePos="0" relativeHeight="125829550" behindDoc="0" locked="0" layoutInCell="1" allowOverlap="1">
                <wp:simplePos x="0" y="0"/>
                <wp:positionH relativeFrom="page">
                  <wp:posOffset>2122170</wp:posOffset>
                </wp:positionH>
                <wp:positionV relativeFrom="paragraph">
                  <wp:posOffset>158750</wp:posOffset>
                </wp:positionV>
                <wp:extent cx="944880" cy="149225"/>
                <wp:wrapTopAndBottom/>
                <wp:docPr id="486" name="Shape 486"/>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政府补助项目名称</w:t>
                            </w:r>
                          </w:p>
                        </w:txbxContent>
                      </wps:txbx>
                      <wps:bodyPr wrap="none" lIns="0" tIns="0" rIns="0" bIns="0">
                        <a:noAutoFit/>
                      </wps:bodyPr>
                    </wps:wsp>
                  </a:graphicData>
                </a:graphic>
              </wp:anchor>
            </w:drawing>
          </mc:Choice>
          <mc:Fallback>
            <w:pict>
              <v:shape id="_x0000_s1512" type="#_x0000_t202" style="position:absolute;margin-left:167.09999999999999pt;margin-top:12.5pt;width:74.400000000000006pt;height:11.75pt;z-index:-125829203;mso-wrap-distance-left:0;mso-wrap-distance-top:12.5pt;mso-wrap-distance-right:0;mso-wrap-distance-bottom:7.9000000000000004pt;mso-position-horizontal-relative:page" filled="f" stroked="f">
                <v:textbox inset="0,0,0,0">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政府补助项目名称</w:t>
                      </w:r>
                    </w:p>
                  </w:txbxContent>
                </v:textbox>
                <w10:wrap type="topAndBottom" anchorx="page"/>
              </v:shape>
            </w:pict>
          </mc:Fallback>
        </mc:AlternateContent>
      </w:r>
      <w:r>
        <mc:AlternateContent>
          <mc:Choice Requires="wps">
            <w:drawing>
              <wp:anchor distT="158750" distB="100330" distL="0" distR="0" simplePos="0" relativeHeight="125829552" behindDoc="0" locked="0" layoutInCell="1" allowOverlap="1">
                <wp:simplePos x="0" y="0"/>
                <wp:positionH relativeFrom="page">
                  <wp:posOffset>3539490</wp:posOffset>
                </wp:positionH>
                <wp:positionV relativeFrom="paragraph">
                  <wp:posOffset>158750</wp:posOffset>
                </wp:positionV>
                <wp:extent cx="484505" cy="149225"/>
                <wp:wrapTopAndBottom/>
                <wp:docPr id="488" name="Shape 48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514" type="#_x0000_t202" style="position:absolute;margin-left:278.69999999999999pt;margin-top:12.5pt;width:38.149999999999999pt;height:11.75pt;z-index:-125829201;mso-wrap-distance-left:0;mso-wrap-distance-top:12.5pt;mso-wrap-distance-right:0;mso-wrap-distance-bottom:7.9000000000000004pt;mso-position-horizontal-relative:page" filled="f" stroked="f">
                <v:textbox inset="0,0,0,0">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58750" distB="100330" distL="0" distR="0" simplePos="0" relativeHeight="125829554" behindDoc="0" locked="0" layoutInCell="1" allowOverlap="1">
                <wp:simplePos x="0" y="0"/>
                <wp:positionH relativeFrom="page">
                  <wp:posOffset>4725670</wp:posOffset>
                </wp:positionH>
                <wp:positionV relativeFrom="paragraph">
                  <wp:posOffset>158750</wp:posOffset>
                </wp:positionV>
                <wp:extent cx="484505" cy="149225"/>
                <wp:wrapTopAndBottom/>
                <wp:docPr id="490" name="Shape 49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期末账龄</w:t>
                            </w:r>
                          </w:p>
                        </w:txbxContent>
                      </wps:txbx>
                      <wps:bodyPr wrap="none" lIns="0" tIns="0" rIns="0" bIns="0">
                        <a:noAutoFit/>
                      </wps:bodyPr>
                    </wps:wsp>
                  </a:graphicData>
                </a:graphic>
              </wp:anchor>
            </w:drawing>
          </mc:Choice>
          <mc:Fallback>
            <w:pict>
              <v:shape id="_x0000_s1516" type="#_x0000_t202" style="position:absolute;margin-left:372.10000000000002pt;margin-top:12.5pt;width:38.149999999999999pt;height:11.75pt;z-index:-125829199;mso-wrap-distance-left:0;mso-wrap-distance-top:12.5pt;mso-wrap-distance-right:0;mso-wrap-distance-bottom:7.9000000000000004pt;mso-position-horizontal-relative:page" filled="f" stroked="f">
                <v:textbox inset="0,0,0,0">
                  <w:txbxContent>
                    <w:p>
                      <w:pPr>
                        <w:pStyle w:val="Style21"/>
                        <w:keepNext w:val="0"/>
                        <w:keepLines w:val="0"/>
                        <w:widowControl w:val="0"/>
                        <w:pBdr>
                          <w:top w:val="single" w:sz="0" w:space="0" w:color="D3D3D3"/>
                          <w:left w:val="single" w:sz="0" w:space="5" w:color="D3D3D3"/>
                          <w:bottom w:val="single" w:sz="0" w:space="0" w:color="D3D3D3"/>
                          <w:right w:val="single" w:sz="0" w:space="5" w:color="D3D3D3"/>
                        </w:pBdr>
                        <w:shd w:val="clear" w:color="auto" w:fill="D3D3D3"/>
                        <w:bidi w:val="0"/>
                        <w:spacing w:before="0" w:after="0" w:line="240" w:lineRule="auto"/>
                        <w:ind w:left="0" w:right="0" w:firstLine="0"/>
                        <w:jc w:val="left"/>
                      </w:pPr>
                      <w:r>
                        <w:rPr>
                          <w:color w:val="000000"/>
                          <w:spacing w:val="0"/>
                          <w:w w:val="100"/>
                          <w:position w:val="0"/>
                        </w:rPr>
                        <w:t>期末账龄</w:t>
                      </w:r>
                    </w:p>
                  </w:txbxContent>
                </v:textbox>
                <w10:wrap type="topAndBottom" anchorx="page"/>
              </v:shape>
            </w:pict>
          </mc:Fallback>
        </mc:AlternateContent>
      </w:r>
      <w:r>
        <mc:AlternateContent>
          <mc:Choice Requires="wps">
            <w:drawing>
              <wp:anchor distT="0" distB="0" distL="0" distR="0" simplePos="0" relativeHeight="125829556" behindDoc="0" locked="0" layoutInCell="1" allowOverlap="1">
                <wp:simplePos x="0" y="0"/>
                <wp:positionH relativeFrom="page">
                  <wp:posOffset>5615305</wp:posOffset>
                </wp:positionH>
                <wp:positionV relativeFrom="paragraph">
                  <wp:posOffset>0</wp:posOffset>
                </wp:positionV>
                <wp:extent cx="1124585" cy="408305"/>
                <wp:wrapTopAndBottom/>
                <wp:docPr id="492" name="Shape 492"/>
                <a:graphic xmlns:a="http://schemas.openxmlformats.org/drawingml/2006/main">
                  <a:graphicData uri="http://schemas.microsoft.com/office/word/2010/wordprocessingShape">
                    <wps:wsp>
                      <wps:cNvSpPr txBox="1"/>
                      <wps:spPr>
                        <a:xfrm>
                          <a:ext cx="1124585" cy="408305"/>
                        </a:xfrm>
                        <a:prstGeom prst="rect"/>
                        <a:noFill/>
                      </wps:spPr>
                      <wps:txbx>
                        <w:txbxContent>
                          <w:p>
                            <w:pPr>
                              <w:pStyle w:val="Style21"/>
                              <w:keepNext w:val="0"/>
                              <w:keepLines w:val="0"/>
                              <w:widowControl w:val="0"/>
                              <w:pBdr>
                                <w:top w:val="single" w:sz="4" w:space="0" w:color="D3D3D3"/>
                                <w:left w:val="single" w:sz="4" w:space="5" w:color="D3D3D3"/>
                                <w:bottom w:val="single" w:sz="4" w:space="0" w:color="D3D3D3"/>
                                <w:right w:val="single" w:sz="4" w:space="5" w:color="D3D3D3"/>
                              </w:pBdr>
                              <w:shd w:val="clear" w:color="auto" w:fill="D3D3D3"/>
                              <w:bidi w:val="0"/>
                              <w:spacing w:before="0" w:after="0" w:line="312" w:lineRule="exact"/>
                              <w:ind w:left="0" w:right="0" w:firstLine="0"/>
                              <w:jc w:val="center"/>
                            </w:pPr>
                            <w:r>
                              <w:rPr>
                                <w:color w:val="000000"/>
                                <w:spacing w:val="0"/>
                                <w:w w:val="100"/>
                                <w:position w:val="0"/>
                              </w:rPr>
                              <w:t>预计收取的时间、金额</w:t>
                              <w:br/>
                              <w:t>及依据</w:t>
                            </w:r>
                          </w:p>
                        </w:txbxContent>
                      </wps:txbx>
                      <wps:bodyPr lIns="0" tIns="0" rIns="0" bIns="0">
                        <a:noAutoFit/>
                      </wps:bodyPr>
                    </wps:wsp>
                  </a:graphicData>
                </a:graphic>
              </wp:anchor>
            </w:drawing>
          </mc:Choice>
          <mc:Fallback>
            <w:pict>
              <v:shape id="_x0000_s1518" type="#_x0000_t202" style="position:absolute;margin-left:442.15000000000003pt;margin-top:0;width:88.549999999999997pt;height:32.149999999999999pt;z-index:-125829197;mso-wrap-distance-left:0;mso-wrap-distance-right:0;mso-position-horizontal-relative:page" filled="f" stroked="f">
                <v:textbox inset="0,0,0,0">
                  <w:txbxContent>
                    <w:p>
                      <w:pPr>
                        <w:pStyle w:val="Style21"/>
                        <w:keepNext w:val="0"/>
                        <w:keepLines w:val="0"/>
                        <w:widowControl w:val="0"/>
                        <w:pBdr>
                          <w:top w:val="single" w:sz="4" w:space="0" w:color="D3D3D3"/>
                          <w:left w:val="single" w:sz="4" w:space="5" w:color="D3D3D3"/>
                          <w:bottom w:val="single" w:sz="4" w:space="0" w:color="D3D3D3"/>
                          <w:right w:val="single" w:sz="4" w:space="5" w:color="D3D3D3"/>
                        </w:pBdr>
                        <w:shd w:val="clear" w:color="auto" w:fill="D3D3D3"/>
                        <w:bidi w:val="0"/>
                        <w:spacing w:before="0" w:after="0" w:line="312" w:lineRule="exact"/>
                        <w:ind w:left="0" w:right="0" w:firstLine="0"/>
                        <w:jc w:val="center"/>
                      </w:pPr>
                      <w:r>
                        <w:rPr>
                          <w:color w:val="000000"/>
                          <w:spacing w:val="0"/>
                          <w:w w:val="100"/>
                          <w:position w:val="0"/>
                        </w:rPr>
                        <w:t>预计收取的时间、金额</w:t>
                        <w:br/>
                        <w:t>及依据</w:t>
                      </w:r>
                    </w:p>
                  </w:txbxContent>
                </v:textbox>
                <w10:wrap type="topAndBottom" anchorx="page"/>
              </v:shape>
            </w:pict>
          </mc:Fallback>
        </mc:AlternateContent>
      </w:r>
    </w:p>
    <w:p>
      <w:pPr>
        <w:pStyle w:val="Style40"/>
        <w:keepNext/>
        <w:keepLines/>
        <w:widowControl w:val="0"/>
        <w:shd w:val="clear" w:color="auto" w:fill="auto"/>
        <w:bidi w:val="0"/>
        <w:spacing w:before="0" w:after="360" w:line="240" w:lineRule="auto"/>
        <w:ind w:left="0" w:right="0" w:firstLine="14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2096"/>
      <w:bookmarkEnd w:id="2097"/>
      <w:bookmarkEnd w:id="2099"/>
    </w:p>
    <w:p>
      <w:pPr>
        <w:pStyle w:val="Style40"/>
        <w:keepNext/>
        <w:keepLines/>
        <w:widowControl w:val="0"/>
        <w:shd w:val="clear" w:color="auto" w:fill="auto"/>
        <w:bidi w:val="0"/>
        <w:spacing w:before="0" w:after="740" w:line="240" w:lineRule="auto"/>
        <w:ind w:left="0" w:right="0" w:firstLine="14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2100"/>
      <w:bookmarkEnd w:id="2101"/>
      <w:bookmarkEnd w:id="2103"/>
    </w:p>
    <w:p>
      <w:pPr>
        <w:pStyle w:val="Style21"/>
        <w:keepNext w:val="0"/>
        <w:keepLines w:val="0"/>
        <w:widowControl w:val="0"/>
        <w:shd w:val="clear" w:color="auto" w:fill="auto"/>
        <w:bidi w:val="0"/>
        <w:spacing w:before="0" w:after="7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3</w:t>
      </w:r>
      <w:bookmarkEnd w:id="2106"/>
      <w:r>
        <w:rPr>
          <w:color w:val="000000"/>
          <w:spacing w:val="0"/>
          <w:w w:val="100"/>
          <w:position w:val="0"/>
        </w:rPr>
        <w:t>、长期股权投资</w:t>
      </w:r>
      <w:bookmarkEnd w:id="2104"/>
      <w:bookmarkEnd w:id="2105"/>
      <w:bookmarkEnd w:id="21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16,134,548.13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3,781,103.13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12,353,445.00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14,781,103.13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3,781,103.13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484,668.62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484,668.62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735,153.28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235,842.77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16,619,216.75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3,781,103.13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12,838,113.62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15,516,256.41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4,280,413.64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11,235,842.77</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08"/>
      <w:bookmarkEnd w:id="2109"/>
      <w:bookmarkEnd w:id="2110"/>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本期计提减值 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深圳市乐心医 疗电子有限公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3,781,103.13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3,781,103.13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3,781,103.13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中山市创源传 感器有限公司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中山市创源贸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广州动心信息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中山乐心电子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Lifesense Health</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1,353,445.00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1,353,445.00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14,781,103.13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1,353,445.00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16,134,548.13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3,781,103.13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11"/>
      <w:bookmarkEnd w:id="2112"/>
      <w:bookmarkEnd w:id="2113"/>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蜡笔网 络科技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中山市 易恩自 动化科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235,84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735,15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735,15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248,82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484,66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numPr>
          <w:ilvl w:val="0"/>
          <w:numId w:val="79"/>
        </w:numPr>
        <w:shd w:val="clear" w:color="auto" w:fill="auto"/>
        <w:bidi w:val="0"/>
        <w:spacing w:before="0" w:after="36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其他说明</w:t>
      </w:r>
      <w:bookmarkEnd w:id="2114"/>
      <w:bookmarkEnd w:id="2115"/>
      <w:bookmarkEnd w:id="2117"/>
    </w:p>
    <w:p>
      <w:pPr>
        <w:pStyle w:val="Style33"/>
        <w:keepNext/>
        <w:keepLines/>
        <w:widowControl w:val="0"/>
        <w:shd w:val="clear" w:color="auto" w:fill="auto"/>
        <w:bidi w:val="0"/>
        <w:spacing w:before="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4</w:t>
      </w:r>
      <w:bookmarkEnd w:id="2120"/>
      <w:r>
        <w:rPr>
          <w:color w:val="000000"/>
          <w:spacing w:val="0"/>
          <w:w w:val="100"/>
          <w:position w:val="0"/>
        </w:rPr>
        <w:t>、营业收入和营业成本</w:t>
      </w:r>
      <w:bookmarkEnd w:id="2118"/>
      <w:bookmarkEnd w:id="2119"/>
      <w:bookmarkEnd w:id="2121"/>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693,249,876.67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545,470,033.14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608,640,314.97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504,986,058.16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2,413,248.15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901,455.84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127,792.24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695,663,124.82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546,371,488.98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608,768,107.21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504,986,058.16</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5</w:t>
      </w:r>
      <w:bookmarkEnd w:id="2124"/>
      <w:r>
        <w:rPr>
          <w:color w:val="000000"/>
          <w:spacing w:val="0"/>
          <w:w w:val="100"/>
          <w:position w:val="0"/>
        </w:rPr>
        <w:t>、投资收益</w:t>
      </w:r>
      <w:bookmarkEnd w:id="2122"/>
      <w:bookmarkEnd w:id="2123"/>
      <w:bookmarkEnd w:id="2125"/>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-499,310.51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 损益的金融资产取得的投资收益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-1,156,276.00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8,093,239.34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-71,207.00</w:t>
            </w:r>
          </w:p>
        </w:tc>
      </w:tr>
    </w:tbl>
    <w:p>
      <w:pPr>
        <w:pStyle w:val="Style33"/>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6</w:t>
      </w:r>
      <w:bookmarkEnd w:id="2128"/>
      <w:r>
        <w:rPr>
          <w:color w:val="000000"/>
          <w:spacing w:val="0"/>
          <w:w w:val="100"/>
          <w:position w:val="0"/>
        </w:rPr>
        <w:t>、其他</w:t>
      </w:r>
      <w:bookmarkEnd w:id="2126"/>
      <w:bookmarkEnd w:id="2127"/>
      <w:bookmarkEnd w:id="2129"/>
    </w:p>
    <w:p>
      <w:pPr>
        <w:pStyle w:val="Style27"/>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r>
        <w:rPr>
          <w:color w:val="000000"/>
          <w:spacing w:val="0"/>
          <w:w w:val="100"/>
          <w:position w:val="0"/>
        </w:rPr>
        <w:t>十八、补充资料</w:t>
      </w:r>
      <w:bookmarkEnd w:id="2130"/>
      <w:bookmarkEnd w:id="2131"/>
      <w:bookmarkEnd w:id="2132"/>
    </w:p>
    <w:p>
      <w:pPr>
        <w:pStyle w:val="Style33"/>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33"/>
      <w:bookmarkEnd w:id="2134"/>
      <w:bookmarkEnd w:id="213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583,214.30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8,561,002.94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1,402,258.22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7,749,379.73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36"/>
      <w:bookmarkEnd w:id="2137"/>
      <w:bookmarkEnd w:id="213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3</w:t>
      </w:r>
      <w:bookmarkEnd w:id="2141"/>
      <w:r>
        <w:rPr>
          <w:color w:val="000000"/>
          <w:spacing w:val="0"/>
          <w:w w:val="100"/>
          <w:position w:val="0"/>
        </w:rPr>
        <w:t>、境内外会计准则下会计数据差异</w:t>
      </w:r>
      <w:bookmarkEnd w:id="2139"/>
      <w:bookmarkEnd w:id="2140"/>
      <w:bookmarkEnd w:id="2142"/>
    </w:p>
    <w:p>
      <w:pPr>
        <w:pStyle w:val="Style40"/>
        <w:keepNext/>
        <w:keepLines/>
        <w:widowControl w:val="0"/>
        <w:shd w:val="clear" w:color="auto" w:fill="auto"/>
        <w:tabs>
          <w:tab w:pos="493" w:val="left"/>
        </w:tabs>
        <w:bidi w:val="0"/>
        <w:spacing w:before="0" w:after="360" w:line="240" w:lineRule="auto"/>
        <w:ind w:left="0" w:right="0" w:firstLine="0"/>
        <w:jc w:val="left"/>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43"/>
      <w:bookmarkEnd w:id="2144"/>
      <w:bookmarkEnd w:id="214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47"/>
      <w:bookmarkEnd w:id="2148"/>
      <w:bookmarkEnd w:id="215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81"/>
        </w:numPr>
        <w:shd w:val="clear" w:color="auto" w:fill="auto"/>
        <w:bidi w:val="0"/>
        <w:spacing w:before="0" w:after="360" w:line="322" w:lineRule="exact"/>
        <w:ind w:left="0" w:right="0" w:firstLine="0"/>
        <w:jc w:val="left"/>
      </w:pPr>
      <w:bookmarkStart w:id="2151" w:name="bookmark2151"/>
      <w:bookmarkStart w:id="2152" w:name="bookmark2152"/>
      <w:bookmarkStart w:id="2153" w:name="bookmark2153"/>
      <w:bookmarkStart w:id="2154" w:name="bookmark2154"/>
      <w:bookmarkEnd w:id="2153"/>
      <w:r>
        <w:rPr>
          <w:color w:val="000000"/>
          <w:spacing w:val="0"/>
          <w:w w:val="100"/>
          <w:position w:val="0"/>
        </w:rPr>
        <w:t>境内外会计准则下会计数据差异原因说明，对已经境外审计机构审计的数据进行差异调节的，应注 明该境外机构的名称</w:t>
      </w:r>
      <w:bookmarkEnd w:id="2151"/>
      <w:bookmarkEnd w:id="2152"/>
      <w:bookmarkEnd w:id="2154"/>
    </w:p>
    <w:p>
      <w:pPr>
        <w:pStyle w:val="Style3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0" w:right="1108" w:bottom="1417" w:left="1106" w:header="0" w:footer="3" w:gutter="0"/>
          <w:cols w:space="720"/>
          <w:noEndnote/>
          <w:rtlGutter w:val="0"/>
          <w:docGrid w:linePitch="360"/>
        </w:sectPr>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4</w:t>
      </w:r>
      <w:bookmarkEnd w:id="2157"/>
      <w:r>
        <w:rPr>
          <w:color w:val="000000"/>
          <w:spacing w:val="0"/>
          <w:w w:val="100"/>
          <w:position w:val="0"/>
        </w:rPr>
        <w:t>、其他</w:t>
      </w:r>
      <w:bookmarkEnd w:id="2155"/>
      <w:bookmarkEnd w:id="2156"/>
      <w:bookmarkEnd w:id="2158"/>
    </w:p>
    <w:p>
      <w:pPr>
        <w:pStyle w:val="Style19"/>
        <w:keepNext/>
        <w:keepLines/>
        <w:widowControl w:val="0"/>
        <w:shd w:val="clear" w:color="auto" w:fill="auto"/>
        <w:bidi w:val="0"/>
        <w:spacing w:before="0" w:after="680" w:line="240" w:lineRule="auto"/>
        <w:ind w:left="0" w:right="0" w:firstLine="0"/>
        <w:jc w:val="center"/>
      </w:pPr>
      <w:bookmarkStart w:id="2159" w:name="bookmark2159"/>
      <w:bookmarkStart w:id="2160" w:name="bookmark2160"/>
      <w:bookmarkStart w:id="2161" w:name="bookmark2161"/>
      <w:r>
        <w:rPr>
          <w:color w:val="000000"/>
          <w:spacing w:val="0"/>
          <w:w w:val="100"/>
          <w:position w:val="0"/>
        </w:rPr>
        <w:t>第十二节备查文件目录</w:t>
      </w:r>
      <w:bookmarkEnd w:id="2159"/>
      <w:bookmarkEnd w:id="2160"/>
      <w:bookmarkEnd w:id="2161"/>
    </w:p>
    <w:p>
      <w:pPr>
        <w:pStyle w:val="Style21"/>
        <w:keepNext w:val="0"/>
        <w:keepLines w:val="0"/>
        <w:widowControl w:val="0"/>
        <w:shd w:val="clear" w:color="auto" w:fill="auto"/>
        <w:tabs>
          <w:tab w:pos="435" w:val="left"/>
        </w:tabs>
        <w:bidi w:val="0"/>
        <w:spacing w:before="0" w:after="300" w:line="240" w:lineRule="auto"/>
        <w:ind w:left="0" w:right="0" w:firstLine="0"/>
        <w:jc w:val="left"/>
      </w:pPr>
      <w:bookmarkStart w:id="2162" w:name="bookmark2162"/>
      <w:r>
        <w:rPr>
          <w:color w:val="000000"/>
          <w:spacing w:val="0"/>
          <w:w w:val="100"/>
          <w:position w:val="0"/>
        </w:rPr>
        <w:t>一</w:t>
      </w:r>
      <w:bookmarkEnd w:id="2162"/>
      <w:r>
        <w:rPr>
          <w:color w:val="000000"/>
          <w:spacing w:val="0"/>
          <w:w w:val="100"/>
          <w:position w:val="0"/>
        </w:rPr>
        <w:t>、</w:t>
        <w:tab/>
        <w:t>载有公司法定代表人、财务负责人、会计机构负责人签名并盖章的财务报表。</w:t>
      </w:r>
    </w:p>
    <w:p>
      <w:pPr>
        <w:pStyle w:val="Style21"/>
        <w:keepNext w:val="0"/>
        <w:keepLines w:val="0"/>
        <w:widowControl w:val="0"/>
        <w:shd w:val="clear" w:color="auto" w:fill="auto"/>
        <w:tabs>
          <w:tab w:pos="435" w:val="left"/>
        </w:tabs>
        <w:bidi w:val="0"/>
        <w:spacing w:before="0" w:after="300" w:line="240" w:lineRule="auto"/>
        <w:ind w:left="0" w:right="0" w:firstLine="0"/>
        <w:jc w:val="left"/>
      </w:pPr>
      <w:bookmarkStart w:id="2163" w:name="bookmark2163"/>
      <w:r>
        <w:rPr>
          <w:color w:val="000000"/>
          <w:spacing w:val="0"/>
          <w:w w:val="100"/>
          <w:position w:val="0"/>
        </w:rPr>
        <w:t>二</w:t>
      </w:r>
      <w:bookmarkEnd w:id="2163"/>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5" w:val="left"/>
        </w:tabs>
        <w:bidi w:val="0"/>
        <w:spacing w:before="0" w:after="300" w:line="240" w:lineRule="auto"/>
        <w:ind w:left="0" w:right="0" w:firstLine="0"/>
        <w:jc w:val="left"/>
      </w:pPr>
      <w:bookmarkStart w:id="2164" w:name="bookmark2164"/>
      <w:r>
        <w:rPr>
          <w:color w:val="000000"/>
          <w:spacing w:val="0"/>
          <w:w w:val="100"/>
          <w:position w:val="0"/>
        </w:rPr>
        <w:t>三</w:t>
      </w:r>
      <w:bookmarkEnd w:id="2164"/>
      <w:r>
        <w:rPr>
          <w:color w:val="000000"/>
          <w:spacing w:val="0"/>
          <w:w w:val="100"/>
          <w:position w:val="0"/>
        </w:rPr>
        <w:t>、</w:t>
        <w:tab/>
        <w:t>报告期内在中国证监会指定信息披露载体上公开披露过的所有公司文件的正本及公告的原稿。</w:t>
      </w:r>
    </w:p>
    <w:p>
      <w:pPr>
        <w:pStyle w:val="Style21"/>
        <w:keepNext w:val="0"/>
        <w:keepLines w:val="0"/>
        <w:widowControl w:val="0"/>
        <w:shd w:val="clear" w:color="auto" w:fill="auto"/>
        <w:tabs>
          <w:tab w:pos="435" w:val="left"/>
        </w:tabs>
        <w:bidi w:val="0"/>
        <w:spacing w:before="0" w:after="300" w:line="240" w:lineRule="auto"/>
        <w:ind w:left="0" w:right="0" w:firstLine="0"/>
        <w:jc w:val="left"/>
      </w:pPr>
      <w:bookmarkStart w:id="2165" w:name="bookmark2165"/>
      <w:r>
        <w:rPr>
          <w:color w:val="000000"/>
          <w:spacing w:val="0"/>
          <w:w w:val="100"/>
          <w:position w:val="0"/>
        </w:rPr>
        <w:t>四</w:t>
      </w:r>
      <w:bookmarkEnd w:id="2165"/>
      <w:r>
        <w:rPr>
          <w:color w:val="000000"/>
          <w:spacing w:val="0"/>
          <w:w w:val="100"/>
          <w:position w:val="0"/>
        </w:rPr>
        <w:t>、</w:t>
        <w:tab/>
        <w:t>载有法定代表人签名的公司</w:t>
      </w:r>
      <w:r>
        <w:rPr>
          <w:color w:val="000000"/>
          <w:spacing w:val="0"/>
          <w:w w:val="100"/>
          <w:position w:val="0"/>
          <w:sz w:val="18"/>
          <w:szCs w:val="18"/>
        </w:rPr>
        <w:t>2016</w:t>
      </w:r>
      <w:r>
        <w:rPr>
          <w:color w:val="000000"/>
          <w:spacing w:val="0"/>
          <w:w w:val="100"/>
          <w:position w:val="0"/>
        </w:rPr>
        <w:t>年度报告文本。</w:t>
      </w:r>
    </w:p>
    <w:p>
      <w:pPr>
        <w:pStyle w:val="Style21"/>
        <w:keepNext w:val="0"/>
        <w:keepLines w:val="0"/>
        <w:widowControl w:val="0"/>
        <w:shd w:val="clear" w:color="auto" w:fill="auto"/>
        <w:tabs>
          <w:tab w:pos="435" w:val="left"/>
        </w:tabs>
        <w:bidi w:val="0"/>
        <w:spacing w:before="0" w:after="300" w:line="240" w:lineRule="auto"/>
        <w:ind w:left="0" w:right="0" w:firstLine="0"/>
        <w:jc w:val="left"/>
      </w:pPr>
      <w:bookmarkStart w:id="2166" w:name="bookmark2166"/>
      <w:r>
        <w:rPr>
          <w:color w:val="000000"/>
          <w:spacing w:val="0"/>
          <w:w w:val="100"/>
          <w:position w:val="0"/>
        </w:rPr>
        <w:t>五</w:t>
      </w:r>
      <w:bookmarkEnd w:id="2166"/>
      <w:r>
        <w:rPr>
          <w:color w:val="000000"/>
          <w:spacing w:val="0"/>
          <w:w w:val="100"/>
          <w:position w:val="0"/>
        </w:rPr>
        <w:t>、</w:t>
        <w:tab/>
        <w:t>其他有关资料。</w:t>
      </w:r>
    </w:p>
    <w:p>
      <w:pPr>
        <w:pStyle w:val="Style21"/>
        <w:keepNext w:val="0"/>
        <w:keepLines w:val="0"/>
        <w:widowControl w:val="0"/>
        <w:shd w:val="clear" w:color="auto" w:fill="auto"/>
        <w:tabs>
          <w:tab w:pos="435" w:val="left"/>
        </w:tabs>
        <w:bidi w:val="0"/>
        <w:spacing w:before="0" w:after="1720" w:line="240" w:lineRule="auto"/>
        <w:ind w:left="0" w:right="0" w:firstLine="0"/>
        <w:jc w:val="left"/>
      </w:pPr>
      <w:bookmarkStart w:id="2167" w:name="bookmark2167"/>
      <w:r>
        <w:rPr>
          <w:color w:val="000000"/>
          <w:spacing w:val="0"/>
          <w:w w:val="100"/>
          <w:position w:val="0"/>
        </w:rPr>
        <w:t>六</w:t>
      </w:r>
      <w:bookmarkEnd w:id="2167"/>
      <w:r>
        <w:rPr>
          <w:color w:val="000000"/>
          <w:spacing w:val="0"/>
          <w:w w:val="100"/>
          <w:position w:val="0"/>
        </w:rPr>
        <w:t>、</w:t>
        <w:tab/>
        <w:t>以上备查文件的备置地点：公司董事会办公室。</w:t>
      </w:r>
    </w:p>
    <w:p>
      <w:pPr>
        <w:pStyle w:val="Style21"/>
        <w:keepNext w:val="0"/>
        <w:keepLines w:val="0"/>
        <w:widowControl w:val="0"/>
        <w:shd w:val="clear" w:color="auto" w:fill="auto"/>
        <w:bidi w:val="0"/>
        <w:spacing w:before="0" w:after="300" w:line="240" w:lineRule="auto"/>
        <w:ind w:left="5920" w:right="0" w:firstLine="0"/>
        <w:jc w:val="left"/>
      </w:pPr>
      <w:r>
        <w:rPr>
          <w:color w:val="000000"/>
          <w:spacing w:val="0"/>
          <w:w w:val="100"/>
          <w:position w:val="0"/>
        </w:rPr>
        <w:t>广东乐心医疗电子股份有限公司</w:t>
      </w:r>
    </w:p>
    <w:p>
      <w:pPr>
        <w:pStyle w:val="Style21"/>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法定代表人：潘伟潮</w:t>
      </w:r>
    </w:p>
    <w:p>
      <w:pPr>
        <w:pStyle w:val="Style21"/>
        <w:keepNext w:val="0"/>
        <w:keepLines w:val="0"/>
        <w:widowControl w:val="0"/>
        <w:shd w:val="clear" w:color="auto" w:fill="auto"/>
        <w:bidi w:val="0"/>
        <w:spacing w:before="0" w:after="30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3745230</wp:posOffset>
              </wp:positionH>
              <wp:positionV relativeFrom="page">
                <wp:posOffset>9961245</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4.90000000000003pt;margin-top:784.35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3721735</wp:posOffset>
              </wp:positionH>
              <wp:positionV relativeFrom="page">
                <wp:posOffset>9930765</wp:posOffset>
              </wp:positionV>
              <wp:extent cx="106680" cy="79375"/>
              <wp:wrapNone/>
              <wp:docPr id="49" name="Shape 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3.05000000000001pt;margin-top:781.95000000000005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3721735</wp:posOffset>
              </wp:positionH>
              <wp:positionV relativeFrom="page">
                <wp:posOffset>9930765</wp:posOffset>
              </wp:positionV>
              <wp:extent cx="106680" cy="79375"/>
              <wp:wrapNone/>
              <wp:docPr id="54" name="Shape 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93.05000000000001pt;margin-top:781.95000000000005pt;width:8.4000000000000004pt;height:6.25pt;z-index:-1887440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3745230</wp:posOffset>
              </wp:positionH>
              <wp:positionV relativeFrom="page">
                <wp:posOffset>9961245</wp:posOffset>
              </wp:positionV>
              <wp:extent cx="100330" cy="79375"/>
              <wp:wrapNone/>
              <wp:docPr id="59" name="Shape 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4.90000000000003pt;margin-top:784.35000000000002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3745230</wp:posOffset>
              </wp:positionH>
              <wp:positionV relativeFrom="page">
                <wp:posOffset>9961245</wp:posOffset>
              </wp:positionV>
              <wp:extent cx="100330" cy="79375"/>
              <wp:wrapNone/>
              <wp:docPr id="64" name="Shape 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4.90000000000003pt;margin-top:784.35000000000002pt;width:7.9000000000000004pt;height:6.25pt;z-index:-18874401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3721735</wp:posOffset>
              </wp:positionH>
              <wp:positionV relativeFrom="page">
                <wp:posOffset>9930765</wp:posOffset>
              </wp:positionV>
              <wp:extent cx="106680" cy="79375"/>
              <wp:wrapNone/>
              <wp:docPr id="73" name="Shape 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293.05000000000001pt;margin-top:781.95000000000005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3721735</wp:posOffset>
              </wp:positionH>
              <wp:positionV relativeFrom="page">
                <wp:posOffset>9930765</wp:posOffset>
              </wp:positionV>
              <wp:extent cx="106680" cy="79375"/>
              <wp:wrapNone/>
              <wp:docPr id="78" name="Shape 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3.05000000000001pt;margin-top:781.95000000000005pt;width:8.4000000000000004pt;height:6.25pt;z-index:-1887440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3745230</wp:posOffset>
              </wp:positionH>
              <wp:positionV relativeFrom="page">
                <wp:posOffset>9961245</wp:posOffset>
              </wp:positionV>
              <wp:extent cx="100330" cy="79375"/>
              <wp:wrapNone/>
              <wp:docPr id="84" name="Shape 8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294.90000000000003pt;margin-top:784.35000000000002pt;width:7.9000000000000004pt;height:6.25pt;z-index:-18874400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3745230</wp:posOffset>
              </wp:positionH>
              <wp:positionV relativeFrom="page">
                <wp:posOffset>9961245</wp:posOffset>
              </wp:positionV>
              <wp:extent cx="100330" cy="79375"/>
              <wp:wrapNone/>
              <wp:docPr id="89" name="Shape 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294.90000000000003pt;margin-top:784.35000000000002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3728085</wp:posOffset>
              </wp:positionH>
              <wp:positionV relativeFrom="page">
                <wp:posOffset>9930765</wp:posOffset>
              </wp:positionV>
              <wp:extent cx="100330" cy="79375"/>
              <wp:wrapNone/>
              <wp:docPr id="96" name="Shape 9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3.55000000000001pt;margin-top:781.95000000000005pt;width:7.9000000000000004pt;height:6.25pt;z-index:-18874399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3728085</wp:posOffset>
              </wp:positionH>
              <wp:positionV relativeFrom="page">
                <wp:posOffset>9930765</wp:posOffset>
              </wp:positionV>
              <wp:extent cx="100330" cy="79375"/>
              <wp:wrapNone/>
              <wp:docPr id="101" name="Shape 1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293.55000000000001pt;margin-top:781.95000000000005pt;width:7.9000000000000004pt;height:6.25pt;z-index:-1887439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3745230</wp:posOffset>
              </wp:positionH>
              <wp:positionV relativeFrom="page">
                <wp:posOffset>9961245</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4.90000000000003pt;margin-top:784.35000000000002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3745230</wp:posOffset>
              </wp:positionH>
              <wp:positionV relativeFrom="page">
                <wp:posOffset>9961245</wp:posOffset>
              </wp:positionV>
              <wp:extent cx="100330" cy="79375"/>
              <wp:wrapNone/>
              <wp:docPr id="106" name="Shape 10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294.90000000000003pt;margin-top:784.35000000000002pt;width:7.9000000000000004pt;height:6.25pt;z-index:-18874398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3745230</wp:posOffset>
              </wp:positionH>
              <wp:positionV relativeFrom="page">
                <wp:posOffset>9961245</wp:posOffset>
              </wp:positionV>
              <wp:extent cx="100330" cy="79375"/>
              <wp:wrapNone/>
              <wp:docPr id="111" name="Shape 1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294.90000000000003pt;margin-top:784.35000000000002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3724910</wp:posOffset>
              </wp:positionH>
              <wp:positionV relativeFrom="page">
                <wp:posOffset>9930765</wp:posOffset>
              </wp:positionV>
              <wp:extent cx="103505" cy="79375"/>
              <wp:wrapNone/>
              <wp:docPr id="116" name="Shape 1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3.30000000000001pt;margin-top:781.95000000000005pt;width:8.1500000000000004pt;height:6.25pt;z-index:-18874397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3724910</wp:posOffset>
              </wp:positionH>
              <wp:positionV relativeFrom="page">
                <wp:posOffset>9930765</wp:posOffset>
              </wp:positionV>
              <wp:extent cx="103505" cy="79375"/>
              <wp:wrapNone/>
              <wp:docPr id="121" name="Shape 1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293.30000000000001pt;margin-top:781.95000000000005pt;width:8.1500000000000004pt;height:6.25pt;z-index:-18874397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3745230</wp:posOffset>
              </wp:positionH>
              <wp:positionV relativeFrom="page">
                <wp:posOffset>9961245</wp:posOffset>
              </wp:positionV>
              <wp:extent cx="100330" cy="79375"/>
              <wp:wrapNone/>
              <wp:docPr id="126" name="Shape 1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294.90000000000003pt;margin-top:784.35000000000002pt;width:7.9000000000000004pt;height:6.25pt;z-index:-18874396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3745230</wp:posOffset>
              </wp:positionH>
              <wp:positionV relativeFrom="page">
                <wp:posOffset>9961245</wp:posOffset>
              </wp:positionV>
              <wp:extent cx="100330" cy="79375"/>
              <wp:wrapNone/>
              <wp:docPr id="131" name="Shape 1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294.90000000000003pt;margin-top:784.35000000000002pt;width:7.9000000000000004pt;height:6.25pt;z-index:-18874396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3703320</wp:posOffset>
              </wp:positionH>
              <wp:positionV relativeFrom="page">
                <wp:posOffset>9930765</wp:posOffset>
              </wp:positionV>
              <wp:extent cx="146050" cy="79375"/>
              <wp:wrapNone/>
              <wp:docPr id="158" name="Shape 1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291.60000000000002pt;margin-top:781.95000000000005pt;width:11.5pt;height:6.25pt;z-index:-18874396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3703320</wp:posOffset>
              </wp:positionH>
              <wp:positionV relativeFrom="page">
                <wp:posOffset>9930765</wp:posOffset>
              </wp:positionV>
              <wp:extent cx="146050" cy="79375"/>
              <wp:wrapNone/>
              <wp:docPr id="163" name="Shape 16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291.60000000000002pt;margin-top:781.95000000000005pt;width:11.5pt;height:6.25pt;z-index:-1887439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3703320</wp:posOffset>
              </wp:positionH>
              <wp:positionV relativeFrom="page">
                <wp:posOffset>9988550</wp:posOffset>
              </wp:positionV>
              <wp:extent cx="155575" cy="79375"/>
              <wp:wrapNone/>
              <wp:docPr id="168" name="Shape 1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291.60000000000002pt;margin-top:786.5pt;width:12.25pt;height:6.25pt;z-index:-18874395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3703320</wp:posOffset>
              </wp:positionH>
              <wp:positionV relativeFrom="page">
                <wp:posOffset>9988550</wp:posOffset>
              </wp:positionV>
              <wp:extent cx="155575" cy="79375"/>
              <wp:wrapNone/>
              <wp:docPr id="173" name="Shape 1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291.60000000000002pt;margin-top:786.5pt;width:12.25pt;height:6.25pt;z-index:-18874394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3758565</wp:posOffset>
              </wp:positionH>
              <wp:positionV relativeFrom="page">
                <wp:posOffset>10101580</wp:posOffset>
              </wp:positionV>
              <wp:extent cx="33655" cy="82550"/>
              <wp:wrapNone/>
              <wp:docPr id="14" name="Shape 14"/>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5.94999999999999pt;margin-top:795.39999999999998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3703320</wp:posOffset>
              </wp:positionH>
              <wp:positionV relativeFrom="page">
                <wp:posOffset>9930765</wp:posOffset>
              </wp:positionV>
              <wp:extent cx="146050" cy="79375"/>
              <wp:wrapNone/>
              <wp:docPr id="178" name="Shape 1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291.60000000000002pt;margin-top:781.95000000000005pt;width:11.5pt;height:6.25pt;z-index:-18874394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3703320</wp:posOffset>
              </wp:positionH>
              <wp:positionV relativeFrom="page">
                <wp:posOffset>9930765</wp:posOffset>
              </wp:positionV>
              <wp:extent cx="146050" cy="79375"/>
              <wp:wrapNone/>
              <wp:docPr id="183" name="Shape 1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291.60000000000002pt;margin-top:781.95000000000005pt;width:11.5pt;height:6.25pt;z-index:-1887439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3703320</wp:posOffset>
              </wp:positionH>
              <wp:positionV relativeFrom="page">
                <wp:posOffset>9988550</wp:posOffset>
              </wp:positionV>
              <wp:extent cx="155575" cy="79375"/>
              <wp:wrapNone/>
              <wp:docPr id="188" name="Shape 1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291.60000000000002pt;margin-top:786.5pt;width:12.25pt;height:6.25pt;z-index:-18874393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3703320</wp:posOffset>
              </wp:positionH>
              <wp:positionV relativeFrom="page">
                <wp:posOffset>9988550</wp:posOffset>
              </wp:positionV>
              <wp:extent cx="155575" cy="79375"/>
              <wp:wrapNone/>
              <wp:docPr id="193" name="Shape 1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291.60000000000002pt;margin-top:786.5pt;width:12.25pt;height:6.25pt;z-index:-1887439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3703320</wp:posOffset>
              </wp:positionH>
              <wp:positionV relativeFrom="page">
                <wp:posOffset>9930765</wp:posOffset>
              </wp:positionV>
              <wp:extent cx="146050" cy="79375"/>
              <wp:wrapNone/>
              <wp:docPr id="198" name="Shape 19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91.60000000000002pt;margin-top:781.95000000000005pt;width:11.5pt;height:6.25pt;z-index:-1887439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3703320</wp:posOffset>
              </wp:positionH>
              <wp:positionV relativeFrom="page">
                <wp:posOffset>9930765</wp:posOffset>
              </wp:positionV>
              <wp:extent cx="146050" cy="79375"/>
              <wp:wrapNone/>
              <wp:docPr id="203" name="Shape 20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291.60000000000002pt;margin-top:781.95000000000005pt;width:11.5pt;height:6.25pt;z-index:-18874392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3703320</wp:posOffset>
              </wp:positionH>
              <wp:positionV relativeFrom="page">
                <wp:posOffset>9930765</wp:posOffset>
              </wp:positionV>
              <wp:extent cx="146050" cy="79375"/>
              <wp:wrapNone/>
              <wp:docPr id="208" name="Shape 20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291.60000000000002pt;margin-top:781.95000000000005pt;width:11.5pt;height:6.25pt;z-index:-18874392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3703320</wp:posOffset>
              </wp:positionH>
              <wp:positionV relativeFrom="page">
                <wp:posOffset>9988550</wp:posOffset>
              </wp:positionV>
              <wp:extent cx="155575" cy="79375"/>
              <wp:wrapNone/>
              <wp:docPr id="213" name="Shape 2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291.60000000000002pt;margin-top:786.5pt;width:12.25pt;height:6.25pt;z-index:-18874391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3703320</wp:posOffset>
              </wp:positionH>
              <wp:positionV relativeFrom="page">
                <wp:posOffset>9988550</wp:posOffset>
              </wp:positionV>
              <wp:extent cx="155575" cy="79375"/>
              <wp:wrapNone/>
              <wp:docPr id="218" name="Shape 2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291.60000000000002pt;margin-top:786.5pt;width:12.25pt;height:6.25pt;z-index:-18874391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3703320</wp:posOffset>
              </wp:positionH>
              <wp:positionV relativeFrom="page">
                <wp:posOffset>9930765</wp:posOffset>
              </wp:positionV>
              <wp:extent cx="146050" cy="79375"/>
              <wp:wrapNone/>
              <wp:docPr id="223" name="Shape 2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291.60000000000002pt;margin-top:781.95000000000005pt;width:11.5pt;height:6.25pt;z-index:-1887439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3733800</wp:posOffset>
              </wp:positionH>
              <wp:positionV relativeFrom="page">
                <wp:posOffset>9930765</wp:posOffset>
              </wp:positionV>
              <wp:extent cx="91440" cy="79375"/>
              <wp:wrapNone/>
              <wp:docPr id="19" name="Shape 19"/>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4.pt;margin-top:781.95000000000005pt;width:7.2000000000000002pt;height:6.2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3703320</wp:posOffset>
              </wp:positionH>
              <wp:positionV relativeFrom="page">
                <wp:posOffset>9988550</wp:posOffset>
              </wp:positionV>
              <wp:extent cx="155575" cy="79375"/>
              <wp:wrapNone/>
              <wp:docPr id="240" name="Shape 2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291.60000000000002pt;margin-top:786.5pt;width:12.25pt;height:6.25pt;z-index:-1887439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3703320</wp:posOffset>
              </wp:positionH>
              <wp:positionV relativeFrom="page">
                <wp:posOffset>9988550</wp:posOffset>
              </wp:positionV>
              <wp:extent cx="155575" cy="79375"/>
              <wp:wrapNone/>
              <wp:docPr id="245" name="Shape 2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291.60000000000002pt;margin-top:786.5pt;width:12.25pt;height:6.25pt;z-index:-1887439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3703320</wp:posOffset>
              </wp:positionH>
              <wp:positionV relativeFrom="page">
                <wp:posOffset>9930765</wp:posOffset>
              </wp:positionV>
              <wp:extent cx="155575" cy="79375"/>
              <wp:wrapNone/>
              <wp:docPr id="328" name="Shape 3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291.60000000000002pt;margin-top:781.95000000000005pt;width:12.25pt;height:6.25pt;z-index:-18874389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3703320</wp:posOffset>
              </wp:positionH>
              <wp:positionV relativeFrom="page">
                <wp:posOffset>9930765</wp:posOffset>
              </wp:positionV>
              <wp:extent cx="155575" cy="79375"/>
              <wp:wrapNone/>
              <wp:docPr id="333" name="Shape 3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291.60000000000002pt;margin-top:781.95000000000005pt;width:12.25pt;height:6.25pt;z-index:-18874389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3703320</wp:posOffset>
              </wp:positionH>
              <wp:positionV relativeFrom="page">
                <wp:posOffset>9988550</wp:posOffset>
              </wp:positionV>
              <wp:extent cx="155575" cy="79375"/>
              <wp:wrapNone/>
              <wp:docPr id="344" name="Shape 3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0" type="#_x0000_t202" style="position:absolute;margin-left:291.60000000000002pt;margin-top:786.5pt;width:12.25pt;height:6.25pt;z-index:-1887438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3703320</wp:posOffset>
              </wp:positionH>
              <wp:positionV relativeFrom="page">
                <wp:posOffset>9988550</wp:posOffset>
              </wp:positionV>
              <wp:extent cx="155575" cy="79375"/>
              <wp:wrapNone/>
              <wp:docPr id="349" name="Shape 3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291.60000000000002pt;margin-top:786.5pt;width:12.25pt;height:6.25pt;z-index:-18874388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3703320</wp:posOffset>
              </wp:positionH>
              <wp:positionV relativeFrom="page">
                <wp:posOffset>9930765</wp:posOffset>
              </wp:positionV>
              <wp:extent cx="155575" cy="79375"/>
              <wp:wrapNone/>
              <wp:docPr id="354" name="Shape 3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291.60000000000002pt;margin-top:781.95000000000005pt;width:12.25pt;height:6.25pt;z-index:-18874388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3703320</wp:posOffset>
              </wp:positionH>
              <wp:positionV relativeFrom="page">
                <wp:posOffset>9930765</wp:posOffset>
              </wp:positionV>
              <wp:extent cx="155575" cy="79375"/>
              <wp:wrapNone/>
              <wp:docPr id="359" name="Shape 3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291.60000000000002pt;margin-top:781.95000000000005pt;width:12.25pt;height:6.25pt;z-index:-18874387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3703320</wp:posOffset>
              </wp:positionH>
              <wp:positionV relativeFrom="page">
                <wp:posOffset>9988550</wp:posOffset>
              </wp:positionV>
              <wp:extent cx="155575" cy="79375"/>
              <wp:wrapNone/>
              <wp:docPr id="404" name="Shape 4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291.60000000000002pt;margin-top:786.5pt;width:12.25pt;height:6.25pt;z-index:-18874387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3703320</wp:posOffset>
              </wp:positionH>
              <wp:positionV relativeFrom="page">
                <wp:posOffset>9988550</wp:posOffset>
              </wp:positionV>
              <wp:extent cx="155575" cy="79375"/>
              <wp:wrapNone/>
              <wp:docPr id="409" name="Shape 4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291.60000000000002pt;margin-top:786.5pt;width:12.25pt;height:6.25pt;z-index:-18874386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3733800</wp:posOffset>
              </wp:positionH>
              <wp:positionV relativeFrom="page">
                <wp:posOffset>9930765</wp:posOffset>
              </wp:positionV>
              <wp:extent cx="91440" cy="79375"/>
              <wp:wrapNone/>
              <wp:docPr id="24" name="Shape 24"/>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4.pt;margin-top:781.95000000000005pt;width:7.2000000000000002pt;height:6.25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3703320</wp:posOffset>
              </wp:positionH>
              <wp:positionV relativeFrom="page">
                <wp:posOffset>9988550</wp:posOffset>
              </wp:positionV>
              <wp:extent cx="155575" cy="79375"/>
              <wp:wrapNone/>
              <wp:docPr id="414" name="Shape 4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291.60000000000002pt;margin-top:786.5pt;width:12.25pt;height:6.25pt;z-index:-18874386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3703320</wp:posOffset>
              </wp:positionH>
              <wp:positionV relativeFrom="page">
                <wp:posOffset>9988550</wp:posOffset>
              </wp:positionV>
              <wp:extent cx="155575" cy="79375"/>
              <wp:wrapNone/>
              <wp:docPr id="419" name="Shape 4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5" type="#_x0000_t202" style="position:absolute;margin-left:291.60000000000002pt;margin-top:786.5pt;width:12.25pt;height:6.25pt;z-index:-18874386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6334125</wp:posOffset>
              </wp:positionH>
              <wp:positionV relativeFrom="page">
                <wp:posOffset>9740900</wp:posOffset>
              </wp:positionV>
              <wp:extent cx="499745" cy="106680"/>
              <wp:wrapNone/>
              <wp:docPr id="424" name="Shape 42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wps:txbx>
                    <wps:bodyPr wrap="none" lIns="0" tIns="0" rIns="0" bIns="0">
                      <a:spAutoFit/>
                    </wps:bodyPr>
                  </wps:wsp>
                </a:graphicData>
              </a:graphic>
            </wp:anchor>
          </w:drawing>
        </mc:Choice>
        <mc:Fallback>
          <w:pict>
            <v:shape id="_x0000_s1450" type="#_x0000_t202" style="position:absolute;margin-left:498.75pt;margin-top:767.pt;width:39.350000000000001pt;height:8.4000000000000004pt;z-index:-1887438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v:textbox>
              <w10:wrap anchorx="page" anchory="page"/>
            </v:shape>
          </w:pict>
        </mc:Fallback>
      </mc:AlternateContent>
    </w:r>
    <w:r>
      <mc:AlternateContent>
        <mc:Choice Requires="wps">
          <w:drawing>
            <wp:anchor distT="0" distB="0" distL="0" distR="0" simplePos="0" relativeHeight="62914898" behindDoc="1" locked="0" layoutInCell="1" allowOverlap="1">
              <wp:simplePos x="0" y="0"/>
              <wp:positionH relativeFrom="page">
                <wp:posOffset>3703320</wp:posOffset>
              </wp:positionH>
              <wp:positionV relativeFrom="page">
                <wp:posOffset>10036810</wp:posOffset>
              </wp:positionV>
              <wp:extent cx="155575" cy="79375"/>
              <wp:wrapNone/>
              <wp:docPr id="426" name="Shape 4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291.60000000000002pt;margin-top:790.30000000000007pt;width:12.25pt;height:6.25pt;z-index:-18874385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6334125</wp:posOffset>
              </wp:positionH>
              <wp:positionV relativeFrom="page">
                <wp:posOffset>9740900</wp:posOffset>
              </wp:positionV>
              <wp:extent cx="499745" cy="106680"/>
              <wp:wrapNone/>
              <wp:docPr id="431" name="Shape 43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wps:txbx>
                    <wps:bodyPr wrap="none" lIns="0" tIns="0" rIns="0" bIns="0">
                      <a:spAutoFit/>
                    </wps:bodyPr>
                  </wps:wsp>
                </a:graphicData>
              </a:graphic>
            </wp:anchor>
          </w:drawing>
        </mc:Choice>
        <mc:Fallback>
          <w:pict>
            <v:shape id="_x0000_s1457" type="#_x0000_t202" style="position:absolute;margin-left:498.75pt;margin-top:767.pt;width:39.350000000000001pt;height:8.4000000000000004pt;z-index:-18874385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3703320</wp:posOffset>
              </wp:positionH>
              <wp:positionV relativeFrom="page">
                <wp:posOffset>10036810</wp:posOffset>
              </wp:positionV>
              <wp:extent cx="155575" cy="79375"/>
              <wp:wrapNone/>
              <wp:docPr id="433" name="Shape 4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9" type="#_x0000_t202" style="position:absolute;margin-left:291.60000000000002pt;margin-top:790.30000000000007pt;width:12.25pt;height:6.25pt;z-index:-18874384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6334125</wp:posOffset>
              </wp:positionH>
              <wp:positionV relativeFrom="page">
                <wp:posOffset>9740900</wp:posOffset>
              </wp:positionV>
              <wp:extent cx="499745" cy="106680"/>
              <wp:wrapNone/>
              <wp:docPr id="438" name="Shape 43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wps:txbx>
                    <wps:bodyPr wrap="none" lIns="0" tIns="0" rIns="0" bIns="0">
                      <a:spAutoFit/>
                    </wps:bodyPr>
                  </wps:wsp>
                </a:graphicData>
              </a:graphic>
            </wp:anchor>
          </w:drawing>
        </mc:Choice>
        <mc:Fallback>
          <w:pict>
            <v:shape id="_x0000_s1464" type="#_x0000_t202" style="position:absolute;margin-left:498.75pt;margin-top:767.pt;width:39.350000000000001pt;height:8.4000000000000004pt;z-index:-18874384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 元</w:t>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3703320</wp:posOffset>
              </wp:positionH>
              <wp:positionV relativeFrom="page">
                <wp:posOffset>10036810</wp:posOffset>
              </wp:positionV>
              <wp:extent cx="155575" cy="79375"/>
              <wp:wrapNone/>
              <wp:docPr id="440" name="Shape 4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291.60000000000002pt;margin-top:790.30000000000007pt;width:12.25pt;height:6.25pt;z-index:-1887438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3703320</wp:posOffset>
              </wp:positionH>
              <wp:positionV relativeFrom="page">
                <wp:posOffset>9988550</wp:posOffset>
              </wp:positionV>
              <wp:extent cx="155575" cy="79375"/>
              <wp:wrapNone/>
              <wp:docPr id="446" name="Shape 4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2" type="#_x0000_t202" style="position:absolute;margin-left:291.60000000000002pt;margin-top:786.5pt;width:12.25pt;height:6.25pt;z-index:-1887438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3703320</wp:posOffset>
              </wp:positionH>
              <wp:positionV relativeFrom="page">
                <wp:posOffset>9988550</wp:posOffset>
              </wp:positionV>
              <wp:extent cx="155575" cy="79375"/>
              <wp:wrapNone/>
              <wp:docPr id="451" name="Shape 4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291.60000000000002pt;margin-top:786.5pt;width:12.25pt;height:6.25pt;z-index:-18874383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3703320</wp:posOffset>
              </wp:positionH>
              <wp:positionV relativeFrom="page">
                <wp:posOffset>9930765</wp:posOffset>
              </wp:positionV>
              <wp:extent cx="158750" cy="79375"/>
              <wp:wrapNone/>
              <wp:docPr id="456" name="Shape 45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2" type="#_x0000_t202" style="position:absolute;margin-left:291.60000000000002pt;margin-top:781.95000000000005pt;width:12.5pt;height:6.25pt;z-index:-1887438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3703320</wp:posOffset>
              </wp:positionH>
              <wp:positionV relativeFrom="page">
                <wp:posOffset>9930765</wp:posOffset>
              </wp:positionV>
              <wp:extent cx="158750" cy="79375"/>
              <wp:wrapNone/>
              <wp:docPr id="461" name="Shape 46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7" type="#_x0000_t202" style="position:absolute;margin-left:291.60000000000002pt;margin-top:781.95000000000005pt;width:12.5pt;height:6.25pt;z-index:-1887438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3703320</wp:posOffset>
              </wp:positionH>
              <wp:positionV relativeFrom="page">
                <wp:posOffset>9988550</wp:posOffset>
              </wp:positionV>
              <wp:extent cx="155575" cy="79375"/>
              <wp:wrapNone/>
              <wp:docPr id="468" name="Shape 4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291.60000000000002pt;margin-top:786.5pt;width:12.25pt;height:6.25pt;z-index:-1887438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3727450</wp:posOffset>
              </wp:positionH>
              <wp:positionV relativeFrom="page">
                <wp:posOffset>10154285</wp:posOffset>
              </wp:positionV>
              <wp:extent cx="91440" cy="79375"/>
              <wp:wrapNone/>
              <wp:docPr id="29" name="Shape 29"/>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3.5pt;margin-top:799.55000000000007pt;width:7.2000000000000002pt;height:6.25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3703320</wp:posOffset>
              </wp:positionH>
              <wp:positionV relativeFrom="page">
                <wp:posOffset>9988550</wp:posOffset>
              </wp:positionV>
              <wp:extent cx="155575" cy="79375"/>
              <wp:wrapNone/>
              <wp:docPr id="473" name="Shape 4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9" type="#_x0000_t202" style="position:absolute;margin-left:291.60000000000002pt;margin-top:786.5pt;width:12.25pt;height:6.25pt;z-index:-18874381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3745230</wp:posOffset>
              </wp:positionH>
              <wp:positionV relativeFrom="page">
                <wp:posOffset>9961245</wp:posOffset>
              </wp:positionV>
              <wp:extent cx="100330" cy="79375"/>
              <wp:wrapNone/>
              <wp:docPr id="34" name="Shape 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294.90000000000003pt;margin-top:784.35000000000002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3745230</wp:posOffset>
              </wp:positionH>
              <wp:positionV relativeFrom="page">
                <wp:posOffset>9961245</wp:posOffset>
              </wp:positionV>
              <wp:extent cx="100330" cy="79375"/>
              <wp:wrapNone/>
              <wp:docPr id="39" name="Shape 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4.90000000000003pt;margin-top:784.35000000000002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3745230</wp:posOffset>
              </wp:positionH>
              <wp:positionV relativeFrom="page">
                <wp:posOffset>9961245</wp:posOffset>
              </wp:positionV>
              <wp:extent cx="100330" cy="79375"/>
              <wp:wrapNone/>
              <wp:docPr id="44" name="Shape 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4.90000000000003pt;margin-top:784.35000000000002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840105</wp:posOffset>
              </wp:positionH>
              <wp:positionV relativeFrom="page">
                <wp:posOffset>582930</wp:posOffset>
              </wp:positionV>
              <wp:extent cx="5901055" cy="243840"/>
              <wp:wrapNone/>
              <wp:docPr id="1" name="Shape 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150000000000006pt;margin-top:45.899999999999999pt;width:464.65000000000003pt;height:19.199999999999999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3" name="Shape 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3736975</wp:posOffset>
              </wp:positionH>
              <wp:positionV relativeFrom="page">
                <wp:posOffset>732155</wp:posOffset>
              </wp:positionV>
              <wp:extent cx="2987040" cy="121920"/>
              <wp:wrapNone/>
              <wp:docPr id="46" name="Shape 46"/>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wrap="none" lIns="0" tIns="0" rIns="0" bIns="0">
                      <a:spAutoFit/>
                    </wps:bodyPr>
                  </wps:wsp>
                </a:graphicData>
              </a:graphic>
            </wp:anchor>
          </w:drawing>
        </mc:Choice>
        <mc:Fallback>
          <w:pict>
            <v:shape id="_x0000_s1072" type="#_x0000_t202" style="position:absolute;margin-left:294.25pt;margin-top:57.649999999999999pt;width:235.20000000000002pt;height:9.5999999999999996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8" name="Shape 4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3736975</wp:posOffset>
              </wp:positionH>
              <wp:positionV relativeFrom="page">
                <wp:posOffset>732155</wp:posOffset>
              </wp:positionV>
              <wp:extent cx="2987040" cy="121920"/>
              <wp:wrapNone/>
              <wp:docPr id="51" name="Shape 51"/>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wrap="none" lIns="0" tIns="0" rIns="0" bIns="0">
                      <a:spAutoFit/>
                    </wps:bodyPr>
                  </wps:wsp>
                </a:graphicData>
              </a:graphic>
            </wp:anchor>
          </w:drawing>
        </mc:Choice>
        <mc:Fallback>
          <w:pict>
            <v:shape id="_x0000_s1077" type="#_x0000_t202" style="position:absolute;margin-left:294.25pt;margin-top:57.649999999999999pt;width:235.20000000000002pt;height:9.5999999999999996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53" name="Shape 5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840105</wp:posOffset>
              </wp:positionH>
              <wp:positionV relativeFrom="page">
                <wp:posOffset>582930</wp:posOffset>
              </wp:positionV>
              <wp:extent cx="5901055" cy="243840"/>
              <wp:wrapNone/>
              <wp:docPr id="56" name="Shape 5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82" type="#_x0000_t202" style="position:absolute;margin-left:66.150000000000006pt;margin-top:45.899999999999999pt;width:464.65000000000003pt;height:19.199999999999999pt;z-index:-18874401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58" name="Shape 5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840105</wp:posOffset>
              </wp:positionH>
              <wp:positionV relativeFrom="page">
                <wp:posOffset>582930</wp:posOffset>
              </wp:positionV>
              <wp:extent cx="5901055" cy="243840"/>
              <wp:wrapNone/>
              <wp:docPr id="61" name="Shape 6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87" type="#_x0000_t202" style="position:absolute;margin-left:66.150000000000006pt;margin-top:45.899999999999999pt;width:464.65000000000003pt;height:19.199999999999999pt;z-index:-18874401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63" name="Shape 6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3736975</wp:posOffset>
              </wp:positionH>
              <wp:positionV relativeFrom="page">
                <wp:posOffset>732155</wp:posOffset>
              </wp:positionV>
              <wp:extent cx="2987040" cy="121920"/>
              <wp:wrapNone/>
              <wp:docPr id="70" name="Shape 7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6" type="#_x0000_t202" style="position:absolute;margin-left:294.25pt;margin-top:57.649999999999999pt;width:235.20000000000002pt;height:9.5999999999999996pt;z-index:-18874401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72" name="Shape 7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3736975</wp:posOffset>
              </wp:positionH>
              <wp:positionV relativeFrom="page">
                <wp:posOffset>732155</wp:posOffset>
              </wp:positionV>
              <wp:extent cx="2987040" cy="121920"/>
              <wp:wrapNone/>
              <wp:docPr id="75" name="Shape 7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1" type="#_x0000_t202" style="position:absolute;margin-left:294.25pt;margin-top:57.649999999999999pt;width:235.20000000000002pt;height:9.5999999999999996pt;z-index:-1887440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77" name="Shape 7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840105</wp:posOffset>
              </wp:positionH>
              <wp:positionV relativeFrom="page">
                <wp:posOffset>582930</wp:posOffset>
              </wp:positionV>
              <wp:extent cx="5901055" cy="243840"/>
              <wp:wrapNone/>
              <wp:docPr id="81" name="Shape 8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07" type="#_x0000_t202" style="position:absolute;margin-left:66.150000000000006pt;margin-top:45.899999999999999pt;width:464.65000000000003pt;height:19.199999999999999pt;z-index:-18874400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83" name="Shape 8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840105</wp:posOffset>
              </wp:positionH>
              <wp:positionV relativeFrom="page">
                <wp:posOffset>582930</wp:posOffset>
              </wp:positionV>
              <wp:extent cx="5901055" cy="243840"/>
              <wp:wrapNone/>
              <wp:docPr id="86" name="Shape 8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12" type="#_x0000_t202" style="position:absolute;margin-left:66.150000000000006pt;margin-top:45.899999999999999pt;width:464.65000000000003pt;height:19.199999999999999pt;z-index:-18874399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88" name="Shape 8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3736975</wp:posOffset>
              </wp:positionH>
              <wp:positionV relativeFrom="page">
                <wp:posOffset>732155</wp:posOffset>
              </wp:positionV>
              <wp:extent cx="2987040" cy="121920"/>
              <wp:wrapNone/>
              <wp:docPr id="93" name="Shape 93"/>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9" type="#_x0000_t202" style="position:absolute;margin-left:294.25pt;margin-top:57.649999999999999pt;width:235.20000000000002pt;height:9.5999999999999996pt;z-index:-1887439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95" name="Shape 9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3736975</wp:posOffset>
              </wp:positionH>
              <wp:positionV relativeFrom="page">
                <wp:posOffset>732155</wp:posOffset>
              </wp:positionV>
              <wp:extent cx="2987040" cy="121920"/>
              <wp:wrapNone/>
              <wp:docPr id="98" name="Shape 98"/>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4" type="#_x0000_t202" style="position:absolute;margin-left:294.25pt;margin-top:57.649999999999999pt;width:235.20000000000002pt;height:9.5999999999999996pt;z-index:-18874399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00" name="Shape 10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840105</wp:posOffset>
              </wp:positionH>
              <wp:positionV relativeFrom="page">
                <wp:posOffset>582930</wp:posOffset>
              </wp:positionV>
              <wp:extent cx="5901055" cy="243840"/>
              <wp:wrapNone/>
              <wp:docPr id="6" name="Shape 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32" type="#_x0000_t202" style="position:absolute;margin-left:66.150000000000006pt;margin-top:45.899999999999999pt;width:464.65000000000003pt;height:19.199999999999999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8" name="Shape 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840105</wp:posOffset>
              </wp:positionH>
              <wp:positionV relativeFrom="page">
                <wp:posOffset>582930</wp:posOffset>
              </wp:positionV>
              <wp:extent cx="5901055" cy="243840"/>
              <wp:wrapNone/>
              <wp:docPr id="103" name="Shape 103"/>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29" type="#_x0000_t202" style="position:absolute;margin-left:66.150000000000006pt;margin-top:45.899999999999999pt;width:464.65000000000003pt;height:19.199999999999999pt;z-index:-18874398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105" name="Shape 10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840105</wp:posOffset>
              </wp:positionH>
              <wp:positionV relativeFrom="page">
                <wp:posOffset>582930</wp:posOffset>
              </wp:positionV>
              <wp:extent cx="5901055" cy="243840"/>
              <wp:wrapNone/>
              <wp:docPr id="108" name="Shape 108"/>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34" type="#_x0000_t202" style="position:absolute;margin-left:66.150000000000006pt;margin-top:45.899999999999999pt;width:464.65000000000003pt;height:19.199999999999999pt;z-index:-18874398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110" name="Shape 11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3736975</wp:posOffset>
              </wp:positionH>
              <wp:positionV relativeFrom="page">
                <wp:posOffset>732155</wp:posOffset>
              </wp:positionV>
              <wp:extent cx="2987040" cy="121920"/>
              <wp:wrapNone/>
              <wp:docPr id="113" name="Shape 113"/>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9" type="#_x0000_t202" style="position:absolute;margin-left:294.25pt;margin-top:57.649999999999999pt;width:235.20000000000002pt;height:9.5999999999999996pt;z-index:-1887439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15" name="Shape 11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3736975</wp:posOffset>
              </wp:positionH>
              <wp:positionV relativeFrom="page">
                <wp:posOffset>732155</wp:posOffset>
              </wp:positionV>
              <wp:extent cx="2987040" cy="121920"/>
              <wp:wrapNone/>
              <wp:docPr id="118" name="Shape 118"/>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4" type="#_x0000_t202" style="position:absolute;margin-left:294.25pt;margin-top:57.649999999999999pt;width:235.20000000000002pt;height:9.5999999999999996pt;z-index:-18874397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20" name="Shape 12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840105</wp:posOffset>
              </wp:positionH>
              <wp:positionV relativeFrom="page">
                <wp:posOffset>582930</wp:posOffset>
              </wp:positionV>
              <wp:extent cx="5901055" cy="243840"/>
              <wp:wrapNone/>
              <wp:docPr id="123" name="Shape 123"/>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49" type="#_x0000_t202" style="position:absolute;margin-left:66.150000000000006pt;margin-top:45.899999999999999pt;width:464.65000000000003pt;height:19.199999999999999pt;z-index:-18874397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125" name="Shape 12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840105</wp:posOffset>
              </wp:positionH>
              <wp:positionV relativeFrom="page">
                <wp:posOffset>582930</wp:posOffset>
              </wp:positionV>
              <wp:extent cx="5901055" cy="243840"/>
              <wp:wrapNone/>
              <wp:docPr id="128" name="Shape 128"/>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154" type="#_x0000_t202" style="position:absolute;margin-left:66.150000000000006pt;margin-top:45.899999999999999pt;width:464.65000000000003pt;height:19.199999999999999pt;z-index:-18874396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130" name="Shape 13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3736975</wp:posOffset>
              </wp:positionH>
              <wp:positionV relativeFrom="page">
                <wp:posOffset>732155</wp:posOffset>
              </wp:positionV>
              <wp:extent cx="2987040" cy="121920"/>
              <wp:wrapNone/>
              <wp:docPr id="155" name="Shape 15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1" type="#_x0000_t202" style="position:absolute;margin-left:294.25pt;margin-top:57.649999999999999pt;width:235.20000000000002pt;height:9.5999999999999996pt;z-index:-18874396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57" name="Shape 15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3736975</wp:posOffset>
              </wp:positionH>
              <wp:positionV relativeFrom="page">
                <wp:posOffset>732155</wp:posOffset>
              </wp:positionV>
              <wp:extent cx="2987040" cy="121920"/>
              <wp:wrapNone/>
              <wp:docPr id="160" name="Shape 16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6" type="#_x0000_t202" style="position:absolute;margin-left:294.25pt;margin-top:57.649999999999999pt;width:235.20000000000002pt;height:9.5999999999999996pt;z-index:-18874395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62" name="Shape 16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836930</wp:posOffset>
              </wp:positionH>
              <wp:positionV relativeFrom="page">
                <wp:posOffset>579755</wp:posOffset>
              </wp:positionV>
              <wp:extent cx="5901055" cy="243840"/>
              <wp:wrapNone/>
              <wp:docPr id="165" name="Shape 165"/>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91" type="#_x0000_t202" style="position:absolute;margin-left:65.900000000000006pt;margin-top:45.649999999999999pt;width:464.65000000000003pt;height:19.199999999999999pt;z-index:-18874395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167" name="Shape 16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836930</wp:posOffset>
              </wp:positionH>
              <wp:positionV relativeFrom="page">
                <wp:posOffset>579755</wp:posOffset>
              </wp:positionV>
              <wp:extent cx="5901055" cy="243840"/>
              <wp:wrapNone/>
              <wp:docPr id="170" name="Shape 170"/>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196" type="#_x0000_t202" style="position:absolute;margin-left:65.900000000000006pt;margin-top:45.649999999999999pt;width:464.65000000000003pt;height:19.199999999999999pt;z-index:-18874395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172" name="Shape 17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822960</wp:posOffset>
              </wp:positionH>
              <wp:positionV relativeFrom="page">
                <wp:posOffset>527685</wp:posOffset>
              </wp:positionV>
              <wp:extent cx="5901055" cy="243840"/>
              <wp:wrapNone/>
              <wp:docPr id="11" name="Shape 1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府中乐心医疗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37" type="#_x0000_t202" style="position:absolute;margin-left:64.799999999999997pt;margin-top:41.550000000000004pt;width:464.65000000000003pt;height:19.199999999999999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府中乐心医疗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779145</wp:posOffset>
              </wp:positionV>
              <wp:extent cx="6016625" cy="0"/>
              <wp:wrapNone/>
              <wp:docPr id="13" name="Shape 1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1.350000000000001pt;width:47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3736975</wp:posOffset>
              </wp:positionH>
              <wp:positionV relativeFrom="page">
                <wp:posOffset>732155</wp:posOffset>
              </wp:positionV>
              <wp:extent cx="2987040" cy="121920"/>
              <wp:wrapNone/>
              <wp:docPr id="175" name="Shape 17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1" type="#_x0000_t202" style="position:absolute;margin-left:294.25pt;margin-top:57.649999999999999pt;width:235.20000000000002pt;height:9.5999999999999996pt;z-index:-18874394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77" name="Shape 17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3736975</wp:posOffset>
              </wp:positionH>
              <wp:positionV relativeFrom="page">
                <wp:posOffset>732155</wp:posOffset>
              </wp:positionV>
              <wp:extent cx="2987040" cy="121920"/>
              <wp:wrapNone/>
              <wp:docPr id="180" name="Shape 18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6" type="#_x0000_t202" style="position:absolute;margin-left:294.25pt;margin-top:57.649999999999999pt;width:235.20000000000002pt;height:9.5999999999999996pt;z-index:-1887439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82" name="Shape 18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836930</wp:posOffset>
              </wp:positionH>
              <wp:positionV relativeFrom="page">
                <wp:posOffset>579755</wp:posOffset>
              </wp:positionV>
              <wp:extent cx="5901055" cy="243840"/>
              <wp:wrapNone/>
              <wp:docPr id="185" name="Shape 185"/>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11" type="#_x0000_t202" style="position:absolute;margin-left:65.900000000000006pt;margin-top:45.649999999999999pt;width:464.65000000000003pt;height:19.199999999999999pt;z-index:-18874393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187" name="Shape 18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836930</wp:posOffset>
              </wp:positionH>
              <wp:positionV relativeFrom="page">
                <wp:posOffset>579755</wp:posOffset>
              </wp:positionV>
              <wp:extent cx="5901055" cy="243840"/>
              <wp:wrapNone/>
              <wp:docPr id="190" name="Shape 190"/>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16" type="#_x0000_t202" style="position:absolute;margin-left:65.900000000000006pt;margin-top:45.649999999999999pt;width:464.65000000000003pt;height:19.199999999999999pt;z-index:-18874393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192" name="Shape 19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3736975</wp:posOffset>
              </wp:positionH>
              <wp:positionV relativeFrom="page">
                <wp:posOffset>732155</wp:posOffset>
              </wp:positionV>
              <wp:extent cx="2987040" cy="121920"/>
              <wp:wrapNone/>
              <wp:docPr id="195" name="Shape 19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1" type="#_x0000_t202" style="position:absolute;margin-left:294.25pt;margin-top:57.649999999999999pt;width:235.20000000000002pt;height:9.5999999999999996pt;z-index:-1887439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97" name="Shape 19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3736975</wp:posOffset>
              </wp:positionH>
              <wp:positionV relativeFrom="page">
                <wp:posOffset>732155</wp:posOffset>
              </wp:positionV>
              <wp:extent cx="2987040" cy="121920"/>
              <wp:wrapNone/>
              <wp:docPr id="200" name="Shape 20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6" type="#_x0000_t202" style="position:absolute;margin-left:294.25pt;margin-top:57.649999999999999pt;width:235.20000000000002pt;height:9.5999999999999996pt;z-index:-1887439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202" name="Shape 20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3736975</wp:posOffset>
              </wp:positionH>
              <wp:positionV relativeFrom="page">
                <wp:posOffset>732155</wp:posOffset>
              </wp:positionV>
              <wp:extent cx="2987040" cy="121920"/>
              <wp:wrapNone/>
              <wp:docPr id="205" name="Shape 20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1" type="#_x0000_t202" style="position:absolute;margin-left:294.25pt;margin-top:57.649999999999999pt;width:235.20000000000002pt;height:9.5999999999999996pt;z-index:-1887439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207" name="Shape 20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836930</wp:posOffset>
              </wp:positionH>
              <wp:positionV relativeFrom="page">
                <wp:posOffset>579755</wp:posOffset>
              </wp:positionV>
              <wp:extent cx="5901055" cy="243840"/>
              <wp:wrapNone/>
              <wp:docPr id="210" name="Shape 210"/>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36" type="#_x0000_t202" style="position:absolute;margin-left:65.900000000000006pt;margin-top:45.649999999999999pt;width:464.65000000000003pt;height:19.199999999999999pt;z-index:-18874391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212" name="Shape 21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836930</wp:posOffset>
              </wp:positionH>
              <wp:positionV relativeFrom="page">
                <wp:posOffset>579755</wp:posOffset>
              </wp:positionV>
              <wp:extent cx="5901055" cy="243840"/>
              <wp:wrapNone/>
              <wp:docPr id="215" name="Shape 215"/>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41" type="#_x0000_t202" style="position:absolute;margin-left:65.900000000000006pt;margin-top:45.649999999999999pt;width:464.65000000000003pt;height:19.199999999999999pt;z-index:-18874391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217" name="Shape 21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3736975</wp:posOffset>
              </wp:positionH>
              <wp:positionV relativeFrom="page">
                <wp:posOffset>732155</wp:posOffset>
              </wp:positionV>
              <wp:extent cx="2987040" cy="121920"/>
              <wp:wrapNone/>
              <wp:docPr id="220" name="Shape 22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6" type="#_x0000_t202" style="position:absolute;margin-left:294.25pt;margin-top:57.649999999999999pt;width:235.20000000000002pt;height:9.5999999999999996pt;z-index:-18874391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222" name="Shape 22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3736975</wp:posOffset>
              </wp:positionH>
              <wp:positionV relativeFrom="page">
                <wp:posOffset>732155</wp:posOffset>
              </wp:positionV>
              <wp:extent cx="2987040" cy="121920"/>
              <wp:wrapNone/>
              <wp:docPr id="16" name="Shape 16"/>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wrap="none" lIns="0" tIns="0" rIns="0" bIns="0">
                      <a:spAutoFit/>
                    </wps:bodyPr>
                  </wps:wsp>
                </a:graphicData>
              </a:graphic>
            </wp:anchor>
          </w:drawing>
        </mc:Choice>
        <mc:Fallback>
          <w:pict>
            <v:shape id="_x0000_s1042" type="#_x0000_t202" style="position:absolute;margin-left:294.25pt;margin-top:57.649999999999999pt;width:235.20000000000002pt;height:9.5999999999999996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18" name="Shape 1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836930</wp:posOffset>
              </wp:positionH>
              <wp:positionV relativeFrom="page">
                <wp:posOffset>579755</wp:posOffset>
              </wp:positionV>
              <wp:extent cx="5901055" cy="243840"/>
              <wp:wrapNone/>
              <wp:docPr id="237" name="Shape 237"/>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63" type="#_x0000_t202" style="position:absolute;margin-left:65.900000000000006pt;margin-top:45.649999999999999pt;width:464.65000000000003pt;height:19.199999999999999pt;z-index:-18874390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239" name="Shape 239"/>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836930</wp:posOffset>
              </wp:positionH>
              <wp:positionV relativeFrom="page">
                <wp:posOffset>579755</wp:posOffset>
              </wp:positionV>
              <wp:extent cx="5901055" cy="243840"/>
              <wp:wrapNone/>
              <wp:docPr id="242" name="Shape 242"/>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268" type="#_x0000_t202" style="position:absolute;margin-left:65.900000000000006pt;margin-top:45.649999999999999pt;width:464.65000000000003pt;height:19.199999999999999pt;z-index:-18874390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244" name="Shape 244"/>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3736975</wp:posOffset>
              </wp:positionH>
              <wp:positionV relativeFrom="page">
                <wp:posOffset>732155</wp:posOffset>
              </wp:positionV>
              <wp:extent cx="2987040" cy="121920"/>
              <wp:wrapNone/>
              <wp:docPr id="325" name="Shape 325"/>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1" type="#_x0000_t202" style="position:absolute;margin-left:294.25pt;margin-top:57.649999999999999pt;width:235.20000000000002pt;height:9.5999999999999996pt;z-index:-18874389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327" name="Shape 32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3736975</wp:posOffset>
              </wp:positionH>
              <wp:positionV relativeFrom="page">
                <wp:posOffset>732155</wp:posOffset>
              </wp:positionV>
              <wp:extent cx="2987040" cy="121920"/>
              <wp:wrapNone/>
              <wp:docPr id="330" name="Shape 330"/>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6" type="#_x0000_t202" style="position:absolute;margin-left:294.25pt;margin-top:57.649999999999999pt;width:235.20000000000002pt;height:9.5999999999999996pt;z-index:-1887438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332" name="Shape 33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836930</wp:posOffset>
              </wp:positionH>
              <wp:positionV relativeFrom="page">
                <wp:posOffset>579755</wp:posOffset>
              </wp:positionV>
              <wp:extent cx="5901055" cy="243840"/>
              <wp:wrapNone/>
              <wp:docPr id="341" name="Shape 34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67" type="#_x0000_t202" style="position:absolute;margin-left:65.900000000000006pt;margin-top:45.649999999999999pt;width:464.65000000000003pt;height:19.199999999999999pt;z-index:-18874389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343" name="Shape 34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836930</wp:posOffset>
              </wp:positionH>
              <wp:positionV relativeFrom="page">
                <wp:posOffset>579755</wp:posOffset>
              </wp:positionV>
              <wp:extent cx="5901055" cy="243840"/>
              <wp:wrapNone/>
              <wp:docPr id="346" name="Shape 34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372" type="#_x0000_t202" style="position:absolute;margin-left:65.900000000000006pt;margin-top:45.649999999999999pt;width:464.65000000000003pt;height:19.199999999999999pt;z-index:-18874388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348" name="Shape 34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3736975</wp:posOffset>
              </wp:positionH>
              <wp:positionV relativeFrom="page">
                <wp:posOffset>732155</wp:posOffset>
              </wp:positionV>
              <wp:extent cx="2987040" cy="121920"/>
              <wp:wrapNone/>
              <wp:docPr id="351" name="Shape 351"/>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7" type="#_x0000_t202" style="position:absolute;margin-left:294.25pt;margin-top:57.649999999999999pt;width:235.20000000000002pt;height:9.5999999999999996pt;z-index:-18874388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353" name="Shape 35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3736975</wp:posOffset>
              </wp:positionH>
              <wp:positionV relativeFrom="page">
                <wp:posOffset>732155</wp:posOffset>
              </wp:positionV>
              <wp:extent cx="2987040" cy="121920"/>
              <wp:wrapNone/>
              <wp:docPr id="356" name="Shape 356"/>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2" type="#_x0000_t202" style="position:absolute;margin-left:294.25pt;margin-top:57.649999999999999pt;width:235.20000000000002pt;height:9.5999999999999996pt;z-index:-1887438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358" name="Shape 35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836930</wp:posOffset>
              </wp:positionH>
              <wp:positionV relativeFrom="page">
                <wp:posOffset>579755</wp:posOffset>
              </wp:positionV>
              <wp:extent cx="5901055" cy="243840"/>
              <wp:wrapNone/>
              <wp:docPr id="401" name="Shape 40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27" type="#_x0000_t202" style="position:absolute;margin-left:65.900000000000006pt;margin-top:45.649999999999999pt;width:464.65000000000003pt;height:19.199999999999999pt;z-index:-18874387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03" name="Shape 40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836930</wp:posOffset>
              </wp:positionH>
              <wp:positionV relativeFrom="page">
                <wp:posOffset>579755</wp:posOffset>
              </wp:positionV>
              <wp:extent cx="5901055" cy="243840"/>
              <wp:wrapNone/>
              <wp:docPr id="406" name="Shape 40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32" type="#_x0000_t202" style="position:absolute;margin-left:65.900000000000006pt;margin-top:45.649999999999999pt;width:464.65000000000003pt;height:19.199999999999999pt;z-index:-18874387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08" name="Shape 40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3736975</wp:posOffset>
              </wp:positionH>
              <wp:positionV relativeFrom="page">
                <wp:posOffset>732155</wp:posOffset>
              </wp:positionV>
              <wp:extent cx="2987040" cy="121920"/>
              <wp:wrapNone/>
              <wp:docPr id="21" name="Shape 21"/>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wrap="none" lIns="0" tIns="0" rIns="0" bIns="0">
                      <a:spAutoFit/>
                    </wps:bodyPr>
                  </wps:wsp>
                </a:graphicData>
              </a:graphic>
            </wp:anchor>
          </w:drawing>
        </mc:Choice>
        <mc:Fallback>
          <w:pict>
            <v:shape id="_x0000_s1047" type="#_x0000_t202" style="position:absolute;margin-left:294.25pt;margin-top:57.649999999999999pt;width:235.20000000000002pt;height:9.5999999999999996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23" name="Shape 2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836930</wp:posOffset>
              </wp:positionH>
              <wp:positionV relativeFrom="page">
                <wp:posOffset>579755</wp:posOffset>
              </wp:positionV>
              <wp:extent cx="5901055" cy="243840"/>
              <wp:wrapNone/>
              <wp:docPr id="411" name="Shape 41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37" type="#_x0000_t202" style="position:absolute;margin-left:65.900000000000006pt;margin-top:45.649999999999999pt;width:464.65000000000003pt;height:19.199999999999999pt;z-index:-18874386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13" name="Shape 41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836930</wp:posOffset>
              </wp:positionH>
              <wp:positionV relativeFrom="page">
                <wp:posOffset>579755</wp:posOffset>
              </wp:positionV>
              <wp:extent cx="5901055" cy="243840"/>
              <wp:wrapNone/>
              <wp:docPr id="416" name="Shape 41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42" type="#_x0000_t202" style="position:absolute;margin-left:65.900000000000006pt;margin-top:45.649999999999999pt;width:464.65000000000003pt;height:19.199999999999999pt;z-index:-18874386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18" name="Shape 41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822960</wp:posOffset>
              </wp:positionH>
              <wp:positionV relativeFrom="page">
                <wp:posOffset>610235</wp:posOffset>
              </wp:positionV>
              <wp:extent cx="5901055" cy="243840"/>
              <wp:wrapNone/>
              <wp:docPr id="421" name="Shape 42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47" type="#_x0000_t202" style="position:absolute;margin-left:64.799999999999997pt;margin-top:48.050000000000004pt;width:464.65000000000003pt;height:19.199999999999999pt;z-index:-188743859;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23" name="Shape 42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822960</wp:posOffset>
              </wp:positionH>
              <wp:positionV relativeFrom="page">
                <wp:posOffset>610235</wp:posOffset>
              </wp:positionV>
              <wp:extent cx="5901055" cy="243840"/>
              <wp:wrapNone/>
              <wp:docPr id="428" name="Shape 428"/>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54" type="#_x0000_t202" style="position:absolute;margin-left:64.799999999999997pt;margin-top:48.050000000000004pt;width:464.65000000000003pt;height:19.199999999999999pt;z-index:-188743853;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30" name="Shape 43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822960</wp:posOffset>
              </wp:positionH>
              <wp:positionV relativeFrom="page">
                <wp:posOffset>610235</wp:posOffset>
              </wp:positionV>
              <wp:extent cx="5901055" cy="243840"/>
              <wp:wrapNone/>
              <wp:docPr id="435" name="Shape 435"/>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61" type="#_x0000_t202" style="position:absolute;margin-left:64.799999999999997pt;margin-top:48.050000000000004pt;width:464.65000000000003pt;height:19.199999999999999pt;z-index:-18874384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37" name="Shape 43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836930</wp:posOffset>
              </wp:positionH>
              <wp:positionV relativeFrom="page">
                <wp:posOffset>579755</wp:posOffset>
              </wp:positionV>
              <wp:extent cx="5901055" cy="243840"/>
              <wp:wrapNone/>
              <wp:docPr id="443" name="Shape 443"/>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69" type="#_x0000_t202" style="position:absolute;margin-left:65.900000000000006pt;margin-top:45.649999999999999pt;width:464.65000000000003pt;height:19.199999999999999pt;z-index:-18874384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45" name="Shape 44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836930</wp:posOffset>
              </wp:positionH>
              <wp:positionV relativeFrom="page">
                <wp:posOffset>579755</wp:posOffset>
              </wp:positionV>
              <wp:extent cx="5901055" cy="243840"/>
              <wp:wrapNone/>
              <wp:docPr id="448" name="Shape 448"/>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74" type="#_x0000_t202" style="position:absolute;margin-left:65.900000000000006pt;margin-top:45.649999999999999pt;width:464.65000000000003pt;height:19.199999999999999pt;z-index:-188743837;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50" name="Shape 45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3736975</wp:posOffset>
              </wp:positionH>
              <wp:positionV relativeFrom="page">
                <wp:posOffset>732155</wp:posOffset>
              </wp:positionV>
              <wp:extent cx="2987040" cy="121920"/>
              <wp:wrapNone/>
              <wp:docPr id="453" name="Shape 453"/>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9" type="#_x0000_t202" style="position:absolute;margin-left:294.25pt;margin-top:57.649999999999999pt;width:235.20000000000002pt;height:9.5999999999999996pt;z-index:-1887438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55" name="Shape 45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3736975</wp:posOffset>
              </wp:positionH>
              <wp:positionV relativeFrom="page">
                <wp:posOffset>732155</wp:posOffset>
              </wp:positionV>
              <wp:extent cx="2987040" cy="121920"/>
              <wp:wrapNone/>
              <wp:docPr id="458" name="Shape 458"/>
              <a:graphic xmlns:a="http://schemas.openxmlformats.org/drawingml/2006/main">
                <a:graphicData uri="http://schemas.microsoft.com/office/word/2010/wordprocessingShape">
                  <wps:wsp>
                    <wps:cNvSpPr txBox="1"/>
                    <wps:spPr>
                      <a:xfrm>
                        <a:ext cx="2987040" cy="12192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4" type="#_x0000_t202" style="position:absolute;margin-left:294.25pt;margin-top:57.649999999999999pt;width:235.20000000000002pt;height:9.5999999999999996pt;z-index:-1887438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861695</wp:posOffset>
              </wp:positionV>
              <wp:extent cx="6016625" cy="0"/>
              <wp:wrapNone/>
              <wp:docPr id="460" name="Shape 460"/>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6.399999999999999pt;margin-top:67.849999999999994pt;width:473.7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836930</wp:posOffset>
              </wp:positionH>
              <wp:positionV relativeFrom="page">
                <wp:posOffset>579755</wp:posOffset>
              </wp:positionV>
              <wp:extent cx="5901055" cy="243840"/>
              <wp:wrapNone/>
              <wp:docPr id="465" name="Shape 465"/>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91" type="#_x0000_t202" style="position:absolute;margin-left:65.900000000000006pt;margin-top:45.649999999999999pt;width:464.65000000000003pt;height:19.199999999999999pt;z-index:-188743825;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67" name="Shape 467"/>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816610</wp:posOffset>
              </wp:positionH>
              <wp:positionV relativeFrom="page">
                <wp:posOffset>833755</wp:posOffset>
              </wp:positionV>
              <wp:extent cx="920750" cy="179705"/>
              <wp:wrapNone/>
              <wp:docPr id="26" name="Shape 26"/>
              <a:graphic xmlns:a="http://schemas.openxmlformats.org/drawingml/2006/main">
                <a:graphicData uri="http://schemas.microsoft.com/office/word/2010/wordprocessingShape">
                  <wps:wsp>
                    <wps:cNvSpPr txBox="1"/>
                    <wps:spPr>
                      <a:xfrm>
                        <a:ext cx="920750" cy="1797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897684"/>
                              <w:spacing w:val="0"/>
                              <w:w w:val="100"/>
                              <w:position w:val="0"/>
                              <w:sz w:val="22"/>
                              <w:szCs w:val="22"/>
                            </w:rPr>
                            <w:t>材中乐心医疗</w:t>
                          </w:r>
                        </w:p>
                      </w:txbxContent>
                    </wps:txbx>
                    <wps:bodyPr wrap="none" lIns="0" tIns="0" rIns="0" bIns="0">
                      <a:spAutoFit/>
                    </wps:bodyPr>
                  </wps:wsp>
                </a:graphicData>
              </a:graphic>
            </wp:anchor>
          </w:drawing>
        </mc:Choice>
        <mc:Fallback>
          <w:pict>
            <v:shape id="_x0000_s1052" type="#_x0000_t202" style="position:absolute;margin-left:64.299999999999997pt;margin-top:65.650000000000006pt;width:72.5pt;height:14.1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897684"/>
                        <w:spacing w:val="0"/>
                        <w:w w:val="100"/>
                        <w:position w:val="0"/>
                        <w:sz w:val="22"/>
                        <w:szCs w:val="22"/>
                      </w:rPr>
                      <w:t>材中乐心医疗</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1085215</wp:posOffset>
              </wp:positionV>
              <wp:extent cx="6016625" cy="0"/>
              <wp:wrapNone/>
              <wp:docPr id="28" name="Shape 2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5.899999999999999pt;margin-top:85.450000000000003pt;width:47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836930</wp:posOffset>
              </wp:positionH>
              <wp:positionV relativeFrom="page">
                <wp:posOffset>579755</wp:posOffset>
              </wp:positionV>
              <wp:extent cx="5901055" cy="243840"/>
              <wp:wrapNone/>
              <wp:docPr id="470" name="Shape 470"/>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lIns="0" tIns="0" rIns="0" bIns="0">
                      <a:spAutoFit/>
                    </wps:bodyPr>
                  </wps:wsp>
                </a:graphicData>
              </a:graphic>
            </wp:anchor>
          </w:drawing>
        </mc:Choice>
        <mc:Fallback>
          <w:pict>
            <v:shape id="_x0000_s1496" type="#_x0000_t202" style="position:absolute;margin-left:65.900000000000006pt;margin-top:45.649999999999999pt;width:464.65000000000003pt;height:19.199999999999999pt;z-index:-188743821;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color w:val="000000"/>
                        <w:spacing w:val="0"/>
                        <w:w w:val="100"/>
                        <w:position w:val="0"/>
                      </w:rPr>
                      <w:t>广东乐心医疗电子股份有限公司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861695</wp:posOffset>
              </wp:positionV>
              <wp:extent cx="6016625" cy="0"/>
              <wp:wrapNone/>
              <wp:docPr id="472" name="Shape 472"/>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5pt;margin-top:67.849999999999994pt;width:47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840105</wp:posOffset>
              </wp:positionH>
              <wp:positionV relativeFrom="page">
                <wp:posOffset>582930</wp:posOffset>
              </wp:positionV>
              <wp:extent cx="5901055" cy="243840"/>
              <wp:wrapNone/>
              <wp:docPr id="31" name="Shape 3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57" type="#_x0000_t202" style="position:absolute;margin-left:66.150000000000006pt;margin-top:45.899999999999999pt;width:464.65000000000003pt;height:19.199999999999999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33" name="Shape 3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840105</wp:posOffset>
              </wp:positionH>
              <wp:positionV relativeFrom="page">
                <wp:posOffset>582930</wp:posOffset>
              </wp:positionV>
              <wp:extent cx="5901055" cy="243840"/>
              <wp:wrapNone/>
              <wp:docPr id="36" name="Shape 36"/>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62" type="#_x0000_t202" style="position:absolute;margin-left:66.150000000000006pt;margin-top:45.899999999999999pt;width:464.65000000000003pt;height:19.199999999999999pt;z-index:-18874403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38" name="Shape 38"/>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840105</wp:posOffset>
              </wp:positionH>
              <wp:positionV relativeFrom="page">
                <wp:posOffset>582930</wp:posOffset>
              </wp:positionV>
              <wp:extent cx="5901055" cy="243840"/>
              <wp:wrapNone/>
              <wp:docPr id="41" name="Shape 41"/>
              <a:graphic xmlns:a="http://schemas.openxmlformats.org/drawingml/2006/main">
                <a:graphicData uri="http://schemas.microsoft.com/office/word/2010/wordprocessingShape">
                  <wps:wsp>
                    <wps:cNvSpPr txBox="1"/>
                    <wps:spPr>
                      <a:xfrm>
                        <a:ext cx="5901055" cy="243840"/>
                      </a:xfrm>
                      <a:prstGeom prst="rect"/>
                      <a:noFill/>
                    </wps:spPr>
                    <wps:txbx>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wps:txbx>
                    <wps:bodyPr lIns="0" tIns="0" rIns="0" bIns="0">
                      <a:spAutoFit/>
                    </wps:bodyPr>
                  </wps:wsp>
                </a:graphicData>
              </a:graphic>
            </wp:anchor>
          </w:drawing>
        </mc:Choice>
        <mc:Fallback>
          <w:pict>
            <v:shape id="_x0000_s1067" type="#_x0000_t202" style="position:absolute;margin-left:66.150000000000006pt;margin-top:45.899999999999999pt;width:464.65000000000003pt;height:19.199999999999999pt;z-index:-18874403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293" w:val="right"/>
                      </w:tabs>
                      <w:bidi w:val="0"/>
                      <w:spacing w:before="0" w:after="0" w:line="240" w:lineRule="auto"/>
                      <w:ind w:left="0" w:right="0" w:firstLine="0"/>
                      <w:jc w:val="left"/>
                    </w:pPr>
                    <w:r>
                      <w:rPr>
                        <w:rFonts w:ascii="SimHei" w:eastAsia="SimHei" w:hAnsi="SimHei" w:cs="SimHei"/>
                        <w:color w:val="897684"/>
                        <w:spacing w:val="0"/>
                        <w:w w:val="100"/>
                        <w:position w:val="0"/>
                        <w:sz w:val="22"/>
                        <w:szCs w:val="22"/>
                      </w:rPr>
                      <w:t>材中乐心医疗</w:t>
                      <w:tab/>
                    </w:r>
                    <w:r>
                      <w:rPr>
                        <w:rFonts w:ascii="SimSun" w:eastAsia="SimSun" w:hAnsi="SimSun" w:cs="SimSun"/>
                        <w:color w:val="000000"/>
                        <w:spacing w:val="0"/>
                        <w:w w:val="100"/>
                        <w:position w:val="0"/>
                      </w:rPr>
                      <w:t>广东乐心医疗电子股份有限公司</w:t>
                    </w:r>
                    <w:r>
                      <w:rPr>
                        <w:color w:val="000000"/>
                        <w:spacing w:val="0"/>
                        <w:w w:val="100"/>
                        <w:position w:val="0"/>
                      </w:rPr>
                      <w:t>2016</w:t>
                    </w:r>
                    <w:r>
                      <w:rPr>
                        <w:rFonts w:ascii="SimSun" w:eastAsia="SimSun" w:hAnsi="SimSun" w:cs="SimSun"/>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858520</wp:posOffset>
              </wp:positionV>
              <wp:extent cx="6016625" cy="0"/>
              <wp:wrapNone/>
              <wp:docPr id="43" name="Shape 43"/>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57.75pt;margin-top:67.599999999999994pt;width:47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2)_"/>
    <w:basedOn w:val="DefaultParagraphFont"/>
    <w:link w:val="Style12"/>
    <w:rPr>
      <w:rFonts w:ascii="SimSun" w:eastAsia="SimSun" w:hAnsi="SimSun" w:cs="SimSun"/>
      <w:b/>
      <w:bCs/>
      <w:i w:val="0"/>
      <w:iCs w:val="0"/>
      <w:smallCaps w:val="0"/>
      <w:strike w:val="0"/>
      <w:sz w:val="22"/>
      <w:szCs w:val="22"/>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0">
    <w:name w:val="正文文本 (5)_"/>
    <w:basedOn w:val="DefaultParagraphFont"/>
    <w:link w:val="Style59"/>
    <w:rPr>
      <w:rFonts w:ascii="SimHei" w:eastAsia="SimHei" w:hAnsi="SimHei" w:cs="SimHei"/>
      <w:b w:val="0"/>
      <w:bCs w:val="0"/>
      <w:i w:val="0"/>
      <w:iCs w:val="0"/>
      <w:smallCaps w:val="0"/>
      <w:strike w:val="0"/>
      <w:color w:val="897684"/>
      <w:sz w:val="22"/>
      <w:szCs w:val="22"/>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character" w:customStyle="1" w:styleId="CharStyle67">
    <w:name w:val="正文文本 (7)_"/>
    <w:basedOn w:val="DefaultParagraphFont"/>
    <w:link w:val="Style66"/>
    <w:rPr>
      <w:rFonts w:ascii="SimSun" w:eastAsia="SimSun" w:hAnsi="SimSun" w:cs="SimSun"/>
      <w:b w:val="0"/>
      <w:bCs w:val="0"/>
      <w:i w:val="0"/>
      <w:iCs w:val="0"/>
      <w:smallCaps w:val="0"/>
      <w:strike w:val="0"/>
      <w:sz w:val="34"/>
      <w:szCs w:val="34"/>
      <w:u w:val="none"/>
      <w:shd w:val="clear" w:color="auto" w:fill="auto"/>
    </w:rPr>
  </w:style>
  <w:style w:type="character" w:customStyle="1" w:styleId="CharStyle76">
    <w:name w:val="正文文本 (6)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9">
    <w:name w:val="正文文本 (8)_"/>
    <w:basedOn w:val="DefaultParagraphFont"/>
    <w:link w:val="Style88"/>
    <w:rPr>
      <w:rFonts w:ascii="Arial Unicode MS" w:eastAsia="Arial Unicode MS" w:hAnsi="Arial Unicode MS" w:cs="Arial Unicode MS"/>
      <w:b w:val="0"/>
      <w:bCs w:val="0"/>
      <w:i w:val="0"/>
      <w:iCs w:val="0"/>
      <w:smallCaps w:val="0"/>
      <w:strike w:val="0"/>
      <w:color w:val="282238"/>
      <w:sz w:val="18"/>
      <w:szCs w:val="18"/>
      <w:u w:val="none"/>
      <w:shd w:val="clear" w:color="auto" w:fill="auto"/>
    </w:rPr>
  </w:style>
  <w:style w:type="character" w:customStyle="1" w:styleId="CharStyle103">
    <w:name w:val="其他 (3)_"/>
    <w:basedOn w:val="DefaultParagraphFont"/>
    <w:link w:val="Style102"/>
    <w:rPr>
      <w:rFonts w:ascii="SimHei" w:eastAsia="SimHei" w:hAnsi="SimHei" w:cs="SimHei"/>
      <w:b w:val="0"/>
      <w:bCs w:val="0"/>
      <w:i w:val="0"/>
      <w:iCs w:val="0"/>
      <w:smallCaps w:val="0"/>
      <w:strike w:val="0"/>
      <w:color w:val="282238"/>
      <w:sz w:val="17"/>
      <w:szCs w:val="17"/>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2)"/>
    <w:basedOn w:val="Normal"/>
    <w:link w:val="CharStyle13"/>
    <w:pPr>
      <w:widowControl w:val="0"/>
      <w:shd w:val="clear" w:color="auto" w:fill="auto"/>
      <w:spacing w:after="80" w:line="466"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19">
    <w:name w:val="标题 #1"/>
    <w:basedOn w:val="Normal"/>
    <w:link w:val="CharStyle20"/>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w:basedOn w:val="Normal"/>
    <w:link w:val="CharStyle22"/>
    <w:pPr>
      <w:widowControl w:val="0"/>
      <w:shd w:val="clear" w:color="auto" w:fill="auto"/>
      <w:spacing w:after="100" w:line="480"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正文文本 (5)"/>
    <w:basedOn w:val="Normal"/>
    <w:link w:val="CharStyle60"/>
    <w:pPr>
      <w:widowControl w:val="0"/>
      <w:shd w:val="clear" w:color="auto" w:fill="auto"/>
      <w:ind w:firstLine="160"/>
    </w:pPr>
    <w:rPr>
      <w:rFonts w:ascii="SimHei" w:eastAsia="SimHei" w:hAnsi="SimHei" w:cs="SimHei"/>
      <w:b w:val="0"/>
      <w:bCs w:val="0"/>
      <w:i w:val="0"/>
      <w:iCs w:val="0"/>
      <w:smallCaps w:val="0"/>
      <w:strike w:val="0"/>
      <w:color w:val="897684"/>
      <w:sz w:val="22"/>
      <w:szCs w:val="22"/>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6">
    <w:name w:val="正文文本 (7)"/>
    <w:basedOn w:val="Normal"/>
    <w:link w:val="CharStyle67"/>
    <w:pPr>
      <w:widowControl w:val="0"/>
      <w:shd w:val="clear" w:color="auto" w:fill="auto"/>
      <w:spacing w:line="314" w:lineRule="exact"/>
    </w:pPr>
    <w:rPr>
      <w:rFonts w:ascii="SimSun" w:eastAsia="SimSun" w:hAnsi="SimSun" w:cs="SimSun"/>
      <w:b w:val="0"/>
      <w:bCs w:val="0"/>
      <w:i w:val="0"/>
      <w:iCs w:val="0"/>
      <w:smallCaps w:val="0"/>
      <w:strike w:val="0"/>
      <w:sz w:val="34"/>
      <w:szCs w:val="34"/>
      <w:u w:val="none"/>
      <w:shd w:val="clear" w:color="auto" w:fill="auto"/>
    </w:rPr>
  </w:style>
  <w:style w:type="paragraph" w:customStyle="1" w:styleId="Style75">
    <w:name w:val="正文文本 (6)"/>
    <w:basedOn w:val="Normal"/>
    <w:link w:val="CharStyle76"/>
    <w:pPr>
      <w:widowControl w:val="0"/>
      <w:shd w:val="clear" w:color="auto" w:fill="auto"/>
      <w:spacing w:after="2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8">
    <w:name w:val="正文文本 (8)"/>
    <w:basedOn w:val="Normal"/>
    <w:link w:val="CharStyle89"/>
    <w:pPr>
      <w:widowControl w:val="0"/>
      <w:shd w:val="clear" w:color="auto" w:fill="auto"/>
      <w:spacing w:line="209" w:lineRule="auto"/>
    </w:pPr>
    <w:rPr>
      <w:rFonts w:ascii="Arial Unicode MS" w:eastAsia="Arial Unicode MS" w:hAnsi="Arial Unicode MS" w:cs="Arial Unicode MS"/>
      <w:b w:val="0"/>
      <w:bCs w:val="0"/>
      <w:i w:val="0"/>
      <w:iCs w:val="0"/>
      <w:smallCaps w:val="0"/>
      <w:strike w:val="0"/>
      <w:color w:val="282238"/>
      <w:sz w:val="18"/>
      <w:szCs w:val="18"/>
      <w:u w:val="none"/>
      <w:shd w:val="clear" w:color="auto" w:fill="auto"/>
    </w:rPr>
  </w:style>
  <w:style w:type="paragraph" w:customStyle="1" w:styleId="Style102">
    <w:name w:val="其他 (3)"/>
    <w:basedOn w:val="Normal"/>
    <w:link w:val="CharStyle103"/>
    <w:pPr>
      <w:widowControl w:val="0"/>
      <w:shd w:val="clear" w:color="auto" w:fill="auto"/>
      <w:spacing w:line="183" w:lineRule="exact"/>
    </w:pPr>
    <w:rPr>
      <w:rFonts w:ascii="SimHei" w:eastAsia="SimHei" w:hAnsi="SimHei" w:cs="SimHei"/>
      <w:b w:val="0"/>
      <w:bCs w:val="0"/>
      <w:i w:val="0"/>
      <w:iCs w:val="0"/>
      <w:smallCaps w:val="0"/>
      <w:strike w:val="0"/>
      <w:color w:val="282238"/>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image" Target="media/image1.jpeg"/><Relationship Id="rId32" Type="http://schemas.openxmlformats.org/officeDocument/2006/relationships/image" Target="media/image1.jpeg" TargetMode="Externa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image" Target="media/image2.jpeg"/><Relationship Id="rId38" Type="http://schemas.openxmlformats.org/officeDocument/2006/relationships/image" Target="media/image2.jpeg" TargetMode="Externa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image" Target="media/image3.jpeg"/><Relationship Id="rId104" Type="http://schemas.openxmlformats.org/officeDocument/2006/relationships/image" Target="media/image3.jpeg" TargetMode="External"/><Relationship Id="rId105" Type="http://schemas.openxmlformats.org/officeDocument/2006/relationships/image" Target="media/image4.jpeg"/><Relationship Id="rId106" Type="http://schemas.openxmlformats.org/officeDocument/2006/relationships/image" Target="media/image4.jpeg" TargetMode="External"/><Relationship Id="rId107" Type="http://schemas.openxmlformats.org/officeDocument/2006/relationships/image" Target="media/image5.jpeg"/><Relationship Id="rId108" Type="http://schemas.openxmlformats.org/officeDocument/2006/relationships/image" Target="media/image5.jpeg" TargetMode="Externa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image" Target="media/image6.jpeg"/><Relationship Id="rId124" Type="http://schemas.openxmlformats.org/officeDocument/2006/relationships/image" Target="media/image6.jpeg" TargetMode="External"/><Relationship Id="rId125" Type="http://schemas.openxmlformats.org/officeDocument/2006/relationships/header" Target="header55.xml"/><Relationship Id="rId126" Type="http://schemas.openxmlformats.org/officeDocument/2006/relationships/footer" Target="footer55.xml"/><Relationship Id="rId127" Type="http://schemas.openxmlformats.org/officeDocument/2006/relationships/header" Target="header56.xml"/><Relationship Id="rId128" Type="http://schemas.openxmlformats.org/officeDocument/2006/relationships/footer" Target="footer56.xml"/><Relationship Id="rId129" Type="http://schemas.openxmlformats.org/officeDocument/2006/relationships/header" Target="header57.xml"/><Relationship Id="rId130" Type="http://schemas.openxmlformats.org/officeDocument/2006/relationships/footer" Target="footer57.xml"/><Relationship Id="rId131" Type="http://schemas.openxmlformats.org/officeDocument/2006/relationships/header" Target="header58.xml"/><Relationship Id="rId132" Type="http://schemas.openxmlformats.org/officeDocument/2006/relationships/footer" Target="footer58.xml"/><Relationship Id="rId133" Type="http://schemas.openxmlformats.org/officeDocument/2006/relationships/header" Target="header59.xml"/><Relationship Id="rId134" Type="http://schemas.openxmlformats.org/officeDocument/2006/relationships/footer" Target="footer59.xml"/><Relationship Id="rId135" Type="http://schemas.openxmlformats.org/officeDocument/2006/relationships/header" Target="header60.xml"/><Relationship Id="rId136" Type="http://schemas.openxmlformats.org/officeDocument/2006/relationships/footer" Target="footer60.xml"/><Relationship Id="rId137" Type="http://schemas.openxmlformats.org/officeDocument/2006/relationships/image" Target="media/image7.jpeg"/><Relationship Id="rId13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2206</dc:creator>
  <cp:keywords/>
</cp:coreProperties>
</file>