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4"/>
          <w:szCs w:val="24"/>
        </w:rPr>
      </w:pPr>
    </w:p>
    <w:p>
      <w:pPr>
        <w:tabs>
          <w:tab w:pos="4832" w:val="left" w:leader="none"/>
          <w:tab w:pos="8313" w:val="left" w:leader="none"/>
        </w:tabs>
        <w:spacing w:before="26"/>
        <w:ind w:left="1472" w:right="1015" w:firstLine="0"/>
        <w:jc w:val="left"/>
        <w:rPr>
          <w:rFonts w:ascii="Times New Roman" w:hAnsi="Times New Roman" w:cs="Times New Roman" w:eastAsia="Times New Roman" w:hint="default"/>
          <w:sz w:val="24"/>
          <w:szCs w:val="24"/>
        </w:rPr>
      </w:pPr>
      <w:r>
        <w:rPr>
          <w:rFonts w:ascii="宋体" w:hAnsi="宋体" w:cs="宋体" w:eastAsia="宋体" w:hint="default"/>
          <w:sz w:val="24"/>
          <w:szCs w:val="24"/>
        </w:rPr>
        <w:t>股票代码：</w:t>
      </w:r>
      <w:r>
        <w:rPr>
          <w:rFonts w:ascii="Times New Roman" w:hAnsi="Times New Roman" w:cs="Times New Roman" w:eastAsia="Times New Roman" w:hint="default"/>
          <w:sz w:val="24"/>
          <w:szCs w:val="24"/>
        </w:rPr>
        <w:t>300562</w:t>
        <w:tab/>
      </w:r>
      <w:r>
        <w:rPr>
          <w:rFonts w:ascii="宋体" w:hAnsi="宋体" w:cs="宋体" w:eastAsia="宋体" w:hint="default"/>
          <w:sz w:val="24"/>
          <w:szCs w:val="24"/>
        </w:rPr>
        <w:t>股票简称：乐心医疗</w:t>
        <w:tab/>
        <w:t>公告编号：</w:t>
      </w:r>
      <w:r>
        <w:rPr>
          <w:rFonts w:ascii="Times New Roman" w:hAnsi="Times New Roman" w:cs="Times New Roman" w:eastAsia="Times New Roman" w:hint="default"/>
          <w:sz w:val="24"/>
          <w:szCs w:val="24"/>
        </w:rPr>
        <w:t>2018-029</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8"/>
          <w:szCs w:val="28"/>
        </w:rPr>
      </w:pPr>
    </w:p>
    <w:p>
      <w:pPr>
        <w:spacing w:line="660" w:lineRule="exact"/>
        <w:ind w:left="484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drawing>
          <wp:inline distT="0" distB="0" distL="0" distR="0">
            <wp:extent cx="1411839" cy="4191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11839" cy="419100"/>
                    </a:xfrm>
                    <a:prstGeom prst="rect">
                      <a:avLst/>
                    </a:prstGeom>
                  </pic:spPr>
                </pic:pic>
              </a:graphicData>
            </a:graphic>
          </wp:inline>
        </w:drawing>
      </w:r>
      <w:r>
        <w:rPr>
          <w:rFonts w:ascii="Times New Roman" w:hAnsi="Times New Roman" w:cs="Times New Roman" w:eastAsia="Times New Roman" w:hint="default"/>
          <w:position w:val="-12"/>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6"/>
          <w:szCs w:val="26"/>
        </w:rPr>
      </w:pPr>
    </w:p>
    <w:p>
      <w:pPr>
        <w:spacing w:line="460" w:lineRule="exact" w:before="0"/>
        <w:ind w:left="1625" w:right="1625" w:firstLine="0"/>
        <w:jc w:val="center"/>
        <w:rPr>
          <w:rFonts w:ascii="宋体" w:hAnsi="宋体" w:cs="宋体" w:eastAsia="宋体" w:hint="default"/>
          <w:sz w:val="36"/>
          <w:szCs w:val="36"/>
        </w:rPr>
      </w:pPr>
      <w:r>
        <w:rPr>
          <w:rFonts w:ascii="宋体" w:hAnsi="宋体" w:cs="宋体" w:eastAsia="宋体" w:hint="default"/>
          <w:b/>
          <w:bCs/>
          <w:sz w:val="36"/>
          <w:szCs w:val="36"/>
        </w:rPr>
        <w:t>广东乐心医疗电子股份有限公司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1625" w:right="162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1"/>
        <w:rPr>
          <w:rFonts w:ascii="宋体" w:hAnsi="宋体" w:cs="宋体" w:eastAsia="宋体" w:hint="default"/>
          <w:b/>
          <w:bCs/>
          <w:sz w:val="50"/>
          <w:szCs w:val="50"/>
        </w:rPr>
      </w:pPr>
    </w:p>
    <w:p>
      <w:pPr>
        <w:spacing w:before="0"/>
        <w:ind w:left="1626" w:right="162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6" w:footer="1019" w:top="1100" w:bottom="120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785" w:right="1015"/>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7"/>
        <w:rPr>
          <w:rFonts w:ascii="宋体" w:hAnsi="宋体" w:cs="宋体" w:eastAsia="宋体" w:hint="default"/>
          <w:b/>
          <w:bCs/>
          <w:sz w:val="46"/>
          <w:szCs w:val="46"/>
        </w:rPr>
      </w:pPr>
    </w:p>
    <w:p>
      <w:pPr>
        <w:pStyle w:val="Heading3"/>
        <w:spacing w:line="410" w:lineRule="auto"/>
        <w:ind w:left="1133" w:right="1136" w:firstLine="422"/>
        <w:jc w:val="both"/>
        <w:rPr>
          <w:b w:val="0"/>
          <w:bCs w:val="0"/>
        </w:rPr>
      </w:pPr>
      <w:r>
        <w:rPr>
          <w:spacing w:val="-1"/>
          <w:w w:val="95"/>
        </w:rPr>
        <w:t>公司董事会、监事会及董事、监事、高级管理人员保证年度报告内容的真实、准确、完整，不存在虚</w:t>
      </w:r>
      <w:r>
        <w:rPr>
          <w:spacing w:val="-84"/>
          <w:w w:val="95"/>
        </w:rPr>
        <w:t> </w:t>
      </w:r>
      <w:r>
        <w:rPr>
          <w:spacing w:val="-84"/>
          <w:w w:val="95"/>
        </w:rPr>
      </w:r>
      <w:r>
        <w:rPr/>
        <w:t>假记载、误导性陈述或重大遗漏，并承担个别和连带的法律责任。</w:t>
      </w:r>
      <w:r>
        <w:rPr>
          <w:b w:val="0"/>
          <w:bCs w:val="0"/>
        </w:rPr>
      </w:r>
    </w:p>
    <w:p>
      <w:pPr>
        <w:pStyle w:val="Heading3"/>
        <w:spacing w:line="386" w:lineRule="auto" w:before="143"/>
        <w:ind w:right="1133" w:firstLine="422"/>
        <w:jc w:val="both"/>
        <w:rPr>
          <w:b w:val="0"/>
          <w:bCs w:val="0"/>
        </w:rPr>
      </w:pPr>
      <w:r>
        <w:rPr/>
        <w:t>公司负责人潘伟潮、主管会计工作负责人石绍海及会计机构负责人</w:t>
      </w:r>
      <w:r>
        <w:rPr>
          <w:rFonts w:ascii="Times New Roman" w:hAnsi="Times New Roman" w:cs="Times New Roman" w:eastAsia="Times New Roman" w:hint="default"/>
        </w:rPr>
        <w:t>(</w:t>
      </w:r>
      <w:r>
        <w:rPr/>
        <w:t>会计主管人员</w:t>
      </w:r>
      <w:r>
        <w:rPr>
          <w:rFonts w:ascii="Times New Roman" w:hAnsi="Times New Roman" w:cs="Times New Roman" w:eastAsia="Times New Roman" w:hint="default"/>
        </w:rPr>
        <w:t>)</w:t>
      </w:r>
      <w:r>
        <w:rPr/>
        <w:t>汪小飞声明：保证</w:t>
      </w:r>
      <w:r>
        <w:rPr>
          <w:w w:val="99"/>
        </w:rPr>
        <w:t> </w:t>
      </w:r>
      <w:r>
        <w:rPr/>
        <w:t>年度报告中财务报告的真实、准确、完整。</w:t>
      </w:r>
      <w:r>
        <w:rPr>
          <w:b w:val="0"/>
          <w:bCs w:val="0"/>
        </w:rPr>
      </w:r>
    </w:p>
    <w:p>
      <w:pPr>
        <w:pStyle w:val="Heading3"/>
        <w:spacing w:line="240" w:lineRule="auto" w:before="164"/>
        <w:ind w:left="1556" w:right="1015"/>
        <w:jc w:val="left"/>
        <w:rPr>
          <w:b w:val="0"/>
          <w:bCs w:val="0"/>
        </w:rPr>
      </w:pPr>
      <w:r>
        <w:rPr/>
        <w:t>所有董事均已出席了审议本报告的董事会会议。</w:t>
      </w:r>
      <w:r>
        <w:rPr>
          <w:b w:val="0"/>
          <w:bCs w:val="0"/>
        </w:rPr>
      </w:r>
    </w:p>
    <w:p>
      <w:pPr>
        <w:spacing w:line="240" w:lineRule="auto" w:before="5"/>
        <w:rPr>
          <w:rFonts w:ascii="宋体" w:hAnsi="宋体" w:cs="宋体" w:eastAsia="宋体" w:hint="default"/>
          <w:b/>
          <w:bCs/>
          <w:sz w:val="22"/>
          <w:szCs w:val="22"/>
        </w:rPr>
      </w:pPr>
    </w:p>
    <w:p>
      <w:pPr>
        <w:pStyle w:val="Heading3"/>
        <w:spacing w:line="468" w:lineRule="auto"/>
        <w:ind w:left="1556" w:right="1015"/>
        <w:jc w:val="left"/>
        <w:rPr>
          <w:b w:val="0"/>
          <w:bCs w:val="0"/>
        </w:rPr>
      </w:pPr>
      <w:r>
        <w:rPr>
          <w:rFonts w:ascii="Times New Roman" w:hAnsi="Times New Roman" w:cs="Times New Roman" w:eastAsia="Times New Roman" w:hint="default"/>
        </w:rPr>
        <w:t>1</w:t>
      </w:r>
      <w:r>
        <w:rPr/>
        <w:t>、新增投入的产出不达预期风险</w:t>
      </w:r>
      <w:r>
        <w:rPr>
          <w:w w:val="99"/>
        </w:rPr>
        <w:t> </w:t>
      </w:r>
      <w:r>
        <w:rPr>
          <w:spacing w:val="-1"/>
          <w:w w:val="95"/>
        </w:rPr>
        <w:t>为保持公司自有品牌业务的持续竞争力，进一步扩大自有品牌市场份额，公司需要新增大量研发和销</w:t>
      </w:r>
      <w:r>
        <w:rPr>
          <w:b w:val="0"/>
          <w:bCs w:val="0"/>
          <w:spacing w:val="-1"/>
        </w:rPr>
      </w:r>
    </w:p>
    <w:p>
      <w:pPr>
        <w:pStyle w:val="Heading3"/>
        <w:spacing w:line="410" w:lineRule="auto"/>
        <w:ind w:left="1133" w:right="1015"/>
        <w:jc w:val="left"/>
        <w:rPr>
          <w:b w:val="0"/>
          <w:bCs w:val="0"/>
        </w:rPr>
      </w:pPr>
      <w:r>
        <w:rPr>
          <w:spacing w:val="-1"/>
          <w:w w:val="95"/>
        </w:rPr>
        <w:t>售资源投入，包括渠道建设和品牌提升投入，这些投入对应的产出具有滞后性和不确定性。如果新增投入</w:t>
      </w:r>
      <w:r>
        <w:rPr>
          <w:spacing w:val="58"/>
          <w:w w:val="95"/>
        </w:rPr>
        <w:t> </w:t>
      </w:r>
      <w:r>
        <w:rPr>
          <w:spacing w:val="58"/>
          <w:w w:val="95"/>
        </w:rPr>
      </w:r>
      <w:r>
        <w:rPr/>
        <w:t>的产出不能达到预期，将对公司营收和净利润产生直接影响。</w:t>
      </w:r>
      <w:r>
        <w:rPr>
          <w:b w:val="0"/>
          <w:bCs w:val="0"/>
        </w:rPr>
      </w:r>
    </w:p>
    <w:p>
      <w:pPr>
        <w:pStyle w:val="Heading3"/>
        <w:spacing w:line="240" w:lineRule="auto" w:before="143"/>
        <w:ind w:left="1556" w:right="1015"/>
        <w:jc w:val="left"/>
        <w:rPr>
          <w:b w:val="0"/>
          <w:bCs w:val="0"/>
        </w:rPr>
      </w:pPr>
      <w:r>
        <w:rPr>
          <w:rFonts w:ascii="Times New Roman" w:hAnsi="Times New Roman" w:cs="Times New Roman" w:eastAsia="Times New Roman" w:hint="default"/>
        </w:rPr>
        <w:t>2</w:t>
      </w:r>
      <w:r>
        <w:rPr/>
        <w:t>、市场风险</w:t>
      </w:r>
      <w:r>
        <w:rPr>
          <w:b w:val="0"/>
          <w:bCs w:val="0"/>
        </w:rPr>
      </w:r>
    </w:p>
    <w:p>
      <w:pPr>
        <w:pStyle w:val="Heading3"/>
        <w:spacing w:line="240" w:lineRule="auto" w:before="187"/>
        <w:ind w:left="1556" w:right="1015"/>
        <w:jc w:val="left"/>
        <w:rPr>
          <w:b w:val="0"/>
          <w:bCs w:val="0"/>
        </w:rPr>
      </w:pPr>
      <w:r>
        <w:rPr>
          <w:rFonts w:ascii="Times New Roman" w:hAnsi="Times New Roman" w:cs="Times New Roman" w:eastAsia="Times New Roman" w:hint="default"/>
        </w:rPr>
        <w:t>1</w:t>
      </w:r>
      <w:r>
        <w:rPr/>
        <w:t>）国外市场风险</w:t>
      </w:r>
      <w:r>
        <w:rPr>
          <w:b w:val="0"/>
          <w:bCs w:val="0"/>
        </w:rPr>
      </w:r>
    </w:p>
    <w:p>
      <w:pPr>
        <w:spacing w:line="240" w:lineRule="auto" w:before="2"/>
        <w:rPr>
          <w:rFonts w:ascii="宋体" w:hAnsi="宋体" w:cs="宋体" w:eastAsia="宋体" w:hint="default"/>
          <w:b/>
          <w:bCs/>
          <w:sz w:val="21"/>
          <w:szCs w:val="21"/>
        </w:rPr>
      </w:pPr>
    </w:p>
    <w:p>
      <w:pPr>
        <w:pStyle w:val="Heading3"/>
        <w:spacing w:line="393" w:lineRule="auto"/>
        <w:ind w:left="1133" w:right="1133" w:firstLine="422"/>
        <w:jc w:val="both"/>
        <w:rPr>
          <w:b w:val="0"/>
          <w:bCs w:val="0"/>
        </w:rPr>
      </w:pPr>
      <w:r>
        <w:rPr/>
        <w:t>公司的出口业务以</w:t>
      </w:r>
      <w:r>
        <w:rPr>
          <w:spacing w:val="-77"/>
        </w:rPr>
        <w:t> </w:t>
      </w:r>
      <w:r>
        <w:rPr>
          <w:rFonts w:ascii="Times New Roman" w:hAnsi="Times New Roman" w:cs="Times New Roman" w:eastAsia="Times New Roman" w:hint="default"/>
        </w:rPr>
        <w:t>ODM</w:t>
      </w:r>
      <w:r>
        <w:rPr>
          <w:rFonts w:ascii="Times New Roman" w:hAnsi="Times New Roman" w:cs="Times New Roman" w:eastAsia="Times New Roman" w:hint="default"/>
          <w:spacing w:val="-24"/>
        </w:rPr>
        <w:t> </w:t>
      </w:r>
      <w:r>
        <w:rPr/>
        <w:t>模式主要在欧、美、日、韩等经济发达地区展开，并且业务收入占总营收比</w:t>
      </w:r>
      <w:r>
        <w:rPr>
          <w:w w:val="99"/>
        </w:rPr>
        <w:t> </w:t>
      </w:r>
      <w:r>
        <w:rPr>
          <w:spacing w:val="-1"/>
          <w:w w:val="95"/>
        </w:rPr>
        <w:t>重比较大。主要进口国贸易政策和经济形势等发生重大不利变化、因产品价格或品质以及新产品开发能力</w:t>
      </w:r>
      <w:r>
        <w:rPr>
          <w:spacing w:val="63"/>
          <w:w w:val="95"/>
        </w:rPr>
        <w:t> </w:t>
      </w:r>
      <w:r>
        <w:rPr>
          <w:spacing w:val="63"/>
          <w:w w:val="95"/>
        </w:rPr>
      </w:r>
      <w:r>
        <w:rPr/>
        <w:t>等不能满足客户需求，导致新业务开拓失败甚至固有客户流失，影响</w:t>
      </w:r>
      <w:r>
        <w:rPr>
          <w:spacing w:val="-76"/>
        </w:rPr>
        <w:t> </w:t>
      </w:r>
      <w:r>
        <w:rPr>
          <w:rFonts w:ascii="Times New Roman" w:hAnsi="Times New Roman" w:cs="Times New Roman" w:eastAsia="Times New Roman" w:hint="default"/>
        </w:rPr>
        <w:t>ODM</w:t>
      </w:r>
      <w:r>
        <w:rPr>
          <w:rFonts w:ascii="Times New Roman" w:hAnsi="Times New Roman" w:cs="Times New Roman" w:eastAsia="Times New Roman" w:hint="default"/>
          <w:spacing w:val="-25"/>
        </w:rPr>
        <w:t> </w:t>
      </w:r>
      <w:r>
        <w:rPr/>
        <w:t>业务健康稳定发展，是公司在</w:t>
      </w:r>
      <w:r>
        <w:rPr>
          <w:w w:val="99"/>
        </w:rPr>
        <w:t> </w:t>
      </w:r>
      <w:r>
        <w:rPr/>
        <w:t>海外市场可能面临的主要风险。</w:t>
      </w:r>
      <w:r>
        <w:rPr>
          <w:b w:val="0"/>
          <w:bCs w:val="0"/>
        </w:rPr>
      </w:r>
    </w:p>
    <w:p>
      <w:pPr>
        <w:pStyle w:val="Heading3"/>
        <w:spacing w:line="468" w:lineRule="auto" w:before="158"/>
        <w:ind w:left="1556" w:right="1015"/>
        <w:jc w:val="left"/>
        <w:rPr>
          <w:b w:val="0"/>
          <w:bCs w:val="0"/>
        </w:rPr>
      </w:pPr>
      <w:r>
        <w:rPr>
          <w:rFonts w:ascii="Times New Roman" w:hAnsi="Times New Roman" w:cs="Times New Roman" w:eastAsia="Times New Roman" w:hint="default"/>
        </w:rPr>
        <w:t>2</w:t>
      </w:r>
      <w:r>
        <w:rPr/>
        <w:t>）国内市场风险</w:t>
      </w:r>
      <w:r>
        <w:rPr>
          <w:w w:val="99"/>
        </w:rPr>
        <w:t> </w:t>
      </w:r>
      <w:r>
        <w:rPr>
          <w:spacing w:val="-1"/>
          <w:w w:val="95"/>
        </w:rPr>
        <w:t>国内智能健康医疗产品创新要求高、更新迭代快，对新产品的推出效率提出了很高的要求。而实现用</w:t>
      </w:r>
      <w:r>
        <w:rPr>
          <w:b w:val="0"/>
          <w:bCs w:val="0"/>
          <w:spacing w:val="-1"/>
        </w:rPr>
      </w:r>
    </w:p>
    <w:p>
      <w:pPr>
        <w:pStyle w:val="Heading3"/>
        <w:spacing w:line="410" w:lineRule="auto"/>
        <w:ind w:right="1015"/>
        <w:jc w:val="left"/>
        <w:rPr>
          <w:b w:val="0"/>
          <w:bCs w:val="0"/>
        </w:rPr>
      </w:pPr>
      <w:r>
        <w:rPr>
          <w:spacing w:val="-1"/>
          <w:w w:val="95"/>
        </w:rPr>
        <w:t>户对健康管理需求更重要的环节，则是专业人员对用户健康测量数据的跟踪和干预，即智能产品用户数据</w:t>
      </w:r>
      <w:r>
        <w:rPr>
          <w:spacing w:val="59"/>
          <w:w w:val="95"/>
        </w:rPr>
        <w:t> </w:t>
      </w:r>
      <w:r>
        <w:rPr>
          <w:spacing w:val="59"/>
          <w:w w:val="95"/>
        </w:rPr>
      </w:r>
      <w:r>
        <w:rPr/>
        <w:t>的运营管理。目前公司正积极探索这些数据运营的商业模式和盈利模式，但结果存在不确定性。</w:t>
      </w:r>
      <w:r>
        <w:rPr>
          <w:b w:val="0"/>
          <w:bCs w:val="0"/>
        </w:rPr>
      </w:r>
    </w:p>
    <w:p>
      <w:pPr>
        <w:pStyle w:val="Heading3"/>
        <w:spacing w:line="386" w:lineRule="auto" w:before="143"/>
        <w:ind w:left="1133" w:right="1129" w:firstLine="422"/>
        <w:jc w:val="both"/>
        <w:rPr>
          <w:b w:val="0"/>
          <w:bCs w:val="0"/>
        </w:rPr>
      </w:pPr>
      <w:r>
        <w:rPr/>
        <w:t>公司国内自有品牌业务以智能可穿戴手环为主。国内智能可穿戴设备行业经</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年培育，</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年爆</w:t>
      </w:r>
      <w:r>
        <w:rPr>
          <w:spacing w:val="2"/>
          <w:w w:val="99"/>
        </w:rPr>
        <w:t> </w:t>
      </w:r>
      <w:r>
        <w:rPr/>
        <w:t>发，</w:t>
      </w:r>
      <w:r>
        <w:rPr>
          <w:rFonts w:ascii="Times New Roman" w:hAnsi="Times New Roman" w:cs="Times New Roman" w:eastAsia="Times New Roman" w:hint="default"/>
        </w:rPr>
        <w:t>2016</w:t>
      </w:r>
      <w:r>
        <w:rPr>
          <w:rFonts w:ascii="Times New Roman" w:hAnsi="Times New Roman" w:cs="Times New Roman" w:eastAsia="Times New Roman" w:hint="default"/>
          <w:spacing w:val="27"/>
        </w:rPr>
        <w:t> </w:t>
      </w:r>
      <w:r>
        <w:rPr/>
        <w:t>年继续稳定增长，虽然行业升级正持续进行，高附加值产品占比增加，但公司产品用户体验是</w:t>
      </w:r>
      <w:r>
        <w:rPr>
          <w:spacing w:val="-100"/>
        </w:rPr>
        <w:t> </w:t>
      </w:r>
      <w:r>
        <w:rPr>
          <w:spacing w:val="-100"/>
        </w:rPr>
      </w:r>
      <w:r>
        <w:rPr/>
        <w:t>否符合消费者的消费偏好以及行业发展具有不确定性，从而形成国内市场风险。</w:t>
      </w:r>
      <w:r>
        <w:rPr>
          <w:b w:val="0"/>
          <w:bCs w:val="0"/>
        </w:rPr>
      </w:r>
    </w:p>
    <w:p>
      <w:pPr>
        <w:pStyle w:val="Heading3"/>
        <w:spacing w:line="468" w:lineRule="auto" w:before="165"/>
        <w:ind w:left="1556" w:right="1015"/>
        <w:jc w:val="left"/>
        <w:rPr>
          <w:b w:val="0"/>
          <w:bCs w:val="0"/>
        </w:rPr>
      </w:pPr>
      <w:r>
        <w:rPr>
          <w:rFonts w:ascii="Times New Roman" w:hAnsi="Times New Roman" w:cs="Times New Roman" w:eastAsia="Times New Roman" w:hint="default"/>
        </w:rPr>
        <w:t>3</w:t>
      </w:r>
      <w:r>
        <w:rPr/>
        <w:t>、成本与费用增加对公司成本控制带来压力</w:t>
      </w:r>
      <w:r>
        <w:rPr>
          <w:w w:val="99"/>
        </w:rPr>
        <w:t> </w:t>
      </w:r>
      <w:r>
        <w:rPr>
          <w:spacing w:val="-1"/>
          <w:w w:val="95"/>
        </w:rPr>
        <w:t>基于目前公司软件产品暂时不能单独贡献利润而主要是通过销售硬件盈利的现实，公司的经营成本主</w:t>
      </w:r>
      <w:r>
        <w:rPr>
          <w:b w:val="0"/>
          <w:bCs w:val="0"/>
          <w:spacing w:val="-1"/>
        </w:rPr>
      </w:r>
    </w:p>
    <w:p>
      <w:pPr>
        <w:spacing w:after="0" w:line="468" w:lineRule="auto"/>
        <w:jc w:val="left"/>
        <w:sectPr>
          <w:footerReference w:type="default" r:id="rId8"/>
          <w:pgSz w:w="11910" w:h="16840"/>
          <w:pgMar w:footer="1019" w:header="786" w:top="1100" w:bottom="1200" w:left="0" w:right="0"/>
          <w:pgNumType w:start="2"/>
        </w:sectPr>
      </w:pPr>
    </w:p>
    <w:p>
      <w:pPr>
        <w:spacing w:line="240" w:lineRule="auto" w:before="8"/>
        <w:rPr>
          <w:rFonts w:ascii="宋体" w:hAnsi="宋体" w:cs="宋体" w:eastAsia="宋体" w:hint="default"/>
          <w:b/>
          <w:bCs/>
          <w:sz w:val="27"/>
          <w:szCs w:val="27"/>
        </w:rPr>
      </w:pPr>
    </w:p>
    <w:p>
      <w:pPr>
        <w:pStyle w:val="Heading3"/>
        <w:spacing w:line="408" w:lineRule="auto" w:before="35"/>
        <w:ind w:right="1135"/>
        <w:jc w:val="both"/>
        <w:rPr>
          <w:b w:val="0"/>
          <w:bCs w:val="0"/>
        </w:rPr>
      </w:pPr>
      <w:r>
        <w:rPr>
          <w:spacing w:val="-1"/>
          <w:w w:val="95"/>
        </w:rPr>
        <w:t>要包括原材料、制造成本、人力成本等，若出现原材料价格、人力成本的大幅上升，将对公司成本控制产</w:t>
      </w:r>
      <w:r>
        <w:rPr>
          <w:spacing w:val="60"/>
          <w:w w:val="95"/>
        </w:rPr>
        <w:t> </w:t>
      </w:r>
      <w:r>
        <w:rPr>
          <w:spacing w:val="60"/>
          <w:w w:val="95"/>
        </w:rPr>
      </w:r>
      <w:r>
        <w:rPr>
          <w:spacing w:val="-1"/>
          <w:w w:val="95"/>
        </w:rPr>
        <w:t>生不利影响；以及基于目前国家环保核查等政策因素，对上游基础原材料价格将产生影响，从而增加公司</w:t>
      </w:r>
      <w:r>
        <w:rPr>
          <w:spacing w:val="58"/>
          <w:w w:val="95"/>
        </w:rPr>
        <w:t> </w:t>
      </w:r>
      <w:r>
        <w:rPr>
          <w:spacing w:val="58"/>
          <w:w w:val="95"/>
        </w:rPr>
      </w:r>
      <w:r>
        <w:rPr>
          <w:spacing w:val="-1"/>
          <w:w w:val="95"/>
        </w:rPr>
        <w:t>成本与费用。若公司不能有效的控制成本和费用支出，保持公司的综合竞争力，这将会对公司管理层控制</w:t>
      </w:r>
      <w:r>
        <w:rPr>
          <w:spacing w:val="60"/>
          <w:w w:val="95"/>
        </w:rPr>
        <w:t> </w:t>
      </w:r>
      <w:r>
        <w:rPr>
          <w:spacing w:val="60"/>
          <w:w w:val="95"/>
        </w:rPr>
      </w:r>
      <w:r>
        <w:rPr/>
        <w:t>成本费用带来压力。</w:t>
      </w:r>
      <w:r>
        <w:rPr>
          <w:b w:val="0"/>
          <w:bCs w:val="0"/>
        </w:rPr>
      </w:r>
    </w:p>
    <w:p>
      <w:pPr>
        <w:pStyle w:val="Heading3"/>
        <w:spacing w:line="240" w:lineRule="auto" w:before="145"/>
        <w:ind w:left="1556" w:right="1015"/>
        <w:jc w:val="left"/>
        <w:rPr>
          <w:b w:val="0"/>
          <w:bCs w:val="0"/>
        </w:rPr>
      </w:pPr>
      <w:r>
        <w:rPr>
          <w:rFonts w:ascii="Times New Roman" w:hAnsi="Times New Roman" w:cs="Times New Roman" w:eastAsia="Times New Roman" w:hint="default"/>
        </w:rPr>
        <w:t>4</w:t>
      </w:r>
      <w:r>
        <w:rPr/>
        <w:t>、汇率波动风险</w:t>
      </w:r>
      <w:r>
        <w:rPr>
          <w:b w:val="0"/>
          <w:bCs w:val="0"/>
        </w:rPr>
      </w:r>
    </w:p>
    <w:p>
      <w:pPr>
        <w:spacing w:line="240" w:lineRule="auto" w:before="2"/>
        <w:rPr>
          <w:rFonts w:ascii="宋体" w:hAnsi="宋体" w:cs="宋体" w:eastAsia="宋体" w:hint="default"/>
          <w:b/>
          <w:bCs/>
          <w:sz w:val="21"/>
          <w:szCs w:val="21"/>
        </w:rPr>
      </w:pPr>
    </w:p>
    <w:p>
      <w:pPr>
        <w:pStyle w:val="Heading3"/>
        <w:spacing w:line="398" w:lineRule="auto"/>
        <w:ind w:right="1015" w:firstLine="422"/>
        <w:jc w:val="left"/>
        <w:rPr>
          <w:b w:val="0"/>
          <w:bCs w:val="0"/>
        </w:rPr>
      </w:pPr>
      <w:r>
        <w:rPr>
          <w:spacing w:val="-8"/>
        </w:rPr>
        <w:t>现阶段，公司的出口业务整体规模较大，报告期内，实现出口销售额</w:t>
      </w:r>
      <w:r>
        <w:rPr>
          <w:spacing w:val="-52"/>
        </w:rPr>
        <w:t> </w:t>
      </w:r>
      <w:r>
        <w:rPr>
          <w:rFonts w:ascii="Times New Roman" w:hAnsi="Times New Roman" w:cs="Times New Roman" w:eastAsia="Times New Roman" w:hint="default"/>
        </w:rPr>
        <w:t>49,345</w:t>
      </w:r>
      <w:r>
        <w:rPr>
          <w:rFonts w:ascii="Times New Roman" w:hAnsi="Times New Roman" w:cs="Times New Roman" w:eastAsia="Times New Roman" w:hint="default"/>
          <w:spacing w:val="-4"/>
        </w:rPr>
        <w:t> </w:t>
      </w:r>
      <w:r>
        <w:rPr>
          <w:spacing w:val="-10"/>
        </w:rPr>
        <w:t>万元，占主营收的</w:t>
      </w:r>
      <w:r>
        <w:rPr>
          <w:spacing w:val="-55"/>
        </w:rPr>
        <w:t> </w:t>
      </w:r>
      <w:r>
        <w:rPr>
          <w:rFonts w:ascii="Times New Roman" w:hAnsi="Times New Roman" w:cs="Times New Roman" w:eastAsia="Times New Roman" w:hint="default"/>
        </w:rPr>
        <w:t>56.94%</w:t>
      </w:r>
      <w:r>
        <w:rPr/>
        <w:t>。</w:t>
      </w:r>
      <w:r>
        <w:rPr>
          <w:w w:val="99"/>
        </w:rPr>
        <w:t> </w:t>
      </w:r>
      <w:r>
        <w:rPr/>
        <w:t>未来，公司在大力发展自有品牌的同时，国际高端品牌</w:t>
      </w:r>
      <w:r>
        <w:rPr>
          <w:spacing w:val="-63"/>
        </w:rPr>
        <w:t> </w:t>
      </w:r>
      <w:r>
        <w:rPr>
          <w:rFonts w:ascii="Times New Roman" w:hAnsi="Times New Roman" w:cs="Times New Roman" w:eastAsia="Times New Roman" w:hint="default"/>
        </w:rPr>
        <w:t>ODM</w:t>
      </w:r>
      <w:r>
        <w:rPr>
          <w:rFonts w:ascii="Times New Roman" w:hAnsi="Times New Roman" w:cs="Times New Roman" w:eastAsia="Times New Roman" w:hint="default"/>
          <w:spacing w:val="-13"/>
        </w:rPr>
        <w:t> </w:t>
      </w:r>
      <w:r>
        <w:rPr/>
        <w:t>贴牌业务规模也继续保持增长，而外汇汇率</w:t>
      </w:r>
      <w:r>
        <w:rPr>
          <w:w w:val="99"/>
        </w:rPr>
        <w:t> </w:t>
      </w:r>
      <w:r>
        <w:rPr/>
        <w:t>的波动将影响公司定价和盈利水平，从而影响到公司产品的价格竞争力，为公司带来一定风险。如果未来</w:t>
      </w:r>
      <w:r>
        <w:rPr>
          <w:w w:val="99"/>
        </w:rPr>
        <w:t> </w:t>
      </w:r>
      <w:r>
        <w:rPr/>
        <w:t>我国汇率政策发生重大变化，或者未来人民币的汇率出现大幅波动，将影响公司汇兑损益，并对净利润产</w:t>
      </w:r>
      <w:r>
        <w:rPr>
          <w:w w:val="99"/>
        </w:rPr>
        <w:t> </w:t>
      </w:r>
      <w:r>
        <w:rPr/>
        <w:t>生直接的影响。</w:t>
      </w:r>
      <w:r>
        <w:rPr>
          <w:b w:val="0"/>
          <w:bCs w:val="0"/>
        </w:rPr>
      </w:r>
    </w:p>
    <w:p>
      <w:pPr>
        <w:pStyle w:val="Heading3"/>
        <w:spacing w:line="240" w:lineRule="auto" w:before="153"/>
        <w:ind w:left="1556" w:right="1015"/>
        <w:jc w:val="left"/>
        <w:rPr>
          <w:b w:val="0"/>
          <w:bCs w:val="0"/>
        </w:rPr>
      </w:pPr>
      <w:r>
        <w:rPr/>
        <w:t>公司经本次董事会审议通过的利润分配预案为：以</w:t>
      </w:r>
      <w:r>
        <w:rPr>
          <w:spacing w:val="-60"/>
        </w:rPr>
        <w:t> </w:t>
      </w:r>
      <w:r>
        <w:rPr>
          <w:rFonts w:ascii="Times New Roman" w:hAnsi="Times New Roman" w:cs="Times New Roman" w:eastAsia="Times New Roman" w:hint="default"/>
        </w:rPr>
        <w:t>188,800,000</w:t>
      </w:r>
      <w:r>
        <w:rPr>
          <w:rFonts w:ascii="Times New Roman" w:hAnsi="Times New Roman" w:cs="Times New Roman" w:eastAsia="Times New Roman" w:hint="default"/>
          <w:spacing w:val="-8"/>
        </w:rPr>
        <w:t> </w:t>
      </w:r>
      <w:r>
        <w:rPr>
          <w:spacing w:val="-3"/>
        </w:rPr>
        <w:t>股为基数，向全体股东每</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股派发现</w:t>
      </w:r>
      <w:r>
        <w:rPr>
          <w:b w:val="0"/>
          <w:bCs w:val="0"/>
        </w:rPr>
      </w:r>
    </w:p>
    <w:p>
      <w:pPr>
        <w:pStyle w:val="Heading3"/>
        <w:spacing w:line="240" w:lineRule="auto" w:before="178"/>
        <w:ind w:right="0"/>
        <w:jc w:val="both"/>
        <w:rPr>
          <w:b w:val="0"/>
          <w:bCs w:val="0"/>
        </w:rPr>
      </w:pPr>
      <w:r>
        <w:rPr/>
        <w:t>金红利</w:t>
      </w:r>
      <w:r>
        <w:rPr>
          <w:spacing w:val="-54"/>
        </w:rPr>
        <w:t> </w:t>
      </w:r>
      <w:r>
        <w:rPr>
          <w:rFonts w:ascii="Times New Roman" w:hAnsi="Times New Roman" w:cs="Times New Roman" w:eastAsia="Times New Roman" w:hint="default"/>
        </w:rPr>
        <w:t>0.27</w:t>
      </w:r>
      <w:r>
        <w:rPr>
          <w:rFonts w:ascii="Times New Roman" w:hAnsi="Times New Roman" w:cs="Times New Roman" w:eastAsia="Times New Roman" w:hint="default"/>
          <w:spacing w:val="-2"/>
        </w:rPr>
        <w:t> </w:t>
      </w:r>
      <w:r>
        <w:rPr/>
        <w:t>元（含税），送红股</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股（含税），以资本公积金向全体股东每</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53"/>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股。</w:t>
      </w:r>
      <w:r>
        <w:rPr>
          <w:b w:val="0"/>
          <w:bCs w:val="0"/>
        </w:rPr>
      </w:r>
    </w:p>
    <w:p>
      <w:pPr>
        <w:spacing w:after="0" w:line="240" w:lineRule="auto"/>
        <w:jc w:val="both"/>
        <w:sectPr>
          <w:pgSz w:w="11910" w:h="16840"/>
          <w:pgMar w:header="786" w:footer="1019" w:top="1100" w:bottom="120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46"/>
        <w:ind w:left="1626" w:right="1625"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32"/>
          <w:szCs w:val="32"/>
        </w:rPr>
      </w:pPr>
    </w:p>
    <w:sdt>
      <w:sdtPr>
        <w:docPartObj>
          <w:docPartGallery w:val="Table of Contents"/>
          <w:docPartUnique/>
        </w:docPartObj>
      </w:sdtPr>
      <w:sdtEndPr/>
      <w:sdtContent>
        <w:p>
          <w:pPr>
            <w:pStyle w:val="TOC1"/>
            <w:tabs>
              <w:tab w:pos="1077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1077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10773"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0773"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1077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38</w:t>
            </w:r>
            <w:r>
              <w:rPr>
                <w:rFonts w:ascii="Times New Roman" w:hAnsi="Times New Roman" w:cs="Times New Roman" w:eastAsia="Times New Roman" w:hint="default"/>
                <w:b w:val="0"/>
                <w:bCs w:val="0"/>
              </w:rPr>
            </w:r>
          </w:hyperlink>
        </w:p>
        <w:p>
          <w:pPr>
            <w:pStyle w:val="TOC1"/>
            <w:tabs>
              <w:tab w:pos="1077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10773"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1077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1077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84</w:t>
            </w:r>
            <w:r>
              <w:rPr>
                <w:rFonts w:ascii="Times New Roman" w:hAnsi="Times New Roman" w:cs="Times New Roman" w:eastAsia="Times New Roman" w:hint="default"/>
                <w:b w:val="0"/>
                <w:bCs w:val="0"/>
              </w:rPr>
            </w:r>
          </w:hyperlink>
        </w:p>
        <w:p>
          <w:pPr>
            <w:pStyle w:val="TOC1"/>
            <w:tabs>
              <w:tab w:pos="10773"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90</w:t>
            </w:r>
            <w:r>
              <w:rPr>
                <w:rFonts w:ascii="Times New Roman" w:hAnsi="Times New Roman" w:cs="Times New Roman" w:eastAsia="Times New Roman" w:hint="default"/>
                <w:b w:val="0"/>
                <w:bCs w:val="0"/>
              </w:rPr>
            </w:r>
          </w:hyperlink>
        </w:p>
        <w:p>
          <w:pPr>
            <w:pStyle w:val="TOC1"/>
            <w:tabs>
              <w:tab w:pos="1077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
              </w:rPr>
              <w:t> </w:t>
            </w:r>
            <w:r>
              <w:rPr/>
              <w:t>财务报告</w:t>
            </w:r>
            <w:r>
              <w:rPr>
                <w:rFonts w:ascii="Times New Roman" w:hAnsi="Times New Roman" w:cs="Times New Roman" w:eastAsia="Times New Roman" w:hint="default"/>
              </w:rPr>
              <w:tab/>
              <w:t>91</w:t>
            </w:r>
            <w:r>
              <w:rPr>
                <w:rFonts w:ascii="Times New Roman" w:hAnsi="Times New Roman" w:cs="Times New Roman" w:eastAsia="Times New Roman" w:hint="default"/>
                <w:b w:val="0"/>
                <w:bCs w:val="0"/>
              </w:rPr>
            </w:r>
          </w:hyperlink>
        </w:p>
        <w:p>
          <w:pPr>
            <w:pStyle w:val="TOC1"/>
            <w:tabs>
              <w:tab w:pos="10773"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备查文件目录</w:t>
            </w:r>
            <w:r>
              <w:rPr>
                <w:rFonts w:ascii="Times New Roman" w:hAnsi="Times New Roman" w:cs="Times New Roman" w:eastAsia="Times New Roman" w:hint="default"/>
              </w:rPr>
              <w:tab/>
              <w:t>208</w:t>
            </w:r>
            <w:r>
              <w:rPr>
                <w:rFonts w:ascii="Times New Roman" w:hAnsi="Times New Roman" w:cs="Times New Roman" w:eastAsia="Times New Roman" w:hint="default"/>
                <w:b w:val="0"/>
                <w:bCs w:val="0"/>
              </w:rPr>
            </w:r>
          </w:hyperlink>
        </w:p>
        <w:p>
          <w:pPr/>
          <w:r>
            <w:fldChar w:fldCharType="end"/>
          </w:r>
        </w:p>
      </w:sdtContent>
    </w:sdt>
    <w:p>
      <w:pPr>
        <w:spacing w:after="0"/>
        <w:sectPr>
          <w:headerReference w:type="default" r:id="rId9"/>
          <w:pgSz w:w="11910" w:h="16840"/>
          <w:pgMar w:header="907" w:footer="1019" w:top="1100" w:bottom="1200" w:left="0" w:right="0"/>
        </w:sect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27"/>
          <w:szCs w:val="27"/>
        </w:rPr>
      </w:pPr>
    </w:p>
    <w:p>
      <w:pPr>
        <w:spacing w:before="0"/>
        <w:ind w:left="1626" w:right="1625"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25"/>
        <w:gridCol w:w="621"/>
        <w:gridCol w:w="5424"/>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乐心医疗、公司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广东乐心医疗电子股份有限公司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广东乐心医疗电子股份有限公司股东大会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广东乐心医疗电子股份有限公司董事会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广东乐心医疗电子股份有限公司监事会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深圳乐心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深圳市乐心医疗电子有限公司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创源传感器</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中山市创源传感器有限公司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动心科技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广州动心信息科技有限公司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创源贸易</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中山市创源贸易有限公司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中山乐心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中山乐心电子有限公司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美国子公司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Lifesense Health</w:t>
            </w:r>
            <w:r>
              <w:rPr>
                <w:rFonts w:ascii="Times New Roman"/>
                <w:spacing w:val="-4"/>
                <w:sz w:val="18"/>
              </w:rPr>
              <w:t> </w:t>
            </w:r>
            <w:r>
              <w:rPr>
                <w:rFonts w:ascii="Times New Roman"/>
                <w:sz w:val="18"/>
              </w:rPr>
              <w:t>Inc.</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香港子公司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香港创源有限公司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新加坡子公司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Lifesense singapore Pte.</w:t>
            </w:r>
            <w:r>
              <w:rPr>
                <w:rFonts w:ascii="Times New Roman"/>
                <w:spacing w:val="-7"/>
                <w:sz w:val="18"/>
              </w:rPr>
              <w:t> </w:t>
            </w:r>
            <w:r>
              <w:rPr>
                <w:rFonts w:ascii="Times New Roman"/>
                <w:sz w:val="18"/>
              </w:rPr>
              <w:t>Ltd.</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美国孙公司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FutureIOT Labs</w:t>
            </w:r>
            <w:r>
              <w:rPr>
                <w:rFonts w:ascii="Times New Roman"/>
                <w:spacing w:val="-6"/>
                <w:sz w:val="18"/>
              </w:rPr>
              <w:t> </w:t>
            </w:r>
            <w:r>
              <w:rPr>
                <w:rFonts w:ascii="Times New Roman"/>
                <w:sz w:val="18"/>
              </w:rPr>
              <w:t>LLC</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乐医成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福州乐医成信息技术服务有限公司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瑞康宏业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深圳市瑞康宏业科技开发有限公司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易恩科技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中山市易恩自动化科技有限公司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汇康投资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中山市汇康股权投资合伙企业（有限合伙）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协润投资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中山市协润股权投资合伙企业（有限合伙）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潘伟潮先生</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潘伟潮先生</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证监会、中国证监会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《广东乐心医疗电子股份有限公司章程》</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会计师事务所、立信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保荐机构、长城证券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长城证券股份有限公司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人民币元、人民币万元、人民币亿元</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报告期、报告期末</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pStyle w:val="Heading1"/>
        <w:spacing w:line="240" w:lineRule="auto"/>
        <w:ind w:left="3624" w:right="1015"/>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1015"/>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84"/>
        <w:gridCol w:w="2954"/>
        <w:gridCol w:w="2157"/>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乐心医疗</w:t>
            </w:r>
          </w:p>
        </w:tc>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300562</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广东乐心医疗电子股份有限公司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乐心医疗</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Guangdong Transtek Medical Electronics</w:t>
            </w:r>
            <w:r>
              <w:rPr>
                <w:rFonts w:ascii="Times New Roman"/>
                <w:spacing w:val="-17"/>
                <w:sz w:val="18"/>
              </w:rPr>
              <w:t> </w:t>
            </w:r>
            <w:r>
              <w:rPr>
                <w:rFonts w:ascii="Times New Roman"/>
                <w:sz w:val="18"/>
              </w:rPr>
              <w:t>Co.,Ltd</w:t>
            </w:r>
          </w:p>
        </w:tc>
      </w:tr>
      <w:tr>
        <w:trPr>
          <w:trHeight w:val="71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89"/>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Transtek</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潘伟潮</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中山市火炬开发区东利路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528437</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中山市火炬开发区东利路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528437</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10">
              <w:r>
                <w:rPr>
                  <w:rFonts w:ascii="Times New Roman"/>
                  <w:sz w:val="18"/>
                </w:rPr>
                <w:t>www.lifesense.com</w:t>
              </w:r>
            </w:hyperlink>
          </w:p>
        </w:tc>
      </w:tr>
      <w:tr>
        <w:trPr>
          <w:trHeight w:val="40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11">
              <w:r>
                <w:rPr>
                  <w:rFonts w:ascii="Times New Roman"/>
                  <w:sz w:val="18"/>
                </w:rPr>
                <w:t>ls@lifesense.com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015"/>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王继宝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李娟</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广东省中山市火炬开发区东利路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广东省中山市火炬开发区东利路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0760-85166286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0760-85166286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0760-85166521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0760-85166521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hyperlink r:id="rId11">
              <w:r>
                <w:rPr>
                  <w:rFonts w:ascii="Times New Roman"/>
                  <w:sz w:val="18"/>
                </w:rPr>
                <w:t>ls@lifesense.com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1">
              <w:r>
                <w:rPr>
                  <w:rFonts w:ascii="Times New Roman"/>
                  <w:sz w:val="18"/>
                </w:rPr>
                <w:t>ls@lifesense.com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015"/>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证券时报、证券日报、中国证券报、上海证券报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中山市火炬开发区东利路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号公司董事会办公室</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9"/>
        <w:rPr>
          <w:rFonts w:ascii="宋体" w:hAnsi="宋体" w:cs="宋体" w:eastAsia="宋体" w:hint="default"/>
          <w:b/>
          <w:bCs/>
          <w:sz w:val="20"/>
          <w:szCs w:val="20"/>
        </w:rPr>
      </w:pPr>
    </w:p>
    <w:p>
      <w:pPr>
        <w:pStyle w:val="Heading2"/>
        <w:spacing w:line="240" w:lineRule="auto" w:before="26"/>
        <w:ind w:right="1015"/>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5"/>
        <w:jc w:val="left"/>
      </w:pPr>
      <w:r>
        <w:rPr/>
        <w:t>公司聘请的会计师事务所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北京市西城区北三环中路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号院茅台大厦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梁谦海、陈清松</w:t>
            </w:r>
          </w:p>
        </w:tc>
      </w:tr>
    </w:tbl>
    <w:p>
      <w:pPr>
        <w:pStyle w:val="BodyText"/>
        <w:spacing w:line="240" w:lineRule="auto" w:before="51"/>
        <w:ind w:right="1015"/>
        <w:jc w:val="left"/>
      </w:pPr>
      <w:r>
        <w:rPr/>
        <w:t>公司聘请的报告期内履行持续督导职责的保荐机构</w:t>
      </w:r>
    </w:p>
    <w:p>
      <w:pPr>
        <w:pStyle w:val="BodyText"/>
        <w:spacing w:line="240" w:lineRule="auto" w:before="116"/>
        <w:ind w:right="1015"/>
        <w:jc w:val="left"/>
      </w:pPr>
      <w:r>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长城证券股份有限公司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深圳市深南大道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号深 圳特区报业大厦</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14</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16</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17</w:t>
            </w:r>
            <w:r>
              <w:rPr>
                <w:rFonts w:ascii="Times New Roman" w:hAnsi="Times New Roman" w:cs="Times New Roman" w:eastAsia="Times New Roman" w:hint="default"/>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林植、何东</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right="1015"/>
        <w:jc w:val="left"/>
      </w:pPr>
      <w:r>
        <w:rPr/>
        <w:t>公司聘请的报告期内履行持续督导职责的财务顾问</w:t>
      </w:r>
    </w:p>
    <w:p>
      <w:pPr>
        <w:pStyle w:val="BodyText"/>
        <w:spacing w:line="240" w:lineRule="auto" w:before="117"/>
        <w:ind w:right="1015"/>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1015"/>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1015"/>
        <w:jc w:val="left"/>
      </w:pPr>
      <w:r>
        <w:rPr/>
        <w:t>公司是否需追溯调整或重述以前年度会计数据</w:t>
      </w:r>
    </w:p>
    <w:p>
      <w:pPr>
        <w:pStyle w:val="BodyText"/>
        <w:spacing w:line="360" w:lineRule="auto" w:before="116"/>
        <w:ind w:left="1133" w:right="9133"/>
        <w:jc w:val="left"/>
      </w:pPr>
      <w:r>
        <w:rPr/>
        <w:t>√ 是 □ 否 追溯调整或重述原因 其他原因</w:t>
      </w:r>
    </w:p>
    <w:tbl>
      <w:tblPr>
        <w:tblW w:w="0" w:type="auto"/>
        <w:jc w:val="left"/>
        <w:tblInd w:w="1129" w:type="dxa"/>
        <w:tblLayout w:type="fixed"/>
        <w:tblCellMar>
          <w:top w:w="0" w:type="dxa"/>
          <w:left w:w="0" w:type="dxa"/>
          <w:bottom w:w="0" w:type="dxa"/>
          <w:right w:w="0" w:type="dxa"/>
        </w:tblCellMar>
        <w:tblLook w:val="01E0"/>
      </w:tblPr>
      <w:tblGrid>
        <w:gridCol w:w="1744"/>
        <w:gridCol w:w="1396"/>
        <w:gridCol w:w="1380"/>
        <w:gridCol w:w="1380"/>
        <w:gridCol w:w="1050"/>
        <w:gridCol w:w="1350"/>
        <w:gridCol w:w="1394"/>
      </w:tblGrid>
      <w:tr>
        <w:trPr>
          <w:trHeight w:val="714" w:hRule="exact"/>
        </w:trPr>
        <w:tc>
          <w:tcPr>
            <w:tcW w:w="1744" w:type="dxa"/>
            <w:vMerge w:val="restart"/>
            <w:tcBorders>
              <w:top w:val="single" w:sz="4" w:space="0" w:color="000000"/>
              <w:left w:val="single" w:sz="4" w:space="0" w:color="000000"/>
              <w:right w:val="single" w:sz="4" w:space="0" w:color="000000"/>
            </w:tcBorders>
            <w:shd w:val="clear" w:color="auto" w:fill="D2D2D2"/>
          </w:tcPr>
          <w:p>
            <w:pPr/>
          </w:p>
        </w:tc>
        <w:tc>
          <w:tcPr>
            <w:tcW w:w="1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9" w:right="158" w:hanging="90"/>
              <w:jc w:val="left"/>
              <w:rPr>
                <w:rFonts w:ascii="宋体" w:hAnsi="宋体" w:cs="宋体" w:eastAsia="宋体" w:hint="default"/>
                <w:sz w:val="18"/>
                <w:szCs w:val="18"/>
              </w:rPr>
            </w:pPr>
            <w:r>
              <w:rPr>
                <w:rFonts w:ascii="宋体" w:hAnsi="宋体" w:cs="宋体" w:eastAsia="宋体" w:hint="default"/>
                <w:sz w:val="18"/>
                <w:szCs w:val="18"/>
              </w:rPr>
              <w:t>本年比上 年增减</w:t>
            </w:r>
          </w:p>
        </w:tc>
        <w:tc>
          <w:tcPr>
            <w:tcW w:w="2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1744" w:type="dxa"/>
            <w:vMerge/>
            <w:tcBorders>
              <w:left w:val="single" w:sz="4" w:space="0" w:color="000000"/>
              <w:bottom w:val="single" w:sz="4" w:space="0" w:color="000000"/>
              <w:right w:val="single" w:sz="4" w:space="0" w:color="000000"/>
            </w:tcBorders>
            <w:shd w:val="clear" w:color="auto" w:fill="D2D2D2"/>
          </w:tcPr>
          <w:p>
            <w:pPr/>
          </w:p>
        </w:tc>
        <w:tc>
          <w:tcPr>
            <w:tcW w:w="1396" w:type="dxa"/>
            <w:vMerge/>
            <w:tcBorders>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8"/>
              <w:jc w:val="right"/>
              <w:rPr>
                <w:rFonts w:ascii="宋体" w:hAnsi="宋体" w:cs="宋体" w:eastAsia="宋体" w:hint="default"/>
                <w:sz w:val="18"/>
                <w:szCs w:val="18"/>
              </w:rPr>
            </w:pPr>
            <w:r>
              <w:rPr>
                <w:rFonts w:ascii="宋体" w:hAnsi="宋体" w:cs="宋体" w:eastAsia="宋体" w:hint="default"/>
                <w:sz w:val="18"/>
                <w:szCs w:val="18"/>
              </w:rPr>
              <w:t>调整后</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512" w:hRule="exact"/>
        </w:trPr>
        <w:tc>
          <w:tcPr>
            <w:tcW w:w="1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866,590,294.39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770,644,439.45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Times New Roman" w:hAnsi="Times New Roman" w:cs="Times New Roman" w:eastAsia="Times New Roman" w:hint="default"/>
                <w:sz w:val="18"/>
                <w:szCs w:val="18"/>
              </w:rPr>
            </w:pPr>
            <w:r>
              <w:rPr>
                <w:rFonts w:ascii="Times New Roman"/>
                <w:sz w:val="18"/>
              </w:rPr>
              <w:t>770,644,439.45</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40"/>
              <w:jc w:val="right"/>
              <w:rPr>
                <w:rFonts w:ascii="Times New Roman" w:hAnsi="Times New Roman" w:cs="Times New Roman" w:eastAsia="Times New Roman" w:hint="default"/>
                <w:sz w:val="18"/>
                <w:szCs w:val="18"/>
              </w:rPr>
            </w:pPr>
            <w:r>
              <w:rPr>
                <w:rFonts w:ascii="Times New Roman"/>
                <w:sz w:val="18"/>
              </w:rPr>
              <w:t>12.45%</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Times New Roman" w:hAnsi="Times New Roman" w:cs="Times New Roman" w:eastAsia="Times New Roman" w:hint="default"/>
                <w:sz w:val="18"/>
                <w:szCs w:val="18"/>
              </w:rPr>
            </w:pPr>
            <w:r>
              <w:rPr>
                <w:rFonts w:ascii="Times New Roman"/>
                <w:sz w:val="18"/>
              </w:rPr>
              <w:t>629,005,528.60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Times New Roman" w:hAnsi="Times New Roman" w:cs="Times New Roman" w:eastAsia="Times New Roman" w:hint="default"/>
                <w:sz w:val="18"/>
                <w:szCs w:val="18"/>
              </w:rPr>
            </w:pPr>
            <w:r>
              <w:rPr>
                <w:rFonts w:ascii="Times New Roman"/>
                <w:sz w:val="18"/>
              </w:rPr>
              <w:t>629,005,528.60</w:t>
            </w:r>
          </w:p>
        </w:tc>
      </w:tr>
      <w:tr>
        <w:trPr>
          <w:trHeight w:val="714" w:hRule="exact"/>
        </w:trPr>
        <w:tc>
          <w:tcPr>
            <w:tcW w:w="1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9"/>
              <w:jc w:val="left"/>
              <w:rPr>
                <w:rFonts w:ascii="宋体" w:hAnsi="宋体" w:cs="宋体" w:eastAsia="宋体" w:hint="default"/>
                <w:sz w:val="18"/>
                <w:szCs w:val="18"/>
              </w:rPr>
            </w:pPr>
            <w:r>
              <w:rPr>
                <w:rFonts w:ascii="宋体" w:hAnsi="宋体" w:cs="宋体" w:eastAsia="宋体" w:hint="default"/>
                <w:sz w:val="18"/>
                <w:szCs w:val="18"/>
              </w:rPr>
              <w:t>归属于上市公司股 东的净利润（元）</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17,840,697.18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80,520,708.66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80,520,708.66</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0"/>
              <w:jc w:val="right"/>
              <w:rPr>
                <w:rFonts w:ascii="Times New Roman" w:hAnsi="Times New Roman" w:cs="Times New Roman" w:eastAsia="Times New Roman" w:hint="default"/>
                <w:sz w:val="18"/>
                <w:szCs w:val="18"/>
              </w:rPr>
            </w:pPr>
            <w:r>
              <w:rPr>
                <w:rFonts w:ascii="Times New Roman"/>
                <w:sz w:val="18"/>
              </w:rPr>
              <w:t>-77.84%</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50,188,819.66</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50,188,819.66</w:t>
            </w:r>
          </w:p>
        </w:tc>
      </w:tr>
      <w:tr>
        <w:trPr>
          <w:trHeight w:val="1026" w:hRule="exact"/>
        </w:trPr>
        <w:tc>
          <w:tcPr>
            <w:tcW w:w="1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归属于上市公司股 东的扣除非经常性 损益的净利润（元）</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6,187,291.93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72,771,328.93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72,771,328.93</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0"/>
              <w:jc w:val="right"/>
              <w:rPr>
                <w:rFonts w:ascii="Times New Roman" w:hAnsi="Times New Roman" w:cs="Times New Roman" w:eastAsia="Times New Roman" w:hint="default"/>
                <w:sz w:val="18"/>
                <w:szCs w:val="18"/>
              </w:rPr>
            </w:pPr>
            <w:r>
              <w:rPr>
                <w:rFonts w:ascii="Times New Roman"/>
                <w:sz w:val="18"/>
              </w:rPr>
              <w:t>-91.50%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40,120,921.29</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40,120,921.29</w:t>
            </w:r>
          </w:p>
        </w:tc>
      </w:tr>
      <w:tr>
        <w:trPr>
          <w:trHeight w:val="714" w:hRule="exact"/>
        </w:trPr>
        <w:tc>
          <w:tcPr>
            <w:tcW w:w="1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9"/>
              <w:jc w:val="left"/>
              <w:rPr>
                <w:rFonts w:ascii="宋体" w:hAnsi="宋体" w:cs="宋体" w:eastAsia="宋体" w:hint="default"/>
                <w:sz w:val="18"/>
                <w:szCs w:val="18"/>
              </w:rPr>
            </w:pPr>
            <w:r>
              <w:rPr>
                <w:rFonts w:ascii="宋体" w:hAnsi="宋体" w:cs="宋体" w:eastAsia="宋体" w:hint="default"/>
                <w:sz w:val="18"/>
                <w:szCs w:val="18"/>
              </w:rPr>
              <w:t>经营活动产生的现 金流量净额（元）</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-4,103,342.20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78,177,014.52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78,177,014.52</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4"/>
              <w:jc w:val="right"/>
              <w:rPr>
                <w:rFonts w:ascii="Times New Roman" w:hAnsi="Times New Roman" w:cs="Times New Roman" w:eastAsia="Times New Roman" w:hint="default"/>
                <w:sz w:val="18"/>
                <w:szCs w:val="18"/>
              </w:rPr>
            </w:pPr>
            <w:r>
              <w:rPr>
                <w:rFonts w:ascii="Times New Roman"/>
                <w:w w:val="95"/>
                <w:sz w:val="18"/>
              </w:rPr>
              <w:t>-105.25%</w:t>
            </w:r>
            <w:r>
              <w:rPr>
                <w:rFonts w:ascii="Times New Roman"/>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35,967,834.96</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35,967,834.96</w:t>
            </w:r>
          </w:p>
        </w:tc>
      </w:tr>
      <w:tr>
        <w:trPr>
          <w:trHeight w:val="714" w:hRule="exact"/>
        </w:trPr>
        <w:tc>
          <w:tcPr>
            <w:tcW w:w="1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38"/>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1.77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0.55  </w:t>
            </w:r>
            <w:r>
              <w:rPr>
                <w:rFonts w:ascii="宋体" w:hAnsi="宋体" w:cs="宋体" w:eastAsia="宋体" w:hint="default"/>
                <w:color w:val="FF0000"/>
                <w:sz w:val="18"/>
                <w:szCs w:val="18"/>
              </w:rPr>
              <w:t>注</w:t>
            </w:r>
            <w:r>
              <w:rPr>
                <w:rFonts w:ascii="宋体" w:hAnsi="宋体" w:cs="宋体" w:eastAsia="宋体" w:hint="default"/>
                <w:color w:val="FF0000"/>
                <w:spacing w:val="-46"/>
                <w:sz w:val="18"/>
                <w:szCs w:val="18"/>
              </w:rPr>
              <w:t> </w:t>
            </w:r>
            <w:r>
              <w:rPr>
                <w:rFonts w:ascii="Times New Roman" w:hAnsi="Times New Roman" w:cs="Times New Roman" w:eastAsia="Times New Roman" w:hint="default"/>
                <w:color w:val="FF0000"/>
                <w:sz w:val="18"/>
                <w:szCs w:val="18"/>
              </w:rPr>
              <w:t>1</w:t>
            </w:r>
            <w:r>
              <w:rPr>
                <w:rFonts w:ascii="Times New Roman" w:hAnsi="Times New Roman" w:cs="Times New Roman" w:eastAsia="Times New Roman" w:hint="default"/>
                <w:sz w:val="18"/>
                <w:szCs w:val="18"/>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0"/>
              <w:jc w:val="right"/>
              <w:rPr>
                <w:rFonts w:ascii="Times New Roman" w:hAnsi="Times New Roman" w:cs="Times New Roman" w:eastAsia="Times New Roman" w:hint="default"/>
                <w:sz w:val="18"/>
                <w:szCs w:val="18"/>
              </w:rPr>
            </w:pPr>
            <w:r>
              <w:rPr>
                <w:rFonts w:ascii="Times New Roman"/>
                <w:sz w:val="18"/>
              </w:rPr>
              <w:t>-83.64%</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1.14</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0.36</w:t>
            </w:r>
          </w:p>
        </w:tc>
      </w:tr>
      <w:tr>
        <w:trPr>
          <w:trHeight w:val="714" w:hRule="exact"/>
        </w:trPr>
        <w:tc>
          <w:tcPr>
            <w:tcW w:w="1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38"/>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1.77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0.55  </w:t>
            </w:r>
            <w:r>
              <w:rPr>
                <w:rFonts w:ascii="宋体" w:hAnsi="宋体" w:cs="宋体" w:eastAsia="宋体" w:hint="default"/>
                <w:color w:val="FF0000"/>
                <w:sz w:val="18"/>
                <w:szCs w:val="18"/>
              </w:rPr>
              <w:t>注</w:t>
            </w:r>
            <w:r>
              <w:rPr>
                <w:rFonts w:ascii="宋体" w:hAnsi="宋体" w:cs="宋体" w:eastAsia="宋体" w:hint="default"/>
                <w:color w:val="FF0000"/>
                <w:spacing w:val="-46"/>
                <w:sz w:val="18"/>
                <w:szCs w:val="18"/>
              </w:rPr>
              <w:t> </w:t>
            </w:r>
            <w:r>
              <w:rPr>
                <w:rFonts w:ascii="Times New Roman" w:hAnsi="Times New Roman" w:cs="Times New Roman" w:eastAsia="Times New Roman" w:hint="default"/>
                <w:color w:val="FF0000"/>
                <w:sz w:val="18"/>
                <w:szCs w:val="18"/>
              </w:rPr>
              <w:t>2</w:t>
            </w:r>
            <w:r>
              <w:rPr>
                <w:rFonts w:ascii="Times New Roman" w:hAnsi="Times New Roman" w:cs="Times New Roman" w:eastAsia="Times New Roman" w:hint="default"/>
                <w:sz w:val="18"/>
                <w:szCs w:val="18"/>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0"/>
              <w:jc w:val="right"/>
              <w:rPr>
                <w:rFonts w:ascii="Times New Roman" w:hAnsi="Times New Roman" w:cs="Times New Roman" w:eastAsia="Times New Roman" w:hint="default"/>
                <w:sz w:val="18"/>
                <w:szCs w:val="18"/>
              </w:rPr>
            </w:pPr>
            <w:r>
              <w:rPr>
                <w:rFonts w:ascii="Times New Roman"/>
                <w:sz w:val="18"/>
              </w:rPr>
              <w:t>-83.64%</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1.14</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0.36</w:t>
            </w:r>
          </w:p>
        </w:tc>
      </w:tr>
      <w:tr>
        <w:trPr>
          <w:trHeight w:val="714" w:hRule="exact"/>
        </w:trPr>
        <w:tc>
          <w:tcPr>
            <w:tcW w:w="1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9"/>
              <w:jc w:val="left"/>
              <w:rPr>
                <w:rFonts w:ascii="宋体" w:hAnsi="宋体" w:cs="宋体" w:eastAsia="宋体" w:hint="default"/>
                <w:sz w:val="18"/>
                <w:szCs w:val="18"/>
              </w:rPr>
            </w:pPr>
            <w:r>
              <w:rPr>
                <w:rFonts w:ascii="宋体" w:hAnsi="宋体" w:cs="宋体" w:eastAsia="宋体" w:hint="default"/>
                <w:sz w:val="18"/>
                <w:szCs w:val="18"/>
              </w:rPr>
              <w:t>加权平均净资产收 益率</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3.52%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29.16%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29.16%</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0"/>
              <w:jc w:val="right"/>
              <w:rPr>
                <w:rFonts w:ascii="Times New Roman" w:hAnsi="Times New Roman" w:cs="Times New Roman" w:eastAsia="Times New Roman" w:hint="default"/>
                <w:sz w:val="18"/>
                <w:szCs w:val="18"/>
              </w:rPr>
            </w:pPr>
            <w:r>
              <w:rPr>
                <w:rFonts w:ascii="Times New Roman"/>
                <w:sz w:val="18"/>
              </w:rPr>
              <w:t>-25.64%</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24.57%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24.57%</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744"/>
        <w:gridCol w:w="1396"/>
        <w:gridCol w:w="1623"/>
        <w:gridCol w:w="1138"/>
        <w:gridCol w:w="1050"/>
        <w:gridCol w:w="1416"/>
        <w:gridCol w:w="1328"/>
      </w:tblGrid>
      <w:tr>
        <w:trPr>
          <w:trHeight w:val="1026" w:hRule="exact"/>
        </w:trPr>
        <w:tc>
          <w:tcPr>
            <w:tcW w:w="1744" w:type="dxa"/>
            <w:vMerge w:val="restart"/>
            <w:tcBorders>
              <w:top w:val="single" w:sz="4" w:space="0" w:color="000000"/>
              <w:left w:val="single" w:sz="4" w:space="0" w:color="000000"/>
              <w:right w:val="single" w:sz="4" w:space="0" w:color="000000"/>
            </w:tcBorders>
            <w:shd w:val="clear" w:color="auto" w:fill="D2D2D2"/>
          </w:tcPr>
          <w:p>
            <w:pPr/>
          </w:p>
        </w:tc>
        <w:tc>
          <w:tcPr>
            <w:tcW w:w="1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7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9" w:right="158"/>
              <w:jc w:val="center"/>
              <w:rPr>
                <w:rFonts w:ascii="宋体" w:hAnsi="宋体" w:cs="宋体" w:eastAsia="宋体" w:hint="default"/>
                <w:sz w:val="18"/>
                <w:szCs w:val="18"/>
              </w:rPr>
            </w:pPr>
            <w:r>
              <w:rPr>
                <w:rFonts w:ascii="宋体" w:hAnsi="宋体" w:cs="宋体" w:eastAsia="宋体" w:hint="default"/>
                <w:sz w:val="18"/>
                <w:szCs w:val="18"/>
              </w:rPr>
              <w:t>本年末比 上年末增 减</w:t>
            </w:r>
          </w:p>
        </w:tc>
        <w:tc>
          <w:tcPr>
            <w:tcW w:w="2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1744" w:type="dxa"/>
            <w:vMerge/>
            <w:tcBorders>
              <w:left w:val="single" w:sz="4" w:space="0" w:color="000000"/>
              <w:bottom w:val="single" w:sz="4" w:space="0" w:color="000000"/>
              <w:right w:val="single" w:sz="4" w:space="0" w:color="000000"/>
            </w:tcBorders>
            <w:shd w:val="clear" w:color="auto" w:fill="D2D2D2"/>
          </w:tcPr>
          <w:p>
            <w:pPr/>
          </w:p>
        </w:tc>
        <w:tc>
          <w:tcPr>
            <w:tcW w:w="1396" w:type="dxa"/>
            <w:vMerge/>
            <w:tcBorders>
              <w:left w:val="single" w:sz="4" w:space="0" w:color="000000"/>
              <w:bottom w:val="single" w:sz="4" w:space="0" w:color="000000"/>
              <w:right w:val="single" w:sz="4" w:space="0" w:color="000000"/>
            </w:tcBorders>
            <w:shd w:val="clear" w:color="auto" w:fill="D2D2D2"/>
          </w:tcPr>
          <w:p>
            <w:pP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714" w:hRule="exact"/>
        </w:trPr>
        <w:tc>
          <w:tcPr>
            <w:tcW w:w="1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754,901,968.98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662,100,550.24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662,100,550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.24</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14.02%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341,724,703.39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341,724,703.3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1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9"/>
              <w:jc w:val="left"/>
              <w:rPr>
                <w:rFonts w:ascii="宋体" w:hAnsi="宋体" w:cs="宋体" w:eastAsia="宋体" w:hint="default"/>
                <w:sz w:val="18"/>
                <w:szCs w:val="18"/>
              </w:rPr>
            </w:pPr>
            <w:r>
              <w:rPr>
                <w:rFonts w:ascii="宋体" w:hAnsi="宋体" w:cs="宋体" w:eastAsia="宋体" w:hint="default"/>
                <w:sz w:val="18"/>
                <w:szCs w:val="18"/>
              </w:rPr>
              <w:t>归属于上市公司股 东的净资产（元）</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512,075,211.52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506,158,047.34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506,158,047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.34</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224,630,158.07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224,630,158.0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bl>
    <w:p>
      <w:pPr>
        <w:pStyle w:val="BodyText"/>
        <w:spacing w:line="300" w:lineRule="auto" w:before="10"/>
        <w:ind w:right="1115"/>
        <w:jc w:val="left"/>
      </w:pPr>
      <w:r>
        <w:rPr/>
        <w:t>注</w:t>
      </w:r>
      <w:r>
        <w:rPr>
          <w:spacing w:val="-59"/>
        </w:rPr>
        <w:t> </w:t>
      </w: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12"/>
        </w:rPr>
        <w:t> </w:t>
      </w:r>
      <w:r>
        <w:rPr/>
        <w:t>年</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t>月，公司因资本公积转增股本而增加公司股本但不影响股东权益，公司根据相关会计准则的规定按最新股本 调整并列报基本每股收益和稀释每股收益。</w:t>
      </w:r>
    </w:p>
    <w:p>
      <w:pPr>
        <w:pStyle w:val="BodyText"/>
        <w:spacing w:line="302" w:lineRule="auto" w:before="72"/>
        <w:ind w:right="1115"/>
        <w:jc w:val="left"/>
      </w:pPr>
      <w:r>
        <w:rPr/>
        <w:t>注</w:t>
      </w:r>
      <w:r>
        <w:rPr>
          <w:spacing w:val="-59"/>
        </w:rPr>
        <w:t> </w:t>
      </w: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12"/>
        </w:rPr>
        <w:t> </w:t>
      </w:r>
      <w:r>
        <w:rPr/>
        <w:t>年</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t>月，公司因资本公积转增股本而增加公司股本但不影响股东权益，公司根据相关会计准则的规定按最新股本 调整并列报基本每股收益和稀释每股收益。</w:t>
      </w:r>
    </w:p>
    <w:p>
      <w:pPr>
        <w:pStyle w:val="BodyText"/>
        <w:spacing w:line="240" w:lineRule="auto" w:before="69"/>
        <w:ind w:left="1133" w:right="1015"/>
        <w:jc w:val="left"/>
      </w:pPr>
      <w:r>
        <w:rPr/>
        <w:t>截止披露前一交易日的公司总股本：</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524"/>
        <w:gridCol w:w="5045"/>
      </w:tblGrid>
      <w:tr>
        <w:trPr>
          <w:trHeight w:val="403"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188,800,000</w:t>
            </w:r>
          </w:p>
        </w:tc>
      </w:tr>
    </w:tbl>
    <w:p>
      <w:pPr>
        <w:pStyle w:val="BodyText"/>
        <w:spacing w:line="316" w:lineRule="auto" w:before="51"/>
        <w:ind w:right="1015"/>
        <w:jc w:val="left"/>
      </w:pPr>
      <w:r>
        <w:rPr>
          <w:spacing w:val="-2"/>
        </w:rPr>
        <w:t>公司报告期末至年度报告披露日股本是否因发行新股、增发、配股、股权激励行权、回购等原因发生变化且影响所有者权益</w:t>
      </w:r>
      <w:r>
        <w:rPr>
          <w:spacing w:val="-66"/>
        </w:rPr>
        <w:t> </w:t>
      </w:r>
      <w:r>
        <w:rPr>
          <w:spacing w:val="-66"/>
        </w:rPr>
      </w:r>
      <w:r>
        <w:rPr/>
        <w:t>金额</w:t>
      </w:r>
    </w:p>
    <w:p>
      <w:pPr>
        <w:pStyle w:val="BodyText"/>
        <w:spacing w:line="240" w:lineRule="auto" w:before="58"/>
        <w:ind w:right="1015"/>
        <w:jc w:val="left"/>
      </w:pPr>
      <w:r>
        <w:rPr/>
        <w:t>□ 是 √ 否</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524"/>
        <w:gridCol w:w="5045"/>
      </w:tblGrid>
      <w:tr>
        <w:trPr>
          <w:trHeight w:val="402"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0.0945</w:t>
            </w:r>
          </w:p>
        </w:tc>
      </w:tr>
    </w:tbl>
    <w:p>
      <w:pPr>
        <w:pStyle w:val="BodyText"/>
        <w:spacing w:line="240" w:lineRule="auto" w:before="51"/>
        <w:ind w:right="1015"/>
        <w:jc w:val="left"/>
      </w:pPr>
      <w:r>
        <w:rPr/>
        <w:t>是否存在公司债</w:t>
      </w:r>
    </w:p>
    <w:p>
      <w:pPr>
        <w:pStyle w:val="BodyText"/>
        <w:spacing w:line="357" w:lineRule="auto" w:before="117"/>
        <w:ind w:left="1133" w:right="7693"/>
        <w:jc w:val="left"/>
      </w:pPr>
      <w:r>
        <w:rPr/>
        <w:t>□ 是 √ 否 公司是否存在最近两年连续亏损的情形</w:t>
      </w:r>
    </w:p>
    <w:p>
      <w:pPr>
        <w:pStyle w:val="BodyText"/>
        <w:spacing w:line="240" w:lineRule="auto" w:before="28"/>
        <w:ind w:left="1133" w:right="1015"/>
        <w:jc w:val="left"/>
      </w:pPr>
      <w:r>
        <w:rPr/>
        <w:t>□ 是 √ 否 □ 不适用</w:t>
      </w:r>
    </w:p>
    <w:p>
      <w:pPr>
        <w:spacing w:line="240" w:lineRule="auto" w:before="1"/>
        <w:rPr>
          <w:rFonts w:ascii="宋体" w:hAnsi="宋体" w:cs="宋体" w:eastAsia="宋体" w:hint="default"/>
          <w:sz w:val="25"/>
          <w:szCs w:val="25"/>
        </w:rPr>
      </w:pPr>
    </w:p>
    <w:p>
      <w:pPr>
        <w:pStyle w:val="Heading2"/>
        <w:spacing w:line="240" w:lineRule="auto"/>
        <w:ind w:right="1015"/>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171,720,831.74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226,563,830.84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247,883,293.11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220,422,338.70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9,829,740.47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-24,653,309.23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11,975,775.77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20,688,490.17</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5,927,979.74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-23,868,426.89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11,361,204.63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12,766,534.45</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-14,375,346.97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2,909,576.06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-1,432,482.62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8,794,911.33</w:t>
            </w:r>
          </w:p>
        </w:tc>
      </w:tr>
    </w:tbl>
    <w:p>
      <w:pPr>
        <w:pStyle w:val="BodyText"/>
        <w:spacing w:line="240" w:lineRule="auto" w:before="51"/>
        <w:ind w:right="1015"/>
        <w:jc w:val="left"/>
      </w:pPr>
      <w:r>
        <w:rPr/>
        <w:t>上述财务指标或其加总数是否与公司已披露季度报告、半年度报告相关财务指标存在重大差异</w:t>
      </w:r>
    </w:p>
    <w:p>
      <w:pPr>
        <w:pStyle w:val="BodyText"/>
        <w:spacing w:line="240" w:lineRule="auto" w:before="117"/>
        <w:ind w:left="1133" w:right="1015"/>
        <w:jc w:val="left"/>
      </w:pPr>
      <w:r>
        <w:rPr/>
        <w:t>□ 是 √ 否</w:t>
      </w:r>
    </w:p>
    <w:p>
      <w:pPr>
        <w:spacing w:line="240" w:lineRule="auto" w:before="0"/>
        <w:rPr>
          <w:rFonts w:ascii="宋体" w:hAnsi="宋体" w:cs="宋体" w:eastAsia="宋体" w:hint="default"/>
          <w:sz w:val="25"/>
          <w:szCs w:val="25"/>
        </w:rPr>
      </w:pPr>
    </w:p>
    <w:p>
      <w:pPr>
        <w:pStyle w:val="Heading2"/>
        <w:spacing w:line="240" w:lineRule="auto"/>
        <w:ind w:left="1133" w:right="1015"/>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15"/>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15"/>
        <w:jc w:val="left"/>
      </w:pPr>
      <w:r>
        <w:rPr/>
        <w:t>□ 适用 √ 不适用</w:t>
      </w:r>
    </w:p>
    <w:p>
      <w:pPr>
        <w:spacing w:after="0" w:line="240" w:lineRule="auto"/>
        <w:jc w:val="left"/>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right="1015"/>
        <w:jc w:val="left"/>
      </w:pPr>
      <w:r>
        <w:rPr/>
        <w:t>公司报告期不存在按照国际会计准则与按照中国会计准则披露的财务报告中净利润和净资产差异情况。</w:t>
      </w:r>
    </w:p>
    <w:p>
      <w:pPr>
        <w:spacing w:line="240" w:lineRule="auto" w:before="10"/>
        <w:rPr>
          <w:rFonts w:ascii="宋体" w:hAnsi="宋体" w:cs="宋体" w:eastAsia="宋体" w:hint="default"/>
          <w:sz w:val="26"/>
          <w:szCs w:val="26"/>
        </w:rPr>
      </w:pPr>
    </w:p>
    <w:p>
      <w:pPr>
        <w:pStyle w:val="Heading3"/>
        <w:spacing w:line="240" w:lineRule="auto"/>
        <w:ind w:left="1133" w:right="1015"/>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652"/>
        <w:jc w:val="left"/>
      </w:pPr>
      <w:r>
        <w:rPr/>
        <w:t>□ 适用 √ 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8"/>
          <w:szCs w:val="18"/>
        </w:rPr>
      </w:pPr>
    </w:p>
    <w:p>
      <w:pPr>
        <w:pStyle w:val="Heading2"/>
        <w:spacing w:line="240" w:lineRule="auto"/>
        <w:ind w:left="1133" w:right="1015"/>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1133" w:right="1015"/>
        <w:jc w:val="left"/>
      </w:pPr>
      <w:r>
        <w:rPr/>
        <w:t>√ 适用 □ 不适用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195,643.88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583,214.30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-183,309.69</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14,265,886.39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8,561,002.94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12,320,715.25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-761,350.35</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7,420.71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-283,570.81</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2,049,971.05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1,402,258.22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1,785,936.38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w w:val="95"/>
                <w:sz w:val="18"/>
              </w:rPr>
              <w:t>-3,196.38</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11,653,405.25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7,749,379.73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10,067,898.37</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15"/>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号——非经常性损益》中列举的非经常性损益项目界定为经常性损益的项目，应</w:t>
      </w:r>
      <w:r>
        <w:rPr/>
        <w:t> 说明原因</w:t>
      </w:r>
    </w:p>
    <w:p>
      <w:pPr>
        <w:pStyle w:val="BodyText"/>
        <w:spacing w:line="240" w:lineRule="auto" w:before="69"/>
        <w:ind w:right="1015"/>
        <w:jc w:val="left"/>
      </w:pPr>
      <w:r>
        <w:rPr/>
        <w:t>□ 适用 √ 不适用</w:t>
      </w:r>
    </w:p>
    <w:p>
      <w:pPr>
        <w:pStyle w:val="BodyText"/>
        <w:spacing w:line="302" w:lineRule="auto" w:before="115"/>
        <w:ind w:left="1133"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号——非经常性损益》定义、列举的非经常性损益</w:t>
      </w:r>
      <w:r>
        <w:rPr/>
        <w:t> 项目界定为经常性损益的项目的情形。</w:t>
      </w:r>
    </w:p>
    <w:p>
      <w:pPr>
        <w:spacing w:after="0" w:line="302"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1625"/>
        <w:jc w:val="center"/>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0"/>
        <w:jc w:val="both"/>
      </w:pPr>
      <w:r>
        <w:rPr/>
        <w:t>医疗器械业</w:t>
      </w:r>
    </w:p>
    <w:p>
      <w:pPr>
        <w:spacing w:line="338" w:lineRule="auto" w:before="116"/>
        <w:ind w:left="1133" w:right="2204"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号——上市公司从事医疗器械业务》的披露要求 </w:t>
      </w:r>
      <w:r>
        <w:rPr>
          <w:rFonts w:ascii="宋体" w:hAnsi="宋体" w:cs="宋体" w:eastAsia="宋体" w:hint="default"/>
          <w:b/>
          <w:bCs/>
          <w:sz w:val="18"/>
          <w:szCs w:val="18"/>
        </w:rPr>
        <w:t>一、公司从事的主要业务、经营模式、主要的业绩驱动因素</w:t>
      </w:r>
      <w:r>
        <w:rPr>
          <w:rFonts w:ascii="宋体" w:hAnsi="宋体" w:cs="宋体" w:eastAsia="宋体" w:hint="default"/>
          <w:sz w:val="18"/>
          <w:szCs w:val="18"/>
        </w:rPr>
      </w:r>
    </w:p>
    <w:p>
      <w:pPr>
        <w:pStyle w:val="BodyText"/>
        <w:spacing w:line="316" w:lineRule="auto" w:before="2"/>
        <w:ind w:left="1493" w:right="1015"/>
        <w:jc w:val="left"/>
      </w:pPr>
      <w:r>
        <w:rPr/>
        <w:t>（一）公司所从事的主要业务、主要产品 </w:t>
      </w:r>
      <w:r>
        <w:rPr>
          <w:spacing w:val="-2"/>
        </w:rPr>
        <w:t>公司致力于家庭健康管理事业，专业从事家用医疗健康电子产品的研发、生产和销售以及乐心智能健康云平台的研发和</w:t>
      </w:r>
    </w:p>
    <w:p>
      <w:pPr>
        <w:pStyle w:val="BodyText"/>
        <w:spacing w:line="316" w:lineRule="auto" w:before="19"/>
        <w:ind w:left="1133" w:right="1132"/>
        <w:jc w:val="both"/>
      </w:pPr>
      <w:r>
        <w:rPr>
          <w:spacing w:val="-2"/>
        </w:rPr>
        <w:t>运营。硬件产品主要包括电子健康秤（分为电子体重秤和电子厨房秤）、脂肪测量仪、可穿戴手环（手表）、电子血压计及</w:t>
      </w:r>
      <w:r>
        <w:rPr>
          <w:spacing w:val="-67"/>
        </w:rPr>
        <w:t> </w:t>
      </w:r>
      <w:r>
        <w:rPr>
          <w:spacing w:val="-67"/>
        </w:rPr>
      </w:r>
      <w:r>
        <w:rPr>
          <w:spacing w:val="-2"/>
        </w:rPr>
        <w:t>电子血糖仪等硬件设备。智能健康云平台主要包括针对运动瘦身、慢病管理等领域提供软件和智能硬件一体化服务的乐心云</w:t>
      </w:r>
      <w:r>
        <w:rPr>
          <w:spacing w:val="-64"/>
        </w:rPr>
        <w:t> </w:t>
      </w:r>
      <w:r>
        <w:rPr>
          <w:spacing w:val="-64"/>
        </w:rPr>
      </w:r>
      <w:r>
        <w:rPr/>
        <w:t>平台、</w:t>
      </w:r>
      <w:r>
        <w:rPr>
          <w:rFonts w:ascii="宋体" w:hAnsi="宋体" w:cs="宋体" w:eastAsia="宋体" w:hint="default"/>
        </w:rPr>
        <w:t>APP</w:t>
      </w:r>
      <w:r>
        <w:rPr/>
        <w:t>客户端等。其中：电子血压计、电子血糖仪，脂肪测量仪属于第二类医疗器械。</w:t>
      </w:r>
    </w:p>
    <w:p>
      <w:pPr>
        <w:pStyle w:val="BodyText"/>
        <w:spacing w:line="316" w:lineRule="auto" w:before="19"/>
        <w:ind w:left="1493" w:right="1015"/>
        <w:jc w:val="left"/>
      </w:pPr>
      <w:r>
        <w:rPr/>
        <w:t>（二）经营模式 </w:t>
      </w:r>
      <w:r>
        <w:rPr>
          <w:spacing w:val="-2"/>
        </w:rPr>
        <w:t>盈利模式：公司拥有独立、完整、适合自身发展的研究开发、材料采购、产品制造、市场营销和用户运营体系，形成了</w:t>
      </w:r>
    </w:p>
    <w:p>
      <w:pPr>
        <w:pStyle w:val="BodyText"/>
        <w:spacing w:line="316" w:lineRule="auto" w:before="19"/>
        <w:ind w:left="1133" w:right="1131"/>
        <w:jc w:val="both"/>
      </w:pPr>
      <w:r>
        <w:rPr>
          <w:spacing w:val="-2"/>
        </w:rPr>
        <w:t>自身的盈利模式。公司目前主要依靠硬件产品销售实现盈利。对自有品牌智能硬件产品，用户购买产品后需要使用公司相应</w:t>
      </w:r>
      <w:r>
        <w:rPr>
          <w:spacing w:val="-66"/>
        </w:rPr>
        <w:t> </w:t>
      </w:r>
      <w:r>
        <w:rPr>
          <w:spacing w:val="-66"/>
        </w:rPr>
      </w:r>
      <w:r>
        <w:rPr/>
        <w:t>的软件产品（例如微信公众号、</w:t>
      </w:r>
      <w:r>
        <w:rPr>
          <w:rFonts w:ascii="宋体" w:hAnsi="宋体" w:cs="宋体" w:eastAsia="宋体" w:hint="default"/>
        </w:rPr>
        <w:t>APP</w:t>
      </w:r>
      <w:r>
        <w:rPr/>
        <w:t>等）绑定产品激活后方可使用，故公司在销售产品的同时，获取了大量的用户和健康管</w:t>
      </w:r>
      <w:r>
        <w:rPr>
          <w:spacing w:val="-83"/>
        </w:rPr>
        <w:t> </w:t>
      </w:r>
      <w:r>
        <w:rPr>
          <w:spacing w:val="-83"/>
        </w:rPr>
      </w:r>
      <w:r>
        <w:rPr/>
        <w:t>理数据。通过对用户和数据的运营，为后续数据挖掘和应用，探索新的商业模式为用户提供增值服务打下基础。</w:t>
      </w:r>
    </w:p>
    <w:p>
      <w:pPr>
        <w:pStyle w:val="BodyText"/>
        <w:spacing w:line="316" w:lineRule="auto" w:before="19"/>
        <w:ind w:left="1133" w:right="1133" w:firstLine="360"/>
        <w:jc w:val="both"/>
      </w:pPr>
      <w:r>
        <w:rPr>
          <w:spacing w:val="-2"/>
        </w:rPr>
        <w:t>生产模式：公司销售的产品源于公司自行生产。公司基于国外客户订单，和国内市场需求计划，组织生产过程。公司负</w:t>
      </w:r>
      <w:r>
        <w:rPr/>
        <w:t> 责产品核心配件的自行生产，和产品的最终组装和质量控制。</w:t>
      </w:r>
    </w:p>
    <w:p>
      <w:pPr>
        <w:pStyle w:val="BodyText"/>
        <w:spacing w:line="316" w:lineRule="auto" w:before="19"/>
        <w:ind w:left="1493" w:right="1015"/>
        <w:jc w:val="left"/>
      </w:pPr>
      <w:r>
        <w:rPr/>
        <w:t>采购模式：公司主要采用集中式采购，由采购部根据销售及生产计划统一采购生产所需原料、辅料等物料。 </w:t>
      </w:r>
      <w:r>
        <w:rPr>
          <w:spacing w:val="-2"/>
        </w:rPr>
        <w:t>销售模式：公司产品的销售分为外销和内销。外销以</w:t>
      </w:r>
      <w:r>
        <w:rPr>
          <w:rFonts w:ascii="宋体" w:hAnsi="宋体" w:cs="宋体" w:eastAsia="宋体" w:hint="default"/>
          <w:spacing w:val="-2"/>
        </w:rPr>
        <w:t>ODM/OEM</w:t>
      </w:r>
      <w:r>
        <w:rPr>
          <w:spacing w:val="-2"/>
        </w:rPr>
        <w:t>贴牌销售为主，一般为</w:t>
      </w:r>
      <w:r>
        <w:rPr>
          <w:rFonts w:ascii="宋体" w:hAnsi="宋体" w:cs="宋体" w:eastAsia="宋体" w:hint="default"/>
          <w:spacing w:val="-2"/>
        </w:rPr>
        <w:t>FOB</w:t>
      </w:r>
      <w:r>
        <w:rPr>
          <w:spacing w:val="-2"/>
        </w:rPr>
        <w:t>交货模式。内销以自有品牌销售</w:t>
      </w:r>
    </w:p>
    <w:p>
      <w:pPr>
        <w:pStyle w:val="BodyText"/>
        <w:spacing w:line="316" w:lineRule="auto" w:before="19"/>
        <w:ind w:left="1133" w:right="1133"/>
        <w:jc w:val="both"/>
      </w:pPr>
      <w:r>
        <w:rPr>
          <w:spacing w:val="-2"/>
        </w:rPr>
        <w:t>为主，主要包括直销（通过天猫旗舰店等自营店铺、政企礼品客户、行业机构等销售）、买断式经销（通过代理商、分销商</w:t>
      </w:r>
      <w:r>
        <w:rPr>
          <w:spacing w:val="-67"/>
        </w:rPr>
        <w:t> </w:t>
      </w:r>
      <w:r>
        <w:rPr>
          <w:spacing w:val="-67"/>
        </w:rPr>
      </w:r>
      <w:r>
        <w:rPr/>
        <w:t>在线上网店、线下零售门店和礼品客户等销售）两种模式。</w:t>
      </w:r>
    </w:p>
    <w:p>
      <w:pPr>
        <w:pStyle w:val="BodyText"/>
        <w:spacing w:line="316" w:lineRule="auto" w:before="19"/>
        <w:ind w:left="1494" w:right="1015"/>
        <w:jc w:val="left"/>
      </w:pPr>
      <w:r>
        <w:rPr/>
        <w:t>（三）主要的业绩驱动因素 </w:t>
      </w:r>
      <w:r>
        <w:rPr>
          <w:spacing w:val="-4"/>
        </w:rPr>
        <w:t>运动瘦身和慢病管理领域本身有巨大需求，释放需求驱动公司业绩提升的主要因素包括：优质的产品，产业政策的支持，</w:t>
      </w:r>
    </w:p>
    <w:p>
      <w:pPr>
        <w:pStyle w:val="BodyText"/>
        <w:spacing w:line="316" w:lineRule="auto" w:before="19"/>
        <w:ind w:right="1129"/>
        <w:jc w:val="both"/>
      </w:pPr>
      <w:r>
        <w:rPr>
          <w:spacing w:val="-2"/>
        </w:rPr>
        <w:t>消费升级，合适的商业模式。而找到合适的同产品密切结合的商业模式，切实解决用户、政企和社会在肥胖、健身、高血压</w:t>
      </w:r>
      <w:r>
        <w:rPr>
          <w:spacing w:val="-68"/>
        </w:rPr>
        <w:t> </w:t>
      </w:r>
      <w:r>
        <w:rPr>
          <w:spacing w:val="-68"/>
        </w:rPr>
      </w:r>
      <w:r>
        <w:rPr/>
        <w:t>高血糖等慢性病管理上的痛点问题，是核心所在。</w:t>
      </w:r>
    </w:p>
    <w:p>
      <w:pPr>
        <w:spacing w:line="240" w:lineRule="auto" w:before="10"/>
        <w:rPr>
          <w:rFonts w:ascii="宋体" w:hAnsi="宋体" w:cs="宋体" w:eastAsia="宋体" w:hint="default"/>
          <w:sz w:val="13"/>
          <w:szCs w:val="13"/>
        </w:rPr>
      </w:pPr>
    </w:p>
    <w:p>
      <w:pPr>
        <w:pStyle w:val="Heading6"/>
        <w:spacing w:line="240" w:lineRule="auto"/>
        <w:ind w:left="1134" w:right="0"/>
        <w:jc w:val="both"/>
        <w:rPr>
          <w:b w:val="0"/>
          <w:bCs w:val="0"/>
        </w:rPr>
      </w:pPr>
      <w:r>
        <w:rPr/>
        <w:t>二、公司所属行业的发展阶段、周期性特点及公司所处的行业地位</w:t>
      </w:r>
      <w:r>
        <w:rPr>
          <w:b w:val="0"/>
          <w:bCs w:val="0"/>
        </w:rPr>
      </w:r>
    </w:p>
    <w:p>
      <w:pPr>
        <w:spacing w:line="240" w:lineRule="auto" w:before="12"/>
        <w:rPr>
          <w:rFonts w:ascii="宋体" w:hAnsi="宋体" w:cs="宋体" w:eastAsia="宋体" w:hint="default"/>
          <w:b/>
          <w:bCs/>
          <w:sz w:val="17"/>
          <w:szCs w:val="17"/>
        </w:rPr>
      </w:pPr>
    </w:p>
    <w:p>
      <w:pPr>
        <w:pStyle w:val="BodyText"/>
        <w:spacing w:line="316" w:lineRule="auto"/>
        <w:ind w:left="1493" w:right="1128"/>
        <w:jc w:val="left"/>
        <w:rPr>
          <w:rFonts w:ascii="宋体" w:hAnsi="宋体" w:cs="宋体" w:eastAsia="宋体" w:hint="default"/>
        </w:rPr>
      </w:pPr>
      <w:r>
        <w:rPr/>
        <w:t>（一）公司所属行业的发展阶段、周期性特点 </w:t>
      </w:r>
      <w:r>
        <w:rPr>
          <w:spacing w:val="-5"/>
        </w:rPr>
        <w:t>随着我国人口老龄化以及国家相关产业政策的支持，医疗器械市场的规模正在不断扩大。根据国家食药监总局数据，</w:t>
      </w:r>
      <w:r>
        <w:rPr>
          <w:rFonts w:ascii="宋体" w:hAnsi="宋体" w:cs="宋体" w:eastAsia="宋体" w:hint="default"/>
          <w:spacing w:val="-5"/>
        </w:rPr>
        <w:t>2017</w:t>
      </w:r>
    </w:p>
    <w:p>
      <w:pPr>
        <w:pStyle w:val="BodyText"/>
        <w:spacing w:line="316" w:lineRule="auto" w:before="19"/>
        <w:ind w:left="1133" w:right="1129"/>
        <w:jc w:val="both"/>
      </w:pPr>
      <w:r>
        <w:rPr>
          <w:spacing w:val="6"/>
        </w:rPr>
        <w:t>年医疗器械市场延续了近几年的高增长趋势。</w:t>
      </w:r>
      <w:r>
        <w:rPr>
          <w:rFonts w:ascii="宋体" w:hAnsi="宋体" w:cs="宋体" w:eastAsia="宋体" w:hint="default"/>
          <w:spacing w:val="6"/>
        </w:rPr>
        <w:t>2011-2016</w:t>
      </w:r>
      <w:r>
        <w:rPr>
          <w:spacing w:val="6"/>
        </w:rPr>
        <w:t>年中国医疗技术与医疗器械行业收入的年平均复合增长率高达</w:t>
      </w:r>
      <w:r>
        <w:rPr>
          <w:spacing w:val="-69"/>
        </w:rPr>
        <w:t> </w:t>
      </w:r>
      <w:r>
        <w:rPr>
          <w:spacing w:val="-69"/>
        </w:rPr>
      </w:r>
      <w:r>
        <w:rPr>
          <w:rFonts w:ascii="宋体" w:hAnsi="宋体" w:cs="宋体" w:eastAsia="宋体" w:hint="default"/>
        </w:rPr>
        <w:t>20.7%</w:t>
      </w:r>
      <w:r>
        <w:rPr/>
        <w:t>，</w:t>
      </w:r>
      <w:r>
        <w:rPr>
          <w:rFonts w:ascii="宋体" w:hAnsi="宋体" w:cs="宋体" w:eastAsia="宋体" w:hint="default"/>
        </w:rPr>
        <w:t>2016</w:t>
      </w:r>
      <w:r>
        <w:rPr/>
        <w:t>年中国医疗器械市场规模约</w:t>
      </w:r>
      <w:r>
        <w:rPr>
          <w:rFonts w:ascii="宋体" w:hAnsi="宋体" w:cs="宋体" w:eastAsia="宋体" w:hint="default"/>
        </w:rPr>
        <w:t>3700</w:t>
      </w:r>
      <w:r>
        <w:rPr/>
        <w:t>亿元，预计</w:t>
      </w:r>
      <w:r>
        <w:rPr>
          <w:rFonts w:ascii="宋体" w:hAnsi="宋体" w:cs="宋体" w:eastAsia="宋体" w:hint="default"/>
        </w:rPr>
        <w:t>2019</w:t>
      </w:r>
      <w:r>
        <w:rPr/>
        <w:t>年市场规模将达到</w:t>
      </w:r>
      <w:r>
        <w:rPr>
          <w:rFonts w:ascii="宋体" w:hAnsi="宋体" w:cs="宋体" w:eastAsia="宋体" w:hint="default"/>
        </w:rPr>
        <w:t>6000</w:t>
      </w:r>
      <w:r>
        <w:rPr/>
        <w:t>亿元左右。根据《“健康中国</w:t>
      </w:r>
      <w:r>
        <w:rPr>
          <w:rFonts w:ascii="宋体" w:hAnsi="宋体" w:cs="宋体" w:eastAsia="宋体" w:hint="default"/>
        </w:rPr>
        <w:t>2030</w:t>
      </w:r>
      <w:r>
        <w:rPr/>
        <w:t>”规</w:t>
      </w:r>
      <w:r>
        <w:rPr>
          <w:spacing w:val="-83"/>
        </w:rPr>
        <w:t> </w:t>
      </w:r>
      <w:r>
        <w:rPr/>
        <w:t>划纲要》，规划了健康中国的战略目标和重要指标，其中预计我国医疗健康服务业总规模在</w:t>
      </w:r>
      <w:r>
        <w:rPr>
          <w:rFonts w:ascii="宋体" w:hAnsi="宋体" w:cs="宋体" w:eastAsia="宋体" w:hint="default"/>
        </w:rPr>
        <w:t>2020</w:t>
      </w:r>
      <w:r>
        <w:rPr/>
        <w:t>年超过</w:t>
      </w:r>
      <w:r>
        <w:rPr>
          <w:rFonts w:ascii="宋体" w:hAnsi="宋体" w:cs="宋体" w:eastAsia="宋体" w:hint="default"/>
        </w:rPr>
        <w:t>8</w:t>
      </w:r>
      <w:r>
        <w:rPr/>
        <w:t>万亿，在</w:t>
      </w:r>
      <w:r>
        <w:rPr>
          <w:rFonts w:ascii="宋体" w:hAnsi="宋体" w:cs="宋体" w:eastAsia="宋体" w:hint="default"/>
        </w:rPr>
        <w:t>2030</w:t>
      </w:r>
      <w:r>
        <w:rPr/>
        <w:t>年达</w:t>
      </w:r>
      <w:r>
        <w:rPr>
          <w:spacing w:val="-82"/>
        </w:rPr>
        <w:t> </w:t>
      </w:r>
      <w:r>
        <w:rPr/>
        <w:t>到</w:t>
      </w:r>
      <w:r>
        <w:rPr>
          <w:rFonts w:ascii="宋体" w:hAnsi="宋体" w:cs="宋体" w:eastAsia="宋体" w:hint="default"/>
        </w:rPr>
        <w:t>16</w:t>
      </w:r>
      <w:r>
        <w:rPr/>
        <w:t>万亿元。市场空间巨大，增速显著，为企业提供了非常良好的发展机遇和外部市场环境。</w:t>
      </w:r>
    </w:p>
    <w:p>
      <w:pPr>
        <w:pStyle w:val="BodyText"/>
        <w:spacing w:line="316" w:lineRule="auto" w:before="19"/>
        <w:ind w:left="1133" w:right="1129" w:firstLine="360"/>
        <w:jc w:val="both"/>
      </w:pPr>
      <w:r>
        <w:rPr>
          <w:spacing w:val="-2"/>
        </w:rPr>
        <w:t>根据中国医疗器械行业协会统计数据，在行业政策大力支持、人口老龄化加速、国民保健意识加强、家庭医疗消费能力</w:t>
      </w:r>
      <w:r>
        <w:rPr/>
        <w:t> </w:t>
      </w:r>
      <w:r>
        <w:rPr>
          <w:spacing w:val="-2"/>
        </w:rPr>
        <w:t>的提升以及自主研发技术水平的提高等背景下，我国家用医疗器械市场需求规模持续高速增长。中国家用医疗器械行业是医</w:t>
      </w:r>
      <w:r>
        <w:rPr>
          <w:spacing w:val="-64"/>
        </w:rPr>
        <w:t> </w:t>
      </w:r>
      <w:r>
        <w:rPr>
          <w:spacing w:val="-64"/>
        </w:rPr>
      </w:r>
      <w:r>
        <w:rPr>
          <w:spacing w:val="-2"/>
        </w:rPr>
        <w:t>疗器械领域中增长最快的子行业之一，居民消费升级是直接的推动力，制氧机、电子体温计、血压计、血糖仪、疾病监控系</w:t>
      </w:r>
      <w:r>
        <w:rPr>
          <w:spacing w:val="-68"/>
        </w:rPr>
        <w:t> </w:t>
      </w:r>
      <w:r>
        <w:rPr>
          <w:spacing w:val="-68"/>
        </w:rPr>
      </w:r>
      <w:r>
        <w:rPr/>
        <w:t>统等便携式医疗设备进入越来越多的家庭。</w:t>
      </w:r>
      <w:r>
        <w:rPr>
          <w:rFonts w:ascii="宋体" w:hAnsi="宋体" w:cs="宋体" w:eastAsia="宋体" w:hint="default"/>
        </w:rPr>
        <w:t>2014</w:t>
      </w:r>
      <w:r>
        <w:rPr/>
        <w:t>年，我国家用医疗器械市场规模是</w:t>
      </w:r>
      <w:r>
        <w:rPr>
          <w:rFonts w:ascii="宋体" w:hAnsi="宋体" w:cs="宋体" w:eastAsia="宋体" w:hint="default"/>
        </w:rPr>
        <w:t>357.8</w:t>
      </w:r>
      <w:r>
        <w:rPr/>
        <w:t>亿元；</w:t>
      </w:r>
      <w:r>
        <w:rPr>
          <w:rFonts w:ascii="宋体" w:hAnsi="宋体" w:cs="宋体" w:eastAsia="宋体" w:hint="default"/>
        </w:rPr>
        <w:t>2015</w:t>
      </w:r>
      <w:r>
        <w:rPr/>
        <w:t>年，我国家用医疗器械</w:t>
      </w:r>
    </w:p>
    <w:p>
      <w:pPr>
        <w:spacing w:after="0" w:line="316" w:lineRule="auto"/>
        <w:jc w:val="both"/>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left="1133" w:right="1015"/>
        <w:jc w:val="left"/>
      </w:pPr>
      <w:r>
        <w:rPr>
          <w:spacing w:val="-2"/>
        </w:rPr>
        <w:t>的市场规模达到</w:t>
      </w:r>
      <w:r>
        <w:rPr>
          <w:rFonts w:ascii="宋体" w:hAnsi="宋体" w:cs="宋体" w:eastAsia="宋体" w:hint="default"/>
          <w:spacing w:val="-2"/>
        </w:rPr>
        <w:t>431.2</w:t>
      </w:r>
      <w:r>
        <w:rPr>
          <w:spacing w:val="-2"/>
        </w:rPr>
        <w:t>亿元，国内市场家用医疗器械提升空间还很大，预计未来几年将继续维持</w:t>
      </w:r>
      <w:r>
        <w:rPr>
          <w:rFonts w:ascii="宋体" w:hAnsi="宋体" w:cs="宋体" w:eastAsia="宋体" w:hint="default"/>
          <w:spacing w:val="-2"/>
        </w:rPr>
        <w:t>17%</w:t>
      </w:r>
      <w:r>
        <w:rPr>
          <w:spacing w:val="-2"/>
        </w:rPr>
        <w:t>以上的年增长率。到</w:t>
      </w:r>
      <w:r>
        <w:rPr>
          <w:rFonts w:ascii="宋体" w:hAnsi="宋体" w:cs="宋体" w:eastAsia="宋体" w:hint="default"/>
          <w:spacing w:val="-2"/>
        </w:rPr>
        <w:t>2021</w:t>
      </w:r>
      <w:r>
        <w:rPr>
          <w:rFonts w:ascii="宋体" w:hAnsi="宋体" w:cs="宋体" w:eastAsia="宋体" w:hint="default"/>
          <w:spacing w:val="-54"/>
        </w:rPr>
        <w:t> </w:t>
      </w:r>
      <w:r>
        <w:rPr/>
        <w:t>年中国家用医疗器械行业市场规模将达到</w:t>
      </w:r>
      <w:r>
        <w:rPr>
          <w:rFonts w:ascii="宋体" w:hAnsi="宋体" w:cs="宋体" w:eastAsia="宋体" w:hint="default"/>
        </w:rPr>
        <w:t>1,112.6</w:t>
      </w:r>
      <w:r>
        <w:rPr/>
        <w:t>亿元。</w:t>
      </w:r>
    </w:p>
    <w:p>
      <w:pPr>
        <w:pStyle w:val="BodyText"/>
        <w:spacing w:line="240" w:lineRule="auto" w:before="19"/>
        <w:ind w:left="1494" w:right="1015"/>
        <w:jc w:val="left"/>
      </w:pPr>
      <w:r>
        <w:rPr/>
        <w:t>医疗器械行业受宏观经济环境的影响相对较小，不具有明显的周期性特点。</w:t>
      </w:r>
    </w:p>
    <w:p>
      <w:pPr>
        <w:pStyle w:val="BodyText"/>
        <w:spacing w:line="319" w:lineRule="auto" w:before="76"/>
        <w:ind w:left="1493" w:right="1123"/>
        <w:jc w:val="left"/>
      </w:pPr>
      <w:r>
        <w:rPr/>
        <w:t>（二）公司所处的行业地位 在海外，公司主要以医疗健康电子产品</w:t>
      </w:r>
      <w:r>
        <w:rPr>
          <w:rFonts w:ascii="宋体" w:hAnsi="宋体" w:cs="宋体" w:eastAsia="宋体" w:hint="default"/>
        </w:rPr>
        <w:t>ODM</w:t>
      </w:r>
      <w:r>
        <w:rPr/>
        <w:t>贴牌生产为主，目前产品主要包括电子血压计、脂肪测量仪、电子健康秤、</w:t>
      </w:r>
    </w:p>
    <w:p>
      <w:pPr>
        <w:pStyle w:val="BodyText"/>
        <w:spacing w:line="316" w:lineRule="auto" w:before="17"/>
        <w:ind w:left="1133" w:right="1033"/>
        <w:jc w:val="left"/>
      </w:pPr>
      <w:r>
        <w:rPr/>
        <w:t>可穿戴运动手环，行业发展模式比较成熟，产品需求稳定，无明显周期性。依托公司技术实力，公司定位中高端，为博朗、 伟伦、飞利浦、</w:t>
      </w:r>
      <w:r>
        <w:rPr>
          <w:rFonts w:ascii="宋体" w:hAnsi="宋体" w:cs="宋体" w:eastAsia="宋体" w:hint="default"/>
        </w:rPr>
        <w:t>WITHINGS </w:t>
      </w:r>
      <w:r>
        <w:rPr/>
        <w:t>等众多知名品牌的合作厂商。</w:t>
      </w:r>
    </w:p>
    <w:p>
      <w:pPr>
        <w:pStyle w:val="BodyText"/>
        <w:spacing w:line="316" w:lineRule="auto" w:before="19"/>
        <w:ind w:right="1032" w:firstLine="360"/>
        <w:jc w:val="left"/>
      </w:pPr>
      <w:r>
        <w:rPr>
          <w:spacing w:val="-2"/>
        </w:rPr>
        <w:t>在国内，公司定位智能健康医疗领域，为运动瘦身和慢病管理提供软硬件一体化的解决方案。该领域跨越医疗器械、智</w:t>
      </w:r>
      <w:r>
        <w:rPr/>
        <w:t> </w:t>
      </w:r>
      <w:r>
        <w:rPr>
          <w:spacing w:val="-2"/>
        </w:rPr>
        <w:t>能可穿戴设备、互联网等多个行业，目前还处于初级阶段。巨大的市场需求和国家产业政策的大力支持，加之人民群众对身</w:t>
      </w:r>
      <w:r>
        <w:rPr>
          <w:spacing w:val="-66"/>
        </w:rPr>
        <w:t> </w:t>
      </w:r>
      <w:r>
        <w:rPr>
          <w:spacing w:val="-66"/>
        </w:rPr>
      </w:r>
      <w:r>
        <w:rPr>
          <w:spacing w:val="-2"/>
        </w:rPr>
        <w:t>体健康和慢病管理的刚性需求，可以预见该领域不会有明显的周期性。公司的智能可穿戴手环产品、智能电子血压计、智能</w:t>
      </w:r>
      <w:r>
        <w:rPr>
          <w:spacing w:val="-66"/>
        </w:rPr>
        <w:t> </w:t>
      </w:r>
      <w:r>
        <w:rPr>
          <w:spacing w:val="-66"/>
        </w:rPr>
      </w:r>
      <w:r>
        <w:rPr/>
        <w:t>脂肪测量仪、智能体重秤产品，均处于行业领先地位。在智能健康医疗领域，单一硬件采集数据和提供的服务会非常有限， 而公司产品跨越多品类，可以形成合力，在国内市场上处于领先地位。</w:t>
      </w:r>
    </w:p>
    <w:p>
      <w:pPr>
        <w:spacing w:line="240" w:lineRule="auto" w:before="10"/>
        <w:rPr>
          <w:rFonts w:ascii="宋体" w:hAnsi="宋体" w:cs="宋体" w:eastAsia="宋体" w:hint="default"/>
          <w:sz w:val="20"/>
          <w:szCs w:val="20"/>
        </w:rPr>
      </w:pPr>
    </w:p>
    <w:p>
      <w:pPr>
        <w:pStyle w:val="Heading2"/>
        <w:spacing w:line="240" w:lineRule="auto"/>
        <w:ind w:left="1133" w:right="1015"/>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5"/>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052"/>
        <w:gridCol w:w="6517"/>
      </w:tblGrid>
      <w:tr>
        <w:trPr>
          <w:trHeight w:val="76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主要因公司报告期内在建工程东利</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7-8</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号厂房工程、民众立体仓库工程、东利</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号厂房工程结转固定资产所致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主要因公司报告期内向美国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Ambiq</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Micro,Inc.</w:t>
            </w:r>
            <w:r>
              <w:rPr>
                <w:rFonts w:ascii="宋体" w:hAnsi="宋体" w:cs="宋体" w:eastAsia="宋体" w:hint="default"/>
                <w:sz w:val="18"/>
                <w:szCs w:val="18"/>
              </w:rPr>
              <w:t>公司投资所致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2"/>
              <w:jc w:val="left"/>
              <w:rPr>
                <w:rFonts w:ascii="宋体" w:hAnsi="宋体" w:cs="宋体" w:eastAsia="宋体" w:hint="default"/>
                <w:sz w:val="18"/>
                <w:szCs w:val="18"/>
              </w:rPr>
            </w:pPr>
            <w:r>
              <w:rPr>
                <w:rFonts w:ascii="宋体" w:hAnsi="宋体" w:cs="宋体" w:eastAsia="宋体" w:hint="default"/>
                <w:sz w:val="18"/>
                <w:szCs w:val="18"/>
              </w:rPr>
              <w:t>主要因公司报告期内收购深圳市瑞康宏业科技开发有限公司部分股权，导致在合 并报表日，合并成本超过购买日可辨认资产、负债公允价值所致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3"/>
              <w:jc w:val="left"/>
              <w:rPr>
                <w:rFonts w:ascii="宋体" w:hAnsi="宋体" w:cs="宋体" w:eastAsia="宋体" w:hint="default"/>
                <w:sz w:val="18"/>
                <w:szCs w:val="18"/>
              </w:rPr>
            </w:pPr>
            <w:r>
              <w:rPr>
                <w:rFonts w:ascii="宋体" w:hAnsi="宋体" w:cs="宋体" w:eastAsia="宋体" w:hint="default"/>
                <w:sz w:val="18"/>
                <w:szCs w:val="18"/>
              </w:rPr>
              <w:t>主要因公司报告期内聘请运动手环品牌代言人及相关费用、库珀有氧大健康战略 合作和品牌授权等费用所致</w:t>
            </w:r>
          </w:p>
        </w:tc>
      </w:tr>
    </w:tbl>
    <w:p>
      <w:pPr>
        <w:spacing w:line="240" w:lineRule="auto" w:before="2"/>
        <w:rPr>
          <w:rFonts w:ascii="宋体" w:hAnsi="宋体" w:cs="宋体" w:eastAsia="宋体" w:hint="default"/>
          <w:b/>
          <w:bCs/>
          <w:sz w:val="19"/>
          <w:szCs w:val="19"/>
        </w:rPr>
      </w:pPr>
    </w:p>
    <w:p>
      <w:pPr>
        <w:pStyle w:val="Heading3"/>
        <w:spacing w:line="240" w:lineRule="auto" w:before="35"/>
        <w:ind w:right="1015"/>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15"/>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1015"/>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133" w:right="7693"/>
        <w:jc w:val="left"/>
      </w:pPr>
      <w:r>
        <w:rPr/>
        <w:t>公司是否需要遵守特殊行业的披露要求 是</w:t>
      </w:r>
    </w:p>
    <w:p>
      <w:pPr>
        <w:spacing w:line="477" w:lineRule="auto" w:before="26"/>
        <w:ind w:left="1133" w:right="6867" w:firstLine="0"/>
        <w:jc w:val="left"/>
        <w:rPr>
          <w:rFonts w:ascii="宋体" w:hAnsi="宋体" w:cs="宋体" w:eastAsia="宋体" w:hint="default"/>
          <w:sz w:val="18"/>
          <w:szCs w:val="18"/>
        </w:rPr>
      </w:pPr>
      <w:r>
        <w:rPr>
          <w:rFonts w:ascii="宋体" w:hAnsi="宋体" w:cs="宋体" w:eastAsia="宋体" w:hint="default"/>
          <w:sz w:val="18"/>
          <w:szCs w:val="18"/>
        </w:rPr>
        <w:t>医疗器械业 </w:t>
      </w:r>
      <w:r>
        <w:rPr>
          <w:rFonts w:ascii="宋体" w:hAnsi="宋体" w:cs="宋体" w:eastAsia="宋体" w:hint="default"/>
          <w:b/>
          <w:bCs/>
          <w:sz w:val="18"/>
          <w:szCs w:val="18"/>
        </w:rPr>
        <w:t>1</w:t>
      </w:r>
      <w:r>
        <w:rPr>
          <w:rFonts w:ascii="宋体" w:hAnsi="宋体" w:cs="宋体" w:eastAsia="宋体" w:hint="default"/>
          <w:b/>
          <w:bCs/>
          <w:sz w:val="18"/>
          <w:szCs w:val="18"/>
        </w:rPr>
        <w:t>、对行业和技术发展趋势的敏锐感知和应变能力</w:t>
      </w:r>
      <w:r>
        <w:rPr>
          <w:rFonts w:ascii="宋体" w:hAnsi="宋体" w:cs="宋体" w:eastAsia="宋体" w:hint="default"/>
          <w:sz w:val="18"/>
          <w:szCs w:val="18"/>
        </w:rPr>
      </w:r>
    </w:p>
    <w:p>
      <w:pPr>
        <w:pStyle w:val="BodyText"/>
        <w:spacing w:line="316" w:lineRule="auto" w:before="56"/>
        <w:ind w:left="1133" w:right="1131" w:firstLine="300"/>
        <w:jc w:val="both"/>
      </w:pPr>
      <w:r>
        <w:rPr>
          <w:spacing w:val="-1"/>
        </w:rPr>
        <w:t>公司一直专注于健康医疗行业，公司管理层具备对行业和技术发展趋势敏锐的感知能力，并提前作出预判，引领公司发</w:t>
      </w:r>
      <w:r>
        <w:rPr/>
        <w:t> </w:t>
      </w:r>
      <w:r>
        <w:rPr>
          <w:spacing w:val="-2"/>
        </w:rPr>
        <w:t>展方向。公司成立以来，在</w:t>
      </w:r>
      <w:r>
        <w:rPr>
          <w:rFonts w:ascii="宋体" w:hAnsi="宋体" w:cs="宋体" w:eastAsia="宋体" w:hint="default"/>
          <w:spacing w:val="-2"/>
        </w:rPr>
        <w:t>2006</w:t>
      </w:r>
      <w:r>
        <w:rPr>
          <w:spacing w:val="-2"/>
        </w:rPr>
        <w:t>年和</w:t>
      </w:r>
      <w:r>
        <w:rPr>
          <w:rFonts w:ascii="宋体" w:hAnsi="宋体" w:cs="宋体" w:eastAsia="宋体" w:hint="default"/>
          <w:spacing w:val="-2"/>
        </w:rPr>
        <w:t>2011</w:t>
      </w:r>
      <w:r>
        <w:rPr>
          <w:spacing w:val="-2"/>
        </w:rPr>
        <w:t>年公司当时经营处于较好状态时，进行了两次重要转型，实现公司从电子健康产品</w:t>
      </w:r>
      <w:r>
        <w:rPr>
          <w:spacing w:val="-58"/>
        </w:rPr>
        <w:t> </w:t>
      </w:r>
      <w:r>
        <w:rPr>
          <w:spacing w:val="-58"/>
        </w:rPr>
      </w:r>
      <w:r>
        <w:rPr>
          <w:spacing w:val="-2"/>
        </w:rPr>
        <w:t>提供商，向“智能硬件</w:t>
      </w:r>
      <w:r>
        <w:rPr>
          <w:rFonts w:ascii="宋体" w:hAnsi="宋体" w:cs="宋体" w:eastAsia="宋体" w:hint="default"/>
          <w:spacing w:val="-2"/>
        </w:rPr>
        <w:t>+</w:t>
      </w:r>
      <w:r>
        <w:rPr>
          <w:spacing w:val="-2"/>
        </w:rPr>
        <w:t>服务”提供商的转变。多年来，公司通过海外</w:t>
      </w:r>
      <w:r>
        <w:rPr>
          <w:rFonts w:ascii="宋体" w:hAnsi="宋体" w:cs="宋体" w:eastAsia="宋体" w:hint="default"/>
          <w:spacing w:val="-2"/>
        </w:rPr>
        <w:t>ODM</w:t>
      </w:r>
      <w:r>
        <w:rPr>
          <w:spacing w:val="-2"/>
        </w:rPr>
        <w:t>业务积累了大量优质高端客户，公司通过海外优质</w:t>
      </w:r>
      <w:r>
        <w:rPr>
          <w:spacing w:val="-65"/>
        </w:rPr>
        <w:t> </w:t>
      </w:r>
      <w:r>
        <w:rPr>
          <w:spacing w:val="-65"/>
        </w:rPr>
      </w:r>
      <w:r>
        <w:rPr/>
        <w:t>高端客户及时获取海外的行业发展趋势，从而进一步提升公司的敏锐感知和应变能力。</w:t>
      </w:r>
    </w:p>
    <w:p>
      <w:pPr>
        <w:spacing w:after="0" w:line="316" w:lineRule="auto"/>
        <w:jc w:val="both"/>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Heading6"/>
        <w:spacing w:line="240" w:lineRule="auto" w:before="44"/>
        <w:ind w:left="1133" w:right="1015"/>
        <w:jc w:val="left"/>
        <w:rPr>
          <w:b w:val="0"/>
          <w:bCs w:val="0"/>
        </w:rPr>
      </w:pPr>
      <w:r>
        <w:rPr>
          <w:rFonts w:ascii="宋体" w:hAnsi="宋体" w:cs="宋体" w:eastAsia="宋体" w:hint="default"/>
        </w:rPr>
        <w:t>2</w:t>
      </w:r>
      <w:r>
        <w:rPr/>
        <w:t>、研发优势</w:t>
      </w:r>
      <w:r>
        <w:rPr>
          <w:b w:val="0"/>
          <w:bCs w:val="0"/>
        </w:rPr>
      </w:r>
    </w:p>
    <w:p>
      <w:pPr>
        <w:spacing w:line="240" w:lineRule="auto" w:before="11"/>
        <w:rPr>
          <w:rFonts w:ascii="宋体" w:hAnsi="宋体" w:cs="宋体" w:eastAsia="宋体" w:hint="default"/>
          <w:b/>
          <w:bCs/>
          <w:sz w:val="17"/>
          <w:szCs w:val="17"/>
        </w:rPr>
      </w:pPr>
    </w:p>
    <w:p>
      <w:pPr>
        <w:pStyle w:val="BodyText"/>
        <w:spacing w:line="316" w:lineRule="auto"/>
        <w:ind w:left="1133" w:right="1123" w:firstLine="300"/>
        <w:jc w:val="left"/>
      </w:pPr>
      <w:r>
        <w:rPr/>
        <w:t>公司不仅硬件产品研发能力较强，在软件产品、基础研究和算法、云端和</w:t>
      </w:r>
      <w:r>
        <w:rPr>
          <w:rFonts w:ascii="宋体" w:hAnsi="宋体" w:cs="宋体" w:eastAsia="宋体" w:hint="default"/>
        </w:rPr>
        <w:t>APP</w:t>
      </w:r>
      <w:r>
        <w:rPr/>
        <w:t>等方面的研发能力也在不断的提升。公司 组建了完善的研发体系，涵盖了产品的整个流程，包括产品的工业设计，软硬件产品，基础研究和算法，云端和</w:t>
      </w:r>
      <w:r>
        <w:rPr>
          <w:rFonts w:ascii="宋体" w:hAnsi="宋体" w:cs="宋体" w:eastAsia="宋体" w:hint="default"/>
        </w:rPr>
        <w:t>APP</w:t>
      </w:r>
      <w:r>
        <w:rPr/>
        <w:t>，工程 和认证等方面。截止报告期末公司研发人员共</w:t>
      </w:r>
      <w:r>
        <w:rPr>
          <w:rFonts w:ascii="宋体" w:hAnsi="宋体" w:cs="宋体" w:eastAsia="宋体" w:hint="default"/>
        </w:rPr>
        <w:t>200</w:t>
      </w:r>
      <w:r>
        <w:rPr/>
        <w:t>多人，地域布局中山，深圳，上海、香港和美国，形成了公司特有的产品 </w:t>
      </w:r>
      <w:r>
        <w:rPr>
          <w:spacing w:val="-2"/>
        </w:rPr>
        <w:t>研发流程和模式。公司持续不断地加大研发投入，</w:t>
      </w:r>
      <w:r>
        <w:rPr>
          <w:rFonts w:ascii="宋体" w:hAnsi="宋体" w:cs="宋体" w:eastAsia="宋体" w:hint="default"/>
          <w:spacing w:val="-2"/>
        </w:rPr>
        <w:t>2014</w:t>
      </w:r>
      <w:r>
        <w:rPr>
          <w:spacing w:val="-2"/>
        </w:rPr>
        <w:t>至</w:t>
      </w:r>
      <w:r>
        <w:rPr>
          <w:rFonts w:ascii="宋体" w:hAnsi="宋体" w:cs="宋体" w:eastAsia="宋体" w:hint="default"/>
          <w:spacing w:val="-2"/>
        </w:rPr>
        <w:t>2017</w:t>
      </w:r>
      <w:r>
        <w:rPr>
          <w:spacing w:val="-2"/>
        </w:rPr>
        <w:t>年研发费用投入年均复合增长率达</w:t>
      </w:r>
      <w:r>
        <w:rPr>
          <w:rFonts w:ascii="宋体" w:hAnsi="宋体" w:cs="宋体" w:eastAsia="宋体" w:hint="default"/>
          <w:spacing w:val="-2"/>
        </w:rPr>
        <w:t>41.40%</w:t>
      </w:r>
      <w:r>
        <w:rPr>
          <w:spacing w:val="-2"/>
        </w:rPr>
        <w:t>，</w:t>
      </w:r>
      <w:r>
        <w:rPr>
          <w:rFonts w:ascii="宋体" w:hAnsi="宋体" w:cs="宋体" w:eastAsia="宋体" w:hint="default"/>
          <w:spacing w:val="-2"/>
        </w:rPr>
        <w:t>2017</w:t>
      </w:r>
      <w:r>
        <w:rPr>
          <w:spacing w:val="-2"/>
        </w:rPr>
        <w:t>年研发费用占</w:t>
      </w:r>
      <w:r>
        <w:rPr>
          <w:spacing w:val="-47"/>
        </w:rPr>
        <w:t> </w:t>
      </w:r>
      <w:r>
        <w:rPr>
          <w:spacing w:val="-2"/>
        </w:rPr>
        <w:t>营业收入的</w:t>
      </w:r>
      <w:r>
        <w:rPr>
          <w:rFonts w:ascii="宋体" w:hAnsi="宋体" w:cs="宋体" w:eastAsia="宋体" w:hint="default"/>
          <w:spacing w:val="-2"/>
        </w:rPr>
        <w:t>7.63%</w:t>
      </w:r>
      <w:r>
        <w:rPr>
          <w:spacing w:val="-2"/>
        </w:rPr>
        <w:t>，截止报告期末公司共取得软件著作权</w:t>
      </w:r>
      <w:r>
        <w:rPr>
          <w:rFonts w:ascii="宋体" w:hAnsi="宋体" w:cs="宋体" w:eastAsia="宋体" w:hint="default"/>
          <w:spacing w:val="-2"/>
        </w:rPr>
        <w:t>20</w:t>
      </w:r>
      <w:r>
        <w:rPr>
          <w:spacing w:val="-2"/>
        </w:rPr>
        <w:t>项，专利</w:t>
      </w:r>
      <w:r>
        <w:rPr>
          <w:rFonts w:ascii="宋体" w:hAnsi="宋体" w:cs="宋体" w:eastAsia="宋体" w:hint="default"/>
          <w:spacing w:val="-2"/>
        </w:rPr>
        <w:t>216</w:t>
      </w:r>
      <w:r>
        <w:rPr>
          <w:spacing w:val="-2"/>
        </w:rPr>
        <w:t>项，其中发明专利</w:t>
      </w:r>
      <w:r>
        <w:rPr>
          <w:rFonts w:ascii="宋体" w:hAnsi="宋体" w:cs="宋体" w:eastAsia="宋体" w:hint="default"/>
          <w:spacing w:val="-2"/>
        </w:rPr>
        <w:t>31</w:t>
      </w:r>
      <w:r>
        <w:rPr>
          <w:spacing w:val="-2"/>
        </w:rPr>
        <w:t>项。未来公司将进一步加强研发</w:t>
      </w:r>
      <w:r>
        <w:rPr>
          <w:spacing w:val="-55"/>
        </w:rPr>
        <w:t> </w:t>
      </w:r>
      <w:r>
        <w:rPr>
          <w:spacing w:val="-55"/>
        </w:rPr>
      </w:r>
      <w:r>
        <w:rPr/>
        <w:t>投入，保持并增强这一优势。</w:t>
      </w:r>
    </w:p>
    <w:p>
      <w:pPr>
        <w:pStyle w:val="BodyText"/>
        <w:spacing w:line="468" w:lineRule="exact" w:before="12"/>
        <w:ind w:left="1404" w:right="1122" w:hanging="270"/>
        <w:jc w:val="left"/>
      </w:pPr>
      <w:r>
        <w:rPr>
          <w:rFonts w:ascii="宋体" w:hAnsi="宋体" w:cs="宋体" w:eastAsia="宋体" w:hint="default"/>
          <w:b/>
          <w:bCs/>
        </w:rPr>
        <w:t>3</w:t>
      </w:r>
      <w:r>
        <w:rPr>
          <w:rFonts w:ascii="宋体" w:hAnsi="宋体" w:cs="宋体" w:eastAsia="宋体" w:hint="default"/>
          <w:b/>
          <w:bCs/>
        </w:rPr>
        <w:t>、供应链优化</w:t>
      </w:r>
      <w:r>
        <w:rPr>
          <w:rFonts w:ascii="宋体" w:hAnsi="宋体" w:cs="宋体" w:eastAsia="宋体" w:hint="default"/>
          <w:b/>
          <w:bCs/>
          <w:w w:val="99"/>
        </w:rPr>
        <w:t> </w:t>
      </w:r>
      <w:r>
        <w:rPr/>
        <w:t>公司具备专业的医疗级制造能力，并一直与国际领先的医疗器械品牌开展产品合作。公司通过长时间在医疗器械领域的</w:t>
      </w:r>
    </w:p>
    <w:p>
      <w:pPr>
        <w:pStyle w:val="BodyText"/>
        <w:spacing w:line="316" w:lineRule="auto" w:before="8"/>
        <w:ind w:right="1015"/>
        <w:jc w:val="left"/>
      </w:pPr>
      <w:r>
        <w:rPr>
          <w:spacing w:val="-4"/>
        </w:rPr>
        <w:t>积累，形成了高效的供应链体系，集中采购与垂直整合相结合，从而确保了公司产品的品质、成本、快速响应、新技术导入。</w:t>
      </w:r>
      <w:r>
        <w:rPr>
          <w:spacing w:val="-44"/>
        </w:rPr>
        <w:t> </w:t>
      </w:r>
      <w:r>
        <w:rPr>
          <w:spacing w:val="-44"/>
        </w:rPr>
      </w:r>
      <w:r>
        <w:rPr>
          <w:spacing w:val="-2"/>
        </w:rPr>
        <w:t>公司会进一步加强供应链能力的建设，实施专业化分工，与核心供应商形成多赢的战略合作伙伴关系，进一步加强公司在行</w:t>
      </w:r>
      <w:r>
        <w:rPr>
          <w:spacing w:val="-66"/>
        </w:rPr>
        <w:t> </w:t>
      </w:r>
      <w:r>
        <w:rPr>
          <w:spacing w:val="-66"/>
        </w:rPr>
      </w:r>
      <w:r>
        <w:rPr/>
        <w:t>业的引导地位。</w:t>
      </w:r>
    </w:p>
    <w:p>
      <w:pPr>
        <w:pStyle w:val="Heading6"/>
        <w:spacing w:line="240" w:lineRule="auto" w:before="19"/>
        <w:ind w:left="1133" w:right="1015"/>
        <w:jc w:val="left"/>
        <w:rPr>
          <w:b w:val="0"/>
          <w:bCs w:val="0"/>
        </w:rPr>
      </w:pPr>
      <w:r>
        <w:rPr>
          <w:rFonts w:ascii="宋体" w:hAnsi="宋体" w:cs="宋体" w:eastAsia="宋体" w:hint="default"/>
        </w:rPr>
        <w:t>4</w:t>
      </w:r>
      <w:r>
        <w:rPr/>
        <w:t>、协同优势</w:t>
      </w:r>
      <w:r>
        <w:rPr>
          <w:b w:val="0"/>
          <w:bCs w:val="0"/>
        </w:rPr>
      </w:r>
    </w:p>
    <w:p>
      <w:pPr>
        <w:pStyle w:val="BodyText"/>
        <w:spacing w:line="316" w:lineRule="auto" w:before="76"/>
        <w:ind w:right="1131" w:firstLine="300"/>
        <w:jc w:val="both"/>
      </w:pPr>
      <w:r>
        <w:rPr>
          <w:spacing w:val="-1"/>
        </w:rPr>
        <w:t>公司一直专注于家庭健康管理事业，在家庭健康管理方面具体丰富的经验。报告期内，公司投资了与公司主营业务相关</w:t>
      </w:r>
      <w:r>
        <w:rPr/>
        <w:t> 的</w:t>
      </w:r>
      <w:r>
        <w:rPr>
          <w:rFonts w:ascii="宋体" w:hAnsi="宋体" w:cs="宋体" w:eastAsia="宋体" w:hint="default"/>
        </w:rPr>
        <w:t>Heuristic Capital Partners I, LP</w:t>
      </w:r>
      <w:r>
        <w:rPr/>
        <w:t>、</w:t>
      </w:r>
      <w:r>
        <w:rPr>
          <w:rFonts w:ascii="宋体" w:hAnsi="宋体" w:cs="宋体" w:eastAsia="宋体" w:hint="default"/>
        </w:rPr>
        <w:t>Ambiq</w:t>
      </w:r>
      <w:r>
        <w:rPr>
          <w:rFonts w:ascii="宋体" w:hAnsi="宋体" w:cs="宋体" w:eastAsia="宋体" w:hint="default"/>
          <w:spacing w:val="6"/>
        </w:rPr>
        <w:t> </w:t>
      </w:r>
      <w:r>
        <w:rPr>
          <w:rFonts w:ascii="宋体" w:hAnsi="宋体" w:cs="宋体" w:eastAsia="宋体" w:hint="default"/>
        </w:rPr>
        <w:t>Micro</w:t>
      </w:r>
      <w:r>
        <w:rPr/>
        <w:t>，</w:t>
      </w:r>
      <w:r>
        <w:rPr>
          <w:rFonts w:ascii="宋体" w:hAnsi="宋体" w:cs="宋体" w:eastAsia="宋体" w:hint="default"/>
        </w:rPr>
        <w:t>Inc.</w:t>
      </w:r>
      <w:r>
        <w:rPr/>
        <w:t>和深圳市瑞康宏业科技开发有限公司，同时投资设立医疗产业 </w:t>
      </w:r>
      <w:r>
        <w:rPr>
          <w:spacing w:val="-2"/>
        </w:rPr>
        <w:t>投资基金。公司以对外投资和设立医疗产业投资的外延式发展方式，不仅可以利用资源优势进行业务整合，还可以充分发挥</w:t>
      </w:r>
      <w:r>
        <w:rPr>
          <w:spacing w:val="-66"/>
        </w:rPr>
        <w:t> </w:t>
      </w:r>
      <w:r>
        <w:rPr>
          <w:spacing w:val="-66"/>
        </w:rPr>
      </w:r>
      <w:r>
        <w:rPr/>
        <w:t>协同作用从而提升公司业务规模和产品竞争力。</w:t>
      </w:r>
    </w:p>
    <w:p>
      <w:pPr>
        <w:spacing w:after="0" w:line="316" w:lineRule="auto"/>
        <w:jc w:val="both"/>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945" w:right="1015"/>
        <w:jc w:val="left"/>
        <w:rPr>
          <w:b w:val="0"/>
          <w:bCs w:val="0"/>
        </w:rPr>
      </w:pPr>
      <w:bookmarkStart w:name="第四节 经营情况讨论与分析" w:id="22"/>
      <w:bookmarkEnd w:id="22"/>
      <w:r>
        <w:rPr>
          <w:b w:val="0"/>
          <w:bCs w:val="0"/>
        </w:rPr>
      </w:r>
      <w:bookmarkStart w:name="_bookmark3"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1015"/>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3" w:right="1015" w:firstLine="360"/>
        <w:jc w:val="left"/>
      </w:pPr>
      <w:r>
        <w:rPr>
          <w:rFonts w:ascii="宋体" w:hAnsi="宋体" w:cs="宋体" w:eastAsia="宋体" w:hint="default"/>
          <w:spacing w:val="-2"/>
        </w:rPr>
        <w:t>2017</w:t>
      </w:r>
      <w:r>
        <w:rPr>
          <w:spacing w:val="-2"/>
        </w:rPr>
        <w:t>年公司以国内市场品牌推广及持续市场开拓为核心，以产品研发为主线，以外延式发展作为手段，公司管理层紧紧</w:t>
      </w:r>
      <w:r>
        <w:rPr/>
        <w:t> 围绕公司发展战略和年度经营计划开展工作。</w:t>
      </w:r>
    </w:p>
    <w:p>
      <w:pPr>
        <w:pStyle w:val="BodyText"/>
        <w:spacing w:line="319" w:lineRule="auto" w:before="55"/>
        <w:ind w:left="1133" w:right="1015" w:firstLine="360"/>
        <w:jc w:val="left"/>
      </w:pPr>
      <w:r>
        <w:rPr>
          <w:rFonts w:ascii="宋体" w:hAnsi="宋体" w:cs="宋体" w:eastAsia="宋体" w:hint="default"/>
        </w:rPr>
        <w:t>2017</w:t>
      </w:r>
      <w:r>
        <w:rPr/>
        <w:t>年公司实现营业收入</w:t>
      </w:r>
      <w:r>
        <w:rPr>
          <w:rFonts w:ascii="宋体" w:hAnsi="宋体" w:cs="宋体" w:eastAsia="宋体" w:hint="default"/>
        </w:rPr>
        <w:t>86,659.03</w:t>
      </w:r>
      <w:r>
        <w:rPr/>
        <w:t>万元，较上年同期增长</w:t>
      </w:r>
      <w:r>
        <w:rPr>
          <w:rFonts w:ascii="宋体" w:hAnsi="宋体" w:cs="宋体" w:eastAsia="宋体" w:hint="default"/>
        </w:rPr>
        <w:t>12.45%</w:t>
      </w:r>
      <w:r>
        <w:rPr/>
        <w:t>，内外销营收均有所增加，主要得益于可穿戴运动手 </w:t>
      </w:r>
      <w:r>
        <w:rPr>
          <w:spacing w:val="2"/>
        </w:rPr>
        <w:t>环和电子血压计产品销售增加；公司实现净利润</w:t>
      </w:r>
      <w:r>
        <w:rPr>
          <w:rFonts w:ascii="宋体" w:hAnsi="宋体" w:cs="宋体" w:eastAsia="宋体" w:hint="default"/>
          <w:spacing w:val="2"/>
        </w:rPr>
        <w:t>1,746.4</w:t>
      </w:r>
      <w:r>
        <w:rPr>
          <w:spacing w:val="2"/>
        </w:rPr>
        <w:t>万元，较上年同期下降</w:t>
      </w:r>
      <w:r>
        <w:rPr>
          <w:rFonts w:ascii="宋体" w:hAnsi="宋体" w:cs="宋体" w:eastAsia="宋体" w:hint="default"/>
          <w:spacing w:val="2"/>
        </w:rPr>
        <w:t>78.31%</w:t>
      </w:r>
      <w:r>
        <w:rPr>
          <w:spacing w:val="2"/>
        </w:rPr>
        <w:t>，实现归属母公司股东的净利润为</w:t>
      </w:r>
      <w:r>
        <w:rPr>
          <w:spacing w:val="-46"/>
        </w:rPr>
        <w:t> </w:t>
      </w:r>
      <w:r>
        <w:rPr>
          <w:spacing w:val="-46"/>
        </w:rPr>
      </w:r>
      <w:r>
        <w:rPr>
          <w:rFonts w:ascii="宋体" w:hAnsi="宋体" w:cs="宋体" w:eastAsia="宋体" w:hint="default"/>
        </w:rPr>
        <w:t>1,784.07</w:t>
      </w:r>
      <w:r>
        <w:rPr/>
        <w:t>万元</w:t>
      </w:r>
      <w:r>
        <w:rPr>
          <w:rFonts w:ascii="宋体" w:hAnsi="宋体" w:cs="宋体" w:eastAsia="宋体" w:hint="default"/>
        </w:rPr>
        <w:t>,</w:t>
      </w:r>
      <w:r>
        <w:rPr/>
        <w:t>较上年同期下降</w:t>
      </w:r>
      <w:r>
        <w:rPr>
          <w:rFonts w:ascii="宋体" w:hAnsi="宋体" w:cs="宋体" w:eastAsia="宋体" w:hint="default"/>
        </w:rPr>
        <w:t>77.84%</w:t>
      </w:r>
      <w:r>
        <w:rPr/>
        <w:t>，主要是由于报告期内毛利率大幅下降，人民币升值对汇兑损失的影响，国内营销渠</w:t>
      </w:r>
      <w:r>
        <w:rPr>
          <w:spacing w:val="-85"/>
        </w:rPr>
        <w:t> </w:t>
      </w:r>
      <w:r>
        <w:rPr>
          <w:spacing w:val="-85"/>
        </w:rPr>
      </w:r>
      <w:r>
        <w:rPr>
          <w:spacing w:val="-2"/>
        </w:rPr>
        <w:t>道建设、广告、品牌推广投入增加以及持续对产品研发的投入。</w:t>
      </w:r>
      <w:r>
        <w:rPr>
          <w:rFonts w:ascii="宋体" w:hAnsi="宋体" w:cs="宋体" w:eastAsia="宋体" w:hint="default"/>
          <w:spacing w:val="-2"/>
        </w:rPr>
        <w:t>2017</w:t>
      </w:r>
      <w:r>
        <w:rPr>
          <w:spacing w:val="-2"/>
        </w:rPr>
        <w:t>年公司研发投入总额为</w:t>
      </w:r>
      <w:r>
        <w:rPr>
          <w:rFonts w:ascii="宋体" w:hAnsi="宋体" w:cs="宋体" w:eastAsia="宋体" w:hint="default"/>
          <w:spacing w:val="-2"/>
        </w:rPr>
        <w:t>6,611.66</w:t>
      </w:r>
      <w:r>
        <w:rPr>
          <w:spacing w:val="-2"/>
        </w:rPr>
        <w:t>万元，占总营收</w:t>
      </w:r>
      <w:r>
        <w:rPr>
          <w:rFonts w:ascii="宋体" w:hAnsi="宋体" w:cs="宋体" w:eastAsia="宋体" w:hint="default"/>
          <w:spacing w:val="-2"/>
        </w:rPr>
        <w:t>7.63%</w:t>
      </w:r>
      <w:r>
        <w:rPr>
          <w:spacing w:val="-2"/>
        </w:rPr>
        <w:t>，</w:t>
      </w:r>
      <w:r>
        <w:rPr>
          <w:spacing w:val="-48"/>
        </w:rPr>
        <w:t> </w:t>
      </w:r>
      <w:r>
        <w:rPr/>
        <w:t>较上年同期增长</w:t>
      </w:r>
      <w:r>
        <w:rPr>
          <w:rFonts w:ascii="宋体" w:hAnsi="宋体" w:cs="宋体" w:eastAsia="宋体" w:hint="default"/>
        </w:rPr>
        <w:t>11.41%</w:t>
      </w:r>
      <w:r>
        <w:rPr/>
        <w:t>。</w:t>
      </w:r>
      <w:r>
        <w:rPr>
          <w:rFonts w:ascii="宋体" w:hAnsi="宋体" w:cs="宋体" w:eastAsia="宋体" w:hint="default"/>
        </w:rPr>
        <w:t>2017</w:t>
      </w:r>
      <w:r>
        <w:rPr/>
        <w:t>年重点开展了以下工作：</w:t>
      </w:r>
    </w:p>
    <w:p>
      <w:pPr>
        <w:pStyle w:val="BodyText"/>
        <w:spacing w:line="357" w:lineRule="auto" w:before="56"/>
        <w:ind w:left="1494" w:right="1122" w:hanging="360"/>
        <w:jc w:val="left"/>
      </w:pPr>
      <w:r>
        <w:rPr>
          <w:rFonts w:ascii="宋体" w:hAnsi="宋体" w:cs="宋体" w:eastAsia="宋体" w:hint="default"/>
        </w:rPr>
        <w:t>1</w:t>
      </w:r>
      <w:r>
        <w:rPr/>
        <w:t>、营业收入保持持续稳步增长。 报告期，外销方面公司通过参加</w:t>
      </w:r>
      <w:r>
        <w:rPr>
          <w:rFonts w:ascii="宋体" w:hAnsi="宋体" w:cs="宋体" w:eastAsia="宋体" w:hint="default"/>
        </w:rPr>
        <w:t>CES</w:t>
      </w:r>
      <w:r>
        <w:rPr/>
        <w:t>、广交会等大型展销会，以及可穿戴手环自有品牌在海外试点等手段；内销方面公</w:t>
      </w:r>
    </w:p>
    <w:p>
      <w:pPr>
        <w:pStyle w:val="BodyText"/>
        <w:spacing w:line="224" w:lineRule="exact"/>
        <w:ind w:left="1133" w:right="1015"/>
        <w:jc w:val="left"/>
      </w:pPr>
      <w:r>
        <w:rPr/>
        <w:t>司通过渠道深耕、广告投入和品牌推广等手段，公司实现营业总收入</w:t>
      </w:r>
      <w:r>
        <w:rPr>
          <w:rFonts w:ascii="宋体" w:hAnsi="宋体" w:cs="宋体" w:eastAsia="宋体" w:hint="default"/>
        </w:rPr>
        <w:t>86,659.03</w:t>
      </w:r>
      <w:r>
        <w:rPr/>
        <w:t>万元，较上年同期增加</w:t>
      </w:r>
      <w:r>
        <w:rPr>
          <w:rFonts w:ascii="宋体" w:hAnsi="宋体" w:cs="宋体" w:eastAsia="宋体" w:hint="default"/>
        </w:rPr>
        <w:t>9,595</w:t>
      </w:r>
      <w:r>
        <w:rPr/>
        <w:t>万元，增长率</w:t>
      </w:r>
    </w:p>
    <w:p>
      <w:pPr>
        <w:pStyle w:val="BodyText"/>
        <w:spacing w:line="319" w:lineRule="auto" w:before="76"/>
        <w:ind w:left="1133" w:right="1015"/>
        <w:jc w:val="left"/>
      </w:pPr>
      <w:r>
        <w:rPr>
          <w:rFonts w:ascii="宋体" w:hAnsi="宋体" w:cs="宋体" w:eastAsia="宋体" w:hint="default"/>
        </w:rPr>
        <w:t>12.45%</w:t>
      </w:r>
      <w:r>
        <w:rPr/>
        <w:t>。其中外销实现营业收入</w:t>
      </w:r>
      <w:r>
        <w:rPr>
          <w:rFonts w:ascii="宋体" w:hAnsi="宋体" w:cs="宋体" w:eastAsia="宋体" w:hint="default"/>
        </w:rPr>
        <w:t>49,345</w:t>
      </w:r>
      <w:r>
        <w:rPr/>
        <w:t>万元，较上年同期增加</w:t>
      </w:r>
      <w:r>
        <w:rPr>
          <w:rFonts w:ascii="宋体" w:hAnsi="宋体" w:cs="宋体" w:eastAsia="宋体" w:hint="default"/>
        </w:rPr>
        <w:t>4,852</w:t>
      </w:r>
      <w:r>
        <w:rPr/>
        <w:t>万元，增长率</w:t>
      </w:r>
      <w:r>
        <w:rPr>
          <w:rFonts w:ascii="宋体" w:hAnsi="宋体" w:cs="宋体" w:eastAsia="宋体" w:hint="default"/>
        </w:rPr>
        <w:t>10.91%</w:t>
      </w:r>
      <w:r>
        <w:rPr/>
        <w:t>；内销营业收入</w:t>
      </w:r>
      <w:r>
        <w:rPr>
          <w:rFonts w:ascii="宋体" w:hAnsi="宋体" w:cs="宋体" w:eastAsia="宋体" w:hint="default"/>
        </w:rPr>
        <w:t>37,314</w:t>
      </w:r>
      <w:r>
        <w:rPr/>
        <w:t>万元，较上</w:t>
      </w:r>
      <w:r>
        <w:rPr>
          <w:spacing w:val="-83"/>
        </w:rPr>
        <w:t> </w:t>
      </w:r>
      <w:r>
        <w:rPr>
          <w:spacing w:val="-83"/>
        </w:rPr>
      </w:r>
      <w:r>
        <w:rPr>
          <w:spacing w:val="-3"/>
        </w:rPr>
        <w:t>年同期增加</w:t>
      </w:r>
      <w:r>
        <w:rPr>
          <w:rFonts w:ascii="宋体" w:hAnsi="宋体" w:cs="宋体" w:eastAsia="宋体" w:hint="default"/>
          <w:spacing w:val="-3"/>
        </w:rPr>
        <w:t>4,742</w:t>
      </w:r>
      <w:r>
        <w:rPr>
          <w:spacing w:val="-3"/>
        </w:rPr>
        <w:t>万元，增长率</w:t>
      </w:r>
      <w:r>
        <w:rPr>
          <w:rFonts w:ascii="宋体" w:hAnsi="宋体" w:cs="宋体" w:eastAsia="宋体" w:hint="default"/>
          <w:spacing w:val="-3"/>
        </w:rPr>
        <w:t>14.56%</w:t>
      </w:r>
      <w:r>
        <w:rPr>
          <w:spacing w:val="-3"/>
        </w:rPr>
        <w:t>。可穿戴运动手环实现营业收入</w:t>
      </w:r>
      <w:r>
        <w:rPr>
          <w:rFonts w:ascii="宋体" w:hAnsi="宋体" w:cs="宋体" w:eastAsia="宋体" w:hint="default"/>
          <w:spacing w:val="-3"/>
        </w:rPr>
        <w:t>33,325</w:t>
      </w:r>
      <w:r>
        <w:rPr>
          <w:spacing w:val="-3"/>
        </w:rPr>
        <w:t>万元</w:t>
      </w:r>
      <w:r>
        <w:rPr>
          <w:rFonts w:ascii="宋体" w:hAnsi="宋体" w:cs="宋体" w:eastAsia="宋体" w:hint="default"/>
          <w:spacing w:val="-3"/>
        </w:rPr>
        <w:t>,</w:t>
      </w:r>
      <w:r>
        <w:rPr>
          <w:spacing w:val="-3"/>
        </w:rPr>
        <w:t>较上年同期增加</w:t>
      </w:r>
      <w:r>
        <w:rPr>
          <w:rFonts w:ascii="宋体" w:hAnsi="宋体" w:cs="宋体" w:eastAsia="宋体" w:hint="default"/>
          <w:spacing w:val="-3"/>
        </w:rPr>
        <w:t>7,634</w:t>
      </w:r>
      <w:r>
        <w:rPr>
          <w:spacing w:val="-3"/>
        </w:rPr>
        <w:t>万元</w:t>
      </w:r>
      <w:r>
        <w:rPr>
          <w:rFonts w:ascii="宋体" w:hAnsi="宋体" w:cs="宋体" w:eastAsia="宋体" w:hint="default"/>
          <w:spacing w:val="-3"/>
        </w:rPr>
        <w:t>,</w:t>
      </w:r>
      <w:r>
        <w:rPr>
          <w:spacing w:val="-3"/>
        </w:rPr>
        <w:t>增长率</w:t>
      </w:r>
      <w:r>
        <w:rPr>
          <w:rFonts w:ascii="宋体" w:hAnsi="宋体" w:cs="宋体" w:eastAsia="宋体" w:hint="default"/>
          <w:spacing w:val="-3"/>
        </w:rPr>
        <w:t>29.71%</w:t>
      </w:r>
      <w:r>
        <w:rPr>
          <w:spacing w:val="-3"/>
        </w:rPr>
        <w:t>；</w:t>
      </w:r>
      <w:r>
        <w:rPr>
          <w:spacing w:val="-54"/>
        </w:rPr>
        <w:t> </w:t>
      </w:r>
      <w:r>
        <w:rPr/>
        <w:t>电子血压计实现营业收入</w:t>
      </w:r>
      <w:r>
        <w:rPr>
          <w:rFonts w:ascii="宋体" w:hAnsi="宋体" w:cs="宋体" w:eastAsia="宋体" w:hint="default"/>
        </w:rPr>
        <w:t>14,387</w:t>
      </w:r>
      <w:r>
        <w:rPr/>
        <w:t>万元</w:t>
      </w:r>
      <w:r>
        <w:rPr>
          <w:rFonts w:ascii="宋体" w:hAnsi="宋体" w:cs="宋体" w:eastAsia="宋体" w:hint="default"/>
        </w:rPr>
        <w:t>,</w:t>
      </w:r>
      <w:r>
        <w:rPr/>
        <w:t>较上年同期增加</w:t>
      </w:r>
      <w:r>
        <w:rPr>
          <w:rFonts w:ascii="宋体" w:hAnsi="宋体" w:cs="宋体" w:eastAsia="宋体" w:hint="default"/>
        </w:rPr>
        <w:t>2,101</w:t>
      </w:r>
      <w:r>
        <w:rPr/>
        <w:t>万元</w:t>
      </w:r>
      <w:r>
        <w:rPr>
          <w:rFonts w:ascii="宋体" w:hAnsi="宋体" w:cs="宋体" w:eastAsia="宋体" w:hint="default"/>
        </w:rPr>
        <w:t>,</w:t>
      </w:r>
      <w:r>
        <w:rPr/>
        <w:t>增长率</w:t>
      </w:r>
      <w:r>
        <w:rPr>
          <w:rFonts w:ascii="宋体" w:hAnsi="宋体" w:cs="宋体" w:eastAsia="宋体" w:hint="default"/>
        </w:rPr>
        <w:t>17.11%</w:t>
      </w:r>
      <w:r>
        <w:rPr/>
        <w:t>。</w:t>
      </w:r>
    </w:p>
    <w:p>
      <w:pPr>
        <w:pStyle w:val="BodyText"/>
        <w:spacing w:line="357" w:lineRule="auto" w:before="56"/>
        <w:ind w:left="1494" w:right="1122" w:hanging="360"/>
        <w:jc w:val="left"/>
      </w:pPr>
      <w:r>
        <w:rPr>
          <w:rFonts w:ascii="宋体" w:hAnsi="宋体" w:cs="宋体" w:eastAsia="宋体" w:hint="default"/>
        </w:rPr>
        <w:t>2</w:t>
      </w:r>
      <w:r>
        <w:rPr/>
        <w:t>、深耕国内销售渠道、品牌建设和推广 国内市场是销售渠道深耕的重点，特别是线下渠道。报告期内，公司一是筹备组建了</w:t>
      </w:r>
      <w:r>
        <w:rPr>
          <w:rFonts w:ascii="宋体" w:hAnsi="宋体" w:cs="宋体" w:eastAsia="宋体" w:hint="default"/>
        </w:rPr>
        <w:t>OTC</w:t>
      </w:r>
      <w:r>
        <w:rPr/>
        <w:t>销售团队，通过经销商主攻连</w:t>
      </w:r>
    </w:p>
    <w:p>
      <w:pPr>
        <w:pStyle w:val="BodyText"/>
        <w:spacing w:line="224" w:lineRule="exact"/>
        <w:ind w:left="1133" w:right="0"/>
        <w:jc w:val="left"/>
      </w:pPr>
      <w:r>
        <w:rPr/>
        <w:t>锁药店渠道；二是大幅扩充原有</w:t>
      </w:r>
      <w:r>
        <w:rPr>
          <w:rFonts w:ascii="宋体" w:hAnsi="宋体" w:cs="宋体" w:eastAsia="宋体" w:hint="default"/>
        </w:rPr>
        <w:t>3C</w:t>
      </w:r>
      <w:r>
        <w:rPr/>
        <w:t>渠道人员，同核心经销商一块深耕渠道，业务覆盖大陆主要省份和主要地级市；三是积极</w:t>
      </w:r>
    </w:p>
    <w:p>
      <w:pPr>
        <w:pStyle w:val="BodyText"/>
        <w:spacing w:line="319" w:lineRule="auto" w:before="76"/>
        <w:ind w:left="1133" w:right="1015"/>
        <w:jc w:val="left"/>
      </w:pPr>
      <w:r>
        <w:rPr>
          <w:spacing w:val="-2"/>
        </w:rPr>
        <w:t>拓展行业客户合作、大客户礼品合作和校园渠道；四是结合公司产品数据互联的特点，报告期内公司加大了拓展产品应用场</w:t>
      </w:r>
      <w:r>
        <w:rPr>
          <w:spacing w:val="-66"/>
        </w:rPr>
        <w:t> </w:t>
      </w:r>
      <w:r>
        <w:rPr>
          <w:spacing w:val="-66"/>
        </w:rPr>
      </w:r>
      <w:r>
        <w:rPr/>
        <w:t>景，从而促进产品销售，实现差异化营销并为渠道提供增值服务。</w:t>
      </w:r>
    </w:p>
    <w:p>
      <w:pPr>
        <w:pStyle w:val="BodyText"/>
        <w:spacing w:line="319" w:lineRule="auto" w:before="56"/>
        <w:ind w:right="1015" w:firstLine="360"/>
        <w:jc w:val="left"/>
      </w:pPr>
      <w:r>
        <w:rPr>
          <w:spacing w:val="-2"/>
        </w:rPr>
        <w:t>公司自有品牌战略实施以来，品牌建设投入较少。报告期内，为提升公司品牌力，公司签约陈伟霆担任运动手环形象代</w:t>
      </w:r>
      <w:r>
        <w:rPr/>
        <w:t> 言人，推出乐心手环</w:t>
      </w:r>
      <w:r>
        <w:rPr>
          <w:rFonts w:ascii="宋体" w:hAnsi="宋体" w:cs="宋体" w:eastAsia="宋体" w:hint="default"/>
        </w:rPr>
        <w:t>ziva </w:t>
      </w:r>
      <w:r>
        <w:rPr/>
        <w:t>陈伟霆特别版，并开展系列宣传推广活动。</w:t>
      </w:r>
    </w:p>
    <w:p>
      <w:pPr>
        <w:pStyle w:val="BodyText"/>
        <w:spacing w:line="357" w:lineRule="auto" w:before="56"/>
        <w:ind w:left="1493" w:right="1015" w:hanging="360"/>
        <w:jc w:val="left"/>
      </w:pPr>
      <w:r>
        <w:rPr>
          <w:rFonts w:ascii="宋体" w:hAnsi="宋体" w:cs="宋体" w:eastAsia="宋体" w:hint="default"/>
        </w:rPr>
        <w:t>3</w:t>
      </w:r>
      <w:r>
        <w:rPr/>
        <w:t>、持续加强研发 </w:t>
      </w:r>
      <w:r>
        <w:rPr>
          <w:spacing w:val="-2"/>
        </w:rPr>
        <w:t>公司一贯以技术见长，并作为公司的核心竞争力之一。公司产品软硬件结合，同时部分产品为医疗器械，产品研发涵盖</w:t>
      </w:r>
    </w:p>
    <w:p>
      <w:pPr>
        <w:pStyle w:val="BodyText"/>
        <w:spacing w:line="224" w:lineRule="exact"/>
        <w:ind w:right="1015"/>
        <w:jc w:val="left"/>
      </w:pPr>
      <w:r>
        <w:rPr/>
        <w:t>算法、方案、设计、结构</w:t>
      </w:r>
      <w:r>
        <w:rPr>
          <w:rFonts w:ascii="宋体" w:hAnsi="宋体" w:cs="宋体" w:eastAsia="宋体" w:hint="default"/>
        </w:rPr>
        <w:t>/</w:t>
      </w:r>
      <w:r>
        <w:rPr/>
        <w:t>电子、</w:t>
      </w:r>
      <w:r>
        <w:rPr>
          <w:rFonts w:ascii="宋体" w:hAnsi="宋体" w:cs="宋体" w:eastAsia="宋体" w:hint="default"/>
        </w:rPr>
        <w:t>APP/</w:t>
      </w:r>
      <w:r>
        <w:rPr/>
        <w:t>云端、认证注册等多个环节。报告期内一、加强新产品、新领域的基础研究和应用，</w:t>
      </w:r>
    </w:p>
    <w:p>
      <w:pPr>
        <w:pStyle w:val="BodyText"/>
        <w:spacing w:line="319" w:lineRule="auto" w:before="76"/>
        <w:ind w:left="1133" w:right="1034"/>
        <w:jc w:val="left"/>
      </w:pPr>
      <w:r>
        <w:rPr>
          <w:spacing w:val="-1"/>
        </w:rPr>
        <w:t>为后续产品化和项目孵化作技术储备；二、推出电子血糖仪、</w:t>
      </w:r>
      <w:r>
        <w:rPr>
          <w:rFonts w:ascii="宋体" w:hAnsi="宋体" w:cs="宋体" w:eastAsia="宋体" w:hint="default"/>
          <w:spacing w:val="-1"/>
        </w:rPr>
        <w:t>ZIVA</w:t>
      </w:r>
      <w:r>
        <w:rPr>
          <w:rFonts w:ascii="宋体" w:hAnsi="宋体" w:cs="宋体" w:eastAsia="宋体" w:hint="default"/>
          <w:spacing w:val="-30"/>
        </w:rPr>
        <w:t> </w:t>
      </w:r>
      <w:r>
        <w:rPr>
          <w:rFonts w:ascii="宋体" w:hAnsi="宋体" w:cs="宋体" w:eastAsia="宋体" w:hint="default"/>
          <w:spacing w:val="-1"/>
        </w:rPr>
        <w:t>Plus</w:t>
      </w:r>
      <w:r>
        <w:rPr>
          <w:spacing w:val="-1"/>
        </w:rPr>
        <w:t>手环、</w:t>
      </w:r>
      <w:r>
        <w:rPr>
          <w:rFonts w:ascii="宋体" w:hAnsi="宋体" w:cs="宋体" w:eastAsia="宋体" w:hint="default"/>
          <w:spacing w:val="-1"/>
        </w:rPr>
        <w:t>NANA-1</w:t>
      </w:r>
      <w:r>
        <w:rPr>
          <w:spacing w:val="-1"/>
        </w:rPr>
        <w:t>脂肪测量仪等新产品并实现销售；三、</w:t>
      </w:r>
      <w:r>
        <w:rPr>
          <w:spacing w:val="-86"/>
        </w:rPr>
        <w:t> </w:t>
      </w:r>
      <w:r>
        <w:rPr>
          <w:spacing w:val="-86"/>
        </w:rPr>
      </w:r>
      <w:r>
        <w:rPr>
          <w:spacing w:val="-2"/>
        </w:rPr>
        <w:t>推出乐心手环软硬件国际版，为自有品牌在海外市场试点作准备；四、现有软硬件产品升级和产品迭代，增强稳定性、可靠</w:t>
      </w:r>
      <w:r>
        <w:rPr>
          <w:spacing w:val="-66"/>
        </w:rPr>
        <w:t> </w:t>
      </w:r>
      <w:r>
        <w:rPr>
          <w:spacing w:val="-66"/>
        </w:rPr>
      </w:r>
      <w:r>
        <w:rPr/>
        <w:t>性，提升用户体验和价值感。</w:t>
      </w:r>
    </w:p>
    <w:p>
      <w:pPr>
        <w:pStyle w:val="BodyText"/>
        <w:spacing w:line="357" w:lineRule="auto" w:before="58"/>
        <w:ind w:left="1494" w:right="1015" w:hanging="360"/>
        <w:jc w:val="left"/>
      </w:pPr>
      <w:r>
        <w:rPr>
          <w:rFonts w:ascii="宋体" w:hAnsi="宋体" w:cs="宋体" w:eastAsia="宋体" w:hint="default"/>
        </w:rPr>
        <w:t>4</w:t>
      </w:r>
      <w:r>
        <w:rPr/>
        <w:t>、积极探索新业务模式</w:t>
      </w:r>
      <w:r>
        <w:rPr>
          <w:rFonts w:ascii="宋体" w:hAnsi="宋体" w:cs="宋体" w:eastAsia="宋体" w:hint="default"/>
        </w:rPr>
        <w:t>,</w:t>
      </w:r>
      <w:r>
        <w:rPr/>
        <w:t>强化慢病管理布局与规划 </w:t>
      </w:r>
      <w:r>
        <w:rPr>
          <w:spacing w:val="-2"/>
        </w:rPr>
        <w:t>报告期，在现有业务正常开展的情况下，公司进一步探索新模式、新方法，寻找商业机会。公司在报告期开展了可穿戴</w:t>
      </w:r>
    </w:p>
    <w:p>
      <w:pPr>
        <w:pStyle w:val="BodyText"/>
        <w:spacing w:line="224" w:lineRule="exact"/>
        <w:ind w:right="0"/>
        <w:jc w:val="left"/>
      </w:pPr>
      <w:r>
        <w:rPr/>
        <w:t>手环自有品牌在海外的试点，目前正稳步推进中。围绕社区慢病管理、全民运动健身、专业运动处方、公共扫码设备应用场</w:t>
      </w:r>
    </w:p>
    <w:p>
      <w:pPr>
        <w:pStyle w:val="BodyText"/>
        <w:spacing w:line="319" w:lineRule="auto" w:before="76"/>
        <w:ind w:right="1015"/>
        <w:jc w:val="left"/>
      </w:pPr>
      <w:r>
        <w:rPr>
          <w:spacing w:val="-2"/>
        </w:rPr>
        <w:t>景等主题的新业务探索均在推进过程中，遍布中山、广州、深圳、新加坡和美国等地，力争寻找可行的业务模式，在试点可</w:t>
      </w:r>
      <w:r>
        <w:rPr>
          <w:spacing w:val="-68"/>
        </w:rPr>
        <w:t> </w:t>
      </w:r>
      <w:r>
        <w:rPr>
          <w:spacing w:val="-68"/>
        </w:rPr>
      </w:r>
      <w:r>
        <w:rPr/>
        <w:t>行的基础上做大做强。</w:t>
      </w:r>
    </w:p>
    <w:p>
      <w:pPr>
        <w:pStyle w:val="BodyText"/>
        <w:spacing w:line="319" w:lineRule="auto" w:before="55"/>
        <w:ind w:left="1133" w:right="1130" w:firstLine="360"/>
        <w:jc w:val="both"/>
      </w:pPr>
      <w:r>
        <w:rPr>
          <w:spacing w:val="-2"/>
        </w:rPr>
        <w:t>报告期内，公司与中山市板芙镇社区卫生服务中心合作开展“互联网</w:t>
      </w:r>
      <w:r>
        <w:rPr>
          <w:rFonts w:ascii="宋体" w:hAnsi="宋体" w:cs="宋体" w:eastAsia="宋体" w:hint="default"/>
          <w:spacing w:val="-2"/>
        </w:rPr>
        <w:t>+</w:t>
      </w:r>
      <w:r>
        <w:rPr>
          <w:spacing w:val="-2"/>
        </w:rPr>
        <w:t>智慧社区慢病管理”项目，利用乐心智能血压计</w:t>
      </w:r>
      <w:r>
        <w:rPr>
          <w:rFonts w:ascii="宋体" w:hAnsi="宋体" w:cs="宋体" w:eastAsia="宋体" w:hint="default"/>
          <w:spacing w:val="-2"/>
        </w:rPr>
        <w:t>+</w:t>
      </w:r>
      <w:r>
        <w:rPr>
          <w:rFonts w:ascii="宋体" w:hAnsi="宋体" w:cs="宋体" w:eastAsia="宋体" w:hint="default"/>
        </w:rPr>
        <w:t> </w:t>
      </w:r>
      <w:r>
        <w:rPr/>
        <w:t>智能系统</w:t>
      </w:r>
      <w:r>
        <w:rPr>
          <w:rFonts w:ascii="宋体" w:hAnsi="宋体" w:cs="宋体" w:eastAsia="宋体" w:hint="default"/>
        </w:rPr>
        <w:t>+</w:t>
      </w:r>
      <w:r>
        <w:rPr/>
        <w:t>人工助理服务的创新管理模式，协助板芙镇的社区医生管理建册在管的高血压患者。截至报告期末，“互联网</w:t>
      </w:r>
      <w:r>
        <w:rPr>
          <w:rFonts w:ascii="宋体" w:hAnsi="宋体" w:cs="宋体" w:eastAsia="宋体" w:hint="default"/>
        </w:rPr>
        <w:t>+</w:t>
      </w:r>
      <w:r>
        <w:rPr>
          <w:rFonts w:ascii="宋体" w:hAnsi="宋体" w:cs="宋体" w:eastAsia="宋体" w:hint="default"/>
          <w:spacing w:val="1"/>
        </w:rPr>
        <w:t> </w:t>
      </w:r>
      <w:r>
        <w:rPr>
          <w:spacing w:val="-2"/>
        </w:rPr>
        <w:t>智慧社区慢病管理”项目为社区卫生服务中心收集了近</w:t>
      </w:r>
      <w:r>
        <w:rPr>
          <w:rFonts w:ascii="宋体" w:hAnsi="宋体" w:cs="宋体" w:eastAsia="宋体" w:hint="default"/>
          <w:spacing w:val="-2"/>
        </w:rPr>
        <w:t>6</w:t>
      </w:r>
      <w:r>
        <w:rPr>
          <w:spacing w:val="-2"/>
        </w:rPr>
        <w:t>万人次的血压测量数据、远程健康宣教近</w:t>
      </w:r>
      <w:r>
        <w:rPr>
          <w:rFonts w:ascii="宋体" w:hAnsi="宋体" w:cs="宋体" w:eastAsia="宋体" w:hint="default"/>
          <w:spacing w:val="-2"/>
        </w:rPr>
        <w:t>5</w:t>
      </w:r>
      <w:r>
        <w:rPr>
          <w:spacing w:val="-2"/>
        </w:rPr>
        <w:t>千人次、成功干预血压异</w:t>
      </w:r>
      <w:r>
        <w:rPr>
          <w:spacing w:val="-64"/>
        </w:rPr>
        <w:t> </w:t>
      </w:r>
      <w:r>
        <w:rPr>
          <w:spacing w:val="-64"/>
        </w:rPr>
      </w:r>
      <w:r>
        <w:rPr/>
        <w:t>常及紧急异常患者合计</w:t>
      </w:r>
      <w:r>
        <w:rPr>
          <w:rFonts w:ascii="宋体" w:hAnsi="宋体" w:cs="宋体" w:eastAsia="宋体" w:hint="default"/>
        </w:rPr>
        <w:t>300</w:t>
      </w:r>
      <w:r>
        <w:rPr/>
        <w:t>余人次，避免了患者走向重症，收到了良好的社会效果。</w:t>
      </w:r>
    </w:p>
    <w:p>
      <w:pPr>
        <w:pStyle w:val="BodyText"/>
        <w:spacing w:line="240" w:lineRule="auto" w:before="55"/>
        <w:ind w:left="1493" w:right="0"/>
        <w:jc w:val="left"/>
      </w:pPr>
      <w:r>
        <w:rPr/>
        <w:t>以及，报告期内，公司与库珀有氧大健康产业有限公司以运动处方、生活方式药物为主的健康管理为共同的经营理念签</w:t>
      </w:r>
    </w:p>
    <w:p>
      <w:pPr>
        <w:spacing w:after="0" w:line="240"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9" w:lineRule="auto" w:before="44"/>
        <w:ind w:left="1133" w:right="1131"/>
        <w:jc w:val="both"/>
      </w:pPr>
      <w:r>
        <w:rPr>
          <w:spacing w:val="-2"/>
        </w:rPr>
        <w:t>署了品牌授权及战略合作协议；公司与胡大一和北京瑰柏科技有限公司就胡大一教授“健康管理五大处方”等知识库体系的</w:t>
      </w:r>
      <w:r>
        <w:rPr>
          <w:spacing w:val="-66"/>
        </w:rPr>
        <w:t> </w:t>
      </w:r>
      <w:r>
        <w:rPr>
          <w:spacing w:val="-66"/>
        </w:rPr>
      </w:r>
      <w:r>
        <w:rPr>
          <w:spacing w:val="-2"/>
        </w:rPr>
        <w:t>物联网平台应用，心血管相关领域的智能健康设备合作等事项签署了战略合作协议。公司与相关单位在慢病管理与运动瘦身</w:t>
      </w:r>
      <w:r>
        <w:rPr>
          <w:spacing w:val="-64"/>
        </w:rPr>
        <w:t> </w:t>
      </w:r>
      <w:r>
        <w:rPr>
          <w:spacing w:val="-64"/>
        </w:rPr>
      </w:r>
      <w:r>
        <w:rPr/>
        <w:t>方面的战略合作，为后续在慢病管理与运动瘦身领域更深一步的发展提供基础。</w:t>
      </w:r>
    </w:p>
    <w:p>
      <w:pPr>
        <w:pStyle w:val="BodyText"/>
        <w:spacing w:line="357" w:lineRule="auto" w:before="56"/>
        <w:ind w:left="1493" w:right="1015" w:hanging="360"/>
        <w:jc w:val="left"/>
      </w:pPr>
      <w:r>
        <w:rPr>
          <w:rFonts w:ascii="宋体" w:hAnsi="宋体" w:cs="宋体" w:eastAsia="宋体" w:hint="default"/>
        </w:rPr>
        <w:t>5</w:t>
      </w:r>
      <w:r>
        <w:rPr/>
        <w:t>、拓展外延式发展 </w:t>
      </w:r>
      <w:r>
        <w:rPr>
          <w:spacing w:val="-2"/>
        </w:rPr>
        <w:t>公司坚持内生增长和外延发展共同推进、互作支撑的策略。报告期，公司认缴出资</w:t>
      </w:r>
      <w:r>
        <w:rPr>
          <w:rFonts w:ascii="宋体" w:hAnsi="宋体" w:cs="宋体" w:eastAsia="宋体" w:hint="default"/>
          <w:spacing w:val="-2"/>
        </w:rPr>
        <w:t>100</w:t>
      </w:r>
      <w:r>
        <w:rPr>
          <w:spacing w:val="-2"/>
        </w:rPr>
        <w:t>万美元（已实缴</w:t>
      </w:r>
      <w:r>
        <w:rPr>
          <w:rFonts w:ascii="宋体" w:hAnsi="宋体" w:cs="宋体" w:eastAsia="宋体" w:hint="default"/>
          <w:spacing w:val="-2"/>
        </w:rPr>
        <w:t>50.25</w:t>
      </w:r>
      <w:r>
        <w:rPr>
          <w:spacing w:val="-2"/>
        </w:rPr>
        <w:t>万美元）投</w:t>
      </w:r>
    </w:p>
    <w:p>
      <w:pPr>
        <w:pStyle w:val="BodyText"/>
        <w:spacing w:line="224" w:lineRule="exact"/>
        <w:ind w:left="1133" w:right="1015"/>
        <w:jc w:val="left"/>
      </w:pPr>
      <w:r>
        <w:rPr/>
        <w:t>资了美国创投基金</w:t>
      </w:r>
      <w:r>
        <w:rPr>
          <w:rFonts w:ascii="宋体" w:hAnsi="宋体" w:cs="宋体" w:eastAsia="宋体" w:hint="default"/>
        </w:rPr>
        <w:t>Heuristic</w:t>
      </w:r>
      <w:r>
        <w:rPr>
          <w:rFonts w:ascii="宋体" w:hAnsi="宋体" w:cs="宋体" w:eastAsia="宋体" w:hint="default"/>
          <w:spacing w:val="-21"/>
        </w:rPr>
        <w:t> </w:t>
      </w:r>
      <w:r>
        <w:rPr>
          <w:rFonts w:ascii="宋体" w:hAnsi="宋体" w:cs="宋体" w:eastAsia="宋体" w:hint="default"/>
        </w:rPr>
        <w:t>Capital</w:t>
      </w:r>
      <w:r>
        <w:rPr>
          <w:rFonts w:ascii="宋体" w:hAnsi="宋体" w:cs="宋体" w:eastAsia="宋体" w:hint="default"/>
          <w:spacing w:val="-21"/>
        </w:rPr>
        <w:t> </w:t>
      </w:r>
      <w:r>
        <w:rPr>
          <w:rFonts w:ascii="宋体" w:hAnsi="宋体" w:cs="宋体" w:eastAsia="宋体" w:hint="default"/>
        </w:rPr>
        <w:t>Partners</w:t>
      </w:r>
      <w:r>
        <w:rPr>
          <w:rFonts w:ascii="宋体" w:hAnsi="宋体" w:cs="宋体" w:eastAsia="宋体" w:hint="default"/>
          <w:spacing w:val="-21"/>
        </w:rPr>
        <w:t> </w:t>
      </w:r>
      <w:r>
        <w:rPr>
          <w:rFonts w:ascii="宋体" w:hAnsi="宋体" w:cs="宋体" w:eastAsia="宋体" w:hint="default"/>
        </w:rPr>
        <w:t>I,</w:t>
      </w:r>
      <w:r>
        <w:rPr>
          <w:rFonts w:ascii="宋体" w:hAnsi="宋体" w:cs="宋体" w:eastAsia="宋体" w:hint="default"/>
          <w:spacing w:val="-21"/>
        </w:rPr>
        <w:t> </w:t>
      </w:r>
      <w:r>
        <w:rPr>
          <w:rFonts w:ascii="宋体" w:hAnsi="宋体" w:cs="宋体" w:eastAsia="宋体" w:hint="default"/>
        </w:rPr>
        <w:t>LP</w:t>
      </w:r>
      <w:r>
        <w:rPr/>
        <w:t>，以期在全球大数据技术、人工智能技术与健康医疗产业结合最先进</w:t>
      </w:r>
    </w:p>
    <w:p>
      <w:pPr>
        <w:pStyle w:val="BodyText"/>
        <w:spacing w:line="319" w:lineRule="auto" w:before="76"/>
        <w:ind w:left="1133" w:right="1015"/>
        <w:jc w:val="left"/>
      </w:pPr>
      <w:r>
        <w:rPr/>
        <w:t>区域推进与相关企业各个层次的深度合作；对全球领先的物联网芯片设计公司美国</w:t>
      </w:r>
      <w:r>
        <w:rPr>
          <w:rFonts w:ascii="宋体" w:hAnsi="宋体" w:cs="宋体" w:eastAsia="宋体" w:hint="default"/>
        </w:rPr>
        <w:t>Ambiq Micro</w:t>
      </w:r>
      <w:r>
        <w:rPr/>
        <w:t>，</w:t>
      </w:r>
      <w:r>
        <w:rPr>
          <w:rFonts w:ascii="宋体" w:hAnsi="宋体" w:cs="宋体" w:eastAsia="宋体" w:hint="default"/>
        </w:rPr>
        <w:t>Inc.</w:t>
      </w:r>
      <w:r>
        <w:rPr/>
        <w:t>进行了</w:t>
      </w:r>
      <w:r>
        <w:rPr>
          <w:rFonts w:ascii="宋体" w:hAnsi="宋体" w:cs="宋体" w:eastAsia="宋体" w:hint="default"/>
        </w:rPr>
        <w:t>500</w:t>
      </w:r>
      <w:r>
        <w:rPr/>
        <w:t>万美元的</w:t>
      </w:r>
      <w:r>
        <w:rPr>
          <w:spacing w:val="-83"/>
        </w:rPr>
        <w:t> </w:t>
      </w:r>
      <w:r>
        <w:rPr/>
        <w:t>投资；公司向深圳市瑞康宏业科技开发有限公司（自成立以来一直专注于心电领域）进行投资，公司以</w:t>
      </w:r>
      <w:r>
        <w:rPr>
          <w:rFonts w:ascii="宋体" w:hAnsi="宋体" w:cs="宋体" w:eastAsia="宋体" w:hint="default"/>
        </w:rPr>
        <w:t>2,300</w:t>
      </w:r>
      <w:r>
        <w:rPr/>
        <w:t>万元取得瑞康</w:t>
      </w:r>
      <w:r>
        <w:rPr>
          <w:spacing w:val="-81"/>
        </w:rPr>
        <w:t> </w:t>
      </w:r>
      <w:r>
        <w:rPr>
          <w:spacing w:val="-81"/>
        </w:rPr>
      </w:r>
      <w:r>
        <w:rPr>
          <w:spacing w:val="-2"/>
        </w:rPr>
        <w:t>宏业</w:t>
      </w:r>
      <w:r>
        <w:rPr>
          <w:rFonts w:ascii="宋体" w:hAnsi="宋体" w:cs="宋体" w:eastAsia="宋体" w:hint="default"/>
          <w:spacing w:val="-2"/>
        </w:rPr>
        <w:t>49.65%</w:t>
      </w:r>
      <w:r>
        <w:rPr>
          <w:spacing w:val="-2"/>
        </w:rPr>
        <w:t>股权并在董事会中占有</w:t>
      </w:r>
      <w:r>
        <w:rPr>
          <w:rFonts w:ascii="宋体" w:hAnsi="宋体" w:cs="宋体" w:eastAsia="宋体" w:hint="default"/>
          <w:spacing w:val="-2"/>
        </w:rPr>
        <w:t>3</w:t>
      </w:r>
      <w:r>
        <w:rPr>
          <w:spacing w:val="-2"/>
        </w:rPr>
        <w:t>个董事席位，截止报告期末为公司控股子公司，自</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月起并入公司合并报表范围。</w:t>
      </w:r>
      <w:r>
        <w:rPr>
          <w:spacing w:val="-50"/>
        </w:rPr>
        <w:t> </w:t>
      </w:r>
      <w:r>
        <w:rPr/>
        <w:t>报告期末公司与专业投资机构共同投资设立医疗产业投资基金广州乐心瑜宏产业投资基金。</w:t>
      </w:r>
    </w:p>
    <w:p>
      <w:pPr>
        <w:pStyle w:val="BodyText"/>
        <w:spacing w:line="319" w:lineRule="auto" w:before="55"/>
        <w:ind w:left="1133" w:right="1133" w:firstLine="360"/>
        <w:jc w:val="both"/>
      </w:pPr>
      <w:r>
        <w:rPr>
          <w:spacing w:val="-2"/>
        </w:rPr>
        <w:t>公司以股权投资及战略合作的外延式发展方式，充分利用资源优势进行业务整合，发挥产业协同作用，提升公司综合竞</w:t>
      </w:r>
      <w:r>
        <w:rPr/>
        <w:t> 争力。</w:t>
      </w:r>
    </w:p>
    <w:p>
      <w:pPr>
        <w:pStyle w:val="BodyText"/>
        <w:spacing w:line="319" w:lineRule="auto" w:before="55"/>
        <w:ind w:left="1133" w:right="1131" w:firstLine="360"/>
        <w:jc w:val="both"/>
      </w:pPr>
      <w:r>
        <w:rPr>
          <w:spacing w:val="-2"/>
        </w:rPr>
        <w:t>报告期末，面对</w:t>
      </w:r>
      <w:r>
        <w:rPr>
          <w:rFonts w:ascii="宋体" w:hAnsi="宋体" w:cs="宋体" w:eastAsia="宋体" w:hint="default"/>
          <w:spacing w:val="-2"/>
        </w:rPr>
        <w:t>2017</w:t>
      </w:r>
      <w:r>
        <w:rPr>
          <w:spacing w:val="-2"/>
        </w:rPr>
        <w:t>年上半年亏损，公司管理层认真进行了反身并果断采取有效措施，优化内部管理，提高运营效率和</w:t>
      </w:r>
      <w:r>
        <w:rPr/>
        <w:t> 投入产出，开源节流，提升公司盈利水平。</w:t>
      </w:r>
    </w:p>
    <w:p>
      <w:pPr>
        <w:pStyle w:val="BodyText"/>
        <w:spacing w:line="240" w:lineRule="auto" w:before="58"/>
        <w:ind w:left="1133" w:right="1015"/>
        <w:jc w:val="left"/>
      </w:pPr>
      <w:r>
        <w:rPr/>
        <w:t>公司需遵守《深圳证券交易所创业板行业信息披露指引第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号——上市公司从事医疗器械业务》的披露要求：</w:t>
      </w:r>
    </w:p>
    <w:p>
      <w:pPr>
        <w:spacing w:line="240" w:lineRule="auto" w:before="12"/>
        <w:rPr>
          <w:rFonts w:ascii="宋体" w:hAnsi="宋体" w:cs="宋体" w:eastAsia="宋体" w:hint="default"/>
          <w:sz w:val="23"/>
          <w:szCs w:val="23"/>
        </w:rPr>
      </w:pPr>
    </w:p>
    <w:p>
      <w:pPr>
        <w:pStyle w:val="Heading2"/>
        <w:spacing w:line="240" w:lineRule="auto"/>
        <w:ind w:left="1133" w:right="1015"/>
        <w:jc w:val="left"/>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15"/>
        <w:jc w:val="left"/>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3" w:right="1132" w:firstLine="360"/>
        <w:jc w:val="both"/>
      </w:pPr>
      <w:r>
        <w:rPr/>
        <w:t>公司的营业收入和利润构成主要来源于公司主营业务，公司主营业务未发生重大变化。报告期内，公司实现营业收入 </w:t>
      </w:r>
      <w:r>
        <w:rPr>
          <w:rFonts w:ascii="宋体" w:hAnsi="宋体" w:cs="宋体" w:eastAsia="宋体" w:hint="default"/>
        </w:rPr>
        <w:t>86,659.03</w:t>
      </w:r>
      <w:r>
        <w:rPr/>
        <w:t>万元，较上年同期增长</w:t>
      </w:r>
      <w:r>
        <w:rPr>
          <w:rFonts w:ascii="宋体" w:hAnsi="宋体" w:cs="宋体" w:eastAsia="宋体" w:hint="default"/>
        </w:rPr>
        <w:t>12.45%</w:t>
      </w:r>
      <w:r>
        <w:rPr/>
        <w:t>。归属于上市公司股东的净利润</w:t>
      </w:r>
      <w:r>
        <w:rPr>
          <w:rFonts w:ascii="宋体" w:hAnsi="宋体" w:cs="宋体" w:eastAsia="宋体" w:hint="default"/>
        </w:rPr>
        <w:t>1,784.07</w:t>
      </w:r>
      <w:r>
        <w:rPr/>
        <w:t>万元，较去年同期下降</w:t>
      </w:r>
      <w:r>
        <w:rPr>
          <w:rFonts w:ascii="宋体" w:hAnsi="宋体" w:cs="宋体" w:eastAsia="宋体" w:hint="default"/>
        </w:rPr>
        <w:t>77.84%</w:t>
      </w:r>
      <w:r>
        <w:rPr/>
        <w:t>。</w:t>
      </w:r>
      <w:r>
        <w:rPr>
          <w:rFonts w:ascii="宋体" w:hAnsi="宋体" w:cs="宋体" w:eastAsia="宋体" w:hint="default"/>
        </w:rPr>
        <w:t>2017</w:t>
      </w:r>
      <w:r>
        <w:rPr/>
        <w:t>年度</w:t>
      </w:r>
      <w:r>
        <w:rPr>
          <w:spacing w:val="-85"/>
        </w:rPr>
        <w:t> </w:t>
      </w:r>
      <w:r>
        <w:rPr/>
        <w:t>净利润较</w:t>
      </w:r>
      <w:r>
        <w:rPr>
          <w:rFonts w:ascii="宋体" w:hAnsi="宋体" w:cs="宋体" w:eastAsia="宋体" w:hint="default"/>
        </w:rPr>
        <w:t>2016</w:t>
      </w:r>
      <w:r>
        <w:rPr/>
        <w:t>年度变动较大，受多方面因素的影响，主要包括：</w:t>
      </w:r>
    </w:p>
    <w:p>
      <w:pPr>
        <w:pStyle w:val="BodyText"/>
        <w:spacing w:line="319" w:lineRule="auto" w:before="55"/>
        <w:ind w:left="1133" w:right="1130" w:firstLine="360"/>
        <w:jc w:val="both"/>
      </w:pPr>
      <w:r>
        <w:rPr>
          <w:rFonts w:ascii="宋体" w:hAnsi="宋体" w:cs="宋体" w:eastAsia="宋体" w:hint="default"/>
        </w:rPr>
        <w:t>1</w:t>
      </w:r>
      <w:r>
        <w:rPr/>
        <w:t>、销售毛利率大幅下降。一是售价方面：</w:t>
      </w:r>
      <w:r>
        <w:rPr>
          <w:rFonts w:ascii="宋体" w:hAnsi="宋体" w:cs="宋体" w:eastAsia="宋体" w:hint="default"/>
        </w:rPr>
        <w:t>2016</w:t>
      </w:r>
      <w:r>
        <w:rPr/>
        <w:t>年末人民币贬值预期较高，外销客户老产品降价压力加大，同时新产品 </w:t>
      </w:r>
      <w:r>
        <w:rPr>
          <w:spacing w:val="-2"/>
        </w:rPr>
        <w:t>定价亦遇到压力，而</w:t>
      </w:r>
      <w:r>
        <w:rPr>
          <w:rFonts w:ascii="宋体" w:hAnsi="宋体" w:cs="宋体" w:eastAsia="宋体" w:hint="default"/>
          <w:spacing w:val="-2"/>
        </w:rPr>
        <w:t>2017</w:t>
      </w:r>
      <w:r>
        <w:rPr>
          <w:spacing w:val="-2"/>
        </w:rPr>
        <w:t>年人民币却升值，直接影响外销毛利；自有品牌内销方面，因经销商业务模式和价格体系调整，毛</w:t>
      </w:r>
      <w:r>
        <w:rPr>
          <w:spacing w:val="-62"/>
        </w:rPr>
        <w:t> </w:t>
      </w:r>
      <w:r>
        <w:rPr>
          <w:spacing w:val="-62"/>
        </w:rPr>
      </w:r>
      <w:r>
        <w:rPr>
          <w:spacing w:val="-2"/>
        </w:rPr>
        <w:t>利率相对较低的线下业务占比提升，为扩大销售给予经销商返利政策也降低了销售毛利率。二是成本方面：自</w:t>
      </w:r>
      <w:r>
        <w:rPr>
          <w:rFonts w:ascii="宋体" w:hAnsi="宋体" w:cs="宋体" w:eastAsia="宋体" w:hint="default"/>
          <w:spacing w:val="-2"/>
        </w:rPr>
        <w:t>2016</w:t>
      </w:r>
      <w:r>
        <w:rPr>
          <w:spacing w:val="-2"/>
        </w:rPr>
        <w:t>年年中以</w:t>
      </w:r>
      <w:r>
        <w:rPr>
          <w:spacing w:val="-61"/>
        </w:rPr>
        <w:t> </w:t>
      </w:r>
      <w:r>
        <w:rPr>
          <w:spacing w:val="-2"/>
        </w:rPr>
        <w:t>来，受国家去产能、环保核查等政策因素的影响，塑胶原料、玻璃、钢材、包装用纸等基础原材料价格陆续上涨，并于</w:t>
      </w:r>
      <w:r>
        <w:rPr>
          <w:rFonts w:ascii="宋体" w:hAnsi="宋体" w:cs="宋体" w:eastAsia="宋体" w:hint="default"/>
          <w:spacing w:val="-2"/>
        </w:rPr>
        <w:t>2016</w:t>
      </w:r>
      <w:r>
        <w:rPr>
          <w:rFonts w:ascii="宋体" w:hAnsi="宋体" w:cs="宋体" w:eastAsia="宋体" w:hint="default"/>
          <w:spacing w:val="-67"/>
        </w:rPr>
        <w:t> </w:t>
      </w:r>
      <w:r>
        <w:rPr>
          <w:rFonts w:ascii="宋体" w:hAnsi="宋体" w:cs="宋体" w:eastAsia="宋体" w:hint="default"/>
          <w:spacing w:val="-67"/>
        </w:rPr>
      </w:r>
      <w:r>
        <w:rPr>
          <w:spacing w:val="-2"/>
        </w:rPr>
        <w:t>年</w:t>
      </w:r>
      <w:r>
        <w:rPr>
          <w:rFonts w:ascii="宋体" w:hAnsi="宋体" w:cs="宋体" w:eastAsia="宋体" w:hint="default"/>
          <w:spacing w:val="-2"/>
        </w:rPr>
        <w:t>12</w:t>
      </w:r>
      <w:r>
        <w:rPr>
          <w:spacing w:val="-2"/>
        </w:rPr>
        <w:t>月左右，逐步向公司传递并演变为公司营业成本的上涨；国内市场主推新产品工艺要求高，上半年损耗率较高，亦推升</w:t>
      </w:r>
      <w:r>
        <w:rPr>
          <w:spacing w:val="-64"/>
        </w:rPr>
        <w:t> </w:t>
      </w:r>
      <w:r>
        <w:rPr>
          <w:spacing w:val="-64"/>
        </w:rPr>
      </w:r>
      <w:r>
        <w:rPr/>
        <w:t>了产品销售成本。上述因素共同影响，致使销售毛利率有较大幅度下降。</w:t>
      </w:r>
    </w:p>
    <w:p>
      <w:pPr>
        <w:pStyle w:val="BodyText"/>
        <w:spacing w:line="240" w:lineRule="auto" w:before="56"/>
        <w:ind w:left="1493" w:right="1015"/>
        <w:jc w:val="left"/>
      </w:pPr>
      <w:r>
        <w:rPr>
          <w:rFonts w:ascii="宋体" w:hAnsi="宋体" w:cs="宋体" w:eastAsia="宋体" w:hint="default"/>
        </w:rPr>
        <w:t>2</w:t>
      </w:r>
      <w:r>
        <w:rPr/>
        <w:t>、汇兑损失增加。</w:t>
      </w:r>
      <w:r>
        <w:rPr>
          <w:rFonts w:ascii="宋体" w:hAnsi="宋体" w:cs="宋体" w:eastAsia="宋体" w:hint="default"/>
        </w:rPr>
        <w:t>2017</w:t>
      </w:r>
      <w:r>
        <w:rPr/>
        <w:t>年度人民币升值，导致报告期内汇兑损失大幅增加。</w:t>
      </w:r>
    </w:p>
    <w:p>
      <w:pPr>
        <w:pStyle w:val="BodyText"/>
        <w:spacing w:line="319" w:lineRule="auto" w:before="116"/>
        <w:ind w:right="1131" w:firstLine="360"/>
        <w:jc w:val="both"/>
      </w:pPr>
      <w:r>
        <w:rPr>
          <w:rFonts w:ascii="宋体" w:hAnsi="宋体" w:cs="宋体" w:eastAsia="宋体" w:hint="default"/>
        </w:rPr>
        <w:t>3</w:t>
      </w:r>
      <w:r>
        <w:rPr/>
        <w:t>、内销渠道建设、广告、品牌推广投入增加。报告期内，公司在国内营销渠道建设、品牌推广、广告投入等方面较上 </w:t>
      </w:r>
      <w:r>
        <w:rPr>
          <w:spacing w:val="-2"/>
        </w:rPr>
        <w:t>年同期大幅增加，导致销售费用增加。公司在新产品投入方面较上年同期有所增加，导致管理费用也有所增加。这些投入对</w:t>
      </w:r>
      <w:r>
        <w:rPr>
          <w:spacing w:val="-66"/>
        </w:rPr>
        <w:t> </w:t>
      </w:r>
      <w:r>
        <w:rPr>
          <w:spacing w:val="-66"/>
        </w:rPr>
      </w:r>
      <w:r>
        <w:rPr/>
        <w:t>应的产出具有滞后性和不确定性，其对营业收入和经营业绩的增长贡献尚未在报告期内体现。</w:t>
      </w:r>
    </w:p>
    <w:p>
      <w:pPr>
        <w:spacing w:line="240" w:lineRule="auto" w:before="3"/>
        <w:rPr>
          <w:rFonts w:ascii="宋体" w:hAnsi="宋体" w:cs="宋体" w:eastAsia="宋体" w:hint="default"/>
          <w:sz w:val="22"/>
          <w:szCs w:val="22"/>
        </w:rPr>
      </w:pPr>
    </w:p>
    <w:p>
      <w:pPr>
        <w:pStyle w:val="Heading3"/>
        <w:spacing w:line="240" w:lineRule="auto"/>
        <w:ind w:left="1133" w:right="1015"/>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1015"/>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133" w:right="1664"/>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号——上市公司从事医疗器械业务》的披露要求： 是</w:t>
      </w:r>
    </w:p>
    <w:p>
      <w:pPr>
        <w:pStyle w:val="BodyText"/>
        <w:spacing w:line="240" w:lineRule="auto" w:before="43"/>
        <w:ind w:right="1015"/>
        <w:jc w:val="left"/>
      </w:pPr>
      <w:r>
        <w:rPr/>
        <w:t>不同销售模式下的经营情况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销售模式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销售收入</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毛利率</w:t>
            </w:r>
          </w:p>
        </w:tc>
      </w:tr>
    </w:tbl>
    <w:p>
      <w:pPr>
        <w:spacing w:after="0" w:line="240" w:lineRule="auto"/>
        <w:jc w:val="center"/>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家用医疗产品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277,069,808.64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27.82%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其中：外销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225,607,276.91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29.26%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内销</w:t>
            </w:r>
            <w:r>
              <w:rPr>
                <w:rFonts w:ascii="Times New Roman" w:hAnsi="Times New Roman" w:cs="Times New Roman" w:eastAsia="Times New Roman" w:hint="default"/>
                <w:sz w:val="18"/>
                <w:szCs w:val="18"/>
              </w:rPr>
              <w:t>:</w:t>
            </w:r>
            <w:r>
              <w:rPr>
                <w:rFonts w:ascii="宋体" w:hAnsi="宋体" w:cs="宋体" w:eastAsia="宋体" w:hint="default"/>
                <w:sz w:val="18"/>
                <w:szCs w:val="18"/>
              </w:rPr>
              <w:t>直销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12,333,058.78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41.27%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内销</w:t>
            </w:r>
            <w:r>
              <w:rPr>
                <w:rFonts w:ascii="Times New Roman" w:hAnsi="Times New Roman" w:cs="Times New Roman" w:eastAsia="Times New Roman" w:hint="default"/>
                <w:sz w:val="18"/>
                <w:szCs w:val="18"/>
              </w:rPr>
              <w:t>:</w:t>
            </w:r>
            <w:r>
              <w:rPr>
                <w:rFonts w:ascii="宋体" w:hAnsi="宋体" w:cs="宋体" w:eastAsia="宋体" w:hint="default"/>
                <w:sz w:val="18"/>
                <w:szCs w:val="18"/>
              </w:rPr>
              <w:t>买断式经销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39,129,472.96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15.28%</w:t>
            </w:r>
          </w:p>
        </w:tc>
      </w:tr>
    </w:tbl>
    <w:p>
      <w:pPr>
        <w:pStyle w:val="BodyText"/>
        <w:spacing w:line="240" w:lineRule="auto" w:before="51"/>
        <w:ind w:right="1015"/>
        <w:jc w:val="left"/>
      </w:pPr>
      <w:r>
        <w:rPr/>
        <w:t>营业收入整体情况</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60"/>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866,590,294.39</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770,644,439.45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12.45%</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865,357,541.41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99.86%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770,444,166.69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99.97%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12.32%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1,232,752.98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200,272.76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515.54%</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家用医疗产品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277,069,808.64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31.97%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271,150,007.36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35.18%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2.18%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家用健康产品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234,468,982.92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27.06%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221,412,096.65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28.73%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5.90%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智能可穿戴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333,253,735.63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256,913,110.28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33.34%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29.71%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21,797,767.20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21,169,225.16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2.97%</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371,911,120.60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42.92%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325,522,683.21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42.24%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14.25%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493,446,420.81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56.94%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444,921,483.48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57.73%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10.91%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1,232,752.98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200,272.76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515.54%</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0" w:right="0"/>
        </w:sectPr>
      </w:pPr>
    </w:p>
    <w:p>
      <w:pPr>
        <w:pStyle w:val="BodyText"/>
        <w:spacing w:line="357" w:lineRule="auto" w:before="44"/>
        <w:ind w:right="-20"/>
        <w:jc w:val="left"/>
      </w:pPr>
      <w:r>
        <w:rPr/>
        <w:t>√ 适用 □ 不适用 公司是否需要遵守特殊行业的披露要求 是</w:t>
      </w:r>
    </w:p>
    <w:p>
      <w:pPr>
        <w:pStyle w:val="BodyText"/>
        <w:spacing w:line="240" w:lineRule="auto" w:before="29"/>
        <w:ind w:right="-20"/>
        <w:jc w:val="left"/>
      </w:pPr>
      <w:r>
        <w:rPr/>
        <w:t>医疗器械业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left="1113" w:right="1112"/>
        <w:jc w:val="center"/>
      </w:pPr>
      <w:r>
        <w:rPr/>
        <w:t>单位：元</w:t>
      </w:r>
    </w:p>
    <w:p>
      <w:pPr>
        <w:spacing w:after="0" w:line="240" w:lineRule="auto"/>
        <w:jc w:val="center"/>
        <w:sectPr>
          <w:type w:val="continuous"/>
          <w:pgSz w:w="11910" w:h="16840"/>
          <w:pgMar w:top="1100" w:bottom="1200" w:left="0" w:right="0"/>
          <w:cols w:num="2" w:equalWidth="0">
            <w:col w:w="4195" w:space="4725"/>
            <w:col w:w="299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137"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137" w:hanging="91"/>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0" w:right="139"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9"/>
              <w:jc w:val="center"/>
              <w:rPr>
                <w:rFonts w:ascii="宋体" w:hAnsi="宋体" w:cs="宋体" w:eastAsia="宋体" w:hint="default"/>
                <w:sz w:val="18"/>
                <w:szCs w:val="18"/>
              </w:rPr>
            </w:pPr>
            <w:r>
              <w:rPr>
                <w:rFonts w:ascii="宋体" w:hAnsi="宋体" w:cs="宋体" w:eastAsia="宋体" w:hint="default"/>
                <w:sz w:val="18"/>
                <w:szCs w:val="18"/>
              </w:rPr>
              <w:t>主营业务收入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865,357,541.41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631,989,662.33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12.32%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22.49%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-6.06%</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9"/>
              <w:jc w:val="center"/>
              <w:rPr>
                <w:rFonts w:ascii="宋体" w:hAnsi="宋体" w:cs="宋体" w:eastAsia="宋体" w:hint="default"/>
                <w:sz w:val="18"/>
                <w:szCs w:val="18"/>
              </w:rPr>
            </w:pPr>
            <w:r>
              <w:rPr>
                <w:rFonts w:ascii="宋体" w:hAnsi="宋体" w:cs="宋体" w:eastAsia="宋体" w:hint="default"/>
                <w:sz w:val="18"/>
                <w:szCs w:val="18"/>
              </w:rPr>
              <w:t>其他业务收入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1,232,752.98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88,706.80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92.80%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515.54%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1,001.81%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-3.18%</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9"/>
              <w:jc w:val="center"/>
              <w:rPr>
                <w:rFonts w:ascii="宋体" w:hAnsi="宋体" w:cs="宋体" w:eastAsia="宋体" w:hint="default"/>
                <w:sz w:val="18"/>
                <w:szCs w:val="18"/>
              </w:rPr>
            </w:pPr>
            <w:r>
              <w:rPr>
                <w:rFonts w:ascii="宋体" w:hAnsi="宋体" w:cs="宋体" w:eastAsia="宋体" w:hint="default"/>
                <w:sz w:val="18"/>
                <w:szCs w:val="18"/>
              </w:rPr>
              <w:t>家用医疗产品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277,069,808.64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199,990,126.35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27.82%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6.57%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-2.97%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家用健康产品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234,468,982.92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192,611,187.27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20.84%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-10.16%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智能可穿戴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333,253,735.63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225,623,844.33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44.32%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-6.85%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21,797,767.20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13,853,211.18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10.23%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-4.19%</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371,911,120.60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267,976,085.06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25.63%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493,446,420.81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364,013,577.27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20.27%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-5.74%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1,232,752.98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88,706.80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92.80%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515.54%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1,001.81%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-3.18%</w:t>
            </w:r>
          </w:p>
        </w:tc>
      </w:tr>
    </w:tbl>
    <w:p>
      <w:pPr>
        <w:pStyle w:val="BodyText"/>
        <w:spacing w:line="240" w:lineRule="auto" w:before="51"/>
        <w:ind w:right="1015"/>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left="1133" w:right="1015"/>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015"/>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15"/>
        <w:jc w:val="left"/>
      </w:pPr>
      <w:r>
        <w:rPr/>
        <w:t>√ 是 □ 否</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万台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1,312.19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1,208.69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8.56%</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万台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1,337.83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1,222.96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9.39%</w:t>
            </w:r>
          </w:p>
        </w:tc>
      </w:tr>
      <w:tr>
        <w:trPr>
          <w:trHeight w:val="40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万台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78.92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53.28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48.13%</w:t>
            </w:r>
          </w:p>
        </w:tc>
      </w:tr>
    </w:tbl>
    <w:p>
      <w:pPr>
        <w:pStyle w:val="BodyText"/>
        <w:spacing w:line="240" w:lineRule="auto" w:before="51"/>
        <w:ind w:right="1015"/>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57" w:lineRule="auto" w:before="103"/>
        <w:ind w:right="3282"/>
        <w:jc w:val="left"/>
      </w:pPr>
      <w:r>
        <w:rPr/>
        <w:t>√ 适用 □ 不适用 </w:t>
      </w:r>
      <w:r>
        <w:rPr>
          <w:rFonts w:ascii="宋体" w:hAnsi="宋体" w:cs="宋体" w:eastAsia="宋体" w:hint="default"/>
        </w:rPr>
        <w:t>2017</w:t>
      </w:r>
      <w:r>
        <w:rPr/>
        <w:t>年库存量</w:t>
      </w:r>
      <w:r>
        <w:rPr>
          <w:rFonts w:ascii="宋体" w:hAnsi="宋体" w:cs="宋体" w:eastAsia="宋体" w:hint="default"/>
        </w:rPr>
        <w:t>78.92</w:t>
      </w:r>
      <w:r>
        <w:rPr/>
        <w:t>万台，同比增加</w:t>
      </w:r>
      <w:r>
        <w:rPr>
          <w:rFonts w:ascii="宋体" w:hAnsi="宋体" w:cs="宋体" w:eastAsia="宋体" w:hint="default"/>
        </w:rPr>
        <w:t>48.13%</w:t>
      </w:r>
      <w:r>
        <w:rPr/>
        <w:t>，主要是可穿戴运动手环库存增加，年底备货所致。</w:t>
      </w:r>
    </w:p>
    <w:p>
      <w:pPr>
        <w:spacing w:line="240" w:lineRule="auto" w:before="2"/>
        <w:rPr>
          <w:rFonts w:ascii="宋体" w:hAnsi="宋体" w:cs="宋体" w:eastAsia="宋体" w:hint="default"/>
          <w:sz w:val="20"/>
          <w:szCs w:val="20"/>
        </w:rPr>
      </w:pPr>
    </w:p>
    <w:p>
      <w:pPr>
        <w:pStyle w:val="Heading3"/>
        <w:spacing w:line="240" w:lineRule="auto"/>
        <w:ind w:left="1133" w:right="1015"/>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1015"/>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015"/>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15"/>
        <w:jc w:val="left"/>
      </w:pPr>
      <w:r>
        <w:rPr/>
        <w:t>产品分类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7" w:right="137" w:hanging="450"/>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7" w:right="138" w:hanging="451"/>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宋体" w:hAnsi="宋体" w:cs="宋体" w:eastAsia="宋体" w:hint="default"/>
                <w:sz w:val="18"/>
                <w:szCs w:val="18"/>
              </w:rPr>
              <w:t>家用医疗产品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167,796,682.54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155,791,496.13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宋体" w:hAnsi="宋体" w:cs="宋体" w:eastAsia="宋体" w:hint="default"/>
                <w:sz w:val="18"/>
                <w:szCs w:val="18"/>
              </w:rPr>
              <w:t>家用医疗产品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14,752,931.63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12,649,937.88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宋体" w:hAnsi="宋体" w:cs="宋体" w:eastAsia="宋体" w:hint="default"/>
                <w:sz w:val="18"/>
                <w:szCs w:val="18"/>
              </w:rPr>
              <w:t>家用医疗产品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17,440,512.18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19,227,590.03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-0.97%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宋体" w:hAnsi="宋体" w:cs="宋体" w:eastAsia="宋体" w:hint="default"/>
                <w:sz w:val="18"/>
                <w:szCs w:val="18"/>
              </w:rPr>
              <w:t>家用医疗产品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199,990,126.35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187,669,024.04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36.37%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宋体" w:hAnsi="宋体" w:cs="宋体" w:eastAsia="宋体" w:hint="default"/>
                <w:sz w:val="18"/>
                <w:szCs w:val="18"/>
              </w:rPr>
              <w:t>家用健康产品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154,044,047.71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120,203,812.87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23.30%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宋体" w:hAnsi="宋体" w:cs="宋体" w:eastAsia="宋体" w:hint="default"/>
                <w:sz w:val="18"/>
                <w:szCs w:val="18"/>
              </w:rPr>
              <w:t>家用健康产品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17,973,327.42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13,256,331.73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0.27%</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家用健康产品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20,593,812.13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22,728,292.20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-1.15%</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家用健康产品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不得免征和抵 税税额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3,207,240.99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-0.62%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家用健康产品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192,611,187.27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159,395,677.79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-0.42%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智能可穿戴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207,445,784.43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142,968,872.24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27.71%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5.11%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智能可穿戴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8,437,561.60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5,603,809.52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智能可穿戴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8,554,360.74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7,546,957.64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-0.11%</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智能可穿戴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不得免征和抵 税税额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1,186,137.56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218,891.90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智能可穿戴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225,623,844.33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156,338,531.30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11,515,340.64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10,776,109.29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1,008,631.79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717,499.81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1,240,531.95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1,065,554.60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88,706.80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8,051.00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13,853,211.18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12,567,214.70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632,078,369.13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515,970,447.83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pStyle w:val="BodyText"/>
        <w:spacing w:line="340" w:lineRule="auto" w:before="51"/>
        <w:ind w:left="1133" w:right="-18"/>
        <w:jc w:val="left"/>
      </w:pPr>
      <w:r>
        <w:rPr/>
        <w:t>公司需遵守《深圳证券交易所创业板行业信息披露指引第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生产和采购模式分类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568" w:right="0"/>
        <w:jc w:val="left"/>
      </w:pPr>
      <w:r>
        <w:rPr/>
        <w:t>单位：元</w:t>
      </w:r>
    </w:p>
    <w:p>
      <w:pPr>
        <w:spacing w:after="0" w:line="240" w:lineRule="auto"/>
        <w:jc w:val="left"/>
        <w:sectPr>
          <w:type w:val="continuous"/>
          <w:pgSz w:w="11910" w:h="16840"/>
          <w:pgMar w:top="1100" w:bottom="1200" w:left="0" w:right="0"/>
          <w:cols w:num="2" w:equalWidth="0">
            <w:col w:w="9445" w:space="40"/>
            <w:col w:w="2425"/>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7" w:right="0"/>
              <w:jc w:val="left"/>
              <w:rPr>
                <w:rFonts w:ascii="宋体" w:hAnsi="宋体" w:cs="宋体" w:eastAsia="宋体" w:hint="default"/>
                <w:sz w:val="18"/>
                <w:szCs w:val="18"/>
              </w:rPr>
            </w:pPr>
            <w:r>
              <w:rPr>
                <w:rFonts w:ascii="宋体" w:hAnsi="宋体" w:cs="宋体" w:eastAsia="宋体" w:hint="default"/>
                <w:sz w:val="18"/>
                <w:szCs w:val="18"/>
              </w:rPr>
              <w:t>生产和采购模式分类</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生产或采购金额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自行生产（家用医疗产品）</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212,893,432.25</w:t>
            </w:r>
          </w:p>
        </w:tc>
      </w:tr>
    </w:tbl>
    <w:p>
      <w:pPr>
        <w:pStyle w:val="BodyText"/>
        <w:spacing w:line="240" w:lineRule="auto" w:before="51"/>
        <w:ind w:right="1015"/>
        <w:jc w:val="left"/>
      </w:pPr>
      <w:r>
        <w:rPr/>
        <w:t>说明：无</w:t>
      </w:r>
    </w:p>
    <w:p>
      <w:pPr>
        <w:spacing w:line="240" w:lineRule="auto" w:before="11"/>
        <w:rPr>
          <w:rFonts w:ascii="宋体" w:hAnsi="宋体" w:cs="宋体" w:eastAsia="宋体" w:hint="default"/>
          <w:sz w:val="26"/>
          <w:szCs w:val="26"/>
        </w:rPr>
      </w:pPr>
    </w:p>
    <w:p>
      <w:pPr>
        <w:pStyle w:val="Heading3"/>
        <w:spacing w:line="240" w:lineRule="auto"/>
        <w:ind w:left="1133" w:right="1015"/>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1015"/>
        <w:jc w:val="left"/>
      </w:pPr>
      <w:r>
        <w:rPr/>
        <w:t>√ 是 □ 否</w:t>
      </w:r>
    </w:p>
    <w:p>
      <w:pPr>
        <w:pStyle w:val="Heading6"/>
        <w:spacing w:line="240" w:lineRule="auto" w:before="116"/>
        <w:ind w:left="1133" w:right="1015"/>
        <w:jc w:val="left"/>
        <w:rPr>
          <w:b w:val="0"/>
          <w:bCs w:val="0"/>
        </w:rPr>
      </w:pPr>
      <w:r>
        <w:rPr>
          <w:rFonts w:ascii="Times New Roman" w:hAnsi="Times New Roman" w:cs="Times New Roman" w:eastAsia="Times New Roman" w:hint="default"/>
        </w:rPr>
        <w:t>1</w:t>
      </w:r>
      <w:r>
        <w:rPr/>
        <w:t>、本期通过设立或投资等方式取得的子公司</w:t>
      </w:r>
      <w:r>
        <w:rPr>
          <w:b w:val="0"/>
          <w:bCs w:val="0"/>
        </w:rPr>
      </w:r>
    </w:p>
    <w:p>
      <w:pPr>
        <w:spacing w:after="0" w:line="240" w:lineRule="auto"/>
        <w:jc w:val="left"/>
        <w:sectPr>
          <w:type w:val="continuous"/>
          <w:pgSz w:w="11910" w:h="16840"/>
          <w:pgMar w:top="1100" w:bottom="1200" w:left="0" w:right="0"/>
        </w:sectPr>
      </w:pPr>
    </w:p>
    <w:p>
      <w:pPr>
        <w:spacing w:line="240" w:lineRule="auto" w:before="7"/>
        <w:rPr>
          <w:rFonts w:ascii="宋体" w:hAnsi="宋体" w:cs="宋体" w:eastAsia="宋体" w:hint="default"/>
          <w:b/>
          <w:bCs/>
          <w:sz w:val="25"/>
          <w:szCs w:val="25"/>
        </w:rPr>
      </w:pPr>
    </w:p>
    <w:p>
      <w:pPr>
        <w:spacing w:line="6548" w:lineRule="exact"/>
        <w:ind w:left="1134" w:right="0" w:firstLine="0"/>
        <w:rPr>
          <w:rFonts w:ascii="宋体" w:hAnsi="宋体" w:cs="宋体" w:eastAsia="宋体" w:hint="default"/>
          <w:sz w:val="20"/>
          <w:szCs w:val="20"/>
        </w:rPr>
      </w:pPr>
      <w:r>
        <w:rPr>
          <w:rFonts w:ascii="宋体" w:hAnsi="宋体" w:cs="宋体" w:eastAsia="宋体" w:hint="default"/>
          <w:position w:val="-130"/>
          <w:sz w:val="20"/>
          <w:szCs w:val="20"/>
        </w:rPr>
        <w:drawing>
          <wp:inline distT="0" distB="0" distL="0" distR="0">
            <wp:extent cx="6119354" cy="4158519"/>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3" cstate="print"/>
                    <a:stretch>
                      <a:fillRect/>
                    </a:stretch>
                  </pic:blipFill>
                  <pic:spPr>
                    <a:xfrm>
                      <a:off x="0" y="0"/>
                      <a:ext cx="6119354" cy="4158519"/>
                    </a:xfrm>
                    <a:prstGeom prst="rect">
                      <a:avLst/>
                    </a:prstGeom>
                  </pic:spPr>
                </pic:pic>
              </a:graphicData>
            </a:graphic>
          </wp:inline>
        </w:drawing>
      </w:r>
      <w:r>
        <w:rPr>
          <w:rFonts w:ascii="宋体" w:hAnsi="宋体" w:cs="宋体" w:eastAsia="宋体" w:hint="default"/>
          <w:position w:val="-130"/>
          <w:sz w:val="20"/>
          <w:szCs w:val="20"/>
        </w:rPr>
      </w:r>
    </w:p>
    <w:p>
      <w:pPr>
        <w:pStyle w:val="BodyText"/>
        <w:spacing w:line="319" w:lineRule="auto" w:before="14"/>
        <w:ind w:left="1133" w:right="1130"/>
        <w:jc w:val="both"/>
      </w:pPr>
      <w:r>
        <w:rPr>
          <w:spacing w:val="-2"/>
        </w:rPr>
        <w:t>说明：福州乐医成信息技术服务有限公司，于</w:t>
      </w:r>
      <w:r>
        <w:rPr>
          <w:rFonts w:ascii="宋体" w:hAnsi="宋体" w:cs="宋体" w:eastAsia="宋体" w:hint="default"/>
          <w:spacing w:val="-2"/>
        </w:rPr>
        <w:t>2017</w:t>
      </w:r>
      <w:r>
        <w:rPr>
          <w:spacing w:val="-2"/>
        </w:rPr>
        <w:t>年</w:t>
      </w:r>
      <w:r>
        <w:rPr>
          <w:rFonts w:ascii="宋体" w:hAnsi="宋体" w:cs="宋体" w:eastAsia="宋体" w:hint="default"/>
          <w:spacing w:val="-2"/>
        </w:rPr>
        <w:t>03</w:t>
      </w:r>
      <w:r>
        <w:rPr>
          <w:spacing w:val="-2"/>
        </w:rPr>
        <w:t>月</w:t>
      </w:r>
      <w:r>
        <w:rPr>
          <w:rFonts w:ascii="宋体" w:hAnsi="宋体" w:cs="宋体" w:eastAsia="宋体" w:hint="default"/>
          <w:spacing w:val="-2"/>
        </w:rPr>
        <w:t>16</w:t>
      </w:r>
      <w:r>
        <w:rPr>
          <w:spacing w:val="-2"/>
        </w:rPr>
        <w:t>日经福州市鼓楼区市场监督管理局批准成立的公司，注册资本为</w:t>
      </w:r>
      <w:r>
        <w:rPr>
          <w:spacing w:val="-58"/>
        </w:rPr>
        <w:t> </w:t>
      </w:r>
      <w:r>
        <w:rPr>
          <w:spacing w:val="-58"/>
        </w:rPr>
      </w:r>
      <w:r>
        <w:rPr/>
        <w:t>人民币</w:t>
      </w:r>
      <w:r>
        <w:rPr>
          <w:rFonts w:ascii="宋体" w:hAnsi="宋体" w:cs="宋体" w:eastAsia="宋体" w:hint="default"/>
        </w:rPr>
        <w:t>100</w:t>
      </w:r>
      <w:r>
        <w:rPr/>
        <w:t>万元，统一社会信用代码</w:t>
      </w:r>
      <w:r>
        <w:rPr>
          <w:rFonts w:ascii="宋体" w:hAnsi="宋体" w:cs="宋体" w:eastAsia="宋体" w:hint="default"/>
        </w:rPr>
        <w:t>91350102MA2Y2XMN0A</w:t>
      </w:r>
      <w:r>
        <w:rPr/>
        <w:t>。公司股权结构为：深圳市乐心医疗电子有限公司，投资</w:t>
      </w:r>
      <w:r>
        <w:rPr>
          <w:rFonts w:ascii="宋体" w:hAnsi="宋体" w:cs="宋体" w:eastAsia="宋体" w:hint="default"/>
        </w:rPr>
        <w:t>51</w:t>
      </w:r>
      <w:r>
        <w:rPr/>
        <w:t>万元，</w:t>
      </w:r>
      <w:r>
        <w:rPr>
          <w:spacing w:val="-85"/>
        </w:rPr>
        <w:t> </w:t>
      </w:r>
      <w:r>
        <w:rPr/>
        <w:t>占注册资本的</w:t>
      </w:r>
      <w:r>
        <w:rPr>
          <w:rFonts w:ascii="宋体" w:hAnsi="宋体" w:cs="宋体" w:eastAsia="宋体" w:hint="default"/>
        </w:rPr>
        <w:t>51%</w:t>
      </w:r>
      <w:r>
        <w:rPr/>
        <w:t>，福州康众城信息技术服务有限公司投资</w:t>
      </w:r>
      <w:r>
        <w:rPr>
          <w:rFonts w:ascii="宋体" w:hAnsi="宋体" w:cs="宋体" w:eastAsia="宋体" w:hint="default"/>
        </w:rPr>
        <w:t>49</w:t>
      </w:r>
      <w:r>
        <w:rPr/>
        <w:t>万元，占注册资本的</w:t>
      </w:r>
      <w:r>
        <w:rPr>
          <w:rFonts w:ascii="宋体" w:hAnsi="宋体" w:cs="宋体" w:eastAsia="宋体" w:hint="default"/>
        </w:rPr>
        <w:t>49%</w:t>
      </w:r>
      <w:r>
        <w:rPr/>
        <w:t>。截止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日实收资本</w:t>
      </w:r>
      <w:r>
        <w:rPr>
          <w:rFonts w:ascii="宋体" w:hAnsi="宋体" w:cs="宋体" w:eastAsia="宋体" w:hint="default"/>
        </w:rPr>
        <w:t>75.5</w:t>
      </w:r>
      <w:r>
        <w:rPr>
          <w:rFonts w:ascii="宋体" w:hAnsi="宋体" w:cs="宋体" w:eastAsia="宋体" w:hint="default"/>
          <w:spacing w:val="-4"/>
        </w:rPr>
        <w:t> </w:t>
      </w:r>
      <w:r>
        <w:rPr/>
        <w:t>万元。</w:t>
      </w:r>
    </w:p>
    <w:p>
      <w:pPr>
        <w:pStyle w:val="BodyText"/>
        <w:spacing w:line="316" w:lineRule="auto" w:before="17"/>
        <w:ind w:left="1133" w:right="1130"/>
        <w:jc w:val="both"/>
      </w:pPr>
      <w:r>
        <w:rPr>
          <w:rFonts w:ascii="宋体" w:hAnsi="宋体" w:cs="宋体" w:eastAsia="宋体" w:hint="default"/>
        </w:rPr>
        <w:t>FutureIOT Labs LLC</w:t>
      </w:r>
      <w:r>
        <w:rPr/>
        <w:t>是 </w:t>
      </w:r>
      <w:r>
        <w:rPr>
          <w:rFonts w:ascii="宋体" w:hAnsi="宋体" w:cs="宋体" w:eastAsia="宋体" w:hint="default"/>
        </w:rPr>
        <w:t>Lifesense HealthInc.</w:t>
      </w:r>
      <w:r>
        <w:rPr/>
        <w:t>于</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13</w:t>
      </w:r>
      <w:r>
        <w:rPr/>
        <w:t>日在美国设立的全资子公司，注册地址为</w:t>
      </w:r>
      <w:r>
        <w:rPr>
          <w:rFonts w:ascii="宋体" w:hAnsi="宋体" w:cs="宋体" w:eastAsia="宋体" w:hint="default"/>
        </w:rPr>
        <w:t>Corporation</w:t>
      </w:r>
      <w:r>
        <w:rPr>
          <w:rFonts w:ascii="宋体" w:hAnsi="宋体" w:cs="宋体" w:eastAsia="宋体" w:hint="default"/>
          <w:spacing w:val="5"/>
        </w:rPr>
        <w:t> </w:t>
      </w:r>
      <w:r>
        <w:rPr>
          <w:rFonts w:ascii="宋体" w:hAnsi="宋体" w:cs="宋体" w:eastAsia="宋体" w:hint="default"/>
        </w:rPr>
        <w:t>Trust</w:t>
      </w:r>
      <w:r>
        <w:rPr>
          <w:rFonts w:ascii="宋体" w:hAnsi="宋体" w:cs="宋体" w:eastAsia="宋体" w:hint="default"/>
        </w:rPr>
        <w:t> Center, 1209 Orange Street,City of Willington,Delaware 19801</w:t>
      </w:r>
      <w:r>
        <w:rPr/>
        <w:t>，</w:t>
      </w:r>
      <w:r>
        <w:rPr>
          <w:rFonts w:ascii="宋体" w:hAnsi="宋体" w:cs="宋体" w:eastAsia="宋体" w:hint="default"/>
        </w:rPr>
        <w:t>2017</w:t>
      </w:r>
      <w:r>
        <w:rPr/>
        <w:t>年</w:t>
      </w:r>
      <w:r>
        <w:rPr>
          <w:rFonts w:ascii="宋体" w:hAnsi="宋体" w:cs="宋体" w:eastAsia="宋体" w:hint="default"/>
        </w:rPr>
        <w:t>7</w:t>
      </w:r>
      <w:r>
        <w:rPr/>
        <w:t>月美国子公司已将持有</w:t>
      </w:r>
      <w:r>
        <w:rPr>
          <w:rFonts w:ascii="宋体" w:hAnsi="宋体" w:cs="宋体" w:eastAsia="宋体" w:hint="default"/>
        </w:rPr>
        <w:t>FutureIOT Labs</w:t>
      </w:r>
      <w:r>
        <w:rPr>
          <w:rFonts w:ascii="宋体" w:hAnsi="宋体" w:cs="宋体" w:eastAsia="宋体" w:hint="default"/>
          <w:spacing w:val="7"/>
        </w:rPr>
        <w:t> </w:t>
      </w:r>
      <w:r>
        <w:rPr>
          <w:rFonts w:ascii="宋体" w:hAnsi="宋体" w:cs="宋体" w:eastAsia="宋体" w:hint="default"/>
        </w:rPr>
        <w:t>LLC</w:t>
      </w:r>
      <w:r>
        <w:rPr>
          <w:rFonts w:ascii="宋体" w:hAnsi="宋体" w:cs="宋体" w:eastAsia="宋体" w:hint="default"/>
        </w:rPr>
        <w:t> </w:t>
      </w:r>
      <w:r>
        <w:rPr/>
        <w:t>的股份转让至新加坡子公司。</w:t>
      </w:r>
    </w:p>
    <w:p>
      <w:pPr>
        <w:pStyle w:val="BodyText"/>
        <w:spacing w:line="316" w:lineRule="auto" w:before="19"/>
        <w:ind w:left="1133" w:right="1036"/>
        <w:jc w:val="left"/>
      </w:pPr>
      <w:r>
        <w:rPr>
          <w:rFonts w:ascii="宋体" w:hAnsi="宋体" w:cs="宋体" w:eastAsia="宋体" w:hint="default"/>
        </w:rPr>
        <w:t>Lifesense</w:t>
      </w:r>
      <w:r>
        <w:rPr>
          <w:rFonts w:ascii="宋体" w:hAnsi="宋体" w:cs="宋体" w:eastAsia="宋体" w:hint="default"/>
          <w:spacing w:val="-28"/>
        </w:rPr>
        <w:t> </w:t>
      </w:r>
      <w:r>
        <w:rPr>
          <w:rFonts w:ascii="宋体" w:hAnsi="宋体" w:cs="宋体" w:eastAsia="宋体" w:hint="default"/>
        </w:rPr>
        <w:t>Singapore</w:t>
      </w:r>
      <w:r>
        <w:rPr>
          <w:rFonts w:ascii="宋体" w:hAnsi="宋体" w:cs="宋体" w:eastAsia="宋体" w:hint="default"/>
          <w:spacing w:val="-28"/>
        </w:rPr>
        <w:t> </w:t>
      </w:r>
      <w:r>
        <w:rPr>
          <w:rFonts w:ascii="宋体" w:hAnsi="宋体" w:cs="宋体" w:eastAsia="宋体" w:hint="default"/>
        </w:rPr>
        <w:t>Pte.</w:t>
      </w:r>
      <w:r>
        <w:rPr>
          <w:rFonts w:ascii="宋体" w:hAnsi="宋体" w:cs="宋体" w:eastAsia="宋体" w:hint="default"/>
          <w:spacing w:val="-28"/>
        </w:rPr>
        <w:t> </w:t>
      </w:r>
      <w:r>
        <w:rPr>
          <w:rFonts w:ascii="宋体" w:hAnsi="宋体" w:cs="宋体" w:eastAsia="宋体" w:hint="default"/>
        </w:rPr>
        <w:t>Ltd.</w:t>
      </w:r>
      <w:r>
        <w:rPr/>
        <w:t>是广东乐心医疗电子股份有限公司于</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16</w:t>
      </w:r>
      <w:r>
        <w:rPr/>
        <w:t>日在新加坡设立的全资子公司，并取得了 广东省商务厅核发的企业境外投资证书（境外投资证第</w:t>
      </w:r>
      <w:r>
        <w:rPr>
          <w:rFonts w:ascii="宋体" w:hAnsi="宋体" w:cs="宋体" w:eastAsia="宋体" w:hint="default"/>
        </w:rPr>
        <w:t>N4400201700253</w:t>
      </w:r>
      <w:r>
        <w:rPr/>
        <w:t>）。 </w:t>
      </w:r>
      <w:r>
        <w:rPr>
          <w:spacing w:val="-3"/>
        </w:rPr>
        <w:t>中山市乐恒电子有限公司，于</w:t>
      </w:r>
      <w:r>
        <w:rPr>
          <w:rFonts w:ascii="宋体" w:hAnsi="宋体" w:cs="宋体" w:eastAsia="宋体" w:hint="default"/>
          <w:spacing w:val="-3"/>
        </w:rPr>
        <w:t>2017</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20</w:t>
      </w:r>
      <w:r>
        <w:rPr>
          <w:spacing w:val="-3"/>
        </w:rPr>
        <w:t>日经广东省中山市工商行政管理局批准成立的公司，注册资本为人民币</w:t>
      </w:r>
      <w:r>
        <w:rPr>
          <w:rFonts w:ascii="宋体" w:hAnsi="宋体" w:cs="宋体" w:eastAsia="宋体" w:hint="default"/>
          <w:spacing w:val="-3"/>
        </w:rPr>
        <w:t>1000</w:t>
      </w:r>
      <w:r>
        <w:rPr>
          <w:spacing w:val="-3"/>
        </w:rPr>
        <w:t>万元，</w:t>
      </w:r>
      <w:r>
        <w:rPr>
          <w:spacing w:val="-81"/>
        </w:rPr>
        <w:t> </w:t>
      </w:r>
      <w:r>
        <w:rPr/>
        <w:t>统一社会信用代码</w:t>
      </w:r>
      <w:r>
        <w:rPr>
          <w:rFonts w:ascii="宋体" w:hAnsi="宋体" w:cs="宋体" w:eastAsia="宋体" w:hint="default"/>
        </w:rPr>
        <w:t>91442000MA515L5J9E</w:t>
      </w:r>
      <w:r>
        <w:rPr/>
        <w:t>。</w:t>
      </w:r>
    </w:p>
    <w:p>
      <w:pPr>
        <w:pStyle w:val="Heading6"/>
        <w:spacing w:line="240" w:lineRule="auto" w:before="19"/>
        <w:ind w:left="1133" w:right="0"/>
        <w:jc w:val="both"/>
        <w:rPr>
          <w:b w:val="0"/>
          <w:bCs w:val="0"/>
        </w:rPr>
      </w:pPr>
      <w:r>
        <w:rPr>
          <w:rFonts w:ascii="Times New Roman" w:hAnsi="Times New Roman" w:cs="Times New Roman" w:eastAsia="Times New Roman" w:hint="default"/>
        </w:rPr>
        <w:t>2</w:t>
      </w:r>
      <w:r>
        <w:rPr/>
        <w:t>、非同一控制下企业合并</w:t>
      </w:r>
      <w:r>
        <w:rPr>
          <w:b w:val="0"/>
          <w:bCs w:val="0"/>
        </w:rPr>
      </w:r>
    </w:p>
    <w:p>
      <w:pPr>
        <w:pStyle w:val="Heading6"/>
        <w:spacing w:line="240" w:lineRule="auto" w:before="63"/>
        <w:ind w:left="1133" w:right="0"/>
        <w:jc w:val="both"/>
        <w:rPr>
          <w:b w:val="0"/>
          <w:bCs w:val="0"/>
        </w:rPr>
      </w:pPr>
      <w:r>
        <w:rPr/>
        <w:t>（</w:t>
      </w:r>
      <w:r>
        <w:rPr>
          <w:rFonts w:ascii="宋体" w:hAnsi="宋体" w:cs="宋体" w:eastAsia="宋体" w:hint="default"/>
        </w:rPr>
        <w:t>1</w:t>
      </w:r>
      <w:r>
        <w:rPr/>
        <w:t>）本期发生的非同一控制下企业合并的情况</w:t>
      </w:r>
      <w:r>
        <w:rPr>
          <w:b w:val="0"/>
          <w:bCs w:val="0"/>
        </w:rPr>
      </w:r>
    </w:p>
    <w:p>
      <w:pPr>
        <w:spacing w:line="240" w:lineRule="auto" w:before="12"/>
        <w:rPr>
          <w:rFonts w:ascii="宋体" w:hAnsi="宋体" w:cs="宋体" w:eastAsia="宋体" w:hint="default"/>
          <w:b/>
          <w:bCs/>
          <w:sz w:val="12"/>
          <w:szCs w:val="12"/>
        </w:rPr>
      </w:pPr>
    </w:p>
    <w:p>
      <w:pPr>
        <w:spacing w:line="1350" w:lineRule="exact"/>
        <w:ind w:left="1134" w:right="0" w:firstLine="0"/>
        <w:rPr>
          <w:rFonts w:ascii="宋体" w:hAnsi="宋体" w:cs="宋体" w:eastAsia="宋体" w:hint="default"/>
          <w:sz w:val="20"/>
          <w:szCs w:val="20"/>
        </w:rPr>
      </w:pPr>
      <w:r>
        <w:rPr>
          <w:rFonts w:ascii="宋体" w:hAnsi="宋体" w:cs="宋体" w:eastAsia="宋体" w:hint="default"/>
          <w:position w:val="-26"/>
          <w:sz w:val="20"/>
          <w:szCs w:val="20"/>
        </w:rPr>
        <w:drawing>
          <wp:inline distT="0" distB="0" distL="0" distR="0">
            <wp:extent cx="5668010" cy="85725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4" cstate="print"/>
                    <a:stretch>
                      <a:fillRect/>
                    </a:stretch>
                  </pic:blipFill>
                  <pic:spPr>
                    <a:xfrm>
                      <a:off x="0" y="0"/>
                      <a:ext cx="5668010" cy="857250"/>
                    </a:xfrm>
                    <a:prstGeom prst="rect">
                      <a:avLst/>
                    </a:prstGeom>
                  </pic:spPr>
                </pic:pic>
              </a:graphicData>
            </a:graphic>
          </wp:inline>
        </w:drawing>
      </w:r>
      <w:r>
        <w:rPr>
          <w:rFonts w:ascii="宋体" w:hAnsi="宋体" w:cs="宋体" w:eastAsia="宋体" w:hint="default"/>
          <w:position w:val="-26"/>
          <w:sz w:val="20"/>
          <w:szCs w:val="20"/>
        </w:rPr>
      </w:r>
    </w:p>
    <w:p>
      <w:pPr>
        <w:pStyle w:val="Heading4"/>
        <w:spacing w:line="240" w:lineRule="auto" w:before="92"/>
        <w:ind w:left="1745" w:right="9490"/>
        <w:jc w:val="center"/>
      </w:pPr>
      <w:r>
        <w:rPr/>
        <w:t>续上表</w:t>
      </w:r>
    </w:p>
    <w:p>
      <w:pPr>
        <w:spacing w:after="0" w:line="240" w:lineRule="auto"/>
        <w:jc w:val="center"/>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line="2895" w:lineRule="exact"/>
        <w:ind w:left="1141" w:right="0" w:firstLine="0"/>
        <w:rPr>
          <w:rFonts w:ascii="宋体" w:hAnsi="宋体" w:cs="宋体" w:eastAsia="宋体" w:hint="default"/>
          <w:sz w:val="20"/>
          <w:szCs w:val="20"/>
        </w:rPr>
      </w:pPr>
      <w:r>
        <w:rPr>
          <w:rFonts w:ascii="宋体" w:hAnsi="宋体" w:cs="宋体" w:eastAsia="宋体" w:hint="default"/>
          <w:position w:val="-57"/>
          <w:sz w:val="20"/>
          <w:szCs w:val="20"/>
        </w:rPr>
        <w:drawing>
          <wp:inline distT="0" distB="0" distL="0" distR="0">
            <wp:extent cx="5644133" cy="1838325"/>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5" cstate="print"/>
                    <a:stretch>
                      <a:fillRect/>
                    </a:stretch>
                  </pic:blipFill>
                  <pic:spPr>
                    <a:xfrm>
                      <a:off x="0" y="0"/>
                      <a:ext cx="5644133" cy="1838325"/>
                    </a:xfrm>
                    <a:prstGeom prst="rect">
                      <a:avLst/>
                    </a:prstGeom>
                  </pic:spPr>
                </pic:pic>
              </a:graphicData>
            </a:graphic>
          </wp:inline>
        </w:drawing>
      </w:r>
      <w:r>
        <w:rPr>
          <w:rFonts w:ascii="宋体" w:hAnsi="宋体" w:cs="宋体" w:eastAsia="宋体" w:hint="default"/>
          <w:position w:val="-57"/>
          <w:sz w:val="20"/>
          <w:szCs w:val="20"/>
        </w:rPr>
      </w:r>
    </w:p>
    <w:p>
      <w:pPr>
        <w:spacing w:line="240" w:lineRule="auto" w:before="1"/>
        <w:rPr>
          <w:rFonts w:ascii="宋体" w:hAnsi="宋体" w:cs="宋体" w:eastAsia="宋体" w:hint="default"/>
          <w:sz w:val="6"/>
          <w:szCs w:val="6"/>
        </w:rPr>
      </w:pPr>
    </w:p>
    <w:p>
      <w:pPr>
        <w:pStyle w:val="Heading6"/>
        <w:spacing w:line="240" w:lineRule="auto" w:before="44"/>
        <w:ind w:left="1134" w:right="1015"/>
        <w:jc w:val="left"/>
        <w:rPr>
          <w:b w:val="0"/>
          <w:bCs w:val="0"/>
        </w:rPr>
      </w:pPr>
      <w:r>
        <w:rPr/>
        <w:t>（</w:t>
      </w:r>
      <w:r>
        <w:rPr>
          <w:rFonts w:ascii="宋体" w:hAnsi="宋体" w:cs="宋体" w:eastAsia="宋体" w:hint="default"/>
        </w:rPr>
        <w:t>2</w:t>
      </w:r>
      <w:r>
        <w:rPr/>
        <w:t>）合并成本及商誉</w:t>
      </w:r>
      <w:r>
        <w:rPr>
          <w:b w:val="0"/>
          <w:bCs w:val="0"/>
        </w:rPr>
      </w:r>
    </w:p>
    <w:p>
      <w:pPr>
        <w:spacing w:line="240" w:lineRule="auto" w:before="11"/>
        <w:rPr>
          <w:rFonts w:ascii="宋体" w:hAnsi="宋体" w:cs="宋体" w:eastAsia="宋体" w:hint="default"/>
          <w:b/>
          <w:bCs/>
          <w:sz w:val="6"/>
          <w:szCs w:val="6"/>
        </w:rPr>
      </w:pPr>
    </w:p>
    <w:p>
      <w:pPr>
        <w:spacing w:line="3075" w:lineRule="exact"/>
        <w:ind w:left="1141" w:right="0" w:firstLine="0"/>
        <w:rPr>
          <w:rFonts w:ascii="宋体" w:hAnsi="宋体" w:cs="宋体" w:eastAsia="宋体" w:hint="default"/>
          <w:sz w:val="20"/>
          <w:szCs w:val="20"/>
        </w:rPr>
      </w:pPr>
      <w:r>
        <w:rPr>
          <w:rFonts w:ascii="宋体" w:hAnsi="宋体" w:cs="宋体" w:eastAsia="宋体" w:hint="default"/>
          <w:position w:val="-61"/>
          <w:sz w:val="20"/>
          <w:szCs w:val="20"/>
        </w:rPr>
        <w:drawing>
          <wp:inline distT="0" distB="0" distL="0" distR="0">
            <wp:extent cx="5811093" cy="1952625"/>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16" cstate="print"/>
                    <a:stretch>
                      <a:fillRect/>
                    </a:stretch>
                  </pic:blipFill>
                  <pic:spPr>
                    <a:xfrm>
                      <a:off x="0" y="0"/>
                      <a:ext cx="5811093" cy="1952625"/>
                    </a:xfrm>
                    <a:prstGeom prst="rect">
                      <a:avLst/>
                    </a:prstGeom>
                  </pic:spPr>
                </pic:pic>
              </a:graphicData>
            </a:graphic>
          </wp:inline>
        </w:drawing>
      </w:r>
      <w:r>
        <w:rPr>
          <w:rFonts w:ascii="宋体" w:hAnsi="宋体" w:cs="宋体" w:eastAsia="宋体" w:hint="default"/>
          <w:position w:val="-61"/>
          <w:sz w:val="20"/>
          <w:szCs w:val="20"/>
        </w:rPr>
      </w:r>
    </w:p>
    <w:p>
      <w:pPr>
        <w:pStyle w:val="BodyText"/>
        <w:spacing w:line="319" w:lineRule="auto" w:before="32"/>
        <w:ind w:left="1133" w:right="1123"/>
        <w:jc w:val="left"/>
      </w:pPr>
      <w:r>
        <w:rPr/>
        <w:t>说明：合并成本公允价值的确定方法、或有对价及其变动的说明： </w:t>
      </w:r>
      <w:r>
        <w:rPr>
          <w:rFonts w:ascii="宋体" w:hAnsi="宋体" w:cs="宋体" w:eastAsia="宋体" w:hint="default"/>
        </w:rPr>
        <w:t>1</w:t>
      </w:r>
      <w:r>
        <w:rPr/>
        <w:t>、公司对深圳市瑞康宏业科技开发有限公司增资支付的现金对价</w:t>
      </w:r>
      <w:r>
        <w:rPr>
          <w:rFonts w:ascii="宋体" w:hAnsi="宋体" w:cs="宋体" w:eastAsia="宋体" w:hint="default"/>
        </w:rPr>
        <w:t>6,000,000.00</w:t>
      </w:r>
      <w:r>
        <w:rPr/>
        <w:t>元；购买日之前持有的股权于购买日的公允</w:t>
      </w:r>
      <w:r>
        <w:rPr>
          <w:spacing w:val="-82"/>
        </w:rPr>
        <w:t> </w:t>
      </w:r>
      <w:r>
        <w:rPr>
          <w:spacing w:val="-82"/>
        </w:rPr>
      </w:r>
      <w:r>
        <w:rPr/>
        <w:t>价值</w:t>
      </w:r>
      <w:r>
        <w:rPr>
          <w:rFonts w:ascii="宋体" w:hAnsi="宋体" w:cs="宋体" w:eastAsia="宋体" w:hint="default"/>
        </w:rPr>
        <w:t>16,985,469.32</w:t>
      </w:r>
      <w:r>
        <w:rPr/>
        <w:t>元，两次合并成本合计</w:t>
      </w:r>
      <w:r>
        <w:rPr>
          <w:rFonts w:ascii="宋体" w:hAnsi="宋体" w:cs="宋体" w:eastAsia="宋体" w:hint="default"/>
        </w:rPr>
        <w:t>22,985,469.32</w:t>
      </w:r>
      <w:r>
        <w:rPr/>
        <w:t>元。 </w:t>
      </w:r>
      <w:r>
        <w:rPr>
          <w:rFonts w:ascii="宋体" w:hAnsi="宋体" w:cs="宋体" w:eastAsia="宋体" w:hint="default"/>
        </w:rPr>
        <w:t>2</w:t>
      </w:r>
      <w:r>
        <w:rPr/>
        <w:t>、大额商誉形成的主要原因：是由收购总成本与被购买方购买日可辨认净资产的公允价值差额确定的。</w:t>
      </w:r>
    </w:p>
    <w:p>
      <w:pPr>
        <w:pStyle w:val="Heading3"/>
        <w:spacing w:line="266" w:lineRule="exact"/>
        <w:ind w:left="1133" w:right="1015"/>
        <w:jc w:val="left"/>
        <w:rPr>
          <w:b w:val="0"/>
          <w:bCs w:val="0"/>
        </w:rPr>
      </w:pPr>
      <w:r>
        <w:rPr>
          <w:rFonts w:ascii="宋体" w:hAnsi="宋体" w:cs="宋体" w:eastAsia="宋体" w:hint="default"/>
        </w:rPr>
        <w:t>3</w:t>
      </w:r>
      <w:r>
        <w:rPr/>
        <w:t>、被购买方于购买日可辨认资产、负债</w:t>
      </w:r>
      <w:r>
        <w:rPr>
          <w:b w:val="0"/>
          <w:bCs w:val="0"/>
        </w:rPr>
      </w:r>
    </w:p>
    <w:p>
      <w:pPr>
        <w:spacing w:line="240" w:lineRule="auto" w:before="13"/>
        <w:rPr>
          <w:rFonts w:ascii="宋体" w:hAnsi="宋体" w:cs="宋体" w:eastAsia="宋体" w:hint="default"/>
          <w:b/>
          <w:bCs/>
          <w:sz w:val="3"/>
          <w:szCs w:val="3"/>
        </w:rPr>
      </w:pPr>
    </w:p>
    <w:tbl>
      <w:tblPr>
        <w:tblW w:w="0" w:type="auto"/>
        <w:jc w:val="left"/>
        <w:tblInd w:w="1177" w:type="dxa"/>
        <w:tblLayout w:type="fixed"/>
        <w:tblCellMar>
          <w:top w:w="0" w:type="dxa"/>
          <w:left w:w="0" w:type="dxa"/>
          <w:bottom w:w="0" w:type="dxa"/>
          <w:right w:w="0" w:type="dxa"/>
        </w:tblCellMar>
        <w:tblLook w:val="01E0"/>
      </w:tblPr>
      <w:tblGrid>
        <w:gridCol w:w="3709"/>
        <w:gridCol w:w="2386"/>
        <w:gridCol w:w="2922"/>
      </w:tblGrid>
      <w:tr>
        <w:trPr>
          <w:trHeight w:val="485" w:hRule="exact"/>
        </w:trPr>
        <w:tc>
          <w:tcPr>
            <w:tcW w:w="3709" w:type="dxa"/>
            <w:vMerge w:val="restart"/>
            <w:tcBorders>
              <w:top w:val="single" w:sz="2" w:space="0" w:color="000000"/>
              <w:left w:val="single" w:sz="2" w:space="0" w:color="000000"/>
              <w:right w:val="single" w:sz="2" w:space="0" w:color="000000"/>
            </w:tcBorders>
            <w:shd w:val="clear" w:color="auto" w:fill="D6D6D6"/>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 目</w:t>
            </w:r>
          </w:p>
        </w:tc>
        <w:tc>
          <w:tcPr>
            <w:tcW w:w="5308" w:type="dxa"/>
            <w:gridSpan w:val="2"/>
            <w:tcBorders>
              <w:top w:val="single" w:sz="2" w:space="0" w:color="000000"/>
              <w:left w:val="single" w:sz="2" w:space="0" w:color="000000"/>
              <w:bottom w:val="single" w:sz="2" w:space="0" w:color="000000"/>
              <w:right w:val="single" w:sz="2" w:space="0" w:color="000000"/>
            </w:tcBorders>
            <w:shd w:val="clear" w:color="auto" w:fill="D6D6D6"/>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300" w:right="0"/>
              <w:jc w:val="left"/>
              <w:rPr>
                <w:rFonts w:ascii="宋体" w:hAnsi="宋体" w:cs="宋体" w:eastAsia="宋体" w:hint="default"/>
                <w:sz w:val="18"/>
                <w:szCs w:val="18"/>
              </w:rPr>
            </w:pPr>
            <w:r>
              <w:rPr>
                <w:rFonts w:ascii="宋体" w:hAnsi="宋体" w:cs="宋体" w:eastAsia="宋体" w:hint="default"/>
                <w:sz w:val="18"/>
                <w:szCs w:val="18"/>
              </w:rPr>
              <w:t>深圳市瑞康宏业科技开发有限公司</w:t>
            </w:r>
          </w:p>
        </w:tc>
      </w:tr>
      <w:tr>
        <w:trPr>
          <w:trHeight w:val="485" w:hRule="exact"/>
        </w:trPr>
        <w:tc>
          <w:tcPr>
            <w:tcW w:w="3709" w:type="dxa"/>
            <w:vMerge/>
            <w:tcBorders>
              <w:left w:val="single" w:sz="2" w:space="0" w:color="000000"/>
              <w:bottom w:val="single" w:sz="2" w:space="0" w:color="000000"/>
              <w:right w:val="single" w:sz="2" w:space="0" w:color="000000"/>
            </w:tcBorders>
            <w:shd w:val="clear" w:color="auto" w:fill="D6D6D6"/>
          </w:tcPr>
          <w:p>
            <w:pPr/>
          </w:p>
        </w:tc>
        <w:tc>
          <w:tcPr>
            <w:tcW w:w="2386" w:type="dxa"/>
            <w:tcBorders>
              <w:top w:val="single" w:sz="2" w:space="0" w:color="000000"/>
              <w:left w:val="single" w:sz="2" w:space="0" w:color="000000"/>
              <w:bottom w:val="single" w:sz="2" w:space="0" w:color="000000"/>
              <w:right w:val="single" w:sz="2" w:space="0" w:color="000000"/>
            </w:tcBorders>
            <w:shd w:val="clear" w:color="auto" w:fill="D6D6D6"/>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2922" w:type="dxa"/>
            <w:tcBorders>
              <w:top w:val="single" w:sz="2" w:space="0" w:color="000000"/>
              <w:left w:val="single" w:sz="2" w:space="0" w:color="000000"/>
              <w:bottom w:val="single" w:sz="2" w:space="0" w:color="000000"/>
              <w:right w:val="single" w:sz="2" w:space="0" w:color="000000"/>
            </w:tcBorders>
            <w:shd w:val="clear" w:color="auto" w:fill="D6D6D6"/>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828"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85" w:hRule="exact"/>
        </w:trPr>
        <w:tc>
          <w:tcPr>
            <w:tcW w:w="3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386" w:type="dxa"/>
            <w:tcBorders>
              <w:top w:val="single" w:sz="2" w:space="0" w:color="000000"/>
              <w:left w:val="single" w:sz="2" w:space="0" w:color="000000"/>
              <w:bottom w:val="single" w:sz="2" w:space="0" w:color="000000"/>
              <w:right w:val="single" w:sz="2" w:space="0" w:color="000000"/>
            </w:tcBorders>
          </w:tcPr>
          <w:p>
            <w:pPr/>
          </w:p>
        </w:tc>
        <w:tc>
          <w:tcPr>
            <w:tcW w:w="2922" w:type="dxa"/>
            <w:tcBorders>
              <w:top w:val="single" w:sz="2" w:space="0" w:color="000000"/>
              <w:left w:val="single" w:sz="2" w:space="0" w:color="000000"/>
              <w:bottom w:val="single" w:sz="2" w:space="0" w:color="000000"/>
              <w:right w:val="single" w:sz="2" w:space="0" w:color="000000"/>
            </w:tcBorders>
          </w:tcPr>
          <w:p>
            <w:pPr/>
          </w:p>
        </w:tc>
      </w:tr>
      <w:tr>
        <w:trPr>
          <w:trHeight w:val="486" w:hRule="exact"/>
        </w:trPr>
        <w:tc>
          <w:tcPr>
            <w:tcW w:w="3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104"/>
              <w:jc w:val="right"/>
              <w:rPr>
                <w:rFonts w:ascii="Times New Roman" w:hAnsi="Times New Roman" w:cs="Times New Roman" w:eastAsia="Times New Roman" w:hint="default"/>
                <w:sz w:val="18"/>
                <w:szCs w:val="18"/>
              </w:rPr>
            </w:pPr>
            <w:r>
              <w:rPr>
                <w:rFonts w:ascii="Times New Roman"/>
                <w:spacing w:val="-1"/>
                <w:sz w:val="18"/>
              </w:rPr>
              <w:t>3,895,033.50</w:t>
            </w:r>
          </w:p>
        </w:tc>
        <w:tc>
          <w:tcPr>
            <w:tcW w:w="29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103"/>
              <w:jc w:val="right"/>
              <w:rPr>
                <w:rFonts w:ascii="Times New Roman" w:hAnsi="Times New Roman" w:cs="Times New Roman" w:eastAsia="Times New Roman" w:hint="default"/>
                <w:sz w:val="18"/>
                <w:szCs w:val="18"/>
              </w:rPr>
            </w:pPr>
            <w:r>
              <w:rPr>
                <w:rFonts w:ascii="Times New Roman"/>
                <w:spacing w:val="-1"/>
                <w:sz w:val="18"/>
              </w:rPr>
              <w:t>3,895,033.50</w:t>
            </w:r>
          </w:p>
        </w:tc>
      </w:tr>
      <w:tr>
        <w:trPr>
          <w:trHeight w:val="485" w:hRule="exact"/>
        </w:trPr>
        <w:tc>
          <w:tcPr>
            <w:tcW w:w="3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2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4"/>
              <w:ind w:right="104"/>
              <w:jc w:val="right"/>
              <w:rPr>
                <w:rFonts w:ascii="Times New Roman" w:hAnsi="Times New Roman" w:cs="Times New Roman" w:eastAsia="Times New Roman" w:hint="default"/>
                <w:sz w:val="18"/>
                <w:szCs w:val="18"/>
              </w:rPr>
            </w:pPr>
            <w:r>
              <w:rPr>
                <w:rFonts w:ascii="Times New Roman"/>
                <w:sz w:val="18"/>
              </w:rPr>
              <w:t>15,199.19</w:t>
            </w:r>
          </w:p>
        </w:tc>
        <w:tc>
          <w:tcPr>
            <w:tcW w:w="29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4"/>
              <w:ind w:right="102"/>
              <w:jc w:val="right"/>
              <w:rPr>
                <w:rFonts w:ascii="Times New Roman" w:hAnsi="Times New Roman" w:cs="Times New Roman" w:eastAsia="Times New Roman" w:hint="default"/>
                <w:sz w:val="18"/>
                <w:szCs w:val="18"/>
              </w:rPr>
            </w:pPr>
            <w:r>
              <w:rPr>
                <w:rFonts w:ascii="Times New Roman"/>
                <w:sz w:val="18"/>
              </w:rPr>
              <w:t>15,199.19</w:t>
            </w:r>
          </w:p>
        </w:tc>
      </w:tr>
      <w:tr>
        <w:trPr>
          <w:trHeight w:val="485" w:hRule="exact"/>
        </w:trPr>
        <w:tc>
          <w:tcPr>
            <w:tcW w:w="3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104"/>
              <w:jc w:val="right"/>
              <w:rPr>
                <w:rFonts w:ascii="Times New Roman" w:hAnsi="Times New Roman" w:cs="Times New Roman" w:eastAsia="Times New Roman" w:hint="default"/>
                <w:sz w:val="18"/>
                <w:szCs w:val="18"/>
              </w:rPr>
            </w:pPr>
            <w:r>
              <w:rPr>
                <w:rFonts w:ascii="Times New Roman"/>
                <w:spacing w:val="-1"/>
                <w:sz w:val="18"/>
              </w:rPr>
              <w:t>1,833,714.28</w:t>
            </w:r>
          </w:p>
        </w:tc>
        <w:tc>
          <w:tcPr>
            <w:tcW w:w="29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103"/>
              <w:jc w:val="right"/>
              <w:rPr>
                <w:rFonts w:ascii="Times New Roman" w:hAnsi="Times New Roman" w:cs="Times New Roman" w:eastAsia="Times New Roman" w:hint="default"/>
                <w:sz w:val="18"/>
                <w:szCs w:val="18"/>
              </w:rPr>
            </w:pPr>
            <w:r>
              <w:rPr>
                <w:rFonts w:ascii="Times New Roman"/>
                <w:spacing w:val="-1"/>
                <w:sz w:val="18"/>
              </w:rPr>
              <w:t>1,833,714.28</w:t>
            </w:r>
          </w:p>
        </w:tc>
      </w:tr>
      <w:tr>
        <w:trPr>
          <w:trHeight w:val="485" w:hRule="exact"/>
        </w:trPr>
        <w:tc>
          <w:tcPr>
            <w:tcW w:w="3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104"/>
              <w:jc w:val="right"/>
              <w:rPr>
                <w:rFonts w:ascii="Times New Roman" w:hAnsi="Times New Roman" w:cs="Times New Roman" w:eastAsia="Times New Roman" w:hint="default"/>
                <w:sz w:val="18"/>
                <w:szCs w:val="18"/>
              </w:rPr>
            </w:pPr>
            <w:r>
              <w:rPr>
                <w:rFonts w:ascii="Times New Roman"/>
                <w:sz w:val="18"/>
              </w:rPr>
              <w:t>243,360.78</w:t>
            </w:r>
          </w:p>
        </w:tc>
        <w:tc>
          <w:tcPr>
            <w:tcW w:w="29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102"/>
              <w:jc w:val="right"/>
              <w:rPr>
                <w:rFonts w:ascii="Times New Roman" w:hAnsi="Times New Roman" w:cs="Times New Roman" w:eastAsia="Times New Roman" w:hint="default"/>
                <w:sz w:val="18"/>
                <w:szCs w:val="18"/>
              </w:rPr>
            </w:pPr>
            <w:r>
              <w:rPr>
                <w:rFonts w:ascii="Times New Roman"/>
                <w:sz w:val="18"/>
              </w:rPr>
              <w:t>243,360.78</w:t>
            </w:r>
          </w:p>
        </w:tc>
      </w:tr>
      <w:tr>
        <w:trPr>
          <w:trHeight w:val="485" w:hRule="exact"/>
        </w:trPr>
        <w:tc>
          <w:tcPr>
            <w:tcW w:w="3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1"/>
                <w:sz w:val="16"/>
              </w:rPr>
              <w:t>119,707.69</w:t>
            </w:r>
          </w:p>
        </w:tc>
        <w:tc>
          <w:tcPr>
            <w:tcW w:w="29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119,707.69</w:t>
            </w:r>
          </w:p>
        </w:tc>
      </w:tr>
      <w:tr>
        <w:trPr>
          <w:trHeight w:val="485" w:hRule="exact"/>
        </w:trPr>
        <w:tc>
          <w:tcPr>
            <w:tcW w:w="3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386" w:type="dxa"/>
            <w:tcBorders>
              <w:top w:val="single" w:sz="2" w:space="0" w:color="000000"/>
              <w:left w:val="single" w:sz="2" w:space="0" w:color="000000"/>
              <w:bottom w:val="single" w:sz="2" w:space="0" w:color="000000"/>
              <w:right w:val="single" w:sz="2" w:space="0" w:color="000000"/>
            </w:tcBorders>
          </w:tcPr>
          <w:p>
            <w:pPr/>
          </w:p>
        </w:tc>
        <w:tc>
          <w:tcPr>
            <w:tcW w:w="2922" w:type="dxa"/>
            <w:tcBorders>
              <w:top w:val="single" w:sz="2" w:space="0" w:color="000000"/>
              <w:left w:val="single" w:sz="2" w:space="0" w:color="000000"/>
              <w:bottom w:val="single" w:sz="2" w:space="0" w:color="000000"/>
              <w:right w:val="single" w:sz="2" w:space="0" w:color="000000"/>
            </w:tcBorders>
          </w:tcPr>
          <w:p>
            <w:pPr/>
          </w:p>
        </w:tc>
      </w:tr>
      <w:tr>
        <w:trPr>
          <w:trHeight w:val="486" w:hRule="exact"/>
        </w:trPr>
        <w:tc>
          <w:tcPr>
            <w:tcW w:w="3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2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4"/>
              <w:jc w:val="right"/>
              <w:rPr>
                <w:rFonts w:ascii="Times New Roman" w:hAnsi="Times New Roman" w:cs="Times New Roman" w:eastAsia="Times New Roman" w:hint="default"/>
                <w:sz w:val="18"/>
                <w:szCs w:val="18"/>
              </w:rPr>
            </w:pPr>
            <w:r>
              <w:rPr>
                <w:rFonts w:ascii="Times New Roman"/>
                <w:sz w:val="18"/>
              </w:rPr>
              <w:t>359,685.21</w:t>
            </w:r>
          </w:p>
        </w:tc>
        <w:tc>
          <w:tcPr>
            <w:tcW w:w="29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2"/>
              <w:jc w:val="right"/>
              <w:rPr>
                <w:rFonts w:ascii="Times New Roman" w:hAnsi="Times New Roman" w:cs="Times New Roman" w:eastAsia="Times New Roman" w:hint="default"/>
                <w:sz w:val="18"/>
                <w:szCs w:val="18"/>
              </w:rPr>
            </w:pPr>
            <w:r>
              <w:rPr>
                <w:rFonts w:ascii="Times New Roman"/>
                <w:sz w:val="18"/>
              </w:rPr>
              <w:t>359,685.21</w:t>
            </w:r>
          </w:p>
        </w:tc>
      </w:tr>
      <w:tr>
        <w:trPr>
          <w:trHeight w:val="485" w:hRule="exact"/>
        </w:trPr>
        <w:tc>
          <w:tcPr>
            <w:tcW w:w="3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780,149.35</w:t>
            </w:r>
          </w:p>
        </w:tc>
        <w:tc>
          <w:tcPr>
            <w:tcW w:w="29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780,149.35</w:t>
            </w:r>
          </w:p>
        </w:tc>
      </w:tr>
      <w:tr>
        <w:trPr>
          <w:trHeight w:val="485" w:hRule="exact"/>
        </w:trPr>
        <w:tc>
          <w:tcPr>
            <w:tcW w:w="3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998,129.28</w:t>
            </w:r>
          </w:p>
        </w:tc>
        <w:tc>
          <w:tcPr>
            <w:tcW w:w="29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998,129.28</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b/>
          <w:bCs/>
          <w:sz w:val="25"/>
          <w:szCs w:val="25"/>
        </w:rPr>
      </w:pPr>
    </w:p>
    <w:tbl>
      <w:tblPr>
        <w:tblW w:w="0" w:type="auto"/>
        <w:jc w:val="left"/>
        <w:tblInd w:w="1177" w:type="dxa"/>
        <w:tblLayout w:type="fixed"/>
        <w:tblCellMar>
          <w:top w:w="0" w:type="dxa"/>
          <w:left w:w="0" w:type="dxa"/>
          <w:bottom w:w="0" w:type="dxa"/>
          <w:right w:w="0" w:type="dxa"/>
        </w:tblCellMar>
        <w:tblLook w:val="01E0"/>
      </w:tblPr>
      <w:tblGrid>
        <w:gridCol w:w="3709"/>
        <w:gridCol w:w="2386"/>
        <w:gridCol w:w="2922"/>
      </w:tblGrid>
      <w:tr>
        <w:trPr>
          <w:trHeight w:val="485" w:hRule="exact"/>
        </w:trPr>
        <w:tc>
          <w:tcPr>
            <w:tcW w:w="3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2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104"/>
              <w:jc w:val="right"/>
              <w:rPr>
                <w:rFonts w:ascii="Times New Roman" w:hAnsi="Times New Roman" w:cs="Times New Roman" w:eastAsia="Times New Roman" w:hint="default"/>
                <w:sz w:val="18"/>
                <w:szCs w:val="18"/>
              </w:rPr>
            </w:pPr>
            <w:r>
              <w:rPr>
                <w:rFonts w:ascii="Times New Roman"/>
                <w:spacing w:val="-1"/>
                <w:sz w:val="18"/>
              </w:rPr>
              <w:t>4,641,095.42</w:t>
            </w:r>
          </w:p>
        </w:tc>
        <w:tc>
          <w:tcPr>
            <w:tcW w:w="29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103"/>
              <w:jc w:val="right"/>
              <w:rPr>
                <w:rFonts w:ascii="Times New Roman" w:hAnsi="Times New Roman" w:cs="Times New Roman" w:eastAsia="Times New Roman" w:hint="default"/>
                <w:sz w:val="18"/>
                <w:szCs w:val="18"/>
              </w:rPr>
            </w:pPr>
            <w:r>
              <w:rPr>
                <w:rFonts w:ascii="Times New Roman"/>
                <w:spacing w:val="-1"/>
                <w:sz w:val="18"/>
              </w:rPr>
              <w:t>4,641,095.42</w:t>
            </w:r>
          </w:p>
        </w:tc>
      </w:tr>
      <w:tr>
        <w:trPr>
          <w:trHeight w:val="485" w:hRule="exact"/>
        </w:trPr>
        <w:tc>
          <w:tcPr>
            <w:tcW w:w="3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2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105"/>
              <w:jc w:val="right"/>
              <w:rPr>
                <w:rFonts w:ascii="Times New Roman" w:hAnsi="Times New Roman" w:cs="Times New Roman" w:eastAsia="Times New Roman" w:hint="default"/>
                <w:sz w:val="18"/>
                <w:szCs w:val="18"/>
              </w:rPr>
            </w:pPr>
            <w:r>
              <w:rPr>
                <w:rFonts w:ascii="Times New Roman"/>
                <w:spacing w:val="-1"/>
                <w:sz w:val="18"/>
              </w:rPr>
              <w:t>2,336,791.55</w:t>
            </w:r>
          </w:p>
        </w:tc>
        <w:tc>
          <w:tcPr>
            <w:tcW w:w="29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103"/>
              <w:jc w:val="right"/>
              <w:rPr>
                <w:rFonts w:ascii="Times New Roman" w:hAnsi="Times New Roman" w:cs="Times New Roman" w:eastAsia="Times New Roman" w:hint="default"/>
                <w:sz w:val="18"/>
                <w:szCs w:val="18"/>
              </w:rPr>
            </w:pPr>
            <w:r>
              <w:rPr>
                <w:rFonts w:ascii="Times New Roman"/>
                <w:spacing w:val="-1"/>
                <w:sz w:val="18"/>
              </w:rPr>
              <w:t>2,336,791.55</w:t>
            </w:r>
          </w:p>
        </w:tc>
      </w:tr>
      <w:tr>
        <w:trPr>
          <w:trHeight w:val="486" w:hRule="exact"/>
        </w:trPr>
        <w:tc>
          <w:tcPr>
            <w:tcW w:w="3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2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104"/>
              <w:jc w:val="right"/>
              <w:rPr>
                <w:rFonts w:ascii="Times New Roman" w:hAnsi="Times New Roman" w:cs="Times New Roman" w:eastAsia="Times New Roman" w:hint="default"/>
                <w:sz w:val="18"/>
                <w:szCs w:val="18"/>
              </w:rPr>
            </w:pPr>
            <w:r>
              <w:rPr>
                <w:rFonts w:ascii="Times New Roman"/>
                <w:spacing w:val="-1"/>
                <w:sz w:val="18"/>
              </w:rPr>
              <w:t>2,304,303.87</w:t>
            </w:r>
          </w:p>
        </w:tc>
        <w:tc>
          <w:tcPr>
            <w:tcW w:w="29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102"/>
              <w:jc w:val="right"/>
              <w:rPr>
                <w:rFonts w:ascii="Times New Roman" w:hAnsi="Times New Roman" w:cs="Times New Roman" w:eastAsia="Times New Roman" w:hint="default"/>
                <w:sz w:val="18"/>
                <w:szCs w:val="18"/>
              </w:rPr>
            </w:pPr>
            <w:r>
              <w:rPr>
                <w:rFonts w:ascii="Times New Roman"/>
                <w:spacing w:val="-1"/>
                <w:sz w:val="18"/>
              </w:rPr>
              <w:t>2,304,303.87</w:t>
            </w:r>
          </w:p>
        </w:tc>
      </w:tr>
    </w:tbl>
    <w:p>
      <w:pPr>
        <w:spacing w:line="316" w:lineRule="auto" w:before="10"/>
        <w:ind w:left="1134" w:right="1015" w:firstLine="0"/>
        <w:jc w:val="left"/>
        <w:rPr>
          <w:rFonts w:ascii="宋体" w:hAnsi="宋体" w:cs="宋体" w:eastAsia="宋体" w:hint="default"/>
          <w:sz w:val="18"/>
          <w:szCs w:val="18"/>
        </w:rPr>
      </w:pPr>
      <w:r>
        <w:rPr>
          <w:rFonts w:ascii="宋体" w:hAnsi="宋体" w:cs="宋体" w:eastAsia="宋体" w:hint="default"/>
          <w:spacing w:val="-2"/>
          <w:sz w:val="18"/>
          <w:szCs w:val="18"/>
        </w:rPr>
        <w:t>可辨认资产、负债公允价值的确定方法：深圳市瑞康宏业科技开发有限公司无房产土地等实物资产，其他资产、负债规模较</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小，购买日可辨认资产、负债公允价值以购买日账面价值确认。 </w:t>
      </w:r>
      <w:r>
        <w:rPr>
          <w:rFonts w:ascii="宋体" w:hAnsi="宋体" w:cs="宋体" w:eastAsia="宋体" w:hint="default"/>
          <w:b/>
          <w:bCs/>
          <w:sz w:val="18"/>
          <w:szCs w:val="18"/>
        </w:rPr>
        <w:t>4</w:t>
      </w:r>
      <w:r>
        <w:rPr>
          <w:rFonts w:ascii="宋体" w:hAnsi="宋体" w:cs="宋体" w:eastAsia="宋体" w:hint="default"/>
          <w:b/>
          <w:bCs/>
          <w:sz w:val="18"/>
          <w:szCs w:val="18"/>
        </w:rPr>
        <w:t>、购买日之前持有的股权按照公允价值重新计量产生的利得或损失</w:t>
      </w:r>
      <w:r>
        <w:rPr>
          <w:rFonts w:ascii="宋体" w:hAnsi="宋体" w:cs="宋体" w:eastAsia="宋体" w:hint="default"/>
          <w:sz w:val="18"/>
          <w:szCs w:val="18"/>
        </w:rPr>
      </w:r>
    </w:p>
    <w:tbl>
      <w:tblPr>
        <w:tblW w:w="0" w:type="auto"/>
        <w:jc w:val="left"/>
        <w:tblInd w:w="1192" w:type="dxa"/>
        <w:tblLayout w:type="fixed"/>
        <w:tblCellMar>
          <w:top w:w="0" w:type="dxa"/>
          <w:left w:w="0" w:type="dxa"/>
          <w:bottom w:w="0" w:type="dxa"/>
          <w:right w:w="0" w:type="dxa"/>
        </w:tblCellMar>
        <w:tblLook w:val="01E0"/>
      </w:tblPr>
      <w:tblGrid>
        <w:gridCol w:w="1500"/>
        <w:gridCol w:w="1304"/>
        <w:gridCol w:w="1440"/>
        <w:gridCol w:w="1590"/>
        <w:gridCol w:w="1666"/>
        <w:gridCol w:w="1514"/>
      </w:tblGrid>
      <w:tr>
        <w:trPr>
          <w:trHeight w:val="2084" w:hRule="exact"/>
        </w:trPr>
        <w:tc>
          <w:tcPr>
            <w:tcW w:w="1500" w:type="dxa"/>
            <w:tcBorders>
              <w:top w:val="single" w:sz="2" w:space="0" w:color="000000"/>
              <w:left w:val="single" w:sz="2" w:space="0" w:color="000000"/>
              <w:bottom w:val="single" w:sz="2" w:space="0" w:color="000000"/>
              <w:right w:val="single" w:sz="2" w:space="0" w:color="000000"/>
            </w:tcBorders>
            <w:shd w:val="clear" w:color="auto" w:fill="D6D6D6"/>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304" w:type="dxa"/>
            <w:tcBorders>
              <w:top w:val="single" w:sz="2" w:space="0" w:color="000000"/>
              <w:left w:val="single" w:sz="2" w:space="0" w:color="000000"/>
              <w:bottom w:val="single" w:sz="2" w:space="0" w:color="000000"/>
              <w:right w:val="single" w:sz="2" w:space="0" w:color="000000"/>
            </w:tcBorders>
            <w:shd w:val="clear" w:color="auto" w:fill="D6D6D6"/>
          </w:tcPr>
          <w:p>
            <w:pPr>
              <w:pStyle w:val="TableParagraph"/>
              <w:spacing w:line="240" w:lineRule="auto"/>
              <w:ind w:right="0"/>
              <w:jc w:val="left"/>
              <w:rPr>
                <w:rFonts w:ascii="宋体" w:hAnsi="宋体" w:cs="宋体" w:eastAsia="宋体" w:hint="default"/>
                <w:b/>
                <w:bCs/>
                <w:sz w:val="18"/>
                <w:szCs w:val="18"/>
              </w:rPr>
            </w:pPr>
          </w:p>
          <w:p>
            <w:pPr>
              <w:pStyle w:val="TableParagraph"/>
              <w:spacing w:line="408" w:lineRule="auto" w:before="140"/>
              <w:ind w:left="109" w:right="108"/>
              <w:jc w:val="center"/>
              <w:rPr>
                <w:rFonts w:ascii="宋体" w:hAnsi="宋体" w:cs="宋体" w:eastAsia="宋体" w:hint="default"/>
                <w:sz w:val="18"/>
                <w:szCs w:val="18"/>
              </w:rPr>
            </w:pPr>
            <w:r>
              <w:rPr>
                <w:rFonts w:ascii="宋体" w:hAnsi="宋体" w:cs="宋体" w:eastAsia="宋体" w:hint="default"/>
                <w:sz w:val="18"/>
                <w:szCs w:val="18"/>
              </w:rPr>
              <w:t>购买日之前原 持有股权在购 买日的账面价 值</w:t>
            </w:r>
          </w:p>
        </w:tc>
        <w:tc>
          <w:tcPr>
            <w:tcW w:w="1440" w:type="dxa"/>
            <w:tcBorders>
              <w:top w:val="single" w:sz="2" w:space="0" w:color="000000"/>
              <w:left w:val="single" w:sz="2" w:space="0" w:color="000000"/>
              <w:bottom w:val="single" w:sz="2" w:space="0" w:color="000000"/>
              <w:right w:val="single" w:sz="2" w:space="0" w:color="000000"/>
            </w:tcBorders>
            <w:shd w:val="clear" w:color="auto" w:fill="D6D6D6"/>
          </w:tcPr>
          <w:p>
            <w:pPr>
              <w:pStyle w:val="TableParagraph"/>
              <w:spacing w:line="240" w:lineRule="auto"/>
              <w:ind w:right="0"/>
              <w:jc w:val="left"/>
              <w:rPr>
                <w:rFonts w:ascii="宋体" w:hAnsi="宋体" w:cs="宋体" w:eastAsia="宋体" w:hint="default"/>
                <w:b/>
                <w:bCs/>
                <w:sz w:val="18"/>
                <w:szCs w:val="18"/>
              </w:rPr>
            </w:pPr>
          </w:p>
          <w:p>
            <w:pPr>
              <w:pStyle w:val="TableParagraph"/>
              <w:spacing w:line="408" w:lineRule="auto" w:before="140"/>
              <w:ind w:left="177" w:right="177"/>
              <w:jc w:val="center"/>
              <w:rPr>
                <w:rFonts w:ascii="宋体" w:hAnsi="宋体" w:cs="宋体" w:eastAsia="宋体" w:hint="default"/>
                <w:sz w:val="18"/>
                <w:szCs w:val="18"/>
              </w:rPr>
            </w:pPr>
            <w:r>
              <w:rPr>
                <w:rFonts w:ascii="宋体" w:hAnsi="宋体" w:cs="宋体" w:eastAsia="宋体" w:hint="default"/>
                <w:sz w:val="18"/>
                <w:szCs w:val="18"/>
              </w:rPr>
              <w:t>购买日之前原 持有股权在购 买日的公允价 值</w:t>
            </w:r>
          </w:p>
        </w:tc>
        <w:tc>
          <w:tcPr>
            <w:tcW w:w="1590" w:type="dxa"/>
            <w:tcBorders>
              <w:top w:val="single" w:sz="2" w:space="0" w:color="000000"/>
              <w:left w:val="single" w:sz="2" w:space="0" w:color="000000"/>
              <w:bottom w:val="single" w:sz="2" w:space="0" w:color="000000"/>
              <w:right w:val="single" w:sz="2" w:space="0" w:color="000000"/>
            </w:tcBorders>
            <w:shd w:val="clear" w:color="auto" w:fill="D6D6D6"/>
          </w:tcPr>
          <w:p>
            <w:pPr>
              <w:pStyle w:val="TableParagraph"/>
              <w:spacing w:line="240" w:lineRule="auto"/>
              <w:ind w:right="0"/>
              <w:jc w:val="left"/>
              <w:rPr>
                <w:rFonts w:ascii="宋体" w:hAnsi="宋体" w:cs="宋体" w:eastAsia="宋体" w:hint="default"/>
                <w:b/>
                <w:bCs/>
                <w:sz w:val="18"/>
                <w:szCs w:val="18"/>
              </w:rPr>
            </w:pPr>
          </w:p>
          <w:p>
            <w:pPr>
              <w:pStyle w:val="TableParagraph"/>
              <w:spacing w:line="408" w:lineRule="auto" w:before="140"/>
              <w:ind w:left="162" w:right="161"/>
              <w:jc w:val="both"/>
              <w:rPr>
                <w:rFonts w:ascii="宋体" w:hAnsi="宋体" w:cs="宋体" w:eastAsia="宋体" w:hint="default"/>
                <w:sz w:val="18"/>
                <w:szCs w:val="18"/>
              </w:rPr>
            </w:pPr>
            <w:r>
              <w:rPr>
                <w:rFonts w:ascii="宋体" w:hAnsi="宋体" w:cs="宋体" w:eastAsia="宋体" w:hint="default"/>
                <w:sz w:val="18"/>
                <w:szCs w:val="18"/>
              </w:rPr>
              <w:t>购买日之前原持 有股权按照公允 价值重新计量产 生的利得或损失</w:t>
            </w:r>
          </w:p>
        </w:tc>
        <w:tc>
          <w:tcPr>
            <w:tcW w:w="1666" w:type="dxa"/>
            <w:tcBorders>
              <w:top w:val="single" w:sz="2" w:space="0" w:color="000000"/>
              <w:left w:val="single" w:sz="2" w:space="0" w:color="000000"/>
              <w:bottom w:val="single" w:sz="2" w:space="0" w:color="000000"/>
              <w:right w:val="single" w:sz="2" w:space="0" w:color="000000"/>
            </w:tcBorders>
            <w:shd w:val="clear" w:color="auto" w:fill="D6D6D6"/>
          </w:tcPr>
          <w:p>
            <w:pPr>
              <w:pStyle w:val="TableParagraph"/>
              <w:spacing w:line="240" w:lineRule="auto"/>
              <w:ind w:right="0"/>
              <w:jc w:val="left"/>
              <w:rPr>
                <w:rFonts w:ascii="宋体" w:hAnsi="宋体" w:cs="宋体" w:eastAsia="宋体" w:hint="default"/>
                <w:b/>
                <w:bCs/>
                <w:sz w:val="18"/>
                <w:szCs w:val="18"/>
              </w:rPr>
            </w:pPr>
          </w:p>
          <w:p>
            <w:pPr>
              <w:pStyle w:val="TableParagraph"/>
              <w:spacing w:line="408" w:lineRule="auto" w:before="140"/>
              <w:ind w:left="109" w:right="111"/>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股权在购买日的公 允价值的确定方法 及主要假设</w:t>
            </w:r>
          </w:p>
        </w:tc>
        <w:tc>
          <w:tcPr>
            <w:tcW w:w="1514" w:type="dxa"/>
            <w:tcBorders>
              <w:top w:val="single" w:sz="2" w:space="0" w:color="000000"/>
              <w:left w:val="single" w:sz="2" w:space="0" w:color="000000"/>
              <w:bottom w:val="single" w:sz="2" w:space="0" w:color="000000"/>
              <w:right w:val="single" w:sz="2" w:space="0" w:color="000000"/>
            </w:tcBorders>
            <w:shd w:val="clear" w:color="auto" w:fill="D6D6D6"/>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408" w:lineRule="auto"/>
              <w:ind w:left="124" w:right="122"/>
              <w:jc w:val="center"/>
              <w:rPr>
                <w:rFonts w:ascii="宋体" w:hAnsi="宋体" w:cs="宋体" w:eastAsia="宋体" w:hint="default"/>
                <w:sz w:val="18"/>
                <w:szCs w:val="18"/>
              </w:rPr>
            </w:pPr>
            <w:r>
              <w:rPr>
                <w:rFonts w:ascii="宋体" w:hAnsi="宋体" w:cs="宋体" w:eastAsia="宋体" w:hint="default"/>
                <w:sz w:val="18"/>
                <w:szCs w:val="18"/>
              </w:rPr>
              <w:t>购买日之前与原 持有股权相关的 其他综合收益转 入投资收益的金</w:t>
            </w:r>
          </w:p>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1285" w:hRule="exact"/>
        </w:trPr>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2"/>
                <w:sz w:val="18"/>
                <w:szCs w:val="18"/>
              </w:rPr>
              <w:t>深圳市瑞康宏业</w:t>
            </w:r>
          </w:p>
          <w:p>
            <w:pPr>
              <w:pStyle w:val="TableParagraph"/>
              <w:spacing w:line="400" w:lineRule="atLeast"/>
              <w:ind w:left="105" w:right="104"/>
              <w:jc w:val="left"/>
              <w:rPr>
                <w:rFonts w:ascii="宋体" w:hAnsi="宋体" w:cs="宋体" w:eastAsia="宋体" w:hint="default"/>
                <w:sz w:val="18"/>
                <w:szCs w:val="18"/>
              </w:rPr>
            </w:pPr>
            <w:r>
              <w:rPr>
                <w:rFonts w:ascii="宋体" w:hAnsi="宋体" w:cs="宋体" w:eastAsia="宋体" w:hint="default"/>
                <w:spacing w:val="2"/>
                <w:sz w:val="18"/>
                <w:szCs w:val="18"/>
              </w:rPr>
              <w:t>科技开发有限公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9"/>
              <w:ind w:left="105" w:right="0"/>
              <w:jc w:val="left"/>
              <w:rPr>
                <w:rFonts w:ascii="Times New Roman" w:hAnsi="Times New Roman" w:cs="Times New Roman" w:eastAsia="Times New Roman" w:hint="default"/>
                <w:sz w:val="18"/>
                <w:szCs w:val="18"/>
              </w:rPr>
            </w:pPr>
            <w:r>
              <w:rPr>
                <w:rFonts w:ascii="Times New Roman"/>
                <w:sz w:val="18"/>
              </w:rPr>
              <w:t>19,585,469.32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9"/>
              <w:ind w:left="105" w:right="0"/>
              <w:jc w:val="left"/>
              <w:rPr>
                <w:rFonts w:ascii="Times New Roman" w:hAnsi="Times New Roman" w:cs="Times New Roman" w:eastAsia="Times New Roman" w:hint="default"/>
                <w:sz w:val="18"/>
                <w:szCs w:val="18"/>
              </w:rPr>
            </w:pPr>
            <w:r>
              <w:rPr>
                <w:rFonts w:ascii="Times New Roman"/>
                <w:sz w:val="18"/>
              </w:rPr>
              <w:t>19,585,469.32</w:t>
            </w:r>
          </w:p>
        </w:tc>
        <w:tc>
          <w:tcPr>
            <w:tcW w:w="1590" w:type="dxa"/>
            <w:tcBorders>
              <w:top w:val="single" w:sz="2" w:space="0" w:color="000000"/>
              <w:left w:val="single" w:sz="2" w:space="0" w:color="000000"/>
              <w:bottom w:val="single" w:sz="2" w:space="0" w:color="000000"/>
              <w:right w:val="single" w:sz="2" w:space="0" w:color="000000"/>
            </w:tcBorders>
          </w:tcPr>
          <w:p>
            <w:pP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按账面价值确认</w:t>
            </w:r>
          </w:p>
        </w:tc>
        <w:tc>
          <w:tcPr>
            <w:tcW w:w="1514" w:type="dxa"/>
            <w:tcBorders>
              <w:top w:val="single" w:sz="2" w:space="0" w:color="000000"/>
              <w:left w:val="single" w:sz="2" w:space="0" w:color="000000"/>
              <w:bottom w:val="single" w:sz="2" w:space="0" w:color="000000"/>
              <w:right w:val="single" w:sz="2" w:space="0" w:color="000000"/>
            </w:tcBorders>
          </w:tcPr>
          <w:p>
            <w:pPr/>
          </w:p>
        </w:tc>
      </w:tr>
    </w:tbl>
    <w:p>
      <w:pPr>
        <w:pStyle w:val="BodyText"/>
        <w:spacing w:line="240" w:lineRule="auto" w:before="19"/>
        <w:ind w:right="1015"/>
        <w:jc w:val="left"/>
      </w:pPr>
      <w:r>
        <w:rPr/>
        <w:t>说明：由于两次股权获取时间间隔较短，购买日之前原持有股权在购买日的公允价值按原账面价值确认。</w:t>
      </w:r>
    </w:p>
    <w:p>
      <w:pPr>
        <w:spacing w:line="240" w:lineRule="auto" w:before="12"/>
        <w:rPr>
          <w:rFonts w:ascii="宋体" w:hAnsi="宋体" w:cs="宋体" w:eastAsia="宋体" w:hint="default"/>
          <w:sz w:val="26"/>
          <w:szCs w:val="26"/>
        </w:rPr>
      </w:pPr>
    </w:p>
    <w:p>
      <w:pPr>
        <w:pStyle w:val="Heading3"/>
        <w:spacing w:line="240" w:lineRule="auto"/>
        <w:ind w:left="1133" w:right="1015"/>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15"/>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1015"/>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15"/>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192,302,477.44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22.19%</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015"/>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02"/>
        <w:gridCol w:w="3302"/>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53,687,950.42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6.20%</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52,989,443.82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6.11%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35,640,882.94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4.11%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26,408,429.15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3.05%</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23,575,771.11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2.72%</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192,302,477.44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22.19%</w:t>
            </w:r>
          </w:p>
        </w:tc>
      </w:tr>
    </w:tbl>
    <w:p>
      <w:pPr>
        <w:pStyle w:val="BodyText"/>
        <w:spacing w:line="240" w:lineRule="auto" w:before="51"/>
        <w:ind w:right="1015"/>
        <w:jc w:val="left"/>
      </w:pPr>
      <w:r>
        <w:rPr/>
        <w:t>主要客户其他情况说明</w:t>
      </w:r>
    </w:p>
    <w:p>
      <w:pPr>
        <w:spacing w:after="0" w:line="240" w:lineRule="auto"/>
        <w:jc w:val="left"/>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left="1133" w:right="1015"/>
        <w:jc w:val="left"/>
      </w:pPr>
      <w:r>
        <w:rPr/>
        <w:t>√ 适用 □ 不适用</w:t>
      </w:r>
    </w:p>
    <w:p>
      <w:pPr>
        <w:pStyle w:val="BodyText"/>
        <w:spacing w:line="240" w:lineRule="auto" w:before="115"/>
        <w:ind w:right="1015"/>
        <w:jc w:val="left"/>
      </w:pPr>
      <w:r>
        <w:rPr/>
        <w:t>（</w:t>
      </w:r>
      <w:r>
        <w:rPr>
          <w:rFonts w:ascii="宋体" w:hAnsi="宋体" w:cs="宋体" w:eastAsia="宋体" w:hint="default"/>
        </w:rPr>
        <w:t>1</w:t>
      </w:r>
      <w:r>
        <w:rPr/>
        <w:t>）外销前五大客户明细</w:t>
      </w:r>
    </w:p>
    <w:p>
      <w:pPr>
        <w:spacing w:line="240" w:lineRule="auto" w:before="11"/>
        <w:rPr>
          <w:rFonts w:ascii="宋体" w:hAnsi="宋体" w:cs="宋体" w:eastAsia="宋体" w:hint="default"/>
          <w:sz w:val="15"/>
          <w:szCs w:val="15"/>
        </w:rPr>
      </w:pPr>
    </w:p>
    <w:p>
      <w:pPr>
        <w:spacing w:line="2835" w:lineRule="exact"/>
        <w:ind w:left="1134" w:right="0" w:firstLine="0"/>
        <w:rPr>
          <w:rFonts w:ascii="宋体" w:hAnsi="宋体" w:cs="宋体" w:eastAsia="宋体" w:hint="default"/>
          <w:sz w:val="20"/>
          <w:szCs w:val="20"/>
        </w:rPr>
      </w:pPr>
      <w:r>
        <w:rPr>
          <w:rFonts w:ascii="宋体" w:hAnsi="宋体" w:cs="宋体" w:eastAsia="宋体" w:hint="default"/>
          <w:position w:val="-56"/>
          <w:sz w:val="20"/>
          <w:szCs w:val="20"/>
        </w:rPr>
        <w:drawing>
          <wp:inline distT="0" distB="0" distL="0" distR="0">
            <wp:extent cx="5302284" cy="1800225"/>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17" cstate="print"/>
                    <a:stretch>
                      <a:fillRect/>
                    </a:stretch>
                  </pic:blipFill>
                  <pic:spPr>
                    <a:xfrm>
                      <a:off x="0" y="0"/>
                      <a:ext cx="5302284" cy="1800225"/>
                    </a:xfrm>
                    <a:prstGeom prst="rect">
                      <a:avLst/>
                    </a:prstGeom>
                  </pic:spPr>
                </pic:pic>
              </a:graphicData>
            </a:graphic>
          </wp:inline>
        </w:drawing>
      </w:r>
      <w:r>
        <w:rPr>
          <w:rFonts w:ascii="宋体" w:hAnsi="宋体" w:cs="宋体" w:eastAsia="宋体" w:hint="default"/>
          <w:position w:val="-56"/>
          <w:sz w:val="20"/>
          <w:szCs w:val="20"/>
        </w:rPr>
      </w:r>
    </w:p>
    <w:p>
      <w:pPr>
        <w:pStyle w:val="BodyText"/>
        <w:spacing w:line="240" w:lineRule="auto" w:before="154"/>
        <w:ind w:left="1133" w:right="1015"/>
        <w:jc w:val="left"/>
      </w:pPr>
      <w:r>
        <w:rPr/>
        <w:t>（</w:t>
      </w:r>
      <w:r>
        <w:rPr>
          <w:rFonts w:ascii="宋体" w:hAnsi="宋体" w:cs="宋体" w:eastAsia="宋体" w:hint="default"/>
        </w:rPr>
        <w:t>2</w:t>
      </w:r>
      <w:r>
        <w:rPr/>
        <w:t>）内销前五大客户明细</w:t>
      </w:r>
    </w:p>
    <w:p>
      <w:pPr>
        <w:spacing w:line="240" w:lineRule="auto" w:before="0"/>
        <w:rPr>
          <w:rFonts w:ascii="宋体" w:hAnsi="宋体" w:cs="宋体" w:eastAsia="宋体" w:hint="default"/>
          <w:sz w:val="5"/>
          <w:szCs w:val="5"/>
        </w:rPr>
      </w:pPr>
    </w:p>
    <w:tbl>
      <w:tblPr>
        <w:tblW w:w="0" w:type="auto"/>
        <w:jc w:val="left"/>
        <w:tblInd w:w="1122" w:type="dxa"/>
        <w:tblLayout w:type="fixed"/>
        <w:tblCellMar>
          <w:top w:w="0" w:type="dxa"/>
          <w:left w:w="0" w:type="dxa"/>
          <w:bottom w:w="0" w:type="dxa"/>
          <w:right w:w="0" w:type="dxa"/>
        </w:tblCellMar>
        <w:tblLook w:val="01E0"/>
      </w:tblPr>
      <w:tblGrid>
        <w:gridCol w:w="1054"/>
        <w:gridCol w:w="1641"/>
        <w:gridCol w:w="3394"/>
        <w:gridCol w:w="3512"/>
      </w:tblGrid>
      <w:tr>
        <w:trPr>
          <w:trHeight w:val="500" w:hRule="exact"/>
        </w:trPr>
        <w:tc>
          <w:tcPr>
            <w:tcW w:w="1054" w:type="dxa"/>
            <w:tcBorders>
              <w:top w:val="single" w:sz="2" w:space="0" w:color="000000"/>
              <w:left w:val="single" w:sz="2" w:space="0" w:color="000000"/>
              <w:bottom w:val="single" w:sz="2" w:space="0" w:color="000000"/>
              <w:right w:val="single" w:sz="2" w:space="0" w:color="000000"/>
            </w:tcBorders>
            <w:shd w:val="clear" w:color="auto" w:fill="D2D2D2"/>
          </w:tcPr>
          <w:p>
            <w:pPr>
              <w:pStyle w:val="TableParagraph"/>
              <w:spacing w:line="240" w:lineRule="auto" w:before="103"/>
              <w:ind w:left="34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641" w:type="dxa"/>
            <w:tcBorders>
              <w:top w:val="single" w:sz="2" w:space="0" w:color="000000"/>
              <w:left w:val="single" w:sz="2" w:space="0" w:color="000000"/>
              <w:bottom w:val="single" w:sz="2" w:space="0" w:color="000000"/>
              <w:right w:val="single" w:sz="2" w:space="0" w:color="000000"/>
            </w:tcBorders>
            <w:shd w:val="clear" w:color="auto" w:fill="D2D2D2"/>
          </w:tcPr>
          <w:p>
            <w:pPr>
              <w:pStyle w:val="TableParagraph"/>
              <w:spacing w:line="240" w:lineRule="auto" w:before="103"/>
              <w:ind w:left="461"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3394" w:type="dxa"/>
            <w:tcBorders>
              <w:top w:val="single" w:sz="2" w:space="0" w:color="000000"/>
              <w:left w:val="single" w:sz="2" w:space="0" w:color="000000"/>
              <w:bottom w:val="single" w:sz="2" w:space="0" w:color="000000"/>
              <w:right w:val="single" w:sz="2"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销售额（元）</w:t>
            </w:r>
          </w:p>
        </w:tc>
        <w:tc>
          <w:tcPr>
            <w:tcW w:w="3512" w:type="dxa"/>
            <w:tcBorders>
              <w:top w:val="single" w:sz="2" w:space="0" w:color="000000"/>
              <w:left w:val="single" w:sz="2" w:space="0" w:color="000000"/>
              <w:bottom w:val="single" w:sz="2" w:space="0" w:color="000000"/>
              <w:right w:val="single" w:sz="2" w:space="0" w:color="000000"/>
            </w:tcBorders>
            <w:shd w:val="clear" w:color="auto" w:fill="D2D2D2"/>
          </w:tcPr>
          <w:p>
            <w:pPr>
              <w:pStyle w:val="TableParagraph"/>
              <w:spacing w:line="240" w:lineRule="auto" w:before="103"/>
              <w:ind w:left="942"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27" w:hRule="exact"/>
        </w:trPr>
        <w:tc>
          <w:tcPr>
            <w:tcW w:w="1054" w:type="dxa"/>
            <w:tcBorders>
              <w:top w:val="single" w:sz="2" w:space="0" w:color="000000"/>
              <w:left w:val="single" w:sz="2" w:space="0" w:color="000000"/>
              <w:bottom w:val="single" w:sz="2" w:space="0" w:color="000000"/>
              <w:right w:val="single" w:sz="2" w:space="0" w:color="000000"/>
            </w:tcBorders>
            <w:shd w:val="clear" w:color="auto" w:fill="D2D2D2"/>
          </w:tcPr>
          <w:p>
            <w:pPr>
              <w:pStyle w:val="TableParagraph"/>
              <w:spacing w:line="240" w:lineRule="auto" w:before="106"/>
              <w:ind w:left="6" w:right="0"/>
              <w:jc w:val="left"/>
              <w:rPr>
                <w:rFonts w:ascii="Times New Roman" w:hAnsi="Times New Roman" w:cs="Times New Roman" w:eastAsia="Times New Roman" w:hint="default"/>
                <w:sz w:val="18"/>
                <w:szCs w:val="18"/>
              </w:rPr>
            </w:pPr>
            <w:r>
              <w:rPr>
                <w:rFonts w:ascii="Times New Roman"/>
                <w:sz w:val="18"/>
              </w:rPr>
              <w:t>1</w:t>
            </w:r>
          </w:p>
        </w:tc>
        <w:tc>
          <w:tcPr>
            <w:tcW w:w="1641" w:type="dxa"/>
            <w:tcBorders>
              <w:top w:val="single" w:sz="2" w:space="0" w:color="000000"/>
              <w:left w:val="single" w:sz="7" w:space="0" w:color="D2D2D2"/>
              <w:bottom w:val="single" w:sz="2" w:space="0" w:color="000000"/>
              <w:right w:val="single" w:sz="2" w:space="0" w:color="000000"/>
            </w:tcBorders>
          </w:tcPr>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3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right="11"/>
              <w:jc w:val="right"/>
              <w:rPr>
                <w:rFonts w:ascii="Times New Roman" w:hAnsi="Times New Roman" w:cs="Times New Roman" w:eastAsia="Times New Roman" w:hint="default"/>
                <w:sz w:val="18"/>
                <w:szCs w:val="18"/>
              </w:rPr>
            </w:pPr>
            <w:r>
              <w:rPr>
                <w:rFonts w:ascii="Times New Roman"/>
                <w:spacing w:val="-1"/>
                <w:sz w:val="18"/>
              </w:rPr>
              <w:t>53,687,950.42</w:t>
            </w:r>
          </w:p>
        </w:tc>
        <w:tc>
          <w:tcPr>
            <w:tcW w:w="3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right="10"/>
              <w:jc w:val="right"/>
              <w:rPr>
                <w:rFonts w:ascii="Times New Roman" w:hAnsi="Times New Roman" w:cs="Times New Roman" w:eastAsia="Times New Roman" w:hint="default"/>
                <w:sz w:val="18"/>
                <w:szCs w:val="18"/>
              </w:rPr>
            </w:pPr>
            <w:r>
              <w:rPr>
                <w:rFonts w:ascii="Times New Roman"/>
                <w:sz w:val="18"/>
              </w:rPr>
              <w:t>6.20%</w:t>
            </w:r>
          </w:p>
        </w:tc>
      </w:tr>
      <w:tr>
        <w:trPr>
          <w:trHeight w:val="427" w:hRule="exact"/>
        </w:trPr>
        <w:tc>
          <w:tcPr>
            <w:tcW w:w="1054" w:type="dxa"/>
            <w:tcBorders>
              <w:top w:val="single" w:sz="2" w:space="0" w:color="000000"/>
              <w:left w:val="single" w:sz="2" w:space="0" w:color="000000"/>
              <w:bottom w:val="single" w:sz="2" w:space="0" w:color="000000"/>
              <w:right w:val="single" w:sz="2" w:space="0" w:color="000000"/>
            </w:tcBorders>
            <w:shd w:val="clear" w:color="auto" w:fill="D2D2D2"/>
          </w:tcPr>
          <w:p>
            <w:pPr>
              <w:pStyle w:val="TableParagraph"/>
              <w:spacing w:line="240" w:lineRule="auto" w:before="105"/>
              <w:ind w:left="6" w:right="0"/>
              <w:jc w:val="left"/>
              <w:rPr>
                <w:rFonts w:ascii="Times New Roman" w:hAnsi="Times New Roman" w:cs="Times New Roman" w:eastAsia="Times New Roman" w:hint="default"/>
                <w:sz w:val="18"/>
                <w:szCs w:val="18"/>
              </w:rPr>
            </w:pPr>
            <w:r>
              <w:rPr>
                <w:rFonts w:ascii="Times New Roman"/>
                <w:sz w:val="18"/>
              </w:rPr>
              <w:t>2</w:t>
            </w:r>
          </w:p>
        </w:tc>
        <w:tc>
          <w:tcPr>
            <w:tcW w:w="1641" w:type="dxa"/>
            <w:tcBorders>
              <w:top w:val="single" w:sz="2" w:space="0" w:color="000000"/>
              <w:left w:val="single" w:sz="7" w:space="0" w:color="D2D2D2"/>
              <w:bottom w:val="single" w:sz="2" w:space="0" w:color="000000"/>
              <w:right w:val="single" w:sz="2" w:space="0" w:color="000000"/>
            </w:tcBorders>
          </w:tcPr>
          <w:p>
            <w:pPr>
              <w:pStyle w:val="TableParagraph"/>
              <w:spacing w:line="240" w:lineRule="auto" w:before="65"/>
              <w:ind w:left="11" w:right="0"/>
              <w:jc w:val="left"/>
              <w:rPr>
                <w:rFonts w:ascii="宋体" w:hAnsi="宋体" w:cs="宋体" w:eastAsia="宋体" w:hint="default"/>
                <w:sz w:val="18"/>
                <w:szCs w:val="18"/>
              </w:rPr>
            </w:pPr>
            <w:r>
              <w:rPr>
                <w:rFonts w:ascii="宋体" w:hAnsi="宋体" w:cs="宋体" w:eastAsia="宋体" w:hint="default"/>
                <w:sz w:val="18"/>
                <w:szCs w:val="18"/>
              </w:rPr>
              <w:t>客户六</w:t>
            </w:r>
          </w:p>
        </w:tc>
        <w:tc>
          <w:tcPr>
            <w:tcW w:w="3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pacing w:val="-1"/>
                <w:sz w:val="18"/>
              </w:rPr>
              <w:t>20,830,466.46</w:t>
            </w:r>
          </w:p>
        </w:tc>
        <w:tc>
          <w:tcPr>
            <w:tcW w:w="3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z w:val="18"/>
              </w:rPr>
              <w:t>2.40%</w:t>
            </w:r>
          </w:p>
        </w:tc>
      </w:tr>
      <w:tr>
        <w:trPr>
          <w:trHeight w:val="426" w:hRule="exact"/>
        </w:trPr>
        <w:tc>
          <w:tcPr>
            <w:tcW w:w="1054" w:type="dxa"/>
            <w:tcBorders>
              <w:top w:val="single" w:sz="2" w:space="0" w:color="000000"/>
              <w:left w:val="single" w:sz="2" w:space="0" w:color="000000"/>
              <w:bottom w:val="single" w:sz="2" w:space="0" w:color="000000"/>
              <w:right w:val="single" w:sz="2" w:space="0" w:color="000000"/>
            </w:tcBorders>
            <w:shd w:val="clear" w:color="auto" w:fill="D2D2D2"/>
          </w:tcPr>
          <w:p>
            <w:pPr>
              <w:pStyle w:val="TableParagraph"/>
              <w:spacing w:line="240" w:lineRule="auto" w:before="105"/>
              <w:ind w:left="6" w:right="0"/>
              <w:jc w:val="left"/>
              <w:rPr>
                <w:rFonts w:ascii="Times New Roman" w:hAnsi="Times New Roman" w:cs="Times New Roman" w:eastAsia="Times New Roman" w:hint="default"/>
                <w:sz w:val="18"/>
                <w:szCs w:val="18"/>
              </w:rPr>
            </w:pPr>
            <w:r>
              <w:rPr>
                <w:rFonts w:ascii="Times New Roman"/>
                <w:sz w:val="18"/>
              </w:rPr>
              <w:t>3</w:t>
            </w:r>
          </w:p>
        </w:tc>
        <w:tc>
          <w:tcPr>
            <w:tcW w:w="1641" w:type="dxa"/>
            <w:tcBorders>
              <w:top w:val="single" w:sz="2" w:space="0" w:color="000000"/>
              <w:left w:val="single" w:sz="7" w:space="0" w:color="D2D2D2"/>
              <w:bottom w:val="single" w:sz="2" w:space="0" w:color="000000"/>
              <w:right w:val="single" w:sz="2" w:space="0" w:color="000000"/>
            </w:tcBorders>
          </w:tcPr>
          <w:p>
            <w:pPr>
              <w:pStyle w:val="TableParagraph"/>
              <w:spacing w:line="240" w:lineRule="auto" w:before="65"/>
              <w:ind w:left="11" w:right="0"/>
              <w:jc w:val="left"/>
              <w:rPr>
                <w:rFonts w:ascii="宋体" w:hAnsi="宋体" w:cs="宋体" w:eastAsia="宋体" w:hint="default"/>
                <w:sz w:val="18"/>
                <w:szCs w:val="18"/>
              </w:rPr>
            </w:pPr>
            <w:r>
              <w:rPr>
                <w:rFonts w:ascii="宋体" w:hAnsi="宋体" w:cs="宋体" w:eastAsia="宋体" w:hint="default"/>
                <w:sz w:val="18"/>
                <w:szCs w:val="18"/>
              </w:rPr>
              <w:t>客户十三</w:t>
            </w:r>
          </w:p>
        </w:tc>
        <w:tc>
          <w:tcPr>
            <w:tcW w:w="3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pacing w:val="-1"/>
                <w:sz w:val="18"/>
              </w:rPr>
              <w:t>17,246,843.74</w:t>
            </w:r>
          </w:p>
        </w:tc>
        <w:tc>
          <w:tcPr>
            <w:tcW w:w="3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z w:val="18"/>
              </w:rPr>
              <w:t>1.99%</w:t>
            </w:r>
          </w:p>
        </w:tc>
      </w:tr>
      <w:tr>
        <w:trPr>
          <w:trHeight w:val="427" w:hRule="exact"/>
        </w:trPr>
        <w:tc>
          <w:tcPr>
            <w:tcW w:w="1054" w:type="dxa"/>
            <w:tcBorders>
              <w:top w:val="single" w:sz="2" w:space="0" w:color="000000"/>
              <w:left w:val="single" w:sz="2" w:space="0" w:color="000000"/>
              <w:bottom w:val="single" w:sz="2" w:space="0" w:color="000000"/>
              <w:right w:val="single" w:sz="2" w:space="0" w:color="000000"/>
            </w:tcBorders>
            <w:shd w:val="clear" w:color="auto" w:fill="D2D2D2"/>
          </w:tcPr>
          <w:p>
            <w:pPr>
              <w:pStyle w:val="TableParagraph"/>
              <w:spacing w:line="240" w:lineRule="auto" w:before="106"/>
              <w:ind w:left="6" w:right="0"/>
              <w:jc w:val="left"/>
              <w:rPr>
                <w:rFonts w:ascii="Times New Roman" w:hAnsi="Times New Roman" w:cs="Times New Roman" w:eastAsia="Times New Roman" w:hint="default"/>
                <w:sz w:val="18"/>
                <w:szCs w:val="18"/>
              </w:rPr>
            </w:pPr>
            <w:r>
              <w:rPr>
                <w:rFonts w:ascii="Times New Roman"/>
                <w:sz w:val="18"/>
              </w:rPr>
              <w:t>4</w:t>
            </w:r>
          </w:p>
        </w:tc>
        <w:tc>
          <w:tcPr>
            <w:tcW w:w="1641" w:type="dxa"/>
            <w:tcBorders>
              <w:top w:val="single" w:sz="2" w:space="0" w:color="000000"/>
              <w:left w:val="single" w:sz="7" w:space="0" w:color="D2D2D2"/>
              <w:bottom w:val="single" w:sz="2" w:space="0" w:color="000000"/>
              <w:right w:val="single" w:sz="2" w:space="0" w:color="000000"/>
            </w:tcBorders>
          </w:tcPr>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客户十四</w:t>
            </w:r>
          </w:p>
        </w:tc>
        <w:tc>
          <w:tcPr>
            <w:tcW w:w="3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right="11"/>
              <w:jc w:val="right"/>
              <w:rPr>
                <w:rFonts w:ascii="Times New Roman" w:hAnsi="Times New Roman" w:cs="Times New Roman" w:eastAsia="Times New Roman" w:hint="default"/>
                <w:sz w:val="18"/>
                <w:szCs w:val="18"/>
              </w:rPr>
            </w:pPr>
            <w:r>
              <w:rPr>
                <w:rFonts w:ascii="Times New Roman"/>
                <w:spacing w:val="-1"/>
                <w:sz w:val="18"/>
              </w:rPr>
              <w:t>15,394,651.97</w:t>
            </w:r>
          </w:p>
        </w:tc>
        <w:tc>
          <w:tcPr>
            <w:tcW w:w="3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right="10"/>
              <w:jc w:val="right"/>
              <w:rPr>
                <w:rFonts w:ascii="Times New Roman" w:hAnsi="Times New Roman" w:cs="Times New Roman" w:eastAsia="Times New Roman" w:hint="default"/>
                <w:sz w:val="18"/>
                <w:szCs w:val="18"/>
              </w:rPr>
            </w:pPr>
            <w:r>
              <w:rPr>
                <w:rFonts w:ascii="Times New Roman"/>
                <w:sz w:val="18"/>
              </w:rPr>
              <w:t>1.78%</w:t>
            </w:r>
          </w:p>
        </w:tc>
      </w:tr>
      <w:tr>
        <w:trPr>
          <w:trHeight w:val="427" w:hRule="exact"/>
        </w:trPr>
        <w:tc>
          <w:tcPr>
            <w:tcW w:w="1054" w:type="dxa"/>
            <w:tcBorders>
              <w:top w:val="single" w:sz="2" w:space="0" w:color="000000"/>
              <w:left w:val="single" w:sz="2" w:space="0" w:color="000000"/>
              <w:bottom w:val="single" w:sz="2" w:space="0" w:color="000000"/>
              <w:right w:val="single" w:sz="2" w:space="0" w:color="000000"/>
            </w:tcBorders>
            <w:shd w:val="clear" w:color="auto" w:fill="D2D2D2"/>
          </w:tcPr>
          <w:p>
            <w:pPr>
              <w:pStyle w:val="TableParagraph"/>
              <w:spacing w:line="240" w:lineRule="auto" w:before="106"/>
              <w:ind w:left="6" w:right="0"/>
              <w:jc w:val="left"/>
              <w:rPr>
                <w:rFonts w:ascii="Times New Roman" w:hAnsi="Times New Roman" w:cs="Times New Roman" w:eastAsia="Times New Roman" w:hint="default"/>
                <w:sz w:val="18"/>
                <w:szCs w:val="18"/>
              </w:rPr>
            </w:pPr>
            <w:r>
              <w:rPr>
                <w:rFonts w:ascii="Times New Roman"/>
                <w:sz w:val="18"/>
              </w:rPr>
              <w:t>5</w:t>
            </w:r>
          </w:p>
        </w:tc>
        <w:tc>
          <w:tcPr>
            <w:tcW w:w="1641" w:type="dxa"/>
            <w:tcBorders>
              <w:top w:val="single" w:sz="2" w:space="0" w:color="000000"/>
              <w:left w:val="single" w:sz="7" w:space="0" w:color="D2D2D2"/>
              <w:bottom w:val="single" w:sz="8" w:space="0" w:color="D2D2D2"/>
              <w:right w:val="single" w:sz="2" w:space="0" w:color="000000"/>
            </w:tcBorders>
          </w:tcPr>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客户十五</w:t>
            </w:r>
          </w:p>
        </w:tc>
        <w:tc>
          <w:tcPr>
            <w:tcW w:w="3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right="11"/>
              <w:jc w:val="right"/>
              <w:rPr>
                <w:rFonts w:ascii="Times New Roman" w:hAnsi="Times New Roman" w:cs="Times New Roman" w:eastAsia="Times New Roman" w:hint="default"/>
                <w:sz w:val="18"/>
                <w:szCs w:val="18"/>
              </w:rPr>
            </w:pPr>
            <w:r>
              <w:rPr>
                <w:rFonts w:ascii="Times New Roman"/>
                <w:spacing w:val="-1"/>
                <w:sz w:val="18"/>
              </w:rPr>
              <w:t>9,637,674.81</w:t>
            </w:r>
          </w:p>
        </w:tc>
        <w:tc>
          <w:tcPr>
            <w:tcW w:w="3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right="10"/>
              <w:jc w:val="right"/>
              <w:rPr>
                <w:rFonts w:ascii="Times New Roman" w:hAnsi="Times New Roman" w:cs="Times New Roman" w:eastAsia="Times New Roman" w:hint="default"/>
                <w:sz w:val="18"/>
                <w:szCs w:val="18"/>
              </w:rPr>
            </w:pPr>
            <w:r>
              <w:rPr>
                <w:rFonts w:ascii="Times New Roman"/>
                <w:sz w:val="18"/>
              </w:rPr>
              <w:t>1.11%</w:t>
            </w:r>
          </w:p>
        </w:tc>
      </w:tr>
      <w:tr>
        <w:trPr>
          <w:trHeight w:val="428" w:hRule="exact"/>
        </w:trPr>
        <w:tc>
          <w:tcPr>
            <w:tcW w:w="1054" w:type="dxa"/>
            <w:tcBorders>
              <w:top w:val="single" w:sz="2" w:space="0" w:color="000000"/>
              <w:left w:val="single" w:sz="2" w:space="0" w:color="000000"/>
              <w:bottom w:val="single" w:sz="2" w:space="0" w:color="000000"/>
              <w:right w:val="single" w:sz="2" w:space="0" w:color="000000"/>
            </w:tcBorders>
            <w:shd w:val="clear" w:color="auto" w:fill="D2D2D2"/>
          </w:tcPr>
          <w:p>
            <w:pPr>
              <w:pStyle w:val="TableParagraph"/>
              <w:spacing w:line="240" w:lineRule="auto" w:before="67"/>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41" w:type="dxa"/>
            <w:tcBorders>
              <w:top w:val="single" w:sz="2" w:space="0" w:color="000000"/>
              <w:left w:val="single" w:sz="2" w:space="0" w:color="000000"/>
              <w:bottom w:val="single" w:sz="2" w:space="0" w:color="000000"/>
              <w:right w:val="single" w:sz="2" w:space="0" w:color="000000"/>
            </w:tcBorders>
            <w:shd w:val="clear" w:color="auto" w:fill="D2D2D2"/>
          </w:tcPr>
          <w:p>
            <w:pPr>
              <w:pStyle w:val="TableParagraph"/>
              <w:spacing w:line="240" w:lineRule="auto" w:before="107"/>
              <w:ind w:left="6" w:right="0"/>
              <w:jc w:val="center"/>
              <w:rPr>
                <w:rFonts w:ascii="Times New Roman" w:hAnsi="Times New Roman" w:cs="Times New Roman" w:eastAsia="Times New Roman" w:hint="default"/>
                <w:sz w:val="18"/>
                <w:szCs w:val="18"/>
              </w:rPr>
            </w:pPr>
            <w:r>
              <w:rPr>
                <w:rFonts w:ascii="Times New Roman"/>
                <w:sz w:val="18"/>
              </w:rPr>
              <w:t>--</w:t>
            </w:r>
          </w:p>
        </w:tc>
        <w:tc>
          <w:tcPr>
            <w:tcW w:w="3394" w:type="dxa"/>
            <w:tcBorders>
              <w:top w:val="single" w:sz="2" w:space="0" w:color="000000"/>
              <w:left w:val="single" w:sz="5" w:space="0" w:color="D2D2D2"/>
              <w:bottom w:val="single" w:sz="2" w:space="0" w:color="000000"/>
              <w:right w:val="single" w:sz="2" w:space="0" w:color="000000"/>
            </w:tcBorders>
          </w:tcPr>
          <w:p>
            <w:pPr>
              <w:pStyle w:val="TableParagraph"/>
              <w:spacing w:line="240" w:lineRule="auto" w:before="107"/>
              <w:ind w:right="10"/>
              <w:jc w:val="right"/>
              <w:rPr>
                <w:rFonts w:ascii="Times New Roman" w:hAnsi="Times New Roman" w:cs="Times New Roman" w:eastAsia="Times New Roman" w:hint="default"/>
                <w:sz w:val="18"/>
                <w:szCs w:val="18"/>
              </w:rPr>
            </w:pPr>
            <w:r>
              <w:rPr>
                <w:rFonts w:ascii="Times New Roman"/>
                <w:spacing w:val="-1"/>
                <w:sz w:val="18"/>
              </w:rPr>
              <w:t>116,797,587.40</w:t>
            </w:r>
          </w:p>
        </w:tc>
        <w:tc>
          <w:tcPr>
            <w:tcW w:w="3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
              <w:jc w:val="right"/>
              <w:rPr>
                <w:rFonts w:ascii="Times New Roman" w:hAnsi="Times New Roman" w:cs="Times New Roman" w:eastAsia="Times New Roman" w:hint="default"/>
                <w:sz w:val="18"/>
                <w:szCs w:val="18"/>
              </w:rPr>
            </w:pPr>
            <w:r>
              <w:rPr>
                <w:rFonts w:ascii="Times New Roman"/>
                <w:sz w:val="18"/>
              </w:rPr>
              <w:t>13.48%</w:t>
            </w:r>
          </w:p>
        </w:tc>
      </w:tr>
    </w:tbl>
    <w:p>
      <w:pPr>
        <w:spacing w:line="240" w:lineRule="auto" w:before="5"/>
        <w:rPr>
          <w:rFonts w:ascii="宋体" w:hAnsi="宋体" w:cs="宋体" w:eastAsia="宋体" w:hint="default"/>
          <w:sz w:val="24"/>
          <w:szCs w:val="24"/>
        </w:rPr>
      </w:pPr>
    </w:p>
    <w:p>
      <w:pPr>
        <w:pStyle w:val="BodyText"/>
        <w:spacing w:line="240" w:lineRule="auto" w:before="44"/>
        <w:ind w:right="1015"/>
        <w:jc w:val="left"/>
      </w:pPr>
      <w:r>
        <w:rPr/>
        <w:t>公司主要供应商情况</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118,440,349.30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20.85%</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 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015"/>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32,255,977.67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5.68%</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23,900,782.21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21,875,882.19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21,239,880.64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19,167,826.59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3.37%</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118,440,349.30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20.85%</w:t>
            </w:r>
          </w:p>
        </w:tc>
      </w:tr>
    </w:tbl>
    <w:p>
      <w:pPr>
        <w:pStyle w:val="BodyText"/>
        <w:spacing w:line="240" w:lineRule="auto" w:before="51"/>
        <w:ind w:right="1015"/>
        <w:jc w:val="left"/>
      </w:pPr>
      <w:r>
        <w:rPr/>
        <w:t>主要供应商其他情况说明</w:t>
      </w:r>
    </w:p>
    <w:p>
      <w:pPr>
        <w:pStyle w:val="BodyText"/>
        <w:spacing w:line="240" w:lineRule="auto" w:before="117"/>
        <w:ind w:right="1015"/>
        <w:jc w:val="left"/>
      </w:pPr>
      <w:r>
        <w:rPr/>
        <w:t>□ 适用 √ 不适用</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left="1133" w:right="1015"/>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103,057,369.49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0" w:right="0"/>
              <w:jc w:val="left"/>
              <w:rPr>
                <w:rFonts w:ascii="Times New Roman" w:hAnsi="Times New Roman" w:cs="Times New Roman" w:eastAsia="Times New Roman" w:hint="default"/>
                <w:sz w:val="18"/>
                <w:szCs w:val="18"/>
              </w:rPr>
            </w:pPr>
            <w:r>
              <w:rPr>
                <w:rFonts w:ascii="Times New Roman"/>
                <w:sz w:val="18"/>
              </w:rPr>
              <w:t>76,381,549.40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34.92%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2"/>
              <w:jc w:val="left"/>
              <w:rPr>
                <w:rFonts w:ascii="宋体" w:hAnsi="宋体" w:cs="宋体" w:eastAsia="宋体" w:hint="default"/>
                <w:sz w:val="18"/>
                <w:szCs w:val="18"/>
              </w:rPr>
            </w:pPr>
            <w:r>
              <w:rPr>
                <w:rFonts w:ascii="宋体" w:hAnsi="宋体" w:cs="宋体" w:eastAsia="宋体" w:hint="default"/>
                <w:sz w:val="18"/>
                <w:szCs w:val="18"/>
              </w:rPr>
              <w:t>销售费用主要系国内营销渠道、广 告投放和品牌推广投入增加所致</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113,962,070.00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0" w:right="0"/>
              <w:jc w:val="left"/>
              <w:rPr>
                <w:rFonts w:ascii="Times New Roman" w:hAnsi="Times New Roman" w:cs="Times New Roman" w:eastAsia="Times New Roman" w:hint="default"/>
                <w:sz w:val="18"/>
                <w:szCs w:val="18"/>
              </w:rPr>
            </w:pPr>
            <w:r>
              <w:rPr>
                <w:rFonts w:ascii="Times New Roman"/>
                <w:sz w:val="18"/>
              </w:rPr>
              <w:t>97,459,071.89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16.93%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2"/>
              <w:jc w:val="left"/>
              <w:rPr>
                <w:rFonts w:ascii="宋体" w:hAnsi="宋体" w:cs="宋体" w:eastAsia="宋体" w:hint="default"/>
                <w:sz w:val="18"/>
                <w:szCs w:val="18"/>
              </w:rPr>
            </w:pPr>
            <w:r>
              <w:rPr>
                <w:rFonts w:ascii="宋体" w:hAnsi="宋体" w:cs="宋体" w:eastAsia="宋体" w:hint="default"/>
                <w:sz w:val="18"/>
                <w:szCs w:val="18"/>
              </w:rPr>
              <w:t>管理费用主要系研发投入的增加所 致</w:t>
            </w:r>
          </w:p>
        </w:tc>
      </w:tr>
      <w:tr>
        <w:trPr>
          <w:trHeight w:val="1339"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5,575,330.71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20" w:right="0"/>
              <w:jc w:val="left"/>
              <w:rPr>
                <w:rFonts w:ascii="Times New Roman" w:hAnsi="Times New Roman" w:cs="Times New Roman" w:eastAsia="Times New Roman" w:hint="default"/>
                <w:sz w:val="18"/>
                <w:szCs w:val="18"/>
              </w:rPr>
            </w:pPr>
            <w:r>
              <w:rPr>
                <w:rFonts w:ascii="Times New Roman"/>
                <w:sz w:val="18"/>
              </w:rPr>
              <w:t>-9,571,302.44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158.25%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2"/>
              <w:jc w:val="both"/>
              <w:rPr>
                <w:rFonts w:ascii="宋体" w:hAnsi="宋体" w:cs="宋体" w:eastAsia="宋体" w:hint="default"/>
                <w:sz w:val="18"/>
                <w:szCs w:val="18"/>
              </w:rPr>
            </w:pPr>
            <w:r>
              <w:rPr>
                <w:rFonts w:ascii="宋体" w:hAnsi="宋体" w:cs="宋体" w:eastAsia="宋体" w:hint="default"/>
                <w:sz w:val="18"/>
                <w:szCs w:val="18"/>
              </w:rPr>
              <w:t>财务费用变动重大系因人民币汇率 波动，持有的以美元计价的应收账 款、银行存款等资产期末外币重估 影响。</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493" w:right="1123" w:hanging="360"/>
        <w:jc w:val="left"/>
      </w:pPr>
      <w:r>
        <w:rPr/>
        <w:t>√ 适用 □ 不适用 报告期内，公司研发投入</w:t>
      </w:r>
      <w:r>
        <w:rPr>
          <w:rFonts w:ascii="宋体" w:hAnsi="宋体" w:cs="宋体" w:eastAsia="宋体" w:hint="default"/>
        </w:rPr>
        <w:t>6,611.66</w:t>
      </w:r>
      <w:r>
        <w:rPr/>
        <w:t>万元，占营业收入比</w:t>
      </w:r>
      <w:r>
        <w:rPr>
          <w:rFonts w:ascii="宋体" w:hAnsi="宋体" w:cs="宋体" w:eastAsia="宋体" w:hint="default"/>
        </w:rPr>
        <w:t>7.63%</w:t>
      </w:r>
      <w:r>
        <w:rPr/>
        <w:t>，较</w:t>
      </w:r>
      <w:r>
        <w:rPr>
          <w:rFonts w:ascii="宋体" w:hAnsi="宋体" w:cs="宋体" w:eastAsia="宋体" w:hint="default"/>
        </w:rPr>
        <w:t>2016</w:t>
      </w:r>
      <w:r>
        <w:rPr/>
        <w:t>年研发投入增加</w:t>
      </w:r>
      <w:r>
        <w:rPr>
          <w:rFonts w:ascii="宋体" w:hAnsi="宋体" w:cs="宋体" w:eastAsia="宋体" w:hint="default"/>
        </w:rPr>
        <w:t>677.08</w:t>
      </w:r>
      <w:r>
        <w:rPr/>
        <w:t>万元，能够保证公司进一</w:t>
      </w:r>
    </w:p>
    <w:p>
      <w:pPr>
        <w:pStyle w:val="BodyText"/>
        <w:spacing w:line="357" w:lineRule="auto"/>
        <w:ind w:left="1133" w:right="3193"/>
        <w:jc w:val="left"/>
      </w:pPr>
      <w:r>
        <w:rPr/>
        <w:t>步提高核心竞争力。公司的研发投入在财务核算上均计入研发费用，未有研发费用资本化情况。 近三年公司研发投入金额及占营业收入的比例</w:t>
      </w: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214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261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11.15%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14.36%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66,116,633.84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59,345,845.35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37,540,008.35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研发支出资本化的金</w:t>
            </w:r>
            <w:r>
              <w:rPr>
                <w:rFonts w:ascii="宋体" w:hAnsi="宋体" w:cs="宋体" w:eastAsia="宋体" w:hint="default"/>
                <w:spacing w:val="-75"/>
                <w:sz w:val="18"/>
                <w:szCs w:val="18"/>
              </w:rPr>
              <w:t>额</w:t>
            </w:r>
            <w:r>
              <w:rPr>
                <w:rFonts w:ascii="宋体" w:hAnsi="宋体" w:cs="宋体" w:eastAsia="宋体" w:hint="default"/>
                <w:sz w:val="18"/>
                <w:szCs w:val="18"/>
              </w:rPr>
              <w:t>（元）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68"/>
        <w:ind w:right="1015"/>
        <w:jc w:val="left"/>
      </w:pPr>
      <w:r>
        <w:rPr/>
        <w:t>研发投入总额占营业收入的比重较上年发生显著变化的原因</w:t>
      </w:r>
    </w:p>
    <w:p>
      <w:pPr>
        <w:pStyle w:val="BodyText"/>
        <w:spacing w:line="357" w:lineRule="auto" w:before="117"/>
        <w:ind w:right="6792"/>
        <w:jc w:val="left"/>
      </w:pPr>
      <w:r>
        <w:rPr/>
        <w:t>□ 适用 √ 不适用 研发投入资本化率大幅变动的原因及其合理性说明</w:t>
      </w:r>
    </w:p>
    <w:p>
      <w:pPr>
        <w:pStyle w:val="BodyText"/>
        <w:spacing w:line="240" w:lineRule="auto" w:before="28"/>
        <w:ind w:right="1015"/>
        <w:jc w:val="left"/>
      </w:pPr>
      <w:r>
        <w:rPr/>
        <w:t>□ 适用 √ 不适用</w:t>
      </w:r>
    </w:p>
    <w:p>
      <w:pPr>
        <w:pStyle w:val="BodyText"/>
        <w:spacing w:line="338" w:lineRule="auto" w:before="117"/>
        <w:ind w:left="1133" w:right="2444"/>
        <w:jc w:val="left"/>
      </w:pPr>
      <w:r>
        <w:rPr/>
        <w:t>公司需遵守《深圳证券交易所创业板行业信息披露指引第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医疗器械产品相关情况</w:t>
      </w:r>
    </w:p>
    <w:p>
      <w:pPr>
        <w:pStyle w:val="BodyText"/>
        <w:spacing w:line="240" w:lineRule="auto" w:before="42"/>
        <w:ind w:right="1015"/>
        <w:jc w:val="left"/>
      </w:pPr>
      <w:r>
        <w:rPr/>
        <w:t>√ 适用 □ 不适用</w:t>
      </w:r>
    </w:p>
    <w:p>
      <w:pPr>
        <w:spacing w:line="477" w:lineRule="auto" w:before="116"/>
        <w:ind w:left="1133" w:right="5893" w:firstLine="0"/>
        <w:jc w:val="left"/>
        <w:rPr>
          <w:rFonts w:ascii="宋体" w:hAnsi="宋体" w:cs="宋体" w:eastAsia="宋体" w:hint="default"/>
          <w:sz w:val="18"/>
          <w:szCs w:val="18"/>
        </w:rPr>
      </w:pPr>
      <w:r>
        <w:rPr>
          <w:rFonts w:ascii="宋体" w:hAnsi="宋体" w:cs="宋体" w:eastAsia="宋体" w:hint="default"/>
          <w:b/>
          <w:bCs/>
          <w:sz w:val="18"/>
          <w:szCs w:val="18"/>
        </w:rPr>
        <w:t>（一）、截止报告期末在研项目情况表：</w:t>
      </w:r>
      <w:r>
        <w:rPr>
          <w:rFonts w:ascii="宋体" w:hAnsi="宋体" w:cs="宋体" w:eastAsia="宋体" w:hint="default"/>
          <w:b/>
          <w:bCs/>
          <w:w w:val="99"/>
          <w:sz w:val="18"/>
          <w:szCs w:val="18"/>
        </w:rPr>
        <w:t> </w:t>
      </w:r>
      <w:r>
        <w:rPr>
          <w:rFonts w:ascii="宋体" w:hAnsi="宋体" w:cs="宋体" w:eastAsia="宋体" w:hint="default"/>
          <w:sz w:val="18"/>
          <w:szCs w:val="18"/>
        </w:rPr>
        <w:t>截止报告期末，公司从事的与医疗器械相关的研发项目如下：</w:t>
      </w:r>
    </w:p>
    <w:p>
      <w:pPr>
        <w:spacing w:after="0" w:line="477"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before="50"/>
        <w:ind w:left="0" w:right="1415" w:firstLine="0"/>
        <w:jc w:val="right"/>
        <w:rPr>
          <w:rFonts w:ascii="宋体" w:hAnsi="宋体" w:cs="宋体" w:eastAsia="宋体" w:hint="default"/>
          <w:sz w:val="16"/>
          <w:szCs w:val="16"/>
        </w:rPr>
      </w:pPr>
      <w:r>
        <w:rPr/>
        <w:pict>
          <v:shape style="position:absolute;margin-left:55.68pt;margin-top:-261.65625pt;width:466.1pt;height:638.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6"/>
                    <w:gridCol w:w="2100"/>
                    <w:gridCol w:w="3960"/>
                    <w:gridCol w:w="2790"/>
                  </w:tblGrid>
                  <w:tr>
                    <w:trPr>
                      <w:trHeight w:val="838" w:hRule="exact"/>
                    </w:trPr>
                    <w:tc>
                      <w:tcPr>
                        <w:tcW w:w="456"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序号</w:t>
                        </w:r>
                      </w:p>
                    </w:tc>
                    <w:tc>
                      <w:tcPr>
                        <w:tcW w:w="210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85" w:right="0"/>
                          <w:jc w:val="left"/>
                          <w:rPr>
                            <w:rFonts w:ascii="宋体" w:hAnsi="宋体" w:cs="宋体" w:eastAsia="宋体" w:hint="default"/>
                            <w:sz w:val="16"/>
                            <w:szCs w:val="16"/>
                          </w:rPr>
                        </w:pPr>
                        <w:r>
                          <w:rPr>
                            <w:rFonts w:ascii="宋体" w:hAnsi="宋体" w:cs="宋体" w:eastAsia="宋体" w:hint="default"/>
                            <w:sz w:val="16"/>
                            <w:szCs w:val="16"/>
                          </w:rPr>
                          <w:t>正在研发的项目</w:t>
                        </w:r>
                      </w:p>
                    </w:tc>
                    <w:tc>
                      <w:tcPr>
                        <w:tcW w:w="396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拟达到的效果</w:t>
                        </w:r>
                      </w:p>
                    </w:tc>
                    <w:tc>
                      <w:tcPr>
                        <w:tcW w:w="279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进展情况</w:t>
                        </w:r>
                      </w:p>
                    </w:tc>
                  </w:tr>
                  <w:tr>
                    <w:trPr>
                      <w:trHeight w:val="2795"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6"/>
                            <w:szCs w:val="16"/>
                          </w:rPr>
                        </w:pPr>
                        <w:r>
                          <w:rPr>
                            <w:rFonts w:ascii="宋体"/>
                            <w:w w:val="99"/>
                            <w:sz w:val="16"/>
                          </w:rPr>
                          <w:t>1</w:t>
                        </w:r>
                        <w:r>
                          <w:rPr>
                            <w:rFonts w:ascii="宋体"/>
                            <w:sz w:val="16"/>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60" w:lineRule="auto"/>
                          <w:ind w:left="9" w:right="160"/>
                          <w:jc w:val="left"/>
                          <w:rPr>
                            <w:rFonts w:ascii="宋体" w:hAnsi="宋体" w:cs="宋体" w:eastAsia="宋体" w:hint="default"/>
                            <w:sz w:val="16"/>
                            <w:szCs w:val="16"/>
                          </w:rPr>
                        </w:pPr>
                        <w:r>
                          <w:rPr>
                            <w:rFonts w:ascii="宋体" w:hAnsi="宋体" w:cs="宋体" w:eastAsia="宋体" w:hint="default"/>
                            <w:sz w:val="16"/>
                            <w:szCs w:val="16"/>
                          </w:rPr>
                          <w:t>血压测量气路系统的优化升</w:t>
                        </w:r>
                        <w:r>
                          <w:rPr>
                            <w:rFonts w:ascii="宋体" w:hAnsi="宋体" w:cs="宋体" w:eastAsia="宋体" w:hint="default"/>
                            <w:w w:val="99"/>
                            <w:sz w:val="16"/>
                            <w:szCs w:val="16"/>
                          </w:rPr>
                          <w:t> </w:t>
                        </w:r>
                        <w:r>
                          <w:rPr>
                            <w:rFonts w:ascii="宋体" w:hAnsi="宋体" w:cs="宋体" w:eastAsia="宋体" w:hint="default"/>
                            <w:sz w:val="16"/>
                            <w:szCs w:val="16"/>
                          </w:rPr>
                          <w:t>级研究及应用</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357" w:lineRule="auto"/>
                          <w:ind w:left="9" w:right="12"/>
                          <w:jc w:val="left"/>
                          <w:rPr>
                            <w:rFonts w:ascii="宋体" w:hAnsi="宋体" w:cs="宋体" w:eastAsia="宋体" w:hint="default"/>
                            <w:sz w:val="16"/>
                            <w:szCs w:val="16"/>
                          </w:rPr>
                        </w:pPr>
                        <w:r>
                          <w:rPr>
                            <w:rFonts w:ascii="宋体" w:hAnsi="宋体" w:cs="宋体" w:eastAsia="宋体" w:hint="default"/>
                            <w:spacing w:val="-3"/>
                            <w:w w:val="99"/>
                            <w:sz w:val="16"/>
                            <w:szCs w:val="16"/>
                          </w:rPr>
                          <w:t>项目在公司现在血压测量气路系统的基础上，优化气泵的</w:t>
                        </w:r>
                        <w:r>
                          <w:rPr>
                            <w:rFonts w:ascii="宋体" w:hAnsi="宋体" w:cs="宋体" w:eastAsia="宋体" w:hint="default"/>
                            <w:spacing w:val="-69"/>
                            <w:w w:val="99"/>
                            <w:sz w:val="16"/>
                            <w:szCs w:val="16"/>
                          </w:rPr>
                          <w:t> </w:t>
                        </w:r>
                        <w:r>
                          <w:rPr>
                            <w:rFonts w:ascii="宋体" w:hAnsi="宋体" w:cs="宋体" w:eastAsia="宋体" w:hint="default"/>
                            <w:spacing w:val="-69"/>
                            <w:w w:val="99"/>
                            <w:sz w:val="16"/>
                            <w:szCs w:val="16"/>
                          </w:rPr>
                        </w:r>
                        <w:r>
                          <w:rPr>
                            <w:rFonts w:ascii="宋体" w:hAnsi="宋体" w:cs="宋体" w:eastAsia="宋体" w:hint="default"/>
                            <w:sz w:val="16"/>
                            <w:szCs w:val="16"/>
                          </w:rPr>
                          <w:t>气体流量输出稳定性及噪音，优化</w:t>
                        </w:r>
                        <w:r>
                          <w:rPr>
                            <w:rFonts w:ascii="宋体" w:hAnsi="宋体" w:cs="宋体" w:eastAsia="宋体" w:hint="default"/>
                            <w:spacing w:val="-42"/>
                            <w:sz w:val="16"/>
                            <w:szCs w:val="16"/>
                          </w:rPr>
                          <w:t> </w:t>
                        </w:r>
                        <w:r>
                          <w:rPr>
                            <w:rFonts w:ascii="宋体" w:hAnsi="宋体" w:cs="宋体" w:eastAsia="宋体" w:hint="default"/>
                            <w:sz w:val="16"/>
                            <w:szCs w:val="16"/>
                          </w:rPr>
                          <w:t>CUFF</w:t>
                        </w:r>
                        <w:r>
                          <w:rPr>
                            <w:rFonts w:ascii="宋体" w:hAnsi="宋体" w:cs="宋体" w:eastAsia="宋体" w:hint="default"/>
                            <w:spacing w:val="-42"/>
                            <w:sz w:val="16"/>
                            <w:szCs w:val="16"/>
                          </w:rPr>
                          <w:t> </w:t>
                        </w:r>
                        <w:r>
                          <w:rPr>
                            <w:rFonts w:ascii="宋体" w:hAnsi="宋体" w:cs="宋体" w:eastAsia="宋体" w:hint="default"/>
                            <w:sz w:val="16"/>
                            <w:szCs w:val="16"/>
                          </w:rPr>
                          <w:t>的舒适性，优化</w:t>
                        </w:r>
                        <w:r>
                          <w:rPr>
                            <w:rFonts w:ascii="宋体" w:hAnsi="宋体" w:cs="宋体" w:eastAsia="宋体" w:hint="default"/>
                            <w:w w:val="99"/>
                            <w:sz w:val="16"/>
                            <w:szCs w:val="16"/>
                          </w:rPr>
                          <w:t> </w:t>
                        </w:r>
                        <w:r>
                          <w:rPr>
                            <w:rFonts w:ascii="宋体" w:hAnsi="宋体" w:cs="宋体" w:eastAsia="宋体" w:hint="default"/>
                            <w:sz w:val="16"/>
                            <w:szCs w:val="16"/>
                          </w:rPr>
                          <w:t>气泵</w:t>
                        </w:r>
                        <w:r>
                          <w:rPr>
                            <w:rFonts w:ascii="宋体" w:hAnsi="宋体" w:cs="宋体" w:eastAsia="宋体" w:hint="default"/>
                            <w:sz w:val="16"/>
                            <w:szCs w:val="16"/>
                          </w:rPr>
                          <w:t>-</w:t>
                        </w:r>
                        <w:r>
                          <w:rPr>
                            <w:rFonts w:ascii="宋体" w:hAnsi="宋体" w:cs="宋体" w:eastAsia="宋体" w:hint="default"/>
                            <w:sz w:val="16"/>
                            <w:szCs w:val="16"/>
                          </w:rPr>
                          <w:t>压力传感器</w:t>
                        </w:r>
                        <w:r>
                          <w:rPr>
                            <w:rFonts w:ascii="宋体" w:hAnsi="宋体" w:cs="宋体" w:eastAsia="宋体" w:hint="default"/>
                            <w:sz w:val="16"/>
                            <w:szCs w:val="16"/>
                          </w:rPr>
                          <w:t>-CUFF-</w:t>
                        </w:r>
                        <w:r>
                          <w:rPr>
                            <w:rFonts w:ascii="宋体" w:hAnsi="宋体" w:cs="宋体" w:eastAsia="宋体" w:hint="default"/>
                            <w:sz w:val="16"/>
                            <w:szCs w:val="16"/>
                          </w:rPr>
                          <w:t>漏气阀</w:t>
                        </w:r>
                        <w:r>
                          <w:rPr>
                            <w:rFonts w:ascii="宋体" w:hAnsi="宋体" w:cs="宋体" w:eastAsia="宋体" w:hint="default"/>
                            <w:sz w:val="16"/>
                            <w:szCs w:val="16"/>
                          </w:rPr>
                          <w:t>-</w:t>
                        </w:r>
                        <w:r>
                          <w:rPr>
                            <w:rFonts w:ascii="宋体" w:hAnsi="宋体" w:cs="宋体" w:eastAsia="宋体" w:hint="default"/>
                            <w:sz w:val="16"/>
                            <w:szCs w:val="16"/>
                          </w:rPr>
                          <w:t>连接气管之间的传输效</w:t>
                        </w:r>
                        <w:r>
                          <w:rPr>
                            <w:rFonts w:ascii="宋体" w:hAnsi="宋体" w:cs="宋体" w:eastAsia="宋体" w:hint="default"/>
                            <w:w w:val="99"/>
                            <w:sz w:val="16"/>
                            <w:szCs w:val="16"/>
                          </w:rPr>
                          <w:t> </w:t>
                        </w:r>
                        <w:r>
                          <w:rPr>
                            <w:rFonts w:ascii="宋体" w:hAnsi="宋体" w:cs="宋体" w:eastAsia="宋体" w:hint="default"/>
                            <w:spacing w:val="-3"/>
                            <w:sz w:val="16"/>
                            <w:szCs w:val="16"/>
                          </w:rPr>
                          <w:t>率及有效性，减少气流信号干扰及流噪，得到一个稳定可</w:t>
                        </w:r>
                        <w:r>
                          <w:rPr>
                            <w:rFonts w:ascii="宋体" w:hAnsi="宋体" w:cs="宋体" w:eastAsia="宋体" w:hint="default"/>
                            <w:w w:val="99"/>
                            <w:sz w:val="16"/>
                            <w:szCs w:val="16"/>
                          </w:rPr>
                          <w:t> </w:t>
                        </w:r>
                        <w:r>
                          <w:rPr>
                            <w:rFonts w:ascii="宋体" w:hAnsi="宋体" w:cs="宋体" w:eastAsia="宋体" w:hint="default"/>
                            <w:spacing w:val="-3"/>
                            <w:w w:val="99"/>
                            <w:sz w:val="16"/>
                            <w:szCs w:val="16"/>
                          </w:rPr>
                          <w:t>靠高效低噪的血压测量气路系统，配合公司精准的软件算</w:t>
                        </w:r>
                        <w:r>
                          <w:rPr>
                            <w:rFonts w:ascii="宋体" w:hAnsi="宋体" w:cs="宋体" w:eastAsia="宋体" w:hint="default"/>
                            <w:spacing w:val="-69"/>
                            <w:w w:val="99"/>
                            <w:sz w:val="16"/>
                            <w:szCs w:val="16"/>
                          </w:rPr>
                          <w:t> </w:t>
                        </w:r>
                        <w:r>
                          <w:rPr>
                            <w:rFonts w:ascii="宋体" w:hAnsi="宋体" w:cs="宋体" w:eastAsia="宋体" w:hint="default"/>
                            <w:spacing w:val="-69"/>
                            <w:w w:val="99"/>
                            <w:sz w:val="16"/>
                            <w:szCs w:val="16"/>
                          </w:rPr>
                        </w:r>
                        <w:r>
                          <w:rPr>
                            <w:rFonts w:ascii="宋体" w:hAnsi="宋体" w:cs="宋体" w:eastAsia="宋体" w:hint="default"/>
                            <w:sz w:val="16"/>
                            <w:szCs w:val="16"/>
                          </w:rPr>
                          <w:t>法，并通过蓝牙</w:t>
                        </w:r>
                        <w:r>
                          <w:rPr>
                            <w:rFonts w:ascii="宋体" w:hAnsi="宋体" w:cs="宋体" w:eastAsia="宋体" w:hint="default"/>
                            <w:sz w:val="16"/>
                            <w:szCs w:val="16"/>
                          </w:rPr>
                          <w:t>/WIFI</w:t>
                        </w:r>
                        <w:r>
                          <w:rPr>
                            <w:rFonts w:ascii="宋体" w:hAnsi="宋体" w:cs="宋体" w:eastAsia="宋体" w:hint="default"/>
                            <w:spacing w:val="-41"/>
                            <w:sz w:val="16"/>
                            <w:szCs w:val="16"/>
                          </w:rPr>
                          <w:t> </w:t>
                        </w:r>
                        <w:r>
                          <w:rPr>
                            <w:rFonts w:ascii="宋体" w:hAnsi="宋体" w:cs="宋体" w:eastAsia="宋体" w:hint="default"/>
                            <w:sz w:val="16"/>
                            <w:szCs w:val="16"/>
                          </w:rPr>
                          <w:t>等无线传输</w:t>
                        </w:r>
                        <w:r>
                          <w:rPr>
                            <w:rFonts w:ascii="宋体" w:hAnsi="宋体" w:cs="宋体" w:eastAsia="宋体" w:hint="default"/>
                            <w:sz w:val="16"/>
                            <w:szCs w:val="16"/>
                          </w:rPr>
                          <w:t>/</w:t>
                        </w:r>
                        <w:r>
                          <w:rPr>
                            <w:rFonts w:ascii="宋体" w:hAnsi="宋体" w:cs="宋体" w:eastAsia="宋体" w:hint="default"/>
                            <w:sz w:val="16"/>
                            <w:szCs w:val="16"/>
                          </w:rPr>
                          <w:t>通信技术、信息推送</w:t>
                        </w:r>
                        <w:r>
                          <w:rPr>
                            <w:rFonts w:ascii="宋体" w:hAnsi="宋体" w:cs="宋体" w:eastAsia="宋体" w:hint="default"/>
                            <w:w w:val="99"/>
                            <w:sz w:val="16"/>
                            <w:szCs w:val="16"/>
                          </w:rPr>
                          <w:t> </w:t>
                        </w:r>
                        <w:r>
                          <w:rPr>
                            <w:rFonts w:ascii="宋体" w:hAnsi="宋体" w:cs="宋体" w:eastAsia="宋体" w:hint="default"/>
                            <w:spacing w:val="-3"/>
                            <w:sz w:val="16"/>
                            <w:szCs w:val="16"/>
                          </w:rPr>
                          <w:t>服务技术、云计算技术应用的有机结合，为用户提供专业</w:t>
                        </w:r>
                        <w:r>
                          <w:rPr>
                            <w:rFonts w:ascii="宋体" w:hAnsi="宋体" w:cs="宋体" w:eastAsia="宋体" w:hint="default"/>
                            <w:w w:val="99"/>
                            <w:sz w:val="16"/>
                            <w:szCs w:val="16"/>
                          </w:rPr>
                          <w:t> </w:t>
                        </w:r>
                        <w:r>
                          <w:rPr>
                            <w:rFonts w:ascii="宋体" w:hAnsi="宋体" w:cs="宋体" w:eastAsia="宋体" w:hint="default"/>
                            <w:sz w:val="16"/>
                            <w:szCs w:val="16"/>
                          </w:rPr>
                          <w:t>的后台健康信息分析增值服务。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357" w:lineRule="auto" w:before="113"/>
                          <w:ind w:left="30" w:right="31"/>
                          <w:jc w:val="both"/>
                          <w:rPr>
                            <w:rFonts w:ascii="宋体" w:hAnsi="宋体" w:cs="宋体" w:eastAsia="宋体" w:hint="default"/>
                            <w:sz w:val="16"/>
                            <w:szCs w:val="16"/>
                          </w:rPr>
                        </w:pPr>
                        <w:r>
                          <w:rPr>
                            <w:rFonts w:ascii="宋体" w:hAnsi="宋体" w:cs="宋体" w:eastAsia="宋体" w:hint="default"/>
                            <w:sz w:val="16"/>
                            <w:szCs w:val="16"/>
                          </w:rPr>
                          <w:t>已完成气泵的优化、双管袖带的开发、</w:t>
                        </w:r>
                        <w:r>
                          <w:rPr>
                            <w:rFonts w:ascii="宋体" w:hAnsi="宋体" w:cs="宋体" w:eastAsia="宋体" w:hint="default"/>
                            <w:w w:val="99"/>
                            <w:sz w:val="16"/>
                            <w:szCs w:val="16"/>
                          </w:rPr>
                          <w:t> </w:t>
                        </w:r>
                        <w:r>
                          <w:rPr>
                            <w:rFonts w:ascii="宋体" w:hAnsi="宋体" w:cs="宋体" w:eastAsia="宋体" w:hint="default"/>
                            <w:sz w:val="16"/>
                            <w:szCs w:val="16"/>
                          </w:rPr>
                          <w:t>血压测量的点击控制系统的优化，目前</w:t>
                        </w:r>
                        <w:r>
                          <w:rPr>
                            <w:rFonts w:ascii="宋体" w:hAnsi="宋体" w:cs="宋体" w:eastAsia="宋体" w:hint="default"/>
                            <w:w w:val="99"/>
                            <w:sz w:val="16"/>
                            <w:szCs w:val="16"/>
                          </w:rPr>
                          <w:t> </w:t>
                        </w:r>
                        <w:r>
                          <w:rPr>
                            <w:rFonts w:ascii="宋体" w:hAnsi="宋体" w:cs="宋体" w:eastAsia="宋体" w:hint="default"/>
                            <w:sz w:val="16"/>
                            <w:szCs w:val="16"/>
                          </w:rPr>
                          <w:t>血压气路系统和算法正在继续优化中。</w:t>
                        </w:r>
                      </w:p>
                    </w:tc>
                  </w:tr>
                  <w:tr>
                    <w:trPr>
                      <w:trHeight w:val="2928"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6"/>
                            <w:szCs w:val="16"/>
                          </w:rPr>
                        </w:pPr>
                        <w:r>
                          <w:rPr>
                            <w:rFonts w:ascii="宋体"/>
                            <w:w w:val="99"/>
                            <w:sz w:val="16"/>
                          </w:rPr>
                          <w:t>2</w:t>
                        </w:r>
                        <w:r>
                          <w:rPr>
                            <w:rFonts w:ascii="宋体"/>
                            <w:sz w:val="16"/>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360" w:lineRule="auto" w:before="126"/>
                          <w:ind w:left="9" w:right="160"/>
                          <w:jc w:val="left"/>
                          <w:rPr>
                            <w:rFonts w:ascii="宋体" w:hAnsi="宋体" w:cs="宋体" w:eastAsia="宋体" w:hint="default"/>
                            <w:sz w:val="16"/>
                            <w:szCs w:val="16"/>
                          </w:rPr>
                        </w:pPr>
                        <w:r>
                          <w:rPr>
                            <w:rFonts w:ascii="宋体" w:hAnsi="宋体" w:cs="宋体" w:eastAsia="宋体" w:hint="default"/>
                            <w:sz w:val="16"/>
                            <w:szCs w:val="16"/>
                          </w:rPr>
                          <w:t>云端血压计管理产品的升级</w:t>
                        </w:r>
                        <w:r>
                          <w:rPr>
                            <w:rFonts w:ascii="宋体" w:hAnsi="宋体" w:cs="宋体" w:eastAsia="宋体" w:hint="default"/>
                            <w:w w:val="99"/>
                            <w:sz w:val="16"/>
                            <w:szCs w:val="16"/>
                          </w:rPr>
                          <w:t> </w:t>
                        </w:r>
                        <w:r>
                          <w:rPr>
                            <w:rFonts w:ascii="宋体" w:hAnsi="宋体" w:cs="宋体" w:eastAsia="宋体" w:hint="default"/>
                            <w:sz w:val="16"/>
                            <w:szCs w:val="16"/>
                          </w:rPr>
                          <w:t>研究及应用</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57" w:lineRule="auto"/>
                          <w:ind w:left="9" w:right="8"/>
                          <w:jc w:val="both"/>
                          <w:rPr>
                            <w:rFonts w:ascii="宋体" w:hAnsi="宋体" w:cs="宋体" w:eastAsia="宋体" w:hint="default"/>
                            <w:sz w:val="16"/>
                            <w:szCs w:val="16"/>
                          </w:rPr>
                        </w:pPr>
                        <w:r>
                          <w:rPr>
                            <w:rFonts w:ascii="宋体" w:hAnsi="宋体" w:cs="宋体" w:eastAsia="宋体" w:hint="default"/>
                            <w:spacing w:val="-3"/>
                            <w:w w:val="99"/>
                            <w:sz w:val="16"/>
                            <w:szCs w:val="16"/>
                          </w:rPr>
                          <w:t>研究开发出达到医用级别的血压测量仪，引入无线连接技</w:t>
                        </w:r>
                        <w:r>
                          <w:rPr>
                            <w:rFonts w:ascii="宋体" w:hAnsi="宋体" w:cs="宋体" w:eastAsia="宋体" w:hint="default"/>
                            <w:spacing w:val="-69"/>
                            <w:w w:val="99"/>
                            <w:sz w:val="16"/>
                            <w:szCs w:val="16"/>
                          </w:rPr>
                          <w:t> </w:t>
                        </w:r>
                        <w:r>
                          <w:rPr>
                            <w:rFonts w:ascii="宋体" w:hAnsi="宋体" w:cs="宋体" w:eastAsia="宋体" w:hint="default"/>
                            <w:spacing w:val="-69"/>
                            <w:w w:val="99"/>
                            <w:sz w:val="16"/>
                            <w:szCs w:val="16"/>
                          </w:rPr>
                        </w:r>
                        <w:r>
                          <w:rPr>
                            <w:rFonts w:ascii="宋体" w:hAnsi="宋体" w:cs="宋体" w:eastAsia="宋体" w:hint="default"/>
                            <w:spacing w:val="-3"/>
                            <w:sz w:val="16"/>
                            <w:szCs w:val="16"/>
                          </w:rPr>
                          <w:t>术，包括</w:t>
                        </w:r>
                        <w:r>
                          <w:rPr>
                            <w:rFonts w:ascii="宋体" w:hAnsi="宋体" w:cs="宋体" w:eastAsia="宋体" w:hint="default"/>
                            <w:spacing w:val="-45"/>
                            <w:sz w:val="16"/>
                            <w:szCs w:val="16"/>
                          </w:rPr>
                          <w:t> </w:t>
                        </w:r>
                        <w:r>
                          <w:rPr>
                            <w:rFonts w:ascii="宋体" w:hAnsi="宋体" w:cs="宋体" w:eastAsia="宋体" w:hint="default"/>
                            <w:sz w:val="16"/>
                            <w:szCs w:val="16"/>
                          </w:rPr>
                          <w:t>Wi-Fi</w:t>
                        </w:r>
                        <w:r>
                          <w:rPr>
                            <w:rFonts w:ascii="宋体" w:hAnsi="宋体" w:cs="宋体" w:eastAsia="宋体" w:hint="default"/>
                            <w:spacing w:val="-44"/>
                            <w:sz w:val="16"/>
                            <w:szCs w:val="16"/>
                          </w:rPr>
                          <w:t> </w:t>
                        </w:r>
                        <w:r>
                          <w:rPr>
                            <w:rFonts w:ascii="宋体" w:hAnsi="宋体" w:cs="宋体" w:eastAsia="宋体" w:hint="default"/>
                            <w:sz w:val="16"/>
                            <w:szCs w:val="16"/>
                          </w:rPr>
                          <w:t>和</w:t>
                        </w:r>
                        <w:r>
                          <w:rPr>
                            <w:rFonts w:ascii="宋体" w:hAnsi="宋体" w:cs="宋体" w:eastAsia="宋体" w:hint="default"/>
                            <w:spacing w:val="-44"/>
                            <w:sz w:val="16"/>
                            <w:szCs w:val="16"/>
                          </w:rPr>
                          <w:t> </w:t>
                        </w:r>
                        <w:r>
                          <w:rPr>
                            <w:rFonts w:ascii="宋体" w:hAnsi="宋体" w:cs="宋体" w:eastAsia="宋体" w:hint="default"/>
                            <w:sz w:val="16"/>
                            <w:szCs w:val="16"/>
                          </w:rPr>
                          <w:t>BLE</w:t>
                        </w:r>
                        <w:r>
                          <w:rPr>
                            <w:rFonts w:ascii="宋体" w:hAnsi="宋体" w:cs="宋体" w:eastAsia="宋体" w:hint="default"/>
                            <w:sz w:val="16"/>
                            <w:szCs w:val="16"/>
                          </w:rPr>
                          <w:t>，实现</w:t>
                        </w:r>
                        <w:r>
                          <w:rPr>
                            <w:rFonts w:ascii="宋体" w:hAnsi="宋体" w:cs="宋体" w:eastAsia="宋体" w:hint="default"/>
                            <w:spacing w:val="-45"/>
                            <w:sz w:val="16"/>
                            <w:szCs w:val="16"/>
                          </w:rPr>
                          <w:t> </w:t>
                        </w:r>
                        <w:r>
                          <w:rPr>
                            <w:rFonts w:ascii="宋体" w:hAnsi="宋体" w:cs="宋体" w:eastAsia="宋体" w:hint="default"/>
                            <w:sz w:val="16"/>
                            <w:szCs w:val="16"/>
                          </w:rPr>
                          <w:t>Wi-Fi</w:t>
                        </w:r>
                        <w:r>
                          <w:rPr>
                            <w:rFonts w:ascii="宋体" w:hAnsi="宋体" w:cs="宋体" w:eastAsia="宋体" w:hint="default"/>
                            <w:spacing w:val="-44"/>
                            <w:sz w:val="16"/>
                            <w:szCs w:val="16"/>
                          </w:rPr>
                          <w:t> </w:t>
                        </w:r>
                        <w:r>
                          <w:rPr>
                            <w:rFonts w:ascii="宋体" w:hAnsi="宋体" w:cs="宋体" w:eastAsia="宋体" w:hint="default"/>
                            <w:sz w:val="16"/>
                            <w:szCs w:val="16"/>
                          </w:rPr>
                          <w:t>和</w:t>
                        </w:r>
                        <w:r>
                          <w:rPr>
                            <w:rFonts w:ascii="宋体" w:hAnsi="宋体" w:cs="宋体" w:eastAsia="宋体" w:hint="default"/>
                            <w:spacing w:val="-45"/>
                            <w:sz w:val="16"/>
                            <w:szCs w:val="16"/>
                          </w:rPr>
                          <w:t> </w:t>
                        </w:r>
                        <w:r>
                          <w:rPr>
                            <w:rFonts w:ascii="宋体" w:hAnsi="宋体" w:cs="宋体" w:eastAsia="宋体" w:hint="default"/>
                            <w:sz w:val="16"/>
                            <w:szCs w:val="16"/>
                          </w:rPr>
                          <w:t>BLE</w:t>
                        </w:r>
                        <w:r>
                          <w:rPr>
                            <w:rFonts w:ascii="宋体" w:hAnsi="宋体" w:cs="宋体" w:eastAsia="宋体" w:hint="default"/>
                            <w:spacing w:val="-44"/>
                            <w:sz w:val="16"/>
                            <w:szCs w:val="16"/>
                          </w:rPr>
                          <w:t> </w:t>
                        </w:r>
                        <w:r>
                          <w:rPr>
                            <w:rFonts w:ascii="宋体" w:hAnsi="宋体" w:cs="宋体" w:eastAsia="宋体" w:hint="default"/>
                            <w:sz w:val="16"/>
                            <w:szCs w:val="16"/>
                          </w:rPr>
                          <w:t>通信技术、信</w:t>
                        </w:r>
                        <w:r>
                          <w:rPr>
                            <w:rFonts w:ascii="宋体" w:hAnsi="宋体" w:cs="宋体" w:eastAsia="宋体" w:hint="default"/>
                            <w:w w:val="99"/>
                            <w:sz w:val="16"/>
                            <w:szCs w:val="16"/>
                          </w:rPr>
                          <w:t> </w:t>
                        </w:r>
                        <w:r>
                          <w:rPr>
                            <w:rFonts w:ascii="宋体" w:hAnsi="宋体" w:cs="宋体" w:eastAsia="宋体" w:hint="default"/>
                            <w:spacing w:val="-3"/>
                            <w:sz w:val="16"/>
                            <w:szCs w:val="16"/>
                          </w:rPr>
                          <w:t>息推送服务技术、云计算技术的有机结合应用，为用户提</w:t>
                        </w:r>
                        <w:r>
                          <w:rPr>
                            <w:rFonts w:ascii="宋体" w:hAnsi="宋体" w:cs="宋体" w:eastAsia="宋体" w:hint="default"/>
                            <w:w w:val="99"/>
                            <w:sz w:val="16"/>
                            <w:szCs w:val="16"/>
                          </w:rPr>
                          <w:t> </w:t>
                        </w:r>
                        <w:r>
                          <w:rPr>
                            <w:rFonts w:ascii="宋体" w:hAnsi="宋体" w:cs="宋体" w:eastAsia="宋体" w:hint="default"/>
                            <w:spacing w:val="-3"/>
                            <w:sz w:val="16"/>
                            <w:szCs w:val="16"/>
                          </w:rPr>
                          <w:t>供增值健康信息服务，打造公司高端战略性产品，提高公</w:t>
                        </w:r>
                        <w:r>
                          <w:rPr>
                            <w:rFonts w:ascii="宋体" w:hAnsi="宋体" w:cs="宋体" w:eastAsia="宋体" w:hint="default"/>
                            <w:w w:val="99"/>
                            <w:sz w:val="16"/>
                            <w:szCs w:val="16"/>
                          </w:rPr>
                          <w:t> </w:t>
                        </w:r>
                        <w:r>
                          <w:rPr>
                            <w:rFonts w:ascii="宋体" w:hAnsi="宋体" w:cs="宋体" w:eastAsia="宋体" w:hint="default"/>
                            <w:sz w:val="16"/>
                            <w:szCs w:val="16"/>
                          </w:rPr>
                          <w:t>司竞争力。</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80"/>
                          <w:ind w:left="9" w:right="50"/>
                          <w:jc w:val="both"/>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、已完成</w:t>
                        </w:r>
                        <w:r>
                          <w:rPr>
                            <w:rFonts w:ascii="宋体" w:hAnsi="宋体" w:cs="宋体" w:eastAsia="宋体" w:hint="default"/>
                            <w:spacing w:val="-42"/>
                            <w:sz w:val="16"/>
                            <w:szCs w:val="16"/>
                          </w:rPr>
                          <w:t> </w:t>
                        </w:r>
                        <w:r>
                          <w:rPr>
                            <w:rFonts w:ascii="宋体" w:hAnsi="宋体" w:cs="宋体" w:eastAsia="宋体" w:hint="default"/>
                            <w:sz w:val="16"/>
                            <w:szCs w:val="16"/>
                          </w:rPr>
                          <w:t>WiFi</w:t>
                        </w:r>
                        <w:r>
                          <w:rPr>
                            <w:rFonts w:ascii="宋体" w:hAnsi="宋体" w:cs="宋体" w:eastAsia="宋体" w:hint="default"/>
                            <w:spacing w:val="-42"/>
                            <w:sz w:val="16"/>
                            <w:szCs w:val="16"/>
                          </w:rPr>
                          <w:t> </w:t>
                        </w:r>
                        <w:r>
                          <w:rPr>
                            <w:rFonts w:ascii="宋体" w:hAnsi="宋体" w:cs="宋体" w:eastAsia="宋体" w:hint="default"/>
                            <w:sz w:val="16"/>
                            <w:szCs w:val="16"/>
                          </w:rPr>
                          <w:t>无线传输技术的研究，</w:t>
                        </w:r>
                        <w:r>
                          <w:rPr>
                            <w:rFonts w:ascii="宋体" w:hAnsi="宋体" w:cs="宋体" w:eastAsia="宋体" w:hint="default"/>
                            <w:w w:val="99"/>
                            <w:sz w:val="16"/>
                            <w:szCs w:val="16"/>
                          </w:rPr>
                          <w:t> </w:t>
                        </w:r>
                        <w:r>
                          <w:rPr>
                            <w:rFonts w:ascii="宋体" w:hAnsi="宋体" w:cs="宋体" w:eastAsia="宋体" w:hint="default"/>
                            <w:sz w:val="16"/>
                            <w:szCs w:val="16"/>
                          </w:rPr>
                          <w:t>运用于血压计，实现语音对讲功能、乐</w:t>
                        </w:r>
                        <w:r>
                          <w:rPr>
                            <w:rFonts w:ascii="宋体" w:hAnsi="宋体" w:cs="宋体" w:eastAsia="宋体" w:hint="default"/>
                            <w:w w:val="99"/>
                            <w:sz w:val="16"/>
                            <w:szCs w:val="16"/>
                          </w:rPr>
                          <w:t> </w:t>
                        </w:r>
                        <w:r>
                          <w:rPr>
                            <w:rFonts w:ascii="宋体" w:hAnsi="宋体" w:cs="宋体" w:eastAsia="宋体" w:hint="default"/>
                            <w:sz w:val="16"/>
                            <w:szCs w:val="16"/>
                          </w:rPr>
                          <w:t>心健康平台搭建、血压测量的电机控制</w:t>
                        </w:r>
                        <w:r>
                          <w:rPr>
                            <w:rFonts w:ascii="宋体" w:hAnsi="宋体" w:cs="宋体" w:eastAsia="宋体" w:hint="default"/>
                            <w:w w:val="99"/>
                            <w:sz w:val="16"/>
                            <w:szCs w:val="16"/>
                          </w:rPr>
                          <w:t> </w:t>
                        </w:r>
                        <w:r>
                          <w:rPr>
                            <w:rFonts w:ascii="宋体" w:hAnsi="宋体" w:cs="宋体" w:eastAsia="宋体" w:hint="default"/>
                            <w:sz w:val="16"/>
                            <w:szCs w:val="16"/>
                          </w:rPr>
                          <w:t>系统优化；</w:t>
                        </w:r>
                      </w:p>
                      <w:p>
                        <w:pPr>
                          <w:pStyle w:val="TableParagraph"/>
                          <w:spacing w:line="240" w:lineRule="auto" w:before="24"/>
                          <w:ind w:left="9"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、正在调试血压计 </w:t>
                        </w:r>
                        <w:r>
                          <w:rPr>
                            <w:rFonts w:ascii="宋体" w:hAnsi="宋体" w:cs="宋体" w:eastAsia="宋体" w:hint="default"/>
                            <w:sz w:val="16"/>
                            <w:szCs w:val="16"/>
                          </w:rPr>
                          <w:t>i8</w:t>
                        </w:r>
                        <w:r>
                          <w:rPr>
                            <w:rFonts w:ascii="宋体" w:hAnsi="宋体" w:cs="宋体" w:eastAsia="宋体" w:hint="default"/>
                            <w:spacing w:val="-43"/>
                            <w:sz w:val="16"/>
                            <w:szCs w:val="16"/>
                          </w:rPr>
                          <w:t> </w:t>
                        </w:r>
                        <w:r>
                          <w:rPr>
                            <w:rFonts w:ascii="宋体" w:hAnsi="宋体" w:cs="宋体" w:eastAsia="宋体" w:hint="default"/>
                            <w:sz w:val="16"/>
                            <w:szCs w:val="16"/>
                          </w:rPr>
                          <w:t>与其他蓝牙产品</w:t>
                        </w:r>
                      </w:p>
                      <w:p>
                        <w:pPr>
                          <w:pStyle w:val="TableParagraph"/>
                          <w:spacing w:line="357" w:lineRule="auto" w:before="102"/>
                          <w:ind w:left="9" w:right="11"/>
                          <w:jc w:val="left"/>
                          <w:rPr>
                            <w:rFonts w:ascii="宋体" w:hAnsi="宋体" w:cs="宋体" w:eastAsia="宋体" w:hint="default"/>
                            <w:sz w:val="16"/>
                            <w:szCs w:val="16"/>
                          </w:rPr>
                        </w:pPr>
                        <w:r>
                          <w:rPr>
                            <w:rFonts w:ascii="宋体" w:hAnsi="宋体" w:cs="宋体" w:eastAsia="宋体" w:hint="default"/>
                            <w:spacing w:val="-3"/>
                            <w:sz w:val="16"/>
                            <w:szCs w:val="16"/>
                          </w:rPr>
                          <w:t>（包括血压计、手环、血糖仪、健康秤</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pacing w:val="-10"/>
                            <w:w w:val="99"/>
                            <w:sz w:val="16"/>
                            <w:szCs w:val="16"/>
                          </w:rPr>
                          <w:t>智能连接，并通过</w:t>
                        </w:r>
                        <w:r>
                          <w:rPr>
                            <w:rFonts w:ascii="宋体" w:hAnsi="宋体" w:cs="宋体" w:eastAsia="宋体" w:hint="default"/>
                            <w:w w:val="99"/>
                            <w:sz w:val="16"/>
                            <w:szCs w:val="16"/>
                          </w:rPr>
                          <w:t> </w:t>
                        </w:r>
                        <w:r>
                          <w:rPr>
                            <w:rFonts w:ascii="宋体" w:hAnsi="宋体" w:cs="宋体" w:eastAsia="宋体" w:hint="default"/>
                            <w:w w:val="99"/>
                            <w:sz w:val="16"/>
                            <w:szCs w:val="16"/>
                          </w:rPr>
                          <w:t>i8</w:t>
                        </w:r>
                        <w:r>
                          <w:rPr>
                            <w:rFonts w:ascii="宋体" w:hAnsi="宋体" w:cs="宋体" w:eastAsia="宋体" w:hint="default"/>
                            <w:spacing w:val="-36"/>
                            <w:w w:val="99"/>
                            <w:sz w:val="16"/>
                            <w:szCs w:val="16"/>
                          </w:rPr>
                          <w:t> </w:t>
                        </w:r>
                        <w:r>
                          <w:rPr>
                            <w:rFonts w:ascii="宋体" w:hAnsi="宋体" w:cs="宋体" w:eastAsia="宋体" w:hint="default"/>
                            <w:w w:val="99"/>
                            <w:sz w:val="16"/>
                            <w:szCs w:val="16"/>
                          </w:rPr>
                          <w:t>基站获取其他蓝牙 </w:t>
                        </w:r>
                        <w:r>
                          <w:rPr>
                            <w:rFonts w:ascii="宋体" w:hAnsi="宋体" w:cs="宋体" w:eastAsia="宋体" w:hint="default"/>
                            <w:sz w:val="16"/>
                            <w:szCs w:val="16"/>
                          </w:rPr>
                          <w:t>产品数据，通过 </w:t>
                        </w:r>
                        <w:r>
                          <w:rPr>
                            <w:rFonts w:ascii="宋体" w:hAnsi="宋体" w:cs="宋体" w:eastAsia="宋体" w:hint="default"/>
                            <w:sz w:val="16"/>
                            <w:szCs w:val="16"/>
                          </w:rPr>
                          <w:t>i8 WiFi</w:t>
                        </w:r>
                        <w:r>
                          <w:rPr>
                            <w:rFonts w:ascii="宋体" w:hAnsi="宋体" w:cs="宋体" w:eastAsia="宋体" w:hint="default"/>
                            <w:spacing w:val="-45"/>
                            <w:sz w:val="16"/>
                            <w:szCs w:val="16"/>
                          </w:rPr>
                          <w:t> </w:t>
                        </w:r>
                        <w:r>
                          <w:rPr>
                            <w:rFonts w:ascii="宋体" w:hAnsi="宋体" w:cs="宋体" w:eastAsia="宋体" w:hint="default"/>
                            <w:sz w:val="16"/>
                            <w:szCs w:val="16"/>
                          </w:rPr>
                          <w:t>模块上传，实</w:t>
                        </w:r>
                        <w:r>
                          <w:rPr>
                            <w:rFonts w:ascii="宋体" w:hAnsi="宋体" w:cs="宋体" w:eastAsia="宋体" w:hint="default"/>
                            <w:w w:val="99"/>
                            <w:sz w:val="16"/>
                            <w:szCs w:val="16"/>
                          </w:rPr>
                          <w:t> </w:t>
                        </w:r>
                        <w:r>
                          <w:rPr>
                            <w:rFonts w:ascii="宋体" w:hAnsi="宋体" w:cs="宋体" w:eastAsia="宋体" w:hint="default"/>
                            <w:sz w:val="16"/>
                            <w:szCs w:val="16"/>
                          </w:rPr>
                          <w:t>现各健康数据统一管理。</w:t>
                        </w:r>
                      </w:p>
                    </w:tc>
                  </w:tr>
                  <w:tr>
                    <w:trPr>
                      <w:trHeight w:val="1680"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6"/>
                            <w:szCs w:val="16"/>
                          </w:rPr>
                        </w:pPr>
                        <w:r>
                          <w:rPr>
                            <w:rFonts w:ascii="宋体"/>
                            <w:w w:val="99"/>
                            <w:sz w:val="16"/>
                          </w:rPr>
                          <w:t>3</w:t>
                        </w:r>
                        <w:r>
                          <w:rPr>
                            <w:rFonts w:ascii="宋体"/>
                            <w:sz w:val="16"/>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360" w:lineRule="auto" w:before="130"/>
                          <w:ind w:left="9" w:right="160"/>
                          <w:jc w:val="left"/>
                          <w:rPr>
                            <w:rFonts w:ascii="宋体" w:hAnsi="宋体" w:cs="宋体" w:eastAsia="宋体" w:hint="default"/>
                            <w:sz w:val="16"/>
                            <w:szCs w:val="16"/>
                          </w:rPr>
                        </w:pPr>
                        <w:r>
                          <w:rPr>
                            <w:rFonts w:ascii="宋体" w:hAnsi="宋体" w:cs="宋体" w:eastAsia="宋体" w:hint="default"/>
                            <w:sz w:val="16"/>
                            <w:szCs w:val="16"/>
                          </w:rPr>
                          <w:t>专业人体成分分析仪的研究</w:t>
                        </w:r>
                        <w:r>
                          <w:rPr>
                            <w:rFonts w:ascii="宋体" w:hAnsi="宋体" w:cs="宋体" w:eastAsia="宋体" w:hint="default"/>
                            <w:w w:val="99"/>
                            <w:sz w:val="16"/>
                            <w:szCs w:val="16"/>
                          </w:rPr>
                          <w:t> </w:t>
                        </w:r>
                        <w:r>
                          <w:rPr>
                            <w:rFonts w:ascii="宋体" w:hAnsi="宋体" w:cs="宋体" w:eastAsia="宋体" w:hint="default"/>
                            <w:sz w:val="16"/>
                            <w:szCs w:val="16"/>
                          </w:rPr>
                          <w:t>与应用</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80"/>
                          <w:ind w:left="9" w:right="12"/>
                          <w:jc w:val="left"/>
                          <w:rPr>
                            <w:rFonts w:ascii="宋体" w:hAnsi="宋体" w:cs="宋体" w:eastAsia="宋体" w:hint="default"/>
                            <w:sz w:val="16"/>
                            <w:szCs w:val="16"/>
                          </w:rPr>
                        </w:pPr>
                        <w:r>
                          <w:rPr>
                            <w:rFonts w:ascii="宋体" w:hAnsi="宋体" w:cs="宋体" w:eastAsia="宋体" w:hint="default"/>
                            <w:spacing w:val="-3"/>
                            <w:w w:val="99"/>
                            <w:sz w:val="16"/>
                            <w:szCs w:val="16"/>
                          </w:rPr>
                          <w:t>研究开发出达到专业级别的人体成份分析仪，引入操作系</w:t>
                        </w:r>
                        <w:r>
                          <w:rPr>
                            <w:rFonts w:ascii="宋体" w:hAnsi="宋体" w:cs="宋体" w:eastAsia="宋体" w:hint="default"/>
                            <w:spacing w:val="-69"/>
                            <w:w w:val="99"/>
                            <w:sz w:val="16"/>
                            <w:szCs w:val="16"/>
                          </w:rPr>
                          <w:t> </w:t>
                        </w:r>
                        <w:r>
                          <w:rPr>
                            <w:rFonts w:ascii="宋体" w:hAnsi="宋体" w:cs="宋体" w:eastAsia="宋体" w:hint="default"/>
                            <w:spacing w:val="-69"/>
                            <w:w w:val="99"/>
                            <w:sz w:val="16"/>
                            <w:szCs w:val="16"/>
                          </w:rPr>
                        </w:r>
                        <w:r>
                          <w:rPr>
                            <w:rFonts w:ascii="宋体" w:hAnsi="宋体" w:cs="宋体" w:eastAsia="宋体" w:hint="default"/>
                            <w:spacing w:val="-4"/>
                            <w:sz w:val="16"/>
                            <w:szCs w:val="16"/>
                          </w:rPr>
                          <w:t>统方案，实现智能的操作应用界面，实现</w:t>
                        </w:r>
                        <w:r>
                          <w:rPr>
                            <w:rFonts w:ascii="宋体" w:hAnsi="宋体" w:cs="宋体" w:eastAsia="宋体" w:hint="default"/>
                            <w:spacing w:val="-41"/>
                            <w:sz w:val="16"/>
                            <w:szCs w:val="16"/>
                          </w:rPr>
                          <w:t> </w:t>
                        </w:r>
                        <w:r>
                          <w:rPr>
                            <w:rFonts w:ascii="宋体" w:hAnsi="宋体" w:cs="宋体" w:eastAsia="宋体" w:hint="default"/>
                            <w:sz w:val="16"/>
                            <w:szCs w:val="16"/>
                          </w:rPr>
                          <w:t>WiFi</w:t>
                        </w:r>
                        <w:r>
                          <w:rPr>
                            <w:rFonts w:ascii="宋体" w:hAnsi="宋体" w:cs="宋体" w:eastAsia="宋体" w:hint="default"/>
                            <w:spacing w:val="-41"/>
                            <w:sz w:val="16"/>
                            <w:szCs w:val="16"/>
                          </w:rPr>
                          <w:t> </w:t>
                        </w:r>
                        <w:r>
                          <w:rPr>
                            <w:rFonts w:ascii="宋体" w:hAnsi="宋体" w:cs="宋体" w:eastAsia="宋体" w:hint="default"/>
                            <w:sz w:val="16"/>
                            <w:szCs w:val="16"/>
                          </w:rPr>
                          <w:t>通信技术</w:t>
                        </w:r>
                        <w:r>
                          <w:rPr>
                            <w:rFonts w:ascii="宋体" w:hAnsi="宋体" w:cs="宋体" w:eastAsia="宋体" w:hint="default"/>
                            <w:w w:val="99"/>
                            <w:sz w:val="16"/>
                            <w:szCs w:val="16"/>
                          </w:rPr>
                          <w:t> </w:t>
                        </w:r>
                        <w:r>
                          <w:rPr>
                            <w:rFonts w:ascii="宋体" w:hAnsi="宋体" w:cs="宋体" w:eastAsia="宋体" w:hint="default"/>
                            <w:spacing w:val="-3"/>
                            <w:sz w:val="16"/>
                            <w:szCs w:val="16"/>
                          </w:rPr>
                          <w:t>信息推送服务技术、云计算技术的有机结合应用，为用户</w:t>
                        </w:r>
                        <w:r>
                          <w:rPr>
                            <w:rFonts w:ascii="宋体" w:hAnsi="宋体" w:cs="宋体" w:eastAsia="宋体" w:hint="default"/>
                            <w:w w:val="99"/>
                            <w:sz w:val="16"/>
                            <w:szCs w:val="16"/>
                          </w:rPr>
                          <w:t> </w:t>
                        </w:r>
                        <w:r>
                          <w:rPr>
                            <w:rFonts w:ascii="宋体" w:hAnsi="宋体" w:cs="宋体" w:eastAsia="宋体" w:hint="default"/>
                            <w:spacing w:val="-3"/>
                            <w:sz w:val="16"/>
                            <w:szCs w:val="16"/>
                          </w:rPr>
                          <w:t>提供增值健康信息服务，打造公司高端战略性产品，提高</w:t>
                        </w:r>
                        <w:r>
                          <w:rPr>
                            <w:rFonts w:ascii="宋体" w:hAnsi="宋体" w:cs="宋体" w:eastAsia="宋体" w:hint="default"/>
                            <w:w w:val="99"/>
                            <w:sz w:val="16"/>
                            <w:szCs w:val="16"/>
                          </w:rPr>
                          <w:t> </w:t>
                        </w:r>
                        <w:r>
                          <w:rPr>
                            <w:rFonts w:ascii="宋体" w:hAnsi="宋体" w:cs="宋体" w:eastAsia="宋体" w:hint="default"/>
                            <w:sz w:val="16"/>
                            <w:szCs w:val="16"/>
                          </w:rPr>
                          <w:t>公司竞争力。</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183" w:lineRule="exact"/>
                          <w:ind w:left="-101" w:right="0"/>
                          <w:jc w:val="left"/>
                          <w:rPr>
                            <w:rFonts w:ascii="宋体" w:hAnsi="宋体" w:cs="宋体" w:eastAsia="宋体" w:hint="default"/>
                            <w:sz w:val="16"/>
                            <w:szCs w:val="16"/>
                          </w:rPr>
                        </w:pPr>
                        <w:r>
                          <w:rPr>
                            <w:rFonts w:ascii="宋体" w:hAnsi="宋体" w:cs="宋体" w:eastAsia="宋体" w:hint="default"/>
                            <w:w w:val="99"/>
                            <w:sz w:val="16"/>
                            <w:szCs w:val="16"/>
                          </w:rPr>
                          <w:t>、</w:t>
                        </w:r>
                        <w:r>
                          <w:rPr>
                            <w:rFonts w:ascii="宋体" w:hAnsi="宋体" w:cs="宋体" w:eastAsia="宋体" w:hint="default"/>
                            <w:sz w:val="16"/>
                            <w:szCs w:val="16"/>
                          </w:rPr>
                        </w:r>
                      </w:p>
                      <w:p>
                        <w:pPr>
                          <w:pStyle w:val="TableParagraph"/>
                          <w:spacing w:line="183" w:lineRule="exact"/>
                          <w:ind w:left="9" w:right="0"/>
                          <w:jc w:val="left"/>
                          <w:rPr>
                            <w:rFonts w:ascii="宋体" w:hAnsi="宋体" w:cs="宋体" w:eastAsia="宋体" w:hint="default"/>
                            <w:sz w:val="16"/>
                            <w:szCs w:val="16"/>
                          </w:rPr>
                        </w:pPr>
                        <w:r>
                          <w:rPr>
                            <w:rFonts w:ascii="宋体" w:hAnsi="宋体" w:cs="宋体" w:eastAsia="宋体" w:hint="default"/>
                            <w:sz w:val="16"/>
                            <w:szCs w:val="16"/>
                          </w:rPr>
                          <w:t>将继续改善产品 </w:t>
                        </w:r>
                        <w:r>
                          <w:rPr>
                            <w:rFonts w:ascii="宋体" w:hAnsi="宋体" w:cs="宋体" w:eastAsia="宋体" w:hint="default"/>
                            <w:sz w:val="16"/>
                            <w:szCs w:val="16"/>
                          </w:rPr>
                          <w:t>UI</w:t>
                        </w:r>
                        <w:r>
                          <w:rPr>
                            <w:rFonts w:ascii="宋体" w:hAnsi="宋体" w:cs="宋体" w:eastAsia="宋体" w:hint="default"/>
                            <w:spacing w:val="-43"/>
                            <w:sz w:val="16"/>
                            <w:szCs w:val="16"/>
                          </w:rPr>
                          <w:t> </w:t>
                        </w:r>
                        <w:r>
                          <w:rPr>
                            <w:rFonts w:ascii="宋体" w:hAnsi="宋体" w:cs="宋体" w:eastAsia="宋体" w:hint="default"/>
                            <w:sz w:val="16"/>
                            <w:szCs w:val="16"/>
                          </w:rPr>
                          <w:t>界面用户体验等整</w:t>
                        </w:r>
                      </w:p>
                      <w:p>
                        <w:pPr>
                          <w:pStyle w:val="TableParagraph"/>
                          <w:spacing w:line="240" w:lineRule="auto" w:before="104"/>
                          <w:ind w:left="9" w:right="0"/>
                          <w:jc w:val="left"/>
                          <w:rPr>
                            <w:rFonts w:ascii="宋体" w:hAnsi="宋体" w:cs="宋体" w:eastAsia="宋体" w:hint="default"/>
                            <w:sz w:val="16"/>
                            <w:szCs w:val="16"/>
                          </w:rPr>
                        </w:pPr>
                        <w:r>
                          <w:rPr>
                            <w:rFonts w:ascii="宋体" w:hAnsi="宋体" w:cs="宋体" w:eastAsia="宋体" w:hint="default"/>
                            <w:sz w:val="16"/>
                            <w:szCs w:val="16"/>
                          </w:rPr>
                          <w:t>体性能。</w:t>
                        </w:r>
                      </w:p>
                    </w:tc>
                  </w:tr>
                  <w:tr>
                    <w:trPr>
                      <w:trHeight w:val="1020"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6"/>
                            <w:szCs w:val="16"/>
                          </w:rPr>
                        </w:pPr>
                        <w:r>
                          <w:rPr>
                            <w:rFonts w:ascii="宋体"/>
                            <w:w w:val="99"/>
                            <w:sz w:val="16"/>
                          </w:rPr>
                          <w:t>4</w:t>
                        </w:r>
                        <w:r>
                          <w:rPr>
                            <w:rFonts w:ascii="宋体"/>
                            <w:sz w:val="16"/>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357" w:lineRule="auto"/>
                          <w:ind w:left="9" w:right="160"/>
                          <w:jc w:val="left"/>
                          <w:rPr>
                            <w:rFonts w:ascii="宋体" w:hAnsi="宋体" w:cs="宋体" w:eastAsia="宋体" w:hint="default"/>
                            <w:sz w:val="16"/>
                            <w:szCs w:val="16"/>
                          </w:rPr>
                        </w:pPr>
                        <w:r>
                          <w:rPr>
                            <w:rFonts w:ascii="宋体" w:hAnsi="宋体" w:cs="宋体" w:eastAsia="宋体" w:hint="default"/>
                            <w:sz w:val="16"/>
                            <w:szCs w:val="16"/>
                          </w:rPr>
                          <w:t>智能健康管理应用软件的开</w:t>
                        </w:r>
                        <w:r>
                          <w:rPr>
                            <w:rFonts w:ascii="宋体" w:hAnsi="宋体" w:cs="宋体" w:eastAsia="宋体" w:hint="default"/>
                            <w:w w:val="99"/>
                            <w:sz w:val="16"/>
                            <w:szCs w:val="16"/>
                          </w:rPr>
                          <w:t> </w:t>
                        </w:r>
                        <w:r>
                          <w:rPr>
                            <w:rFonts w:ascii="宋体" w:hAnsi="宋体" w:cs="宋体" w:eastAsia="宋体" w:hint="default"/>
                            <w:sz w:val="16"/>
                            <w:szCs w:val="16"/>
                          </w:rPr>
                          <w:t>发</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357" w:lineRule="auto"/>
                          <w:ind w:left="9" w:right="102"/>
                          <w:jc w:val="left"/>
                          <w:rPr>
                            <w:rFonts w:ascii="宋体" w:hAnsi="宋体" w:cs="宋体" w:eastAsia="宋体" w:hint="default"/>
                            <w:sz w:val="16"/>
                            <w:szCs w:val="16"/>
                          </w:rPr>
                        </w:pPr>
                        <w:r>
                          <w:rPr>
                            <w:rFonts w:ascii="宋体" w:hAnsi="宋体" w:cs="宋体" w:eastAsia="宋体" w:hint="default"/>
                            <w:sz w:val="16"/>
                            <w:szCs w:val="16"/>
                          </w:rPr>
                          <w:t>用户可以通过移动网络和互联网技术随时随地地简单快</w:t>
                        </w:r>
                        <w:r>
                          <w:rPr>
                            <w:rFonts w:ascii="宋体" w:hAnsi="宋体" w:cs="宋体" w:eastAsia="宋体" w:hint="default"/>
                            <w:w w:val="99"/>
                            <w:sz w:val="16"/>
                            <w:szCs w:val="16"/>
                          </w:rPr>
                          <w:t> </w:t>
                        </w:r>
                        <w:r>
                          <w:rPr>
                            <w:rFonts w:ascii="宋体" w:hAnsi="宋体" w:cs="宋体" w:eastAsia="宋体" w:hint="default"/>
                            <w:sz w:val="16"/>
                            <w:szCs w:val="16"/>
                          </w:rPr>
                          <w:t>捷查询智能设备的健康数据。</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处于量产阶段</w:t>
                        </w:r>
                      </w:p>
                    </w:tc>
                  </w:tr>
                  <w:tr>
                    <w:trPr>
                      <w:trHeight w:val="1760"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8"/>
                          <w:ind w:right="1"/>
                          <w:jc w:val="center"/>
                          <w:rPr>
                            <w:rFonts w:ascii="宋体" w:hAnsi="宋体" w:cs="宋体" w:eastAsia="宋体" w:hint="default"/>
                            <w:sz w:val="16"/>
                            <w:szCs w:val="16"/>
                          </w:rPr>
                        </w:pPr>
                        <w:r>
                          <w:rPr>
                            <w:rFonts w:ascii="宋体"/>
                            <w:w w:val="99"/>
                            <w:sz w:val="16"/>
                          </w:rPr>
                          <w:t>5</w:t>
                        </w:r>
                        <w:r>
                          <w:rPr>
                            <w:rFonts w:ascii="宋体"/>
                            <w:sz w:val="16"/>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57" w:lineRule="auto"/>
                          <w:ind w:left="9" w:right="119"/>
                          <w:jc w:val="left"/>
                          <w:rPr>
                            <w:rFonts w:ascii="宋体" w:hAnsi="宋体" w:cs="宋体" w:eastAsia="宋体" w:hint="default"/>
                            <w:sz w:val="16"/>
                            <w:szCs w:val="16"/>
                          </w:rPr>
                        </w:pPr>
                        <w:r>
                          <w:rPr>
                            <w:rFonts w:ascii="宋体" w:hAnsi="宋体" w:cs="宋体" w:eastAsia="宋体" w:hint="default"/>
                            <w:sz w:val="16"/>
                            <w:szCs w:val="16"/>
                          </w:rPr>
                          <w:t>NB-IOT</w:t>
                        </w:r>
                        <w:r>
                          <w:rPr>
                            <w:rFonts w:ascii="宋体" w:hAnsi="宋体" w:cs="宋体" w:eastAsia="宋体" w:hint="default"/>
                            <w:spacing w:val="-43"/>
                            <w:sz w:val="16"/>
                            <w:szCs w:val="16"/>
                          </w:rPr>
                          <w:t> </w:t>
                        </w:r>
                        <w:r>
                          <w:rPr>
                            <w:rFonts w:ascii="宋体" w:hAnsi="宋体" w:cs="宋体" w:eastAsia="宋体" w:hint="default"/>
                            <w:sz w:val="16"/>
                            <w:szCs w:val="16"/>
                          </w:rPr>
                          <w:t>物联网技术在血压计</w:t>
                        </w:r>
                        <w:r>
                          <w:rPr>
                            <w:rFonts w:ascii="宋体" w:hAnsi="宋体" w:cs="宋体" w:eastAsia="宋体" w:hint="default"/>
                            <w:w w:val="99"/>
                            <w:sz w:val="16"/>
                            <w:szCs w:val="16"/>
                          </w:rPr>
                          <w:t> </w:t>
                        </w:r>
                        <w:r>
                          <w:rPr>
                            <w:rFonts w:ascii="宋体" w:hAnsi="宋体" w:cs="宋体" w:eastAsia="宋体" w:hint="default"/>
                            <w:sz w:val="16"/>
                            <w:szCs w:val="16"/>
                          </w:rPr>
                          <w:t>上的研究及应用</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22"/>
                          <w:ind w:left="9" w:right="12" w:firstLine="80"/>
                          <w:jc w:val="left"/>
                          <w:rPr>
                            <w:rFonts w:ascii="宋体" w:hAnsi="宋体" w:cs="宋体" w:eastAsia="宋体" w:hint="default"/>
                            <w:sz w:val="16"/>
                            <w:szCs w:val="16"/>
                          </w:rPr>
                        </w:pPr>
                        <w:r>
                          <w:rPr>
                            <w:rFonts w:ascii="宋体" w:hAnsi="宋体" w:cs="宋体" w:eastAsia="宋体" w:hint="default"/>
                            <w:sz w:val="16"/>
                            <w:szCs w:val="16"/>
                          </w:rPr>
                          <w:t>开发设计出一款运用</w:t>
                        </w:r>
                        <w:r>
                          <w:rPr>
                            <w:rFonts w:ascii="宋体" w:hAnsi="宋体" w:cs="宋体" w:eastAsia="宋体" w:hint="default"/>
                            <w:spacing w:val="-42"/>
                            <w:sz w:val="16"/>
                            <w:szCs w:val="16"/>
                          </w:rPr>
                          <w:t> </w:t>
                        </w:r>
                        <w:r>
                          <w:rPr>
                            <w:rFonts w:ascii="宋体" w:hAnsi="宋体" w:cs="宋体" w:eastAsia="宋体" w:hint="default"/>
                            <w:sz w:val="16"/>
                            <w:szCs w:val="16"/>
                          </w:rPr>
                          <w:t>NB-IOT</w:t>
                        </w:r>
                        <w:r>
                          <w:rPr>
                            <w:rFonts w:ascii="宋体" w:hAnsi="宋体" w:cs="宋体" w:eastAsia="宋体" w:hint="default"/>
                            <w:spacing w:val="-42"/>
                            <w:sz w:val="16"/>
                            <w:szCs w:val="16"/>
                          </w:rPr>
                          <w:t> </w:t>
                        </w:r>
                        <w:r>
                          <w:rPr>
                            <w:rFonts w:ascii="宋体" w:hAnsi="宋体" w:cs="宋体" w:eastAsia="宋体" w:hint="default"/>
                            <w:sz w:val="16"/>
                            <w:szCs w:val="16"/>
                          </w:rPr>
                          <w:t>物联网技术的智能人体血</w:t>
                        </w:r>
                        <w:r>
                          <w:rPr>
                            <w:rFonts w:ascii="宋体" w:hAnsi="宋体" w:cs="宋体" w:eastAsia="宋体" w:hint="default"/>
                            <w:w w:val="99"/>
                            <w:sz w:val="16"/>
                            <w:szCs w:val="16"/>
                          </w:rPr>
                          <w:t> </w:t>
                        </w:r>
                        <w:r>
                          <w:rPr>
                            <w:rFonts w:ascii="宋体" w:hAnsi="宋体" w:cs="宋体" w:eastAsia="宋体" w:hint="default"/>
                            <w:spacing w:val="-3"/>
                            <w:sz w:val="16"/>
                            <w:szCs w:val="16"/>
                          </w:rPr>
                          <w:t>压测量产品，并实现量产推向各应用场所，提高公司竞争</w:t>
                        </w:r>
                        <w:r>
                          <w:rPr>
                            <w:rFonts w:ascii="宋体" w:hAnsi="宋体" w:cs="宋体" w:eastAsia="宋体" w:hint="default"/>
                            <w:w w:val="99"/>
                            <w:sz w:val="16"/>
                            <w:szCs w:val="16"/>
                          </w:rPr>
                          <w:t> </w:t>
                        </w:r>
                        <w:r>
                          <w:rPr>
                            <w:rFonts w:ascii="宋体" w:hAnsi="宋体" w:cs="宋体" w:eastAsia="宋体" w:hint="default"/>
                            <w:sz w:val="16"/>
                            <w:szCs w:val="16"/>
                          </w:rPr>
                          <w:t>力及盈利途径和能力。通过</w:t>
                        </w:r>
                        <w:r>
                          <w:rPr>
                            <w:rFonts w:ascii="宋体" w:hAnsi="宋体" w:cs="宋体" w:eastAsia="宋体" w:hint="default"/>
                            <w:spacing w:val="-42"/>
                            <w:sz w:val="16"/>
                            <w:szCs w:val="16"/>
                          </w:rPr>
                          <w:t> </w:t>
                        </w:r>
                        <w:r>
                          <w:rPr>
                            <w:rFonts w:ascii="宋体" w:hAnsi="宋体" w:cs="宋体" w:eastAsia="宋体" w:hint="default"/>
                            <w:sz w:val="16"/>
                            <w:szCs w:val="16"/>
                          </w:rPr>
                          <w:t>NB-IoT</w:t>
                        </w:r>
                        <w:r>
                          <w:rPr>
                            <w:rFonts w:ascii="宋体" w:hAnsi="宋体" w:cs="宋体" w:eastAsia="宋体" w:hint="default"/>
                            <w:spacing w:val="-42"/>
                            <w:sz w:val="16"/>
                            <w:szCs w:val="16"/>
                          </w:rPr>
                          <w:t> </w:t>
                        </w:r>
                        <w:r>
                          <w:rPr>
                            <w:rFonts w:ascii="宋体" w:hAnsi="宋体" w:cs="宋体" w:eastAsia="宋体" w:hint="default"/>
                            <w:sz w:val="16"/>
                            <w:szCs w:val="16"/>
                          </w:rPr>
                          <w:t>物联网技术、大数据</w:t>
                        </w:r>
                        <w:r>
                          <w:rPr>
                            <w:rFonts w:ascii="宋体" w:hAnsi="宋体" w:cs="宋体" w:eastAsia="宋体" w:hint="default"/>
                            <w:w w:val="99"/>
                            <w:sz w:val="16"/>
                            <w:szCs w:val="16"/>
                          </w:rPr>
                          <w:t> </w:t>
                        </w:r>
                        <w:r>
                          <w:rPr>
                            <w:rFonts w:ascii="宋体" w:hAnsi="宋体" w:cs="宋体" w:eastAsia="宋体" w:hint="default"/>
                            <w:spacing w:val="-3"/>
                            <w:w w:val="99"/>
                            <w:sz w:val="16"/>
                            <w:szCs w:val="16"/>
                          </w:rPr>
                          <w:t>平台技术和现有的电子血压计有机结合应用，给用户提供</w:t>
                        </w:r>
                        <w:r>
                          <w:rPr>
                            <w:rFonts w:ascii="宋体" w:hAnsi="宋体" w:cs="宋体" w:eastAsia="宋体" w:hint="default"/>
                            <w:spacing w:val="-69"/>
                            <w:w w:val="99"/>
                            <w:sz w:val="16"/>
                            <w:szCs w:val="16"/>
                          </w:rPr>
                          <w:t> </w:t>
                        </w:r>
                        <w:r>
                          <w:rPr>
                            <w:rFonts w:ascii="宋体" w:hAnsi="宋体" w:cs="宋体" w:eastAsia="宋体" w:hint="default"/>
                            <w:spacing w:val="-69"/>
                            <w:w w:val="99"/>
                            <w:sz w:val="16"/>
                            <w:szCs w:val="16"/>
                          </w:rPr>
                        </w:r>
                        <w:r>
                          <w:rPr>
                            <w:rFonts w:ascii="宋体" w:hAnsi="宋体" w:cs="宋体" w:eastAsia="宋体" w:hint="default"/>
                            <w:sz w:val="16"/>
                            <w:szCs w:val="16"/>
                          </w:rPr>
                          <w:t>更可靠、更便捷、更全面的血压管理服务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 w:right="-27"/>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、结构已完成设计，并组装结构样机；</w:t>
                        </w:r>
                      </w:p>
                      <w:p>
                        <w:pPr>
                          <w:pStyle w:val="TableParagraph"/>
                          <w:spacing w:line="379" w:lineRule="auto" w:before="142"/>
                          <w:ind w:left="9" w:right="10"/>
                          <w:jc w:val="left"/>
                          <w:rPr>
                            <w:rFonts w:ascii="宋体" w:hAnsi="宋体" w:cs="宋体" w:eastAsia="宋体" w:hint="default"/>
                            <w:sz w:val="16"/>
                            <w:szCs w:val="16"/>
                          </w:rPr>
                        </w:pPr>
                        <w:r>
                          <w:rPr>
                            <w:rFonts w:ascii="宋体" w:hAnsi="宋体" w:cs="宋体" w:eastAsia="宋体" w:hint="default"/>
                            <w:spacing w:val="-3"/>
                            <w:sz w:val="16"/>
                            <w:szCs w:val="16"/>
                          </w:rPr>
                          <w:t>2</w:t>
                        </w:r>
                        <w:r>
                          <w:rPr>
                            <w:rFonts w:ascii="宋体" w:hAnsi="宋体" w:cs="宋体" w:eastAsia="宋体" w:hint="default"/>
                            <w:spacing w:val="-3"/>
                            <w:sz w:val="16"/>
                            <w:szCs w:val="16"/>
                          </w:rPr>
                          <w:t>、已确定服务器与设备端的设备通信框</w:t>
                        </w:r>
                        <w:r>
                          <w:rPr>
                            <w:rFonts w:ascii="宋体" w:hAnsi="宋体" w:cs="宋体" w:eastAsia="宋体" w:hint="default"/>
                            <w:spacing w:val="-69"/>
                            <w:sz w:val="16"/>
                            <w:szCs w:val="16"/>
                          </w:rPr>
                          <w:t> </w:t>
                        </w:r>
                        <w:r>
                          <w:rPr>
                            <w:rFonts w:ascii="宋体" w:hAnsi="宋体" w:cs="宋体" w:eastAsia="宋体" w:hint="default"/>
                            <w:spacing w:val="-69"/>
                            <w:sz w:val="16"/>
                            <w:szCs w:val="16"/>
                          </w:rPr>
                        </w:r>
                        <w:r>
                          <w:rPr>
                            <w:rFonts w:ascii="宋体" w:hAnsi="宋体" w:cs="宋体" w:eastAsia="宋体" w:hint="default"/>
                            <w:sz w:val="16"/>
                            <w:szCs w:val="16"/>
                          </w:rPr>
                          <w:t>架，已制定协议；</w:t>
                        </w:r>
                        <w:r>
                          <w:rPr>
                            <w:rFonts w:ascii="宋体" w:hAnsi="宋体" w:cs="宋体" w:eastAsia="宋体" w:hint="default"/>
                            <w:w w:val="99"/>
                            <w:sz w:val="16"/>
                            <w:szCs w:val="16"/>
                          </w:rPr>
                          <w:t> </w:t>
                        </w:r>
                        <w:r>
                          <w:rPr>
                            <w:rFonts w:ascii="宋体" w:hAnsi="宋体" w:cs="宋体" w:eastAsia="宋体" w:hint="default"/>
                            <w:spacing w:val="-3"/>
                            <w:sz w:val="16"/>
                            <w:szCs w:val="16"/>
                          </w:rPr>
                          <w:t>3</w:t>
                        </w:r>
                        <w:r>
                          <w:rPr>
                            <w:rFonts w:ascii="宋体" w:hAnsi="宋体" w:cs="宋体" w:eastAsia="宋体" w:hint="default"/>
                            <w:spacing w:val="-3"/>
                            <w:sz w:val="16"/>
                            <w:szCs w:val="16"/>
                          </w:rPr>
                          <w:t>、血压计基本功能已实现，通讯模块软</w:t>
                        </w:r>
                      </w:p>
                      <w:p>
                        <w:pPr>
                          <w:pStyle w:val="TableParagraph"/>
                          <w:spacing w:line="240" w:lineRule="auto" w:before="11"/>
                          <w:ind w:left="9" w:right="0"/>
                          <w:jc w:val="left"/>
                          <w:rPr>
                            <w:rFonts w:ascii="宋体" w:hAnsi="宋体" w:cs="宋体" w:eastAsia="宋体" w:hint="default"/>
                            <w:sz w:val="16"/>
                            <w:szCs w:val="16"/>
                          </w:rPr>
                        </w:pPr>
                        <w:r>
                          <w:rPr>
                            <w:rFonts w:ascii="宋体" w:hAnsi="宋体" w:cs="宋体" w:eastAsia="宋体" w:hint="default"/>
                            <w:sz w:val="16"/>
                            <w:szCs w:val="16"/>
                          </w:rPr>
                          <w:t>件设计中。</w:t>
                        </w:r>
                      </w:p>
                    </w:tc>
                  </w:tr>
                  <w:tr>
                    <w:trPr>
                      <w:trHeight w:val="1738"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6"/>
                          <w:ind w:right="1"/>
                          <w:jc w:val="center"/>
                          <w:rPr>
                            <w:rFonts w:ascii="宋体" w:hAnsi="宋体" w:cs="宋体" w:eastAsia="宋体" w:hint="default"/>
                            <w:sz w:val="16"/>
                            <w:szCs w:val="16"/>
                          </w:rPr>
                        </w:pPr>
                        <w:r>
                          <w:rPr>
                            <w:rFonts w:ascii="宋体"/>
                            <w:w w:val="99"/>
                            <w:sz w:val="16"/>
                          </w:rPr>
                          <w:t>6</w:t>
                        </w:r>
                        <w:r>
                          <w:rPr>
                            <w:rFonts w:ascii="宋体"/>
                            <w:sz w:val="16"/>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357" w:lineRule="auto"/>
                          <w:ind w:left="9" w:right="160"/>
                          <w:jc w:val="left"/>
                          <w:rPr>
                            <w:rFonts w:ascii="宋体" w:hAnsi="宋体" w:cs="宋体" w:eastAsia="宋体" w:hint="default"/>
                            <w:sz w:val="16"/>
                            <w:szCs w:val="16"/>
                          </w:rPr>
                        </w:pPr>
                        <w:r>
                          <w:rPr>
                            <w:rFonts w:ascii="宋体" w:hAnsi="宋体" w:cs="宋体" w:eastAsia="宋体" w:hint="default"/>
                            <w:sz w:val="16"/>
                            <w:szCs w:val="16"/>
                          </w:rPr>
                          <w:t>高精度电子秤产品的研究与</w:t>
                        </w:r>
                        <w:r>
                          <w:rPr>
                            <w:rFonts w:ascii="宋体" w:hAnsi="宋体" w:cs="宋体" w:eastAsia="宋体" w:hint="default"/>
                            <w:w w:val="99"/>
                            <w:sz w:val="16"/>
                            <w:szCs w:val="16"/>
                          </w:rPr>
                          <w:t> </w:t>
                        </w:r>
                        <w:r>
                          <w:rPr>
                            <w:rFonts w:ascii="宋体" w:hAnsi="宋体" w:cs="宋体" w:eastAsia="宋体" w:hint="default"/>
                            <w:sz w:val="16"/>
                            <w:szCs w:val="16"/>
                          </w:rPr>
                          <w:t>应用</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10"/>
                          <w:ind w:left="9" w:right="12"/>
                          <w:jc w:val="left"/>
                          <w:rPr>
                            <w:rFonts w:ascii="宋体" w:hAnsi="宋体" w:cs="宋体" w:eastAsia="宋体" w:hint="default"/>
                            <w:sz w:val="16"/>
                            <w:szCs w:val="16"/>
                          </w:rPr>
                        </w:pPr>
                        <w:r>
                          <w:rPr>
                            <w:rFonts w:ascii="宋体" w:hAnsi="宋体" w:cs="宋体" w:eastAsia="宋体" w:hint="default"/>
                            <w:spacing w:val="-3"/>
                            <w:w w:val="99"/>
                            <w:sz w:val="16"/>
                            <w:szCs w:val="16"/>
                          </w:rPr>
                          <w:t>高精度电子秤产品的研究与应用，可以让人们可以更加准</w:t>
                        </w:r>
                        <w:r>
                          <w:rPr>
                            <w:rFonts w:ascii="宋体" w:hAnsi="宋体" w:cs="宋体" w:eastAsia="宋体" w:hint="default"/>
                            <w:spacing w:val="-69"/>
                            <w:w w:val="99"/>
                            <w:sz w:val="16"/>
                            <w:szCs w:val="16"/>
                          </w:rPr>
                          <w:t> </w:t>
                        </w:r>
                        <w:r>
                          <w:rPr>
                            <w:rFonts w:ascii="宋体" w:hAnsi="宋体" w:cs="宋体" w:eastAsia="宋体" w:hint="default"/>
                            <w:spacing w:val="-69"/>
                            <w:w w:val="99"/>
                            <w:sz w:val="16"/>
                            <w:szCs w:val="16"/>
                          </w:rPr>
                        </w:r>
                        <w:r>
                          <w:rPr>
                            <w:rFonts w:ascii="宋体" w:hAnsi="宋体" w:cs="宋体" w:eastAsia="宋体" w:hint="default"/>
                            <w:spacing w:val="-3"/>
                            <w:w w:val="99"/>
                            <w:sz w:val="16"/>
                            <w:szCs w:val="16"/>
                          </w:rPr>
                          <w:t>确的测量出自己的体重，更加准确的测量出脂肪率等身体</w:t>
                        </w:r>
                        <w:r>
                          <w:rPr>
                            <w:rFonts w:ascii="宋体" w:hAnsi="宋体" w:cs="宋体" w:eastAsia="宋体" w:hint="default"/>
                            <w:spacing w:val="-69"/>
                            <w:w w:val="99"/>
                            <w:sz w:val="16"/>
                            <w:szCs w:val="16"/>
                          </w:rPr>
                          <w:t> </w:t>
                        </w:r>
                        <w:r>
                          <w:rPr>
                            <w:rFonts w:ascii="宋体" w:hAnsi="宋体" w:cs="宋体" w:eastAsia="宋体" w:hint="default"/>
                            <w:spacing w:val="-69"/>
                            <w:w w:val="99"/>
                            <w:sz w:val="16"/>
                            <w:szCs w:val="16"/>
                          </w:rPr>
                        </w:r>
                        <w:r>
                          <w:rPr>
                            <w:rFonts w:ascii="宋体" w:hAnsi="宋体" w:cs="宋体" w:eastAsia="宋体" w:hint="default"/>
                            <w:sz w:val="16"/>
                            <w:szCs w:val="16"/>
                          </w:rPr>
                          <w:t>成份，可以更加准确的测量出食物分量而更好的控制膳</w:t>
                        </w:r>
                        <w:r>
                          <w:rPr>
                            <w:rFonts w:ascii="宋体" w:hAnsi="宋体" w:cs="宋体" w:eastAsia="宋体" w:hint="default"/>
                            <w:w w:val="99"/>
                            <w:sz w:val="16"/>
                            <w:szCs w:val="16"/>
                          </w:rPr>
                          <w:t> </w:t>
                        </w:r>
                        <w:r>
                          <w:rPr>
                            <w:rFonts w:ascii="宋体" w:hAnsi="宋体" w:cs="宋体" w:eastAsia="宋体" w:hint="default"/>
                            <w:spacing w:val="-3"/>
                            <w:sz w:val="16"/>
                            <w:szCs w:val="16"/>
                          </w:rPr>
                          <w:t>食。在世界范围内均出现了人口明显肥胖的趋势，成为越</w:t>
                        </w:r>
                        <w:r>
                          <w:rPr>
                            <w:rFonts w:ascii="宋体" w:hAnsi="宋体" w:cs="宋体" w:eastAsia="宋体" w:hint="default"/>
                            <w:w w:val="99"/>
                            <w:sz w:val="16"/>
                            <w:szCs w:val="16"/>
                          </w:rPr>
                          <w:t> </w:t>
                        </w:r>
                        <w:r>
                          <w:rPr>
                            <w:rFonts w:ascii="宋体" w:hAnsi="宋体" w:cs="宋体" w:eastAsia="宋体" w:hint="default"/>
                            <w:sz w:val="16"/>
                            <w:szCs w:val="16"/>
                          </w:rPr>
                          <w:t>来越严重的健康问题</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357" w:lineRule="auto"/>
                          <w:ind w:left="9" w:right="51"/>
                          <w:jc w:val="both"/>
                          <w:rPr>
                            <w:rFonts w:ascii="宋体" w:hAnsi="宋体" w:cs="宋体" w:eastAsia="宋体" w:hint="default"/>
                            <w:sz w:val="16"/>
                            <w:szCs w:val="16"/>
                          </w:rPr>
                        </w:pPr>
                        <w:r>
                          <w:rPr>
                            <w:rFonts w:ascii="宋体" w:hAnsi="宋体" w:cs="宋体" w:eastAsia="宋体" w:hint="default"/>
                            <w:sz w:val="16"/>
                            <w:szCs w:val="16"/>
                          </w:rPr>
                          <w:t>目前在方案验证中，包括硬件的电子平</w:t>
                        </w:r>
                        <w:r>
                          <w:rPr>
                            <w:rFonts w:ascii="宋体" w:hAnsi="宋体" w:cs="宋体" w:eastAsia="宋体" w:hint="default"/>
                            <w:w w:val="99"/>
                            <w:sz w:val="16"/>
                            <w:szCs w:val="16"/>
                          </w:rPr>
                          <w:t> </w:t>
                        </w:r>
                        <w:r>
                          <w:rPr>
                            <w:rFonts w:ascii="宋体" w:hAnsi="宋体" w:cs="宋体" w:eastAsia="宋体" w:hint="default"/>
                            <w:sz w:val="16"/>
                            <w:szCs w:val="16"/>
                          </w:rPr>
                          <w:t>台、传感器、软件正在进行前期的联调</w:t>
                        </w:r>
                        <w:r>
                          <w:rPr>
                            <w:rFonts w:ascii="宋体" w:hAnsi="宋体" w:cs="宋体" w:eastAsia="宋体" w:hint="default"/>
                            <w:w w:val="99"/>
                            <w:sz w:val="16"/>
                            <w:szCs w:val="16"/>
                          </w:rPr>
                          <w:t> </w:t>
                        </w:r>
                        <w:r>
                          <w:rPr>
                            <w:rFonts w:ascii="宋体" w:hAnsi="宋体" w:cs="宋体" w:eastAsia="宋体" w:hint="default"/>
                            <w:sz w:val="16"/>
                            <w:szCs w:val="16"/>
                          </w:rPr>
                          <w:t>验证中，而相关产品的外观和结构在构</w:t>
                        </w:r>
                        <w:r>
                          <w:rPr>
                            <w:rFonts w:ascii="宋体" w:hAnsi="宋体" w:cs="宋体" w:eastAsia="宋体" w:hint="default"/>
                            <w:w w:val="99"/>
                            <w:sz w:val="16"/>
                            <w:szCs w:val="16"/>
                          </w:rPr>
                          <w:t> </w:t>
                        </w:r>
                        <w:r>
                          <w:rPr>
                            <w:rFonts w:ascii="宋体" w:hAnsi="宋体" w:cs="宋体" w:eastAsia="宋体" w:hint="default"/>
                            <w:sz w:val="16"/>
                            <w:szCs w:val="16"/>
                          </w:rPr>
                          <w:t>思和设计。</w:t>
                        </w:r>
                      </w:p>
                    </w:tc>
                  </w:tr>
                </w:tbl>
                <w:p>
                  <w:pPr/>
                </w:p>
              </w:txbxContent>
            </v:textbox>
            <w10:wrap type="none"/>
          </v:shape>
        </w:pict>
      </w:r>
      <w:r>
        <w:rPr>
          <w:rFonts w:ascii="宋体" w:hAnsi="宋体" w:cs="宋体" w:eastAsia="宋体" w:hint="default"/>
          <w:w w:val="99"/>
          <w:sz w:val="16"/>
          <w:szCs w:val="16"/>
        </w:rPr>
        <w:t>）</w:t>
      </w:r>
      <w:r>
        <w:rPr>
          <w:rFonts w:ascii="宋体" w:hAnsi="宋体" w:cs="宋体" w:eastAsia="宋体" w:hint="default"/>
          <w:sz w:val="16"/>
          <w:szCs w:val="16"/>
        </w:rPr>
      </w:r>
    </w:p>
    <w:p>
      <w:pPr>
        <w:spacing w:after="0"/>
        <w:jc w:val="right"/>
        <w:rPr>
          <w:rFonts w:ascii="宋体" w:hAnsi="宋体" w:cs="宋体" w:eastAsia="宋体" w:hint="default"/>
          <w:sz w:val="16"/>
          <w:szCs w:val="16"/>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13" w:type="dxa"/>
        <w:tblLayout w:type="fixed"/>
        <w:tblCellMar>
          <w:top w:w="0" w:type="dxa"/>
          <w:left w:w="0" w:type="dxa"/>
          <w:bottom w:w="0" w:type="dxa"/>
          <w:right w:w="0" w:type="dxa"/>
        </w:tblCellMar>
        <w:tblLook w:val="01E0"/>
      </w:tblPr>
      <w:tblGrid>
        <w:gridCol w:w="456"/>
        <w:gridCol w:w="2100"/>
        <w:gridCol w:w="3960"/>
        <w:gridCol w:w="2790"/>
      </w:tblGrid>
      <w:tr>
        <w:trPr>
          <w:trHeight w:val="2063"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82" w:right="0"/>
              <w:jc w:val="left"/>
              <w:rPr>
                <w:rFonts w:ascii="宋体" w:hAnsi="宋体" w:cs="宋体" w:eastAsia="宋体" w:hint="default"/>
                <w:sz w:val="16"/>
                <w:szCs w:val="16"/>
              </w:rPr>
            </w:pPr>
            <w:r>
              <w:rPr>
                <w:rFonts w:ascii="宋体"/>
                <w:w w:val="99"/>
                <w:sz w:val="16"/>
              </w:rPr>
              <w:t>7</w:t>
            </w:r>
            <w:r>
              <w:rPr>
                <w:rFonts w:ascii="宋体"/>
                <w:sz w:val="16"/>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360" w:lineRule="auto" w:before="112"/>
              <w:ind w:left="9" w:right="160"/>
              <w:jc w:val="left"/>
              <w:rPr>
                <w:rFonts w:ascii="宋体" w:hAnsi="宋体" w:cs="宋体" w:eastAsia="宋体" w:hint="default"/>
                <w:sz w:val="16"/>
                <w:szCs w:val="16"/>
              </w:rPr>
            </w:pPr>
            <w:r>
              <w:rPr>
                <w:rFonts w:ascii="宋体" w:hAnsi="宋体" w:cs="宋体" w:eastAsia="宋体" w:hint="default"/>
                <w:sz w:val="16"/>
                <w:szCs w:val="16"/>
              </w:rPr>
              <w:t>单芯片脂肪秤方案产品研究</w:t>
            </w:r>
            <w:r>
              <w:rPr>
                <w:rFonts w:ascii="宋体" w:hAnsi="宋体" w:cs="宋体" w:eastAsia="宋体" w:hint="default"/>
                <w:w w:val="99"/>
                <w:sz w:val="16"/>
                <w:szCs w:val="16"/>
              </w:rPr>
              <w:t> </w:t>
            </w:r>
            <w:r>
              <w:rPr>
                <w:rFonts w:ascii="宋体" w:hAnsi="宋体" w:cs="宋体" w:eastAsia="宋体" w:hint="default"/>
                <w:sz w:val="16"/>
                <w:szCs w:val="16"/>
              </w:rPr>
              <w:t>与应用</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16"/>
              <w:ind w:left="9" w:right="-20"/>
              <w:jc w:val="both"/>
              <w:rPr>
                <w:rFonts w:ascii="宋体" w:hAnsi="宋体" w:cs="宋体" w:eastAsia="宋体" w:hint="default"/>
                <w:sz w:val="16"/>
                <w:szCs w:val="16"/>
              </w:rPr>
            </w:pPr>
            <w:r>
              <w:rPr>
                <w:rFonts w:ascii="宋体" w:hAnsi="宋体" w:cs="宋体" w:eastAsia="宋体" w:hint="default"/>
                <w:spacing w:val="-3"/>
                <w:w w:val="99"/>
                <w:sz w:val="16"/>
                <w:szCs w:val="16"/>
              </w:rPr>
              <w:t>脂肪秤产品可以提供与肥胖相关的信息，除了可以测量人</w:t>
            </w:r>
            <w:r>
              <w:rPr>
                <w:rFonts w:ascii="宋体" w:hAnsi="宋体" w:cs="宋体" w:eastAsia="宋体" w:hint="default"/>
                <w:spacing w:val="-69"/>
                <w:w w:val="99"/>
                <w:sz w:val="16"/>
                <w:szCs w:val="16"/>
              </w:rPr>
              <w:t> </w:t>
            </w:r>
            <w:r>
              <w:rPr>
                <w:rFonts w:ascii="宋体" w:hAnsi="宋体" w:cs="宋体" w:eastAsia="宋体" w:hint="default"/>
                <w:spacing w:val="-69"/>
                <w:w w:val="99"/>
                <w:sz w:val="16"/>
                <w:szCs w:val="16"/>
              </w:rPr>
            </w:r>
            <w:r>
              <w:rPr>
                <w:rFonts w:ascii="宋体" w:hAnsi="宋体" w:cs="宋体" w:eastAsia="宋体" w:hint="default"/>
                <w:spacing w:val="-7"/>
                <w:w w:val="99"/>
                <w:sz w:val="16"/>
                <w:szCs w:val="16"/>
              </w:rPr>
              <w:t>体的体重外，还可以基于</w:t>
            </w:r>
            <w:r>
              <w:rPr>
                <w:rFonts w:ascii="宋体" w:hAnsi="宋体" w:cs="宋体" w:eastAsia="宋体" w:hint="default"/>
                <w:spacing w:val="-36"/>
                <w:w w:val="99"/>
                <w:sz w:val="16"/>
                <w:szCs w:val="16"/>
              </w:rPr>
              <w:t> </w:t>
            </w:r>
            <w:r>
              <w:rPr>
                <w:rFonts w:ascii="宋体" w:hAnsi="宋体" w:cs="宋体" w:eastAsia="宋体" w:hint="default"/>
                <w:w w:val="99"/>
                <w:sz w:val="16"/>
                <w:szCs w:val="16"/>
              </w:rPr>
              <w:t>BIA</w:t>
            </w:r>
            <w:r>
              <w:rPr>
                <w:rFonts w:ascii="宋体" w:hAnsi="宋体" w:cs="宋体" w:eastAsia="宋体" w:hint="default"/>
                <w:spacing w:val="-36"/>
                <w:w w:val="99"/>
                <w:sz w:val="16"/>
                <w:szCs w:val="16"/>
              </w:rPr>
              <w:t> </w:t>
            </w:r>
            <w:r>
              <w:rPr>
                <w:rFonts w:ascii="宋体" w:hAnsi="宋体" w:cs="宋体" w:eastAsia="宋体" w:hint="default"/>
                <w:w w:val="99"/>
                <w:sz w:val="16"/>
                <w:szCs w:val="16"/>
              </w:rPr>
              <w:t>技术来推算出人体的脂肪率</w:t>
            </w:r>
            <w:r>
              <w:rPr>
                <w:rFonts w:ascii="宋体" w:hAnsi="宋体" w:cs="宋体" w:eastAsia="宋体" w:hint="default"/>
                <w:spacing w:val="-76"/>
                <w:w w:val="99"/>
                <w:sz w:val="16"/>
                <w:szCs w:val="16"/>
              </w:rPr>
              <w:t> </w:t>
            </w:r>
            <w:r>
              <w:rPr>
                <w:rFonts w:ascii="宋体" w:hAnsi="宋体" w:cs="宋体" w:eastAsia="宋体" w:hint="default"/>
                <w:spacing w:val="-76"/>
                <w:w w:val="99"/>
                <w:sz w:val="16"/>
                <w:szCs w:val="16"/>
              </w:rPr>
            </w:r>
            <w:r>
              <w:rPr>
                <w:rFonts w:ascii="宋体" w:hAnsi="宋体" w:cs="宋体" w:eastAsia="宋体" w:hint="default"/>
                <w:spacing w:val="-2"/>
                <w:sz w:val="16"/>
                <w:szCs w:val="16"/>
              </w:rPr>
              <w:t>成份比例，可以让用户了解自己体重和脂肪率是否合理，</w:t>
            </w:r>
            <w:r>
              <w:rPr>
                <w:rFonts w:ascii="宋体" w:hAnsi="宋体" w:cs="宋体" w:eastAsia="宋体" w:hint="default"/>
                <w:spacing w:val="-71"/>
                <w:sz w:val="16"/>
                <w:szCs w:val="16"/>
              </w:rPr>
              <w:t> </w:t>
            </w:r>
            <w:r>
              <w:rPr>
                <w:rFonts w:ascii="宋体" w:hAnsi="宋体" w:cs="宋体" w:eastAsia="宋体" w:hint="default"/>
                <w:spacing w:val="-71"/>
                <w:sz w:val="16"/>
                <w:szCs w:val="16"/>
              </w:rPr>
            </w:r>
            <w:r>
              <w:rPr>
                <w:rFonts w:ascii="宋体" w:hAnsi="宋体" w:cs="宋体" w:eastAsia="宋体" w:hint="default"/>
                <w:spacing w:val="-3"/>
                <w:sz w:val="16"/>
                <w:szCs w:val="16"/>
              </w:rPr>
              <w:t>其变化趋势是否合理，根据体重和脂肪率的变化，结合专</w:t>
            </w:r>
            <w:r>
              <w:rPr>
                <w:rFonts w:ascii="宋体" w:hAnsi="宋体" w:cs="宋体" w:eastAsia="宋体" w:hint="default"/>
                <w:w w:val="99"/>
                <w:sz w:val="16"/>
                <w:szCs w:val="16"/>
              </w:rPr>
              <w:t> </w:t>
            </w:r>
            <w:r>
              <w:rPr>
                <w:rFonts w:ascii="宋体" w:hAnsi="宋体" w:cs="宋体" w:eastAsia="宋体" w:hint="default"/>
                <w:spacing w:val="-3"/>
                <w:w w:val="99"/>
                <w:sz w:val="16"/>
                <w:szCs w:val="16"/>
              </w:rPr>
              <w:t>业的医生和营养师的专业意见来调节自己膳食和运动，让</w:t>
            </w:r>
            <w:r>
              <w:rPr>
                <w:rFonts w:ascii="宋体" w:hAnsi="宋体" w:cs="宋体" w:eastAsia="宋体" w:hint="default"/>
                <w:spacing w:val="-69"/>
                <w:w w:val="99"/>
                <w:sz w:val="16"/>
                <w:szCs w:val="16"/>
              </w:rPr>
              <w:t> </w:t>
            </w:r>
            <w:r>
              <w:rPr>
                <w:rFonts w:ascii="宋体" w:hAnsi="宋体" w:cs="宋体" w:eastAsia="宋体" w:hint="default"/>
                <w:spacing w:val="-69"/>
                <w:w w:val="99"/>
                <w:sz w:val="16"/>
                <w:szCs w:val="16"/>
              </w:rPr>
            </w:r>
            <w:r>
              <w:rPr>
                <w:rFonts w:ascii="宋体" w:hAnsi="宋体" w:cs="宋体" w:eastAsia="宋体" w:hint="default"/>
                <w:sz w:val="16"/>
                <w:szCs w:val="16"/>
              </w:rPr>
              <w:t>自己的体重和脂肪率控制到一个合理的范围</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357" w:lineRule="auto"/>
              <w:ind w:left="9" w:right="51"/>
              <w:jc w:val="both"/>
              <w:rPr>
                <w:rFonts w:ascii="宋体" w:hAnsi="宋体" w:cs="宋体" w:eastAsia="宋体" w:hint="default"/>
                <w:sz w:val="16"/>
                <w:szCs w:val="16"/>
              </w:rPr>
            </w:pPr>
            <w:r>
              <w:rPr>
                <w:rFonts w:ascii="宋体" w:hAnsi="宋体" w:cs="宋体" w:eastAsia="宋体" w:hint="default"/>
                <w:sz w:val="16"/>
                <w:szCs w:val="16"/>
              </w:rPr>
              <w:t>目前在方案验证中，包括硬件的电子平</w:t>
            </w:r>
            <w:r>
              <w:rPr>
                <w:rFonts w:ascii="宋体" w:hAnsi="宋体" w:cs="宋体" w:eastAsia="宋体" w:hint="default"/>
                <w:w w:val="99"/>
                <w:sz w:val="16"/>
                <w:szCs w:val="16"/>
              </w:rPr>
              <w:t> </w:t>
            </w:r>
            <w:r>
              <w:rPr>
                <w:rFonts w:ascii="宋体" w:hAnsi="宋体" w:cs="宋体" w:eastAsia="宋体" w:hint="default"/>
                <w:sz w:val="16"/>
                <w:szCs w:val="16"/>
              </w:rPr>
              <w:t>台、传感器、软件正在进行前期的联调</w:t>
            </w:r>
            <w:r>
              <w:rPr>
                <w:rFonts w:ascii="宋体" w:hAnsi="宋体" w:cs="宋体" w:eastAsia="宋体" w:hint="default"/>
                <w:w w:val="99"/>
                <w:sz w:val="16"/>
                <w:szCs w:val="16"/>
              </w:rPr>
              <w:t> </w:t>
            </w:r>
            <w:r>
              <w:rPr>
                <w:rFonts w:ascii="宋体" w:hAnsi="宋体" w:cs="宋体" w:eastAsia="宋体" w:hint="default"/>
                <w:sz w:val="16"/>
                <w:szCs w:val="16"/>
              </w:rPr>
              <w:t>验证中，而相关产品的外观和结构在构</w:t>
            </w:r>
            <w:r>
              <w:rPr>
                <w:rFonts w:ascii="宋体" w:hAnsi="宋体" w:cs="宋体" w:eastAsia="宋体" w:hint="default"/>
                <w:w w:val="99"/>
                <w:sz w:val="16"/>
                <w:szCs w:val="16"/>
              </w:rPr>
              <w:t> </w:t>
            </w:r>
            <w:r>
              <w:rPr>
                <w:rFonts w:ascii="宋体" w:hAnsi="宋体" w:cs="宋体" w:eastAsia="宋体" w:hint="default"/>
                <w:sz w:val="16"/>
                <w:szCs w:val="16"/>
              </w:rPr>
              <w:t>思和设计。</w:t>
            </w:r>
          </w:p>
        </w:tc>
      </w:tr>
      <w:tr>
        <w:trPr>
          <w:trHeight w:val="2710"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82" w:right="0"/>
              <w:jc w:val="left"/>
              <w:rPr>
                <w:rFonts w:ascii="宋体" w:hAnsi="宋体" w:cs="宋体" w:eastAsia="宋体" w:hint="default"/>
                <w:sz w:val="16"/>
                <w:szCs w:val="16"/>
              </w:rPr>
            </w:pPr>
            <w:r>
              <w:rPr>
                <w:rFonts w:ascii="宋体"/>
                <w:w w:val="99"/>
                <w:sz w:val="16"/>
              </w:rPr>
              <w:t>8</w:t>
            </w:r>
            <w:r>
              <w:rPr>
                <w:rFonts w:ascii="宋体"/>
                <w:sz w:val="16"/>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9" w:right="0"/>
              <w:jc w:val="left"/>
              <w:rPr>
                <w:rFonts w:ascii="宋体" w:hAnsi="宋体" w:cs="宋体" w:eastAsia="宋体" w:hint="default"/>
                <w:sz w:val="16"/>
                <w:szCs w:val="16"/>
              </w:rPr>
            </w:pPr>
            <w:r>
              <w:rPr>
                <w:rFonts w:ascii="宋体" w:hAnsi="宋体" w:cs="宋体" w:eastAsia="宋体" w:hint="default"/>
                <w:sz w:val="16"/>
                <w:szCs w:val="16"/>
              </w:rPr>
              <w:t>一种新型体脂秤的研发</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28"/>
              <w:ind w:left="9" w:right="-20"/>
              <w:jc w:val="left"/>
              <w:rPr>
                <w:rFonts w:ascii="宋体" w:hAnsi="宋体" w:cs="宋体" w:eastAsia="宋体" w:hint="default"/>
                <w:sz w:val="16"/>
                <w:szCs w:val="16"/>
              </w:rPr>
            </w:pPr>
            <w:r>
              <w:rPr>
                <w:rFonts w:ascii="宋体" w:hAnsi="宋体" w:cs="宋体" w:eastAsia="宋体" w:hint="default"/>
                <w:sz w:val="16"/>
                <w:szCs w:val="16"/>
              </w:rPr>
              <w:t>分段阻抗测量在脂肪秤上应用最多的是通过八电极测量</w:t>
            </w:r>
            <w:r>
              <w:rPr>
                <w:rFonts w:ascii="宋体" w:hAnsi="宋体" w:cs="宋体" w:eastAsia="宋体" w:hint="default"/>
                <w:w w:val="99"/>
                <w:sz w:val="16"/>
                <w:szCs w:val="16"/>
              </w:rPr>
              <w:t> </w:t>
            </w:r>
            <w:r>
              <w:rPr>
                <w:rFonts w:ascii="宋体" w:hAnsi="宋体" w:cs="宋体" w:eastAsia="宋体" w:hint="default"/>
                <w:spacing w:val="-6"/>
                <w:w w:val="99"/>
                <w:sz w:val="16"/>
                <w:szCs w:val="16"/>
              </w:rPr>
              <w:t>来实现的，即在原有四电极基础上，增加手部的四个电极</w:t>
            </w:r>
            <w:r>
              <w:rPr>
                <w:rFonts w:ascii="宋体" w:hAnsi="宋体" w:cs="宋体" w:eastAsia="宋体" w:hint="default"/>
                <w:spacing w:val="-74"/>
                <w:w w:val="99"/>
                <w:sz w:val="16"/>
                <w:szCs w:val="16"/>
              </w:rPr>
              <w:t> </w:t>
            </w:r>
            <w:r>
              <w:rPr>
                <w:rFonts w:ascii="宋体" w:hAnsi="宋体" w:cs="宋体" w:eastAsia="宋体" w:hint="default"/>
                <w:spacing w:val="-74"/>
                <w:w w:val="99"/>
                <w:sz w:val="16"/>
                <w:szCs w:val="16"/>
              </w:rPr>
            </w:r>
            <w:r>
              <w:rPr>
                <w:rFonts w:ascii="宋体" w:hAnsi="宋体" w:cs="宋体" w:eastAsia="宋体" w:hint="default"/>
                <w:spacing w:val="-3"/>
                <w:sz w:val="16"/>
                <w:szCs w:val="16"/>
              </w:rPr>
              <w:t>这样，可以在人体的上肢、下肢、躯干之间分别形成测量</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pacing w:val="-2"/>
                <w:sz w:val="16"/>
                <w:szCs w:val="16"/>
              </w:rPr>
              <w:t>回路。另外，在八电极的应用中，为了让测量更加准确，</w:t>
            </w:r>
            <w:r>
              <w:rPr>
                <w:rFonts w:ascii="宋体" w:hAnsi="宋体" w:cs="宋体" w:eastAsia="宋体" w:hint="default"/>
                <w:spacing w:val="-71"/>
                <w:sz w:val="16"/>
                <w:szCs w:val="16"/>
              </w:rPr>
              <w:t> </w:t>
            </w:r>
            <w:r>
              <w:rPr>
                <w:rFonts w:ascii="宋体" w:hAnsi="宋体" w:cs="宋体" w:eastAsia="宋体" w:hint="default"/>
                <w:spacing w:val="-71"/>
                <w:sz w:val="16"/>
                <w:szCs w:val="16"/>
              </w:rPr>
            </w:r>
            <w:r>
              <w:rPr>
                <w:rFonts w:ascii="宋体" w:hAnsi="宋体" w:cs="宋体" w:eastAsia="宋体" w:hint="default"/>
                <w:sz w:val="16"/>
                <w:szCs w:val="16"/>
              </w:rPr>
              <w:t>一般会采用多频率测量结合，多频率提供对包括</w:t>
            </w:r>
            <w:r>
              <w:rPr>
                <w:rFonts w:ascii="宋体" w:hAnsi="宋体" w:cs="宋体" w:eastAsia="宋体" w:hint="default"/>
                <w:spacing w:val="-40"/>
                <w:sz w:val="16"/>
                <w:szCs w:val="16"/>
              </w:rPr>
              <w:t> </w:t>
            </w:r>
            <w:r>
              <w:rPr>
                <w:rFonts w:ascii="宋体" w:hAnsi="宋体" w:cs="宋体" w:eastAsia="宋体" w:hint="default"/>
                <w:sz w:val="16"/>
                <w:szCs w:val="16"/>
              </w:rPr>
              <w:t>ECW</w:t>
            </w:r>
            <w:r>
              <w:rPr>
                <w:rFonts w:ascii="宋体" w:hAnsi="宋体" w:cs="宋体" w:eastAsia="宋体" w:hint="default"/>
                <w:sz w:val="16"/>
                <w:szCs w:val="16"/>
              </w:rPr>
              <w:t>，</w:t>
            </w:r>
            <w:r>
              <w:rPr>
                <w:rFonts w:ascii="宋体" w:hAnsi="宋体" w:cs="宋体" w:eastAsia="宋体" w:hint="default"/>
                <w:w w:val="99"/>
                <w:sz w:val="16"/>
                <w:szCs w:val="16"/>
              </w:rPr>
              <w:t> </w:t>
            </w:r>
            <w:r>
              <w:rPr>
                <w:rFonts w:ascii="宋体" w:hAnsi="宋体" w:cs="宋体" w:eastAsia="宋体" w:hint="default"/>
                <w:sz w:val="16"/>
                <w:szCs w:val="16"/>
              </w:rPr>
              <w:t>TBW</w:t>
            </w:r>
            <w:r>
              <w:rPr>
                <w:rFonts w:ascii="宋体" w:hAnsi="宋体" w:cs="宋体" w:eastAsia="宋体" w:hint="default"/>
                <w:sz w:val="16"/>
                <w:szCs w:val="16"/>
              </w:rPr>
              <w:t>，</w:t>
            </w:r>
            <w:r>
              <w:rPr>
                <w:rFonts w:ascii="宋体" w:hAnsi="宋体" w:cs="宋体" w:eastAsia="宋体" w:hint="default"/>
                <w:sz w:val="16"/>
                <w:szCs w:val="16"/>
              </w:rPr>
              <w:t>FFM</w:t>
            </w:r>
            <w:r>
              <w:rPr>
                <w:rFonts w:ascii="宋体" w:hAnsi="宋体" w:cs="宋体" w:eastAsia="宋体" w:hint="default"/>
                <w:spacing w:val="-42"/>
                <w:sz w:val="16"/>
                <w:szCs w:val="16"/>
              </w:rPr>
              <w:t> </w:t>
            </w:r>
            <w:r>
              <w:rPr>
                <w:rFonts w:ascii="宋体" w:hAnsi="宋体" w:cs="宋体" w:eastAsia="宋体" w:hint="default"/>
                <w:sz w:val="16"/>
                <w:szCs w:val="16"/>
              </w:rPr>
              <w:t>等生物变量的更为精确的阻抗指数。这样可以</w:t>
            </w:r>
            <w:r>
              <w:rPr>
                <w:rFonts w:ascii="宋体" w:hAnsi="宋体" w:cs="宋体" w:eastAsia="宋体" w:hint="default"/>
                <w:w w:val="99"/>
                <w:sz w:val="16"/>
                <w:szCs w:val="16"/>
              </w:rPr>
              <w:t> </w:t>
            </w:r>
            <w:r>
              <w:rPr>
                <w:rFonts w:ascii="宋体" w:hAnsi="宋体" w:cs="宋体" w:eastAsia="宋体" w:hint="default"/>
                <w:spacing w:val="-3"/>
                <w:w w:val="99"/>
                <w:sz w:val="16"/>
                <w:szCs w:val="16"/>
              </w:rPr>
              <w:t>更加准确的测量出人体的实际阻抗值和阻抗的分布，从而</w:t>
            </w:r>
            <w:r>
              <w:rPr>
                <w:rFonts w:ascii="宋体" w:hAnsi="宋体" w:cs="宋体" w:eastAsia="宋体" w:hint="default"/>
                <w:spacing w:val="-69"/>
                <w:w w:val="99"/>
                <w:sz w:val="16"/>
                <w:szCs w:val="16"/>
              </w:rPr>
              <w:t> </w:t>
            </w:r>
            <w:r>
              <w:rPr>
                <w:rFonts w:ascii="宋体" w:hAnsi="宋体" w:cs="宋体" w:eastAsia="宋体" w:hint="default"/>
                <w:spacing w:val="-69"/>
                <w:w w:val="99"/>
                <w:sz w:val="16"/>
                <w:szCs w:val="16"/>
              </w:rPr>
            </w:r>
            <w:r>
              <w:rPr>
                <w:rFonts w:ascii="宋体" w:hAnsi="宋体" w:cs="宋体" w:eastAsia="宋体" w:hint="default"/>
                <w:sz w:val="16"/>
                <w:szCs w:val="16"/>
              </w:rPr>
              <w:t>可以更加准确的分析出人体不同成份的比例。</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w w:val="99"/>
                <w:sz w:val="16"/>
                <w:szCs w:val="16"/>
              </w:rPr>
              <w:t>，</w:t>
            </w:r>
            <w:r>
              <w:rPr>
                <w:rFonts w:ascii="宋体" w:hAnsi="宋体" w:cs="宋体" w:eastAsia="宋体" w:hint="default"/>
                <w:sz w:val="16"/>
                <w:szCs w:val="16"/>
              </w:rPr>
            </w:r>
          </w:p>
          <w:p>
            <w:pPr>
              <w:pStyle w:val="TableParagraph"/>
              <w:spacing w:line="357" w:lineRule="auto" w:before="104"/>
              <w:ind w:left="9" w:right="51"/>
              <w:jc w:val="both"/>
              <w:rPr>
                <w:rFonts w:ascii="宋体" w:hAnsi="宋体" w:cs="宋体" w:eastAsia="宋体" w:hint="default"/>
                <w:sz w:val="16"/>
                <w:szCs w:val="16"/>
              </w:rPr>
            </w:pPr>
            <w:r>
              <w:rPr>
                <w:rFonts w:ascii="宋体" w:hAnsi="宋体" w:cs="宋体" w:eastAsia="宋体" w:hint="default"/>
                <w:sz w:val="16"/>
                <w:szCs w:val="16"/>
              </w:rPr>
              <w:t>目前在方案验证中，包括硬件的电子平</w:t>
            </w:r>
            <w:r>
              <w:rPr>
                <w:rFonts w:ascii="宋体" w:hAnsi="宋体" w:cs="宋体" w:eastAsia="宋体" w:hint="default"/>
                <w:w w:val="99"/>
                <w:sz w:val="16"/>
                <w:szCs w:val="16"/>
              </w:rPr>
              <w:t> </w:t>
            </w:r>
            <w:r>
              <w:rPr>
                <w:rFonts w:ascii="宋体" w:hAnsi="宋体" w:cs="宋体" w:eastAsia="宋体" w:hint="default"/>
                <w:sz w:val="16"/>
                <w:szCs w:val="16"/>
              </w:rPr>
              <w:t>台、传感器、软件正在进行前期的联调</w:t>
            </w:r>
            <w:r>
              <w:rPr>
                <w:rFonts w:ascii="宋体" w:hAnsi="宋体" w:cs="宋体" w:eastAsia="宋体" w:hint="default"/>
                <w:w w:val="99"/>
                <w:sz w:val="16"/>
                <w:szCs w:val="16"/>
              </w:rPr>
              <w:t> </w:t>
            </w:r>
            <w:r>
              <w:rPr>
                <w:rFonts w:ascii="宋体" w:hAnsi="宋体" w:cs="宋体" w:eastAsia="宋体" w:hint="default"/>
                <w:sz w:val="16"/>
                <w:szCs w:val="16"/>
              </w:rPr>
              <w:t>验证中，而相关产品的外观和结构在构</w:t>
            </w:r>
            <w:r>
              <w:rPr>
                <w:rFonts w:ascii="宋体" w:hAnsi="宋体" w:cs="宋体" w:eastAsia="宋体" w:hint="default"/>
                <w:w w:val="99"/>
                <w:sz w:val="16"/>
                <w:szCs w:val="16"/>
              </w:rPr>
              <w:t> </w:t>
            </w:r>
            <w:r>
              <w:rPr>
                <w:rFonts w:ascii="宋体" w:hAnsi="宋体" w:cs="宋体" w:eastAsia="宋体" w:hint="default"/>
                <w:sz w:val="16"/>
                <w:szCs w:val="16"/>
              </w:rPr>
              <w:t>思和设计。</w:t>
            </w:r>
          </w:p>
        </w:tc>
      </w:tr>
      <w:tr>
        <w:trPr>
          <w:trHeight w:val="1238"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82" w:right="0"/>
              <w:jc w:val="left"/>
              <w:rPr>
                <w:rFonts w:ascii="宋体" w:hAnsi="宋体" w:cs="宋体" w:eastAsia="宋体" w:hint="default"/>
                <w:sz w:val="16"/>
                <w:szCs w:val="16"/>
              </w:rPr>
            </w:pPr>
            <w:r>
              <w:rPr>
                <w:rFonts w:ascii="宋体"/>
                <w:w w:val="99"/>
                <w:sz w:val="16"/>
              </w:rPr>
              <w:t>9</w:t>
            </w:r>
            <w:r>
              <w:rPr>
                <w:rFonts w:ascii="宋体"/>
                <w:sz w:val="16"/>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9" w:right="0"/>
              <w:jc w:val="left"/>
              <w:rPr>
                <w:rFonts w:ascii="宋体" w:hAnsi="宋体" w:cs="宋体" w:eastAsia="宋体" w:hint="default"/>
                <w:sz w:val="16"/>
                <w:szCs w:val="16"/>
              </w:rPr>
            </w:pPr>
            <w:r>
              <w:rPr>
                <w:rFonts w:ascii="宋体" w:hAnsi="宋体" w:cs="宋体" w:eastAsia="宋体" w:hint="default"/>
                <w:sz w:val="16"/>
                <w:szCs w:val="16"/>
              </w:rPr>
              <w:t>三通道可穿戴心电记录仪</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357" w:lineRule="auto"/>
              <w:ind w:left="9" w:right="11"/>
              <w:jc w:val="left"/>
              <w:rPr>
                <w:rFonts w:ascii="宋体" w:hAnsi="宋体" w:cs="宋体" w:eastAsia="宋体" w:hint="default"/>
                <w:sz w:val="16"/>
                <w:szCs w:val="16"/>
              </w:rPr>
            </w:pPr>
            <w:r>
              <w:rPr>
                <w:rFonts w:ascii="宋体" w:hAnsi="宋体" w:cs="宋体" w:eastAsia="宋体" w:hint="default"/>
                <w:sz w:val="16"/>
                <w:szCs w:val="16"/>
              </w:rPr>
              <w:t>在单道可穿戴心电记录仪的基础上，打造一款外形靓丽</w:t>
            </w:r>
            <w:r>
              <w:rPr>
                <w:rFonts w:ascii="宋体" w:hAnsi="宋体" w:cs="宋体" w:eastAsia="宋体" w:hint="default"/>
                <w:w w:val="99"/>
                <w:sz w:val="16"/>
                <w:szCs w:val="16"/>
              </w:rPr>
              <w:t> </w:t>
            </w:r>
            <w:r>
              <w:rPr>
                <w:rFonts w:ascii="宋体" w:hAnsi="宋体" w:cs="宋体" w:eastAsia="宋体" w:hint="default"/>
                <w:spacing w:val="-3"/>
                <w:sz w:val="16"/>
                <w:szCs w:val="16"/>
              </w:rPr>
              <w:t>可靠性可用性高，采集导联更多的心贴产品，扩充公司的</w:t>
            </w:r>
            <w:r>
              <w:rPr>
                <w:rFonts w:ascii="宋体" w:hAnsi="宋体" w:cs="宋体" w:eastAsia="宋体" w:hint="default"/>
                <w:w w:val="99"/>
                <w:sz w:val="16"/>
                <w:szCs w:val="16"/>
              </w:rPr>
              <w:t> </w:t>
            </w:r>
            <w:r>
              <w:rPr>
                <w:rFonts w:ascii="宋体" w:hAnsi="宋体" w:cs="宋体" w:eastAsia="宋体" w:hint="default"/>
                <w:sz w:val="16"/>
                <w:szCs w:val="16"/>
              </w:rPr>
              <w:t>可穿戴式产品线。</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183" w:lineRule="exact"/>
              <w:ind w:left="-114" w:right="0"/>
              <w:jc w:val="left"/>
              <w:rPr>
                <w:rFonts w:ascii="宋体" w:hAnsi="宋体" w:cs="宋体" w:eastAsia="宋体" w:hint="default"/>
                <w:sz w:val="16"/>
                <w:szCs w:val="16"/>
              </w:rPr>
            </w:pPr>
            <w:r>
              <w:rPr>
                <w:rFonts w:ascii="宋体" w:hAnsi="宋体" w:cs="宋体" w:eastAsia="宋体" w:hint="default"/>
                <w:w w:val="99"/>
                <w:sz w:val="16"/>
                <w:szCs w:val="16"/>
              </w:rPr>
              <w:t>，</w:t>
            </w:r>
            <w:r>
              <w:rPr>
                <w:rFonts w:ascii="宋体" w:hAnsi="宋体" w:cs="宋体" w:eastAsia="宋体" w:hint="default"/>
                <w:sz w:val="16"/>
                <w:szCs w:val="16"/>
              </w:rPr>
            </w:r>
          </w:p>
          <w:p>
            <w:pPr>
              <w:pStyle w:val="TableParagraph"/>
              <w:spacing w:line="183" w:lineRule="exact"/>
              <w:ind w:left="9" w:right="0"/>
              <w:jc w:val="left"/>
              <w:rPr>
                <w:rFonts w:ascii="宋体" w:hAnsi="宋体" w:cs="宋体" w:eastAsia="宋体" w:hint="default"/>
                <w:sz w:val="16"/>
                <w:szCs w:val="16"/>
              </w:rPr>
            </w:pPr>
            <w:r>
              <w:rPr>
                <w:rFonts w:ascii="宋体" w:hAnsi="宋体" w:cs="宋体" w:eastAsia="宋体" w:hint="default"/>
                <w:sz w:val="16"/>
                <w:szCs w:val="16"/>
              </w:rPr>
              <w:t>该款产品目前完成预研阶段的系统方案</w:t>
            </w:r>
          </w:p>
          <w:p>
            <w:pPr>
              <w:pStyle w:val="TableParagraph"/>
              <w:spacing w:line="240" w:lineRule="auto" w:before="102"/>
              <w:ind w:left="9" w:right="0"/>
              <w:jc w:val="left"/>
              <w:rPr>
                <w:rFonts w:ascii="宋体" w:hAnsi="宋体" w:cs="宋体" w:eastAsia="宋体" w:hint="default"/>
                <w:sz w:val="16"/>
                <w:szCs w:val="16"/>
              </w:rPr>
            </w:pPr>
            <w:r>
              <w:rPr>
                <w:rFonts w:ascii="宋体" w:hAnsi="宋体" w:cs="宋体" w:eastAsia="宋体" w:hint="default"/>
                <w:sz w:val="16"/>
                <w:szCs w:val="16"/>
              </w:rPr>
              <w:t>确定</w:t>
            </w:r>
            <w:r>
              <w:rPr>
                <w:rFonts w:ascii="宋体" w:hAnsi="宋体" w:cs="宋体" w:eastAsia="宋体" w:hint="default"/>
                <w:sz w:val="16"/>
                <w:szCs w:val="16"/>
              </w:rPr>
              <w:t>.</w:t>
            </w:r>
          </w:p>
        </w:tc>
      </w:tr>
    </w:tbl>
    <w:p>
      <w:pPr>
        <w:spacing w:line="240" w:lineRule="auto" w:before="3"/>
        <w:rPr>
          <w:rFonts w:ascii="宋体" w:hAnsi="宋体" w:cs="宋体" w:eastAsia="宋体" w:hint="default"/>
          <w:sz w:val="21"/>
          <w:szCs w:val="21"/>
        </w:rPr>
      </w:pPr>
    </w:p>
    <w:p>
      <w:pPr>
        <w:spacing w:line="316" w:lineRule="auto" w:before="44"/>
        <w:ind w:left="1224" w:right="7048" w:hanging="90"/>
        <w:jc w:val="left"/>
        <w:rPr>
          <w:rFonts w:ascii="宋体" w:hAnsi="宋体" w:cs="宋体" w:eastAsia="宋体" w:hint="default"/>
          <w:sz w:val="18"/>
          <w:szCs w:val="18"/>
        </w:rPr>
      </w:pPr>
      <w:r>
        <w:rPr>
          <w:rFonts w:ascii="宋体" w:hAnsi="宋体" w:cs="宋体" w:eastAsia="宋体" w:hint="default"/>
          <w:b/>
          <w:bCs/>
          <w:sz w:val="18"/>
          <w:szCs w:val="18"/>
        </w:rPr>
        <w:t>（二）、报告期内公司医疗器械注册相关信息</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、报告期内，处于注册</w:t>
      </w:r>
      <w:r>
        <w:rPr>
          <w:rFonts w:ascii="宋体" w:hAnsi="宋体" w:cs="宋体" w:eastAsia="宋体" w:hint="default"/>
          <w:sz w:val="18"/>
          <w:szCs w:val="18"/>
        </w:rPr>
        <w:t>/</w:t>
      </w:r>
      <w:r>
        <w:rPr>
          <w:rFonts w:ascii="宋体" w:hAnsi="宋体" w:cs="宋体" w:eastAsia="宋体" w:hint="default"/>
          <w:sz w:val="18"/>
          <w:szCs w:val="18"/>
        </w:rPr>
        <w:t>变更中的医疗器械</w:t>
      </w:r>
    </w:p>
    <w:p>
      <w:pPr>
        <w:spacing w:line="240" w:lineRule="auto" w:before="12"/>
        <w:rPr>
          <w:rFonts w:ascii="宋体" w:hAnsi="宋体" w:cs="宋体" w:eastAsia="宋体" w:hint="default"/>
          <w:sz w:val="10"/>
          <w:szCs w:val="10"/>
        </w:rPr>
      </w:pPr>
    </w:p>
    <w:p>
      <w:pPr>
        <w:spacing w:line="2224" w:lineRule="exact"/>
        <w:ind w:left="1134" w:right="0" w:firstLine="0"/>
        <w:rPr>
          <w:rFonts w:ascii="宋体" w:hAnsi="宋体" w:cs="宋体" w:eastAsia="宋体" w:hint="default"/>
          <w:sz w:val="20"/>
          <w:szCs w:val="20"/>
        </w:rPr>
      </w:pPr>
      <w:r>
        <w:rPr>
          <w:rFonts w:ascii="宋体" w:hAnsi="宋体" w:cs="宋体" w:eastAsia="宋体" w:hint="default"/>
          <w:position w:val="-43"/>
          <w:sz w:val="20"/>
          <w:szCs w:val="20"/>
        </w:rPr>
        <w:drawing>
          <wp:inline distT="0" distB="0" distL="0" distR="0">
            <wp:extent cx="6203778" cy="1412748"/>
            <wp:effectExtent l="0" t="0" r="0" b="0"/>
            <wp:docPr id="13" name="image8.png" descr=""/>
            <wp:cNvGraphicFramePr>
              <a:graphicFrameLocks noChangeAspect="1"/>
            </wp:cNvGraphicFramePr>
            <a:graphic>
              <a:graphicData uri="http://schemas.openxmlformats.org/drawingml/2006/picture">
                <pic:pic>
                  <pic:nvPicPr>
                    <pic:cNvPr id="14" name="image8.png"/>
                    <pic:cNvPicPr/>
                  </pic:nvPicPr>
                  <pic:blipFill>
                    <a:blip r:embed="rId18" cstate="print"/>
                    <a:stretch>
                      <a:fillRect/>
                    </a:stretch>
                  </pic:blipFill>
                  <pic:spPr>
                    <a:xfrm>
                      <a:off x="0" y="0"/>
                      <a:ext cx="6203778" cy="1412748"/>
                    </a:xfrm>
                    <a:prstGeom prst="rect">
                      <a:avLst/>
                    </a:prstGeom>
                  </pic:spPr>
                </pic:pic>
              </a:graphicData>
            </a:graphic>
          </wp:inline>
        </w:drawing>
      </w:r>
      <w:r>
        <w:rPr>
          <w:rFonts w:ascii="宋体" w:hAnsi="宋体" w:cs="宋体" w:eastAsia="宋体" w:hint="default"/>
          <w:position w:val="-43"/>
          <w:sz w:val="20"/>
          <w:szCs w:val="20"/>
        </w:rPr>
      </w:r>
    </w:p>
    <w:p>
      <w:pPr>
        <w:pStyle w:val="BodyText"/>
        <w:spacing w:line="240" w:lineRule="auto" w:before="148"/>
        <w:ind w:left="1133" w:right="1015"/>
        <w:jc w:val="left"/>
      </w:pPr>
      <w:r>
        <w:rPr>
          <w:rFonts w:ascii="宋体" w:hAnsi="宋体" w:cs="宋体" w:eastAsia="宋体" w:hint="default"/>
        </w:rPr>
        <w:t>2</w:t>
      </w:r>
      <w:r>
        <w:rPr/>
        <w:t>、报告期内，已获得医疗器械注册证的产品</w:t>
      </w:r>
    </w:p>
    <w:p>
      <w:pPr>
        <w:spacing w:line="240" w:lineRule="auto" w:before="12"/>
        <w:rPr>
          <w:rFonts w:ascii="宋体" w:hAnsi="宋体" w:cs="宋体" w:eastAsia="宋体" w:hint="default"/>
          <w:sz w:val="29"/>
          <w:szCs w:val="29"/>
        </w:rPr>
      </w:pPr>
    </w:p>
    <w:tbl>
      <w:tblPr>
        <w:tblW w:w="0" w:type="auto"/>
        <w:jc w:val="left"/>
        <w:tblInd w:w="1051" w:type="dxa"/>
        <w:tblLayout w:type="fixed"/>
        <w:tblCellMar>
          <w:top w:w="0" w:type="dxa"/>
          <w:left w:w="0" w:type="dxa"/>
          <w:bottom w:w="0" w:type="dxa"/>
          <w:right w:w="0" w:type="dxa"/>
        </w:tblCellMar>
        <w:tblLook w:val="01E0"/>
      </w:tblPr>
      <w:tblGrid>
        <w:gridCol w:w="570"/>
        <w:gridCol w:w="1066"/>
        <w:gridCol w:w="1140"/>
        <w:gridCol w:w="1217"/>
        <w:gridCol w:w="1574"/>
        <w:gridCol w:w="1936"/>
        <w:gridCol w:w="1034"/>
        <w:gridCol w:w="1259"/>
      </w:tblGrid>
      <w:tr>
        <w:trPr>
          <w:trHeight w:val="781" w:hRule="exact"/>
        </w:trPr>
        <w:tc>
          <w:tcPr>
            <w:tcW w:w="57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316" w:lineRule="auto" w:before="84"/>
              <w:ind w:left="103" w:right="275"/>
              <w:jc w:val="left"/>
              <w:rPr>
                <w:rFonts w:ascii="宋体" w:hAnsi="宋体" w:cs="宋体" w:eastAsia="宋体" w:hint="default"/>
                <w:sz w:val="18"/>
                <w:szCs w:val="18"/>
              </w:rPr>
            </w:pPr>
            <w:r>
              <w:rPr>
                <w:rFonts w:ascii="宋体" w:hAnsi="宋体" w:cs="宋体" w:eastAsia="宋体" w:hint="default"/>
                <w:sz w:val="18"/>
                <w:szCs w:val="18"/>
              </w:rPr>
              <w:t>序 号</w:t>
            </w:r>
          </w:p>
        </w:tc>
        <w:tc>
          <w:tcPr>
            <w:tcW w:w="1066"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114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注册分类</w:t>
            </w:r>
          </w:p>
        </w:tc>
        <w:tc>
          <w:tcPr>
            <w:tcW w:w="1217"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证书号</w:t>
            </w:r>
          </w:p>
        </w:tc>
        <w:tc>
          <w:tcPr>
            <w:tcW w:w="157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产品型号</w:t>
            </w:r>
          </w:p>
        </w:tc>
        <w:tc>
          <w:tcPr>
            <w:tcW w:w="1936"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602" w:right="0"/>
              <w:jc w:val="left"/>
              <w:rPr>
                <w:rFonts w:ascii="宋体" w:hAnsi="宋体" w:cs="宋体" w:eastAsia="宋体" w:hint="default"/>
                <w:sz w:val="18"/>
                <w:szCs w:val="18"/>
              </w:rPr>
            </w:pPr>
            <w:r>
              <w:rPr>
                <w:rFonts w:ascii="宋体" w:hAnsi="宋体" w:cs="宋体" w:eastAsia="宋体" w:hint="default"/>
                <w:sz w:val="18"/>
                <w:szCs w:val="18"/>
              </w:rPr>
              <w:t>临床用途</w:t>
            </w:r>
          </w:p>
        </w:tc>
        <w:tc>
          <w:tcPr>
            <w:tcW w:w="103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有效期至</w:t>
            </w:r>
          </w:p>
        </w:tc>
        <w:tc>
          <w:tcPr>
            <w:tcW w:w="125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338" w:hRule="exact"/>
        </w:trPr>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36" w:right="167" w:hanging="270"/>
              <w:jc w:val="left"/>
              <w:rPr>
                <w:rFonts w:ascii="宋体" w:hAnsi="宋体" w:cs="宋体" w:eastAsia="宋体" w:hint="default"/>
                <w:sz w:val="18"/>
                <w:szCs w:val="18"/>
              </w:rPr>
            </w:pPr>
            <w:r>
              <w:rPr>
                <w:rFonts w:ascii="宋体" w:hAnsi="宋体" w:cs="宋体" w:eastAsia="宋体" w:hint="default"/>
                <w:sz w:val="18"/>
                <w:szCs w:val="18"/>
              </w:rPr>
              <w:t>电子血压 计</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类</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6820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普</w:t>
            </w:r>
          </w:p>
          <w:p>
            <w:pPr>
              <w:pStyle w:val="TableParagraph"/>
              <w:spacing w:line="240" w:lineRule="auto" w:before="64"/>
              <w:ind w:left="113" w:right="0"/>
              <w:jc w:val="left"/>
              <w:rPr>
                <w:rFonts w:ascii="宋体" w:hAnsi="宋体" w:cs="宋体" w:eastAsia="宋体" w:hint="default"/>
                <w:sz w:val="18"/>
                <w:szCs w:val="18"/>
              </w:rPr>
            </w:pPr>
            <w:r>
              <w:rPr>
                <w:rFonts w:ascii="宋体" w:hAnsi="宋体" w:cs="宋体" w:eastAsia="宋体" w:hint="default"/>
                <w:sz w:val="18"/>
                <w:szCs w:val="18"/>
              </w:rPr>
              <w:t>通诊察器械</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粤食药监械</w:t>
            </w:r>
          </w:p>
          <w:p>
            <w:pPr>
              <w:pStyle w:val="TableParagraph"/>
              <w:spacing w:line="240" w:lineRule="auto" w:before="75"/>
              <w:ind w:left="242" w:right="0"/>
              <w:jc w:val="left"/>
              <w:rPr>
                <w:rFonts w:ascii="宋体" w:hAnsi="宋体" w:cs="宋体" w:eastAsia="宋体" w:hint="default"/>
                <w:sz w:val="18"/>
                <w:szCs w:val="18"/>
              </w:rPr>
            </w:pPr>
            <w:r>
              <w:rPr>
                <w:rFonts w:ascii="宋体" w:hAnsi="宋体" w:cs="宋体" w:eastAsia="宋体" w:hint="default"/>
                <w:sz w:val="18"/>
                <w:szCs w:val="18"/>
              </w:rPr>
              <w:t>（准）字</w:t>
            </w:r>
          </w:p>
          <w:p>
            <w:pPr>
              <w:pStyle w:val="TableParagraph"/>
              <w:spacing w:line="240" w:lineRule="auto" w:before="76"/>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2201289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LS802</w:t>
            </w:r>
            <w:r>
              <w:rPr>
                <w:rFonts w:ascii="宋体" w:hAnsi="宋体" w:cs="宋体" w:eastAsia="宋体" w:hint="default"/>
                <w:sz w:val="18"/>
                <w:szCs w:val="18"/>
              </w:rPr>
              <w:t>、</w:t>
            </w:r>
            <w:r>
              <w:rPr>
                <w:rFonts w:ascii="Times New Roman" w:hAnsi="Times New Roman" w:cs="Times New Roman" w:eastAsia="Times New Roman" w:hint="default"/>
                <w:sz w:val="18"/>
                <w:szCs w:val="18"/>
              </w:rPr>
              <w:t>LS802</w:t>
            </w:r>
          </w:p>
          <w:p>
            <w:pPr>
              <w:pStyle w:val="TableParagraph"/>
              <w:spacing w:line="300" w:lineRule="auto" w:before="61"/>
              <w:ind w:left="113" w:right="113" w:hanging="3"/>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GPRS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 </w:t>
            </w:r>
            <w:r>
              <w:rPr>
                <w:rFonts w:ascii="Times New Roman" w:hAnsi="Times New Roman" w:cs="Times New Roman" w:eastAsia="Times New Roman" w:hint="default"/>
                <w:sz w:val="18"/>
                <w:szCs w:val="18"/>
              </w:rPr>
              <w:t>LS805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个产</w:t>
            </w:r>
            <w:r>
              <w:rPr>
                <w:rFonts w:ascii="宋体" w:hAnsi="宋体" w:cs="宋体" w:eastAsia="宋体" w:hint="default"/>
                <w:spacing w:val="1"/>
                <w:sz w:val="18"/>
                <w:szCs w:val="18"/>
              </w:rPr>
              <w:t> </w:t>
            </w:r>
            <w:r>
              <w:rPr>
                <w:rFonts w:ascii="宋体" w:hAnsi="宋体" w:cs="宋体" w:eastAsia="宋体" w:hint="default"/>
                <w:sz w:val="18"/>
                <w:szCs w:val="18"/>
              </w:rPr>
              <w:t>品型号</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2" w:hanging="1"/>
              <w:jc w:val="center"/>
              <w:rPr>
                <w:rFonts w:ascii="宋体" w:hAnsi="宋体" w:cs="宋体" w:eastAsia="宋体" w:hint="default"/>
                <w:sz w:val="18"/>
                <w:szCs w:val="18"/>
              </w:rPr>
            </w:pPr>
            <w:r>
              <w:rPr>
                <w:rFonts w:ascii="宋体" w:hAnsi="宋体" w:cs="宋体" w:eastAsia="宋体" w:hint="default"/>
                <w:sz w:val="18"/>
                <w:szCs w:val="18"/>
              </w:rPr>
              <w:t>适用于以示波法测量 </w:t>
            </w:r>
            <w:r>
              <w:rPr>
                <w:rFonts w:ascii="宋体" w:hAnsi="宋体" w:cs="宋体" w:eastAsia="宋体" w:hint="default"/>
                <w:spacing w:val="-9"/>
                <w:sz w:val="18"/>
                <w:szCs w:val="18"/>
              </w:rPr>
              <w:t>成人的收缩压、舒张压</w:t>
            </w:r>
            <w:r>
              <w:rPr>
                <w:rFonts w:ascii="宋体" w:hAnsi="宋体" w:cs="宋体" w:eastAsia="宋体" w:hint="default"/>
                <w:sz w:val="18"/>
                <w:szCs w:val="18"/>
              </w:rPr>
              <w:t> </w:t>
            </w:r>
            <w:r>
              <w:rPr>
                <w:rFonts w:ascii="宋体" w:hAnsi="宋体" w:cs="宋体" w:eastAsia="宋体" w:hint="default"/>
                <w:spacing w:val="-9"/>
                <w:sz w:val="18"/>
                <w:szCs w:val="18"/>
              </w:rPr>
              <w:t>和脉率，其数值供诊断</w:t>
            </w:r>
            <w:r>
              <w:rPr>
                <w:rFonts w:ascii="宋体" w:hAnsi="宋体" w:cs="宋体" w:eastAsia="宋体" w:hint="default"/>
                <w:sz w:val="18"/>
                <w:szCs w:val="18"/>
              </w:rPr>
              <w:t> 参考。</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p>
            <w:pPr>
              <w:pStyle w:val="TableParagraph"/>
              <w:spacing w:line="240" w:lineRule="auto" w:before="64"/>
              <w:ind w:left="24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148" w:right="149"/>
              <w:jc w:val="center"/>
              <w:rPr>
                <w:rFonts w:ascii="宋体" w:hAnsi="宋体" w:cs="宋体" w:eastAsia="宋体" w:hint="default"/>
                <w:sz w:val="18"/>
                <w:szCs w:val="18"/>
              </w:rPr>
            </w:pPr>
            <w:r>
              <w:rPr>
                <w:rFonts w:ascii="宋体" w:hAnsi="宋体" w:cs="宋体" w:eastAsia="宋体" w:hint="default"/>
                <w:sz w:val="18"/>
                <w:szCs w:val="18"/>
              </w:rPr>
              <w:t>报告期内变 更</w:t>
            </w:r>
            <w:r>
              <w:rPr>
                <w:rFonts w:ascii="Times New Roman" w:hAnsi="Times New Roman" w:cs="Times New Roman" w:eastAsia="Times New Roman" w:hint="default"/>
                <w:sz w:val="18"/>
                <w:szCs w:val="18"/>
              </w:rPr>
              <w:t>/</w:t>
            </w:r>
            <w:r>
              <w:rPr>
                <w:rFonts w:ascii="宋体" w:hAnsi="宋体" w:cs="宋体" w:eastAsia="宋体" w:hint="default"/>
                <w:sz w:val="18"/>
                <w:szCs w:val="18"/>
              </w:rPr>
              <w:t>增加产品 型号</w:t>
            </w:r>
          </w:p>
        </w:tc>
      </w:tr>
      <w:tr>
        <w:trPr>
          <w:trHeight w:val="1338" w:hRule="exact"/>
        </w:trPr>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36" w:right="167" w:hanging="270"/>
              <w:jc w:val="left"/>
              <w:rPr>
                <w:rFonts w:ascii="宋体" w:hAnsi="宋体" w:cs="宋体" w:eastAsia="宋体" w:hint="default"/>
                <w:sz w:val="18"/>
                <w:szCs w:val="18"/>
              </w:rPr>
            </w:pPr>
            <w:r>
              <w:rPr>
                <w:rFonts w:ascii="宋体" w:hAnsi="宋体" w:cs="宋体" w:eastAsia="宋体" w:hint="default"/>
                <w:sz w:val="18"/>
                <w:szCs w:val="18"/>
              </w:rPr>
              <w:t>电子血压 计</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类</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6820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普</w:t>
            </w:r>
          </w:p>
          <w:p>
            <w:pPr>
              <w:pStyle w:val="TableParagraph"/>
              <w:spacing w:line="240" w:lineRule="auto" w:before="64"/>
              <w:ind w:left="113" w:right="0"/>
              <w:jc w:val="left"/>
              <w:rPr>
                <w:rFonts w:ascii="宋体" w:hAnsi="宋体" w:cs="宋体" w:eastAsia="宋体" w:hint="default"/>
                <w:sz w:val="18"/>
                <w:szCs w:val="18"/>
              </w:rPr>
            </w:pPr>
            <w:r>
              <w:rPr>
                <w:rFonts w:ascii="宋体" w:hAnsi="宋体" w:cs="宋体" w:eastAsia="宋体" w:hint="default"/>
                <w:sz w:val="18"/>
                <w:szCs w:val="18"/>
              </w:rPr>
              <w:t>通诊察器械</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粤械注准</w:t>
            </w:r>
          </w:p>
          <w:p>
            <w:pPr>
              <w:pStyle w:val="TableParagraph"/>
              <w:spacing w:line="240" w:lineRule="auto" w:before="117"/>
              <w:ind w:right="3"/>
              <w:jc w:val="center"/>
              <w:rPr>
                <w:rFonts w:ascii="Times New Roman" w:hAnsi="Times New Roman" w:cs="Times New Roman" w:eastAsia="Times New Roman" w:hint="default"/>
                <w:sz w:val="18"/>
                <w:szCs w:val="18"/>
              </w:rPr>
            </w:pPr>
            <w:r>
              <w:rPr>
                <w:rFonts w:ascii="Times New Roman"/>
                <w:sz w:val="18"/>
              </w:rPr>
              <w:t>20162200530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372" w:right="306" w:hanging="65"/>
              <w:jc w:val="left"/>
              <w:rPr>
                <w:rFonts w:ascii="宋体" w:hAnsi="宋体" w:cs="宋体" w:eastAsia="宋体" w:hint="default"/>
                <w:sz w:val="18"/>
                <w:szCs w:val="18"/>
              </w:rPr>
            </w:pPr>
            <w:r>
              <w:rPr>
                <w:rFonts w:ascii="Times New Roman" w:hAnsi="Times New Roman" w:cs="Times New Roman" w:eastAsia="Times New Roman" w:hint="default"/>
                <w:sz w:val="18"/>
                <w:szCs w:val="18"/>
              </w:rPr>
              <w:t>LS812-GF</w:t>
            </w:r>
            <w:r>
              <w:rPr>
                <w:rFonts w:ascii="宋体" w:hAnsi="宋体" w:cs="宋体" w:eastAsia="宋体" w:hint="default"/>
                <w:sz w:val="18"/>
                <w:szCs w:val="18"/>
              </w:rPr>
              <w:t>、 </w:t>
            </w:r>
            <w:r>
              <w:rPr>
                <w:rFonts w:ascii="Times New Roman" w:hAnsi="Times New Roman" w:cs="Times New Roman" w:eastAsia="Times New Roman" w:hint="default"/>
                <w:sz w:val="18"/>
                <w:szCs w:val="18"/>
              </w:rPr>
              <w:t>LS812-F</w:t>
            </w:r>
            <w:r>
              <w:rPr>
                <w:rFonts w:ascii="宋体" w:hAnsi="宋体" w:cs="宋体" w:eastAsia="宋体" w:hint="default"/>
                <w:sz w:val="18"/>
                <w:szCs w:val="18"/>
              </w:rPr>
              <w:t>、</w:t>
            </w:r>
          </w:p>
          <w:p>
            <w:pPr>
              <w:pStyle w:val="TableParagraph"/>
              <w:spacing w:line="340" w:lineRule="auto" w:before="13"/>
              <w:ind w:left="462" w:right="371" w:hanging="9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LS813-F</w:t>
            </w:r>
            <w:r>
              <w:rPr>
                <w:rFonts w:ascii="宋体" w:hAnsi="宋体" w:cs="宋体" w:eastAsia="宋体" w:hint="default"/>
                <w:sz w:val="18"/>
                <w:szCs w:val="18"/>
              </w:rPr>
              <w:t>、 </w:t>
            </w:r>
            <w:r>
              <w:rPr>
                <w:rFonts w:ascii="Times New Roman" w:hAnsi="Times New Roman" w:cs="Times New Roman" w:eastAsia="Times New Roman" w:hint="default"/>
                <w:sz w:val="18"/>
                <w:szCs w:val="18"/>
              </w:rPr>
              <w:t>LS815-F</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hanging="2"/>
              <w:jc w:val="center"/>
              <w:rPr>
                <w:rFonts w:ascii="宋体" w:hAnsi="宋体" w:cs="宋体" w:eastAsia="宋体" w:hint="default"/>
                <w:sz w:val="18"/>
                <w:szCs w:val="18"/>
              </w:rPr>
            </w:pPr>
            <w:r>
              <w:rPr>
                <w:rFonts w:ascii="宋体" w:hAnsi="宋体" w:cs="宋体" w:eastAsia="宋体" w:hint="default"/>
                <w:sz w:val="18"/>
                <w:szCs w:val="18"/>
              </w:rPr>
              <w:t>适用于测量成人舒张 </w:t>
            </w:r>
            <w:r>
              <w:rPr>
                <w:rFonts w:ascii="宋体" w:hAnsi="宋体" w:cs="宋体" w:eastAsia="宋体" w:hint="default"/>
                <w:spacing w:val="-9"/>
                <w:sz w:val="18"/>
                <w:szCs w:val="18"/>
              </w:rPr>
              <w:t>压、收缩压、脉率，其</w:t>
            </w:r>
            <w:r>
              <w:rPr>
                <w:rFonts w:ascii="宋体" w:hAnsi="宋体" w:cs="宋体" w:eastAsia="宋体" w:hint="default"/>
                <w:sz w:val="18"/>
                <w:szCs w:val="18"/>
              </w:rPr>
              <w:t> 数值供诊断参考。</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p>
            <w:pPr>
              <w:pStyle w:val="TableParagraph"/>
              <w:spacing w:line="240" w:lineRule="auto" w:before="64"/>
              <w:ind w:left="24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51" w:type="dxa"/>
        <w:tblLayout w:type="fixed"/>
        <w:tblCellMar>
          <w:top w:w="0" w:type="dxa"/>
          <w:left w:w="0" w:type="dxa"/>
          <w:bottom w:w="0" w:type="dxa"/>
          <w:right w:w="0" w:type="dxa"/>
        </w:tblCellMar>
        <w:tblLook w:val="01E0"/>
      </w:tblPr>
      <w:tblGrid>
        <w:gridCol w:w="570"/>
        <w:gridCol w:w="1066"/>
        <w:gridCol w:w="1140"/>
        <w:gridCol w:w="1217"/>
        <w:gridCol w:w="1574"/>
        <w:gridCol w:w="1936"/>
        <w:gridCol w:w="1034"/>
        <w:gridCol w:w="1259"/>
      </w:tblGrid>
      <w:tr>
        <w:trPr>
          <w:trHeight w:val="1026" w:hRule="exact"/>
        </w:trPr>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436" w:right="167" w:hanging="270"/>
              <w:jc w:val="left"/>
              <w:rPr>
                <w:rFonts w:ascii="宋体" w:hAnsi="宋体" w:cs="宋体" w:eastAsia="宋体" w:hint="default"/>
                <w:sz w:val="18"/>
                <w:szCs w:val="18"/>
              </w:rPr>
            </w:pPr>
            <w:r>
              <w:rPr>
                <w:rFonts w:ascii="宋体" w:hAnsi="宋体" w:cs="宋体" w:eastAsia="宋体" w:hint="default"/>
                <w:sz w:val="18"/>
                <w:szCs w:val="18"/>
              </w:rPr>
              <w:t>电子血压 计</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类</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6820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普</w:t>
            </w:r>
          </w:p>
          <w:p>
            <w:pPr>
              <w:pStyle w:val="TableParagraph"/>
              <w:spacing w:line="240" w:lineRule="auto" w:before="64"/>
              <w:ind w:left="113" w:right="0"/>
              <w:jc w:val="left"/>
              <w:rPr>
                <w:rFonts w:ascii="宋体" w:hAnsi="宋体" w:cs="宋体" w:eastAsia="宋体" w:hint="default"/>
                <w:sz w:val="18"/>
                <w:szCs w:val="18"/>
              </w:rPr>
            </w:pPr>
            <w:r>
              <w:rPr>
                <w:rFonts w:ascii="宋体" w:hAnsi="宋体" w:cs="宋体" w:eastAsia="宋体" w:hint="default"/>
                <w:sz w:val="18"/>
                <w:szCs w:val="18"/>
              </w:rPr>
              <w:t>通诊察器械</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粤械注准</w:t>
            </w:r>
          </w:p>
          <w:p>
            <w:pPr>
              <w:pStyle w:val="TableParagraph"/>
              <w:spacing w:line="240" w:lineRule="auto" w:before="117"/>
              <w:ind w:right="3"/>
              <w:jc w:val="center"/>
              <w:rPr>
                <w:rFonts w:ascii="Times New Roman" w:hAnsi="Times New Roman" w:cs="Times New Roman" w:eastAsia="Times New Roman" w:hint="default"/>
                <w:sz w:val="18"/>
                <w:szCs w:val="18"/>
              </w:rPr>
            </w:pPr>
            <w:r>
              <w:rPr>
                <w:rFonts w:ascii="Times New Roman"/>
                <w:sz w:val="18"/>
              </w:rPr>
              <w:t>20162201388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32" w:right="293" w:hanging="39"/>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TMB-1117</w:t>
            </w:r>
            <w:r>
              <w:rPr>
                <w:rFonts w:ascii="宋体" w:hAnsi="宋体" w:cs="宋体" w:eastAsia="宋体" w:hint="default"/>
                <w:spacing w:val="-2"/>
                <w:sz w:val="18"/>
                <w:szCs w:val="18"/>
              </w:rPr>
              <w:t>、</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TMB-988</w:t>
            </w:r>
            <w:r>
              <w:rPr>
                <w:rFonts w:ascii="宋体" w:hAnsi="宋体" w:cs="宋体" w:eastAsia="宋体" w:hint="default"/>
                <w:sz w:val="18"/>
                <w:szCs w:val="18"/>
              </w:rPr>
              <w:t>、</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TMB-1014</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2" w:firstLine="49"/>
              <w:jc w:val="both"/>
              <w:rPr>
                <w:rFonts w:ascii="宋体" w:hAnsi="宋体" w:cs="宋体" w:eastAsia="宋体" w:hint="default"/>
                <w:sz w:val="18"/>
                <w:szCs w:val="18"/>
              </w:rPr>
            </w:pPr>
            <w:r>
              <w:rPr>
                <w:rFonts w:ascii="宋体" w:hAnsi="宋体" w:cs="宋体" w:eastAsia="宋体" w:hint="default"/>
                <w:sz w:val="18"/>
                <w:szCs w:val="18"/>
              </w:rPr>
              <w:t>适用于测量成人收缩 </w:t>
            </w:r>
            <w:r>
              <w:rPr>
                <w:rFonts w:ascii="宋体" w:hAnsi="宋体" w:cs="宋体" w:eastAsia="宋体" w:hint="default"/>
                <w:spacing w:val="-9"/>
                <w:sz w:val="18"/>
                <w:szCs w:val="18"/>
              </w:rPr>
              <w:t>压、舒张压及脉率，其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数值供临床参考用。</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9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59" w:type="dxa"/>
            <w:tcBorders>
              <w:top w:val="single" w:sz="4" w:space="0" w:color="000000"/>
              <w:left w:val="single" w:sz="4" w:space="0" w:color="000000"/>
              <w:bottom w:val="single" w:sz="4" w:space="0" w:color="000000"/>
              <w:right w:val="single" w:sz="4" w:space="0" w:color="000000"/>
            </w:tcBorders>
          </w:tcPr>
          <w:p>
            <w:pPr/>
          </w:p>
        </w:tc>
      </w:tr>
      <w:tr>
        <w:trPr>
          <w:trHeight w:val="4770" w:hRule="exact"/>
        </w:trPr>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血糖仪</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类</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6840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临</w:t>
            </w:r>
          </w:p>
          <w:p>
            <w:pPr>
              <w:pStyle w:val="TableParagraph"/>
              <w:spacing w:line="319" w:lineRule="auto" w:before="63"/>
              <w:ind w:left="383" w:right="114" w:hanging="270"/>
              <w:jc w:val="left"/>
              <w:rPr>
                <w:rFonts w:ascii="宋体" w:hAnsi="宋体" w:cs="宋体" w:eastAsia="宋体" w:hint="default"/>
                <w:sz w:val="18"/>
                <w:szCs w:val="18"/>
              </w:rPr>
            </w:pPr>
            <w:r>
              <w:rPr>
                <w:rFonts w:ascii="宋体" w:hAnsi="宋体" w:cs="宋体" w:eastAsia="宋体" w:hint="default"/>
                <w:sz w:val="18"/>
                <w:szCs w:val="18"/>
              </w:rPr>
              <w:t>床检验分析 仪器</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粤械注准</w:t>
            </w:r>
          </w:p>
          <w:p>
            <w:pPr>
              <w:pStyle w:val="TableParagraph"/>
              <w:spacing w:line="240" w:lineRule="auto" w:before="117"/>
              <w:ind w:right="3"/>
              <w:jc w:val="center"/>
              <w:rPr>
                <w:rFonts w:ascii="Times New Roman" w:hAnsi="Times New Roman" w:cs="Times New Roman" w:eastAsia="Times New Roman" w:hint="default"/>
                <w:sz w:val="18"/>
                <w:szCs w:val="18"/>
              </w:rPr>
            </w:pPr>
            <w:r>
              <w:rPr>
                <w:rFonts w:ascii="Times New Roman"/>
                <w:sz w:val="18"/>
              </w:rPr>
              <w:t>20172400088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06" w:right="0"/>
              <w:jc w:val="left"/>
              <w:rPr>
                <w:rFonts w:ascii="Times New Roman" w:hAnsi="Times New Roman" w:cs="Times New Roman" w:eastAsia="Times New Roman" w:hint="default"/>
                <w:sz w:val="18"/>
                <w:szCs w:val="18"/>
              </w:rPr>
            </w:pPr>
            <w:r>
              <w:rPr>
                <w:rFonts w:ascii="Times New Roman"/>
                <w:sz w:val="18"/>
              </w:rPr>
              <w:t>LS602-B1</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 w:hanging="82"/>
              <w:jc w:val="center"/>
              <w:rPr>
                <w:rFonts w:ascii="宋体" w:hAnsi="宋体" w:cs="宋体" w:eastAsia="宋体" w:hint="default"/>
                <w:sz w:val="18"/>
                <w:szCs w:val="18"/>
              </w:rPr>
            </w:pPr>
            <w:r>
              <w:rPr>
                <w:rFonts w:ascii="宋体" w:hAnsi="宋体" w:cs="宋体" w:eastAsia="宋体" w:hint="default"/>
                <w:sz w:val="18"/>
                <w:szCs w:val="18"/>
              </w:rPr>
              <w:t>该产品与配套的血糖 </w:t>
            </w:r>
            <w:r>
              <w:rPr>
                <w:rFonts w:ascii="宋体" w:hAnsi="宋体" w:cs="宋体" w:eastAsia="宋体" w:hint="default"/>
                <w:spacing w:val="-9"/>
                <w:sz w:val="18"/>
                <w:szCs w:val="18"/>
              </w:rPr>
              <w:t>试纸配合使用，用于体</w:t>
            </w:r>
            <w:r>
              <w:rPr>
                <w:rFonts w:ascii="宋体" w:hAnsi="宋体" w:cs="宋体" w:eastAsia="宋体" w:hint="default"/>
                <w:sz w:val="18"/>
                <w:szCs w:val="18"/>
              </w:rPr>
              <w:t> 外监测人体毛细血管 </w:t>
            </w:r>
            <w:r>
              <w:rPr>
                <w:rFonts w:ascii="宋体" w:hAnsi="宋体" w:cs="宋体" w:eastAsia="宋体" w:hint="default"/>
                <w:spacing w:val="-9"/>
                <w:sz w:val="18"/>
                <w:szCs w:val="18"/>
              </w:rPr>
              <w:t>全血中葡萄糖浓度；该</w:t>
            </w:r>
            <w:r>
              <w:rPr>
                <w:rFonts w:ascii="宋体" w:hAnsi="宋体" w:cs="宋体" w:eastAsia="宋体" w:hint="default"/>
                <w:sz w:val="18"/>
                <w:szCs w:val="18"/>
              </w:rPr>
              <w:t> 产品可以由专业人员、 熟练掌握该项操作的 患有糖尿病的非专业 人员或其家属在家中 或医疗单位进行血糖 </w:t>
            </w:r>
            <w:r>
              <w:rPr>
                <w:rFonts w:ascii="宋体" w:hAnsi="宋体" w:cs="宋体" w:eastAsia="宋体" w:hint="default"/>
                <w:spacing w:val="-9"/>
                <w:sz w:val="18"/>
                <w:szCs w:val="18"/>
              </w:rPr>
              <w:t>监测；该产品只用于监</w:t>
            </w:r>
            <w:r>
              <w:rPr>
                <w:rFonts w:ascii="宋体" w:hAnsi="宋体" w:cs="宋体" w:eastAsia="宋体" w:hint="default"/>
                <w:sz w:val="18"/>
                <w:szCs w:val="18"/>
              </w:rPr>
              <w:t> 测糖尿病人血糖控制 </w:t>
            </w:r>
            <w:r>
              <w:rPr>
                <w:rFonts w:ascii="宋体" w:hAnsi="宋体" w:cs="宋体" w:eastAsia="宋体" w:hint="default"/>
                <w:spacing w:val="-9"/>
                <w:sz w:val="18"/>
                <w:szCs w:val="18"/>
              </w:rPr>
              <w:t>的效果，而不能用于糖</w:t>
            </w:r>
            <w:r>
              <w:rPr>
                <w:rFonts w:ascii="宋体" w:hAnsi="宋体" w:cs="宋体" w:eastAsia="宋体" w:hint="default"/>
                <w:sz w:val="18"/>
                <w:szCs w:val="18"/>
              </w:rPr>
              <w:t> </w:t>
            </w:r>
            <w:r>
              <w:rPr>
                <w:rFonts w:ascii="宋体" w:hAnsi="宋体" w:cs="宋体" w:eastAsia="宋体" w:hint="default"/>
                <w:spacing w:val="-9"/>
                <w:sz w:val="18"/>
                <w:szCs w:val="18"/>
              </w:rPr>
              <w:t>尿病的诊断和筛查，也</w:t>
            </w:r>
            <w:r>
              <w:rPr>
                <w:rFonts w:ascii="宋体" w:hAnsi="宋体" w:cs="宋体" w:eastAsia="宋体" w:hint="default"/>
                <w:sz w:val="18"/>
                <w:szCs w:val="18"/>
              </w:rPr>
              <w:t> 不能作为治疗药物调 整的依据。</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40" w:lineRule="auto" w:before="64"/>
              <w:ind w:left="19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59"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56" w:right="167" w:hanging="90"/>
              <w:jc w:val="left"/>
              <w:rPr>
                <w:rFonts w:ascii="宋体" w:hAnsi="宋体" w:cs="宋体" w:eastAsia="宋体" w:hint="default"/>
                <w:sz w:val="18"/>
                <w:szCs w:val="18"/>
              </w:rPr>
            </w:pPr>
            <w:r>
              <w:rPr>
                <w:rFonts w:ascii="宋体" w:hAnsi="宋体" w:cs="宋体" w:eastAsia="宋体" w:hint="default"/>
                <w:sz w:val="18"/>
                <w:szCs w:val="18"/>
              </w:rPr>
              <w:t>体重脂肪 测量仪</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类</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6821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医</w:t>
            </w:r>
          </w:p>
          <w:p>
            <w:pPr>
              <w:pStyle w:val="TableParagraph"/>
              <w:spacing w:line="319" w:lineRule="auto" w:before="63"/>
              <w:ind w:left="383" w:right="114" w:hanging="270"/>
              <w:jc w:val="left"/>
              <w:rPr>
                <w:rFonts w:ascii="宋体" w:hAnsi="宋体" w:cs="宋体" w:eastAsia="宋体" w:hint="default"/>
                <w:sz w:val="18"/>
                <w:szCs w:val="18"/>
              </w:rPr>
            </w:pPr>
            <w:r>
              <w:rPr>
                <w:rFonts w:ascii="宋体" w:hAnsi="宋体" w:cs="宋体" w:eastAsia="宋体" w:hint="default"/>
                <w:sz w:val="18"/>
                <w:szCs w:val="18"/>
              </w:rPr>
              <w:t>用电子仪器 设备</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粤食药监械</w:t>
            </w:r>
          </w:p>
          <w:p>
            <w:pPr>
              <w:pStyle w:val="TableParagraph"/>
              <w:spacing w:line="240" w:lineRule="auto" w:before="76"/>
              <w:ind w:left="242" w:right="0"/>
              <w:jc w:val="left"/>
              <w:rPr>
                <w:rFonts w:ascii="宋体" w:hAnsi="宋体" w:cs="宋体" w:eastAsia="宋体" w:hint="default"/>
                <w:sz w:val="18"/>
                <w:szCs w:val="18"/>
              </w:rPr>
            </w:pPr>
            <w:r>
              <w:rPr>
                <w:rFonts w:ascii="宋体" w:hAnsi="宋体" w:cs="宋体" w:eastAsia="宋体" w:hint="default"/>
                <w:sz w:val="18"/>
                <w:szCs w:val="18"/>
              </w:rPr>
              <w:t>（准）字</w:t>
            </w:r>
          </w:p>
          <w:p>
            <w:pPr>
              <w:pStyle w:val="TableParagraph"/>
              <w:spacing w:line="240" w:lineRule="auto" w:before="77"/>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2210945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5"/>
              <w:ind w:left="103" w:right="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LS202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LS202-B</w:t>
            </w:r>
            <w:r>
              <w:rPr>
                <w:rFonts w:ascii="宋体" w:hAnsi="宋体" w:cs="宋体" w:eastAsia="宋体" w:hint="default"/>
                <w:spacing w:val="-4"/>
                <w:sz w:val="18"/>
                <w:szCs w:val="18"/>
              </w:rPr>
              <w:t>、</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LS203</w:t>
            </w:r>
            <w:r>
              <w:rPr>
                <w:rFonts w:ascii="宋体" w:hAnsi="宋体" w:cs="宋体" w:eastAsia="宋体" w:hint="default"/>
                <w:sz w:val="18"/>
                <w:szCs w:val="18"/>
              </w:rPr>
              <w:t>、</w:t>
            </w:r>
            <w:r>
              <w:rPr>
                <w:rFonts w:ascii="Times New Roman" w:hAnsi="Times New Roman" w:cs="Times New Roman" w:eastAsia="Times New Roman" w:hint="default"/>
                <w:sz w:val="18"/>
                <w:szCs w:val="18"/>
              </w:rPr>
              <w:t>V3 </w:t>
            </w:r>
            <w:r>
              <w:rPr>
                <w:rFonts w:ascii="宋体" w:hAnsi="宋体" w:cs="宋体" w:eastAsia="宋体" w:hint="default"/>
                <w:sz w:val="18"/>
                <w:szCs w:val="18"/>
              </w:rPr>
              <w:t>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p>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个产品型号</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21" w:hanging="82"/>
              <w:jc w:val="center"/>
              <w:rPr>
                <w:rFonts w:ascii="宋体" w:hAnsi="宋体" w:cs="宋体" w:eastAsia="宋体" w:hint="default"/>
                <w:sz w:val="18"/>
                <w:szCs w:val="18"/>
              </w:rPr>
            </w:pPr>
            <w:r>
              <w:rPr>
                <w:rFonts w:ascii="宋体" w:hAnsi="宋体" w:cs="宋体" w:eastAsia="宋体" w:hint="default"/>
                <w:spacing w:val="-9"/>
                <w:sz w:val="18"/>
                <w:szCs w:val="18"/>
              </w:rPr>
              <w:t>通过人体体重、身体阻</w:t>
            </w:r>
            <w:r>
              <w:rPr>
                <w:rFonts w:ascii="宋体" w:hAnsi="宋体" w:cs="宋体" w:eastAsia="宋体" w:hint="default"/>
                <w:sz w:val="18"/>
                <w:szCs w:val="18"/>
              </w:rPr>
              <w:t> </w:t>
            </w:r>
            <w:r>
              <w:rPr>
                <w:rFonts w:ascii="宋体" w:hAnsi="宋体" w:cs="宋体" w:eastAsia="宋体" w:hint="default"/>
                <w:spacing w:val="-9"/>
                <w:sz w:val="18"/>
                <w:szCs w:val="18"/>
              </w:rPr>
              <w:t>抗的测量，算出体脂肪</w:t>
            </w:r>
            <w:r>
              <w:rPr>
                <w:rFonts w:ascii="宋体" w:hAnsi="宋体" w:cs="宋体" w:eastAsia="宋体" w:hint="default"/>
                <w:sz w:val="18"/>
                <w:szCs w:val="18"/>
              </w:rPr>
              <w:t> 率和（或）体脂肪量， </w:t>
            </w:r>
            <w:r>
              <w:rPr>
                <w:rFonts w:ascii="宋体" w:hAnsi="宋体" w:cs="宋体" w:eastAsia="宋体" w:hint="default"/>
                <w:spacing w:val="-9"/>
                <w:sz w:val="18"/>
                <w:szCs w:val="18"/>
              </w:rPr>
              <w:t>并推出非脂肪量（骨质</w:t>
            </w:r>
            <w:r>
              <w:rPr>
                <w:rFonts w:ascii="宋体" w:hAnsi="宋体" w:cs="宋体" w:eastAsia="宋体" w:hint="default"/>
                <w:sz w:val="18"/>
                <w:szCs w:val="18"/>
              </w:rPr>
              <w:t> 量</w:t>
            </w:r>
            <w:r>
              <w:rPr>
                <w:rFonts w:ascii="Times New Roman" w:hAnsi="Times New Roman" w:cs="Times New Roman" w:eastAsia="Times New Roman" w:hint="default"/>
                <w:sz w:val="18"/>
                <w:szCs w:val="18"/>
              </w:rPr>
              <w:t>/</w:t>
            </w:r>
            <w:r>
              <w:rPr>
                <w:rFonts w:ascii="宋体" w:hAnsi="宋体" w:cs="宋体" w:eastAsia="宋体" w:hint="default"/>
                <w:sz w:val="18"/>
                <w:szCs w:val="18"/>
              </w:rPr>
              <w:t>肌肉含量</w:t>
            </w:r>
            <w:r>
              <w:rPr>
                <w:rFonts w:ascii="Times New Roman" w:hAnsi="Times New Roman" w:cs="Times New Roman" w:eastAsia="Times New Roman" w:hint="default"/>
                <w:sz w:val="18"/>
                <w:szCs w:val="18"/>
              </w:rPr>
              <w:t>/</w:t>
            </w:r>
            <w:r>
              <w:rPr>
                <w:rFonts w:ascii="宋体" w:hAnsi="宋体" w:cs="宋体" w:eastAsia="宋体" w:hint="default"/>
                <w:sz w:val="18"/>
                <w:szCs w:val="18"/>
              </w:rPr>
              <w:t>体水含 量）。</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p>
          <w:p>
            <w:pPr>
              <w:pStyle w:val="TableParagraph"/>
              <w:spacing w:line="240" w:lineRule="auto" w:before="64"/>
              <w:ind w:left="24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5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56" w:right="167" w:hanging="90"/>
              <w:jc w:val="left"/>
              <w:rPr>
                <w:rFonts w:ascii="宋体" w:hAnsi="宋体" w:cs="宋体" w:eastAsia="宋体" w:hint="default"/>
                <w:sz w:val="18"/>
                <w:szCs w:val="18"/>
              </w:rPr>
            </w:pPr>
            <w:r>
              <w:rPr>
                <w:rFonts w:ascii="宋体" w:hAnsi="宋体" w:cs="宋体" w:eastAsia="宋体" w:hint="default"/>
                <w:sz w:val="18"/>
                <w:szCs w:val="18"/>
              </w:rPr>
              <w:t>体重脂肪 测量仪</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类</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6821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医</w:t>
            </w:r>
          </w:p>
          <w:p>
            <w:pPr>
              <w:pStyle w:val="TableParagraph"/>
              <w:spacing w:line="319" w:lineRule="auto" w:before="63"/>
              <w:ind w:left="383" w:right="114" w:hanging="270"/>
              <w:jc w:val="left"/>
              <w:rPr>
                <w:rFonts w:ascii="宋体" w:hAnsi="宋体" w:cs="宋体" w:eastAsia="宋体" w:hint="default"/>
                <w:sz w:val="18"/>
                <w:szCs w:val="18"/>
              </w:rPr>
            </w:pPr>
            <w:r>
              <w:rPr>
                <w:rFonts w:ascii="宋体" w:hAnsi="宋体" w:cs="宋体" w:eastAsia="宋体" w:hint="default"/>
                <w:sz w:val="18"/>
                <w:szCs w:val="18"/>
              </w:rPr>
              <w:t>用电子仪器 设备</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粤械注准</w:t>
            </w:r>
          </w:p>
          <w:p>
            <w:pPr>
              <w:pStyle w:val="TableParagraph"/>
              <w:spacing w:line="240" w:lineRule="auto" w:before="117"/>
              <w:ind w:right="3"/>
              <w:jc w:val="center"/>
              <w:rPr>
                <w:rFonts w:ascii="Times New Roman" w:hAnsi="Times New Roman" w:cs="Times New Roman" w:eastAsia="Times New Roman" w:hint="default"/>
                <w:sz w:val="18"/>
                <w:szCs w:val="18"/>
              </w:rPr>
            </w:pPr>
            <w:r>
              <w:rPr>
                <w:rFonts w:ascii="Times New Roman"/>
                <w:sz w:val="18"/>
              </w:rPr>
              <w:t>20152210096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362" w:right="360"/>
              <w:jc w:val="center"/>
              <w:rPr>
                <w:rFonts w:ascii="宋体" w:hAnsi="宋体" w:cs="宋体" w:eastAsia="宋体" w:hint="default"/>
                <w:sz w:val="18"/>
                <w:szCs w:val="18"/>
              </w:rPr>
            </w:pPr>
            <w:r>
              <w:rPr>
                <w:rFonts w:ascii="Times New Roman" w:hAnsi="Times New Roman" w:cs="Times New Roman" w:eastAsia="Times New Roman" w:hint="default"/>
                <w:sz w:val="18"/>
                <w:szCs w:val="18"/>
              </w:rPr>
              <w:t>LS206-B</w:t>
            </w:r>
            <w:r>
              <w:rPr>
                <w:rFonts w:ascii="宋体" w:hAnsi="宋体" w:cs="宋体" w:eastAsia="宋体" w:hint="default"/>
                <w:sz w:val="18"/>
                <w:szCs w:val="18"/>
              </w:rPr>
              <w:t>、</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LS207-B</w:t>
            </w:r>
            <w:r>
              <w:rPr>
                <w:rFonts w:ascii="宋体" w:hAnsi="宋体" w:cs="宋体" w:eastAsia="宋体" w:hint="default"/>
                <w:sz w:val="18"/>
                <w:szCs w:val="18"/>
              </w:rPr>
              <w:t>、</w:t>
            </w:r>
          </w:p>
          <w:p>
            <w:pPr>
              <w:pStyle w:val="TableParagraph"/>
              <w:spacing w:line="240" w:lineRule="auto" w:before="1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LS208-B</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等</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个产</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品型号</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 w:hanging="82"/>
              <w:jc w:val="center"/>
              <w:rPr>
                <w:rFonts w:ascii="宋体" w:hAnsi="宋体" w:cs="宋体" w:eastAsia="宋体" w:hint="default"/>
                <w:sz w:val="18"/>
                <w:szCs w:val="18"/>
              </w:rPr>
            </w:pPr>
            <w:r>
              <w:rPr>
                <w:rFonts w:ascii="宋体" w:hAnsi="宋体" w:cs="宋体" w:eastAsia="宋体" w:hint="default"/>
                <w:spacing w:val="-9"/>
                <w:sz w:val="18"/>
                <w:szCs w:val="18"/>
              </w:rPr>
              <w:t>通过人体体重、身体阻</w:t>
            </w:r>
            <w:r>
              <w:rPr>
                <w:rFonts w:ascii="宋体" w:hAnsi="宋体" w:cs="宋体" w:eastAsia="宋体" w:hint="default"/>
                <w:sz w:val="18"/>
                <w:szCs w:val="18"/>
              </w:rPr>
              <w:t> </w:t>
            </w:r>
            <w:r>
              <w:rPr>
                <w:rFonts w:ascii="宋体" w:hAnsi="宋体" w:cs="宋体" w:eastAsia="宋体" w:hint="default"/>
                <w:spacing w:val="-9"/>
                <w:sz w:val="18"/>
                <w:szCs w:val="18"/>
              </w:rPr>
              <w:t>抗的测量，估算体脂肪</w:t>
            </w:r>
            <w:r>
              <w:rPr>
                <w:rFonts w:ascii="宋体" w:hAnsi="宋体" w:cs="宋体" w:eastAsia="宋体" w:hint="default"/>
                <w:sz w:val="18"/>
                <w:szCs w:val="18"/>
              </w:rPr>
              <w:t> 率和（或）体脂肪量、 </w:t>
            </w:r>
            <w:r>
              <w:rPr>
                <w:rFonts w:ascii="宋体" w:hAnsi="宋体" w:cs="宋体" w:eastAsia="宋体" w:hint="default"/>
                <w:spacing w:val="-9"/>
                <w:sz w:val="18"/>
                <w:szCs w:val="18"/>
              </w:rPr>
              <w:t>骨量、肌肉量、体水分</w:t>
            </w:r>
            <w:r>
              <w:rPr>
                <w:rFonts w:ascii="宋体" w:hAnsi="宋体" w:cs="宋体" w:eastAsia="宋体" w:hint="default"/>
                <w:sz w:val="18"/>
                <w:szCs w:val="18"/>
              </w:rPr>
              <w:t> 量</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p>
            <w:pPr>
              <w:pStyle w:val="TableParagraph"/>
              <w:spacing w:line="240" w:lineRule="auto" w:before="64"/>
              <w:ind w:left="2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73" w:right="173"/>
              <w:jc w:val="left"/>
              <w:rPr>
                <w:rFonts w:ascii="宋体" w:hAnsi="宋体" w:cs="宋体" w:eastAsia="宋体" w:hint="default"/>
                <w:sz w:val="18"/>
                <w:szCs w:val="18"/>
              </w:rPr>
            </w:pPr>
            <w:r>
              <w:rPr>
                <w:rFonts w:ascii="宋体" w:hAnsi="宋体" w:cs="宋体" w:eastAsia="宋体" w:hint="default"/>
                <w:sz w:val="18"/>
                <w:szCs w:val="18"/>
              </w:rPr>
              <w:t>报告期内新 增产品型号</w:t>
            </w:r>
          </w:p>
        </w:tc>
      </w:tr>
      <w:tr>
        <w:trPr>
          <w:trHeight w:val="1026" w:hRule="exact"/>
        </w:trPr>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56" w:right="167" w:hanging="90"/>
              <w:jc w:val="left"/>
              <w:rPr>
                <w:rFonts w:ascii="宋体" w:hAnsi="宋体" w:cs="宋体" w:eastAsia="宋体" w:hint="default"/>
                <w:sz w:val="18"/>
                <w:szCs w:val="18"/>
              </w:rPr>
            </w:pPr>
            <w:r>
              <w:rPr>
                <w:rFonts w:ascii="宋体" w:hAnsi="宋体" w:cs="宋体" w:eastAsia="宋体" w:hint="default"/>
                <w:sz w:val="18"/>
                <w:szCs w:val="18"/>
              </w:rPr>
              <w:t>动态心电 记录仪</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类</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6821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医</w:t>
            </w:r>
          </w:p>
          <w:p>
            <w:pPr>
              <w:pStyle w:val="TableParagraph"/>
              <w:spacing w:line="319" w:lineRule="auto" w:before="63"/>
              <w:ind w:left="383" w:right="114" w:hanging="270"/>
              <w:jc w:val="left"/>
              <w:rPr>
                <w:rFonts w:ascii="宋体" w:hAnsi="宋体" w:cs="宋体" w:eastAsia="宋体" w:hint="default"/>
                <w:sz w:val="18"/>
                <w:szCs w:val="18"/>
              </w:rPr>
            </w:pPr>
            <w:r>
              <w:rPr>
                <w:rFonts w:ascii="宋体" w:hAnsi="宋体" w:cs="宋体" w:eastAsia="宋体" w:hint="default"/>
                <w:sz w:val="18"/>
                <w:szCs w:val="18"/>
              </w:rPr>
              <w:t>用电子仪器 设备</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粤械注准</w:t>
            </w:r>
          </w:p>
          <w:p>
            <w:pPr>
              <w:pStyle w:val="TableParagraph"/>
              <w:spacing w:line="240" w:lineRule="auto" w:before="117"/>
              <w:ind w:right="3"/>
              <w:jc w:val="center"/>
              <w:rPr>
                <w:rFonts w:ascii="Times New Roman" w:hAnsi="Times New Roman" w:cs="Times New Roman" w:eastAsia="Times New Roman" w:hint="default"/>
                <w:sz w:val="18"/>
                <w:szCs w:val="18"/>
              </w:rPr>
            </w:pPr>
            <w:r>
              <w:rPr>
                <w:rFonts w:ascii="Times New Roman"/>
                <w:sz w:val="18"/>
              </w:rPr>
              <w:t>20152210376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e3</w:t>
            </w:r>
            <w:r>
              <w:rPr>
                <w:rFonts w:ascii="宋体" w:hAnsi="宋体" w:cs="宋体" w:eastAsia="宋体" w:hint="default"/>
                <w:sz w:val="18"/>
                <w:szCs w:val="18"/>
              </w:rPr>
              <w:t>、</w:t>
            </w:r>
            <w:r>
              <w:rPr>
                <w:rFonts w:ascii="Times New Roman" w:hAnsi="Times New Roman" w:cs="Times New Roman" w:eastAsia="Times New Roman" w:hint="default"/>
                <w:sz w:val="18"/>
                <w:szCs w:val="18"/>
              </w:rPr>
              <w:t>e12</w:t>
            </w:r>
            <w:r>
              <w:rPr>
                <w:rFonts w:ascii="宋体" w:hAnsi="宋体" w:cs="宋体" w:eastAsia="宋体" w:hint="default"/>
                <w:sz w:val="18"/>
                <w:szCs w:val="18"/>
              </w:rPr>
              <w:t>、</w:t>
            </w:r>
            <w:r>
              <w:rPr>
                <w:rFonts w:ascii="Times New Roman" w:hAnsi="Times New Roman" w:cs="Times New Roman" w:eastAsia="Times New Roman" w:hint="default"/>
                <w:sz w:val="18"/>
                <w:szCs w:val="18"/>
              </w:rPr>
              <w:t>e3</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plus</w:t>
            </w:r>
          </w:p>
          <w:p>
            <w:pPr>
              <w:pStyle w:val="TableParagraph"/>
              <w:spacing w:line="240" w:lineRule="auto" w:before="64"/>
              <w:ind w:left="152" w:right="0"/>
              <w:jc w:val="left"/>
              <w:rPr>
                <w:rFonts w:ascii="宋体" w:hAnsi="宋体" w:cs="宋体" w:eastAsia="宋体" w:hint="default"/>
                <w:sz w:val="18"/>
                <w:szCs w:val="18"/>
              </w:rPr>
            </w:pPr>
            <w:r>
              <w:rPr>
                <w:rFonts w:ascii="宋体" w:hAnsi="宋体" w:cs="宋体" w:eastAsia="宋体" w:hint="default"/>
                <w:sz w:val="18"/>
                <w:szCs w:val="18"/>
              </w:rPr>
              <w:t>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个产品型号</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872" w:right="153" w:hanging="720"/>
              <w:jc w:val="left"/>
              <w:rPr>
                <w:rFonts w:ascii="宋体" w:hAnsi="宋体" w:cs="宋体" w:eastAsia="宋体" w:hint="default"/>
                <w:sz w:val="18"/>
                <w:szCs w:val="18"/>
              </w:rPr>
            </w:pPr>
            <w:r>
              <w:rPr>
                <w:rFonts w:ascii="宋体" w:hAnsi="宋体" w:cs="宋体" w:eastAsia="宋体" w:hint="default"/>
                <w:sz w:val="18"/>
                <w:szCs w:val="18"/>
              </w:rPr>
              <w:t>供人体动态心电记录 用</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p>
            <w:pPr>
              <w:pStyle w:val="TableParagraph"/>
              <w:spacing w:line="240" w:lineRule="auto" w:before="64"/>
              <w:ind w:left="24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346" w:right="167" w:hanging="180"/>
              <w:jc w:val="left"/>
              <w:rPr>
                <w:rFonts w:ascii="宋体" w:hAnsi="宋体" w:cs="宋体" w:eastAsia="宋体" w:hint="default"/>
                <w:sz w:val="18"/>
                <w:szCs w:val="18"/>
              </w:rPr>
            </w:pPr>
            <w:r>
              <w:rPr>
                <w:rFonts w:ascii="宋体" w:hAnsi="宋体" w:cs="宋体" w:eastAsia="宋体" w:hint="default"/>
                <w:sz w:val="18"/>
                <w:szCs w:val="18"/>
              </w:rPr>
              <w:t>多参数监 护仪</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类</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6821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医</w:t>
            </w:r>
          </w:p>
          <w:p>
            <w:pPr>
              <w:pStyle w:val="TableParagraph"/>
              <w:spacing w:line="319" w:lineRule="auto" w:before="63"/>
              <w:ind w:left="383" w:right="114" w:hanging="270"/>
              <w:jc w:val="left"/>
              <w:rPr>
                <w:rFonts w:ascii="宋体" w:hAnsi="宋体" w:cs="宋体" w:eastAsia="宋体" w:hint="default"/>
                <w:sz w:val="18"/>
                <w:szCs w:val="18"/>
              </w:rPr>
            </w:pPr>
            <w:r>
              <w:rPr>
                <w:rFonts w:ascii="宋体" w:hAnsi="宋体" w:cs="宋体" w:eastAsia="宋体" w:hint="default"/>
                <w:sz w:val="18"/>
                <w:szCs w:val="18"/>
              </w:rPr>
              <w:t>用电子仪器 设备</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粤械注准</w:t>
            </w:r>
          </w:p>
          <w:p>
            <w:pPr>
              <w:pStyle w:val="TableParagraph"/>
              <w:spacing w:line="240" w:lineRule="auto" w:before="117"/>
              <w:ind w:right="3"/>
              <w:jc w:val="center"/>
              <w:rPr>
                <w:rFonts w:ascii="Times New Roman" w:hAnsi="Times New Roman" w:cs="Times New Roman" w:eastAsia="Times New Roman" w:hint="default"/>
                <w:sz w:val="18"/>
                <w:szCs w:val="18"/>
              </w:rPr>
            </w:pPr>
            <w:r>
              <w:rPr>
                <w:rFonts w:ascii="Times New Roman"/>
                <w:sz w:val="18"/>
              </w:rPr>
              <w:t>20162210242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i7000</w:t>
            </w:r>
            <w:r>
              <w:rPr>
                <w:rFonts w:ascii="宋体" w:hAnsi="宋体" w:cs="宋体" w:eastAsia="宋体" w:hint="default"/>
                <w:sz w:val="18"/>
                <w:szCs w:val="18"/>
              </w:rPr>
              <w:t>、</w:t>
            </w:r>
            <w:r>
              <w:rPr>
                <w:rFonts w:ascii="Times New Roman" w:hAnsi="Times New Roman" w:cs="Times New Roman" w:eastAsia="Times New Roman" w:hint="default"/>
                <w:sz w:val="18"/>
                <w:szCs w:val="18"/>
              </w:rPr>
              <w:t>i8000 </w:t>
            </w:r>
            <w:r>
              <w:rPr>
                <w:rFonts w:ascii="宋体" w:hAnsi="宋体" w:cs="宋体" w:eastAsia="宋体" w:hint="default"/>
                <w:sz w:val="18"/>
                <w:szCs w:val="18"/>
              </w:rPr>
              <w:t>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个产品型号</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2"/>
              <w:jc w:val="center"/>
              <w:rPr>
                <w:rFonts w:ascii="宋体" w:hAnsi="宋体" w:cs="宋体" w:eastAsia="宋体" w:hint="default"/>
                <w:sz w:val="18"/>
                <w:szCs w:val="18"/>
              </w:rPr>
            </w:pPr>
            <w:r>
              <w:rPr>
                <w:rFonts w:ascii="宋体" w:hAnsi="宋体" w:cs="宋体" w:eastAsia="宋体" w:hint="default"/>
                <w:spacing w:val="-9"/>
                <w:sz w:val="18"/>
                <w:szCs w:val="18"/>
              </w:rPr>
              <w:t>供患者的心电、无创血</w:t>
            </w:r>
            <w:r>
              <w:rPr>
                <w:rFonts w:ascii="宋体" w:hAnsi="宋体" w:cs="宋体" w:eastAsia="宋体" w:hint="default"/>
                <w:sz w:val="18"/>
                <w:szCs w:val="18"/>
              </w:rPr>
              <w:t> </w:t>
            </w:r>
            <w:r>
              <w:rPr>
                <w:rFonts w:ascii="宋体" w:hAnsi="宋体" w:cs="宋体" w:eastAsia="宋体" w:hint="default"/>
                <w:spacing w:val="-9"/>
                <w:sz w:val="18"/>
                <w:szCs w:val="18"/>
              </w:rPr>
              <w:t>压、体温、呼吸指数监</w:t>
            </w:r>
            <w:r>
              <w:rPr>
                <w:rFonts w:ascii="宋体" w:hAnsi="宋体" w:cs="宋体" w:eastAsia="宋体" w:hint="default"/>
                <w:sz w:val="18"/>
                <w:szCs w:val="18"/>
              </w:rPr>
              <w:t> 测用</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p>
            <w:pPr>
              <w:pStyle w:val="TableParagraph"/>
              <w:spacing w:line="240" w:lineRule="auto" w:before="64"/>
              <w:ind w:left="24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5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66" w:right="167"/>
              <w:jc w:val="center"/>
              <w:rPr>
                <w:rFonts w:ascii="宋体" w:hAnsi="宋体" w:cs="宋体" w:eastAsia="宋体" w:hint="default"/>
                <w:sz w:val="18"/>
                <w:szCs w:val="18"/>
              </w:rPr>
            </w:pPr>
            <w:r>
              <w:rPr>
                <w:rFonts w:ascii="宋体" w:hAnsi="宋体" w:cs="宋体" w:eastAsia="宋体" w:hint="default"/>
                <w:sz w:val="18"/>
                <w:szCs w:val="18"/>
              </w:rPr>
              <w:t>心电信息 网络管理 系统</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类</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6870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软</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件</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粤械注准</w:t>
            </w:r>
          </w:p>
          <w:p>
            <w:pPr>
              <w:pStyle w:val="TableParagraph"/>
              <w:spacing w:line="240" w:lineRule="auto" w:before="117"/>
              <w:ind w:right="3"/>
              <w:jc w:val="center"/>
              <w:rPr>
                <w:rFonts w:ascii="Times New Roman" w:hAnsi="Times New Roman" w:cs="Times New Roman" w:eastAsia="Times New Roman" w:hint="default"/>
                <w:sz w:val="18"/>
                <w:szCs w:val="18"/>
              </w:rPr>
            </w:pPr>
            <w:r>
              <w:rPr>
                <w:rFonts w:ascii="Times New Roman"/>
                <w:sz w:val="18"/>
              </w:rPr>
              <w:t>20162700983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might-net</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 w:hanging="81"/>
              <w:jc w:val="center"/>
              <w:rPr>
                <w:rFonts w:ascii="宋体" w:hAnsi="宋体" w:cs="宋体" w:eastAsia="宋体" w:hint="default"/>
                <w:sz w:val="18"/>
                <w:szCs w:val="18"/>
              </w:rPr>
            </w:pPr>
            <w:r>
              <w:rPr>
                <w:rFonts w:ascii="宋体" w:hAnsi="宋体" w:cs="宋体" w:eastAsia="宋体" w:hint="default"/>
                <w:spacing w:val="-9"/>
                <w:sz w:val="18"/>
                <w:szCs w:val="18"/>
              </w:rPr>
              <w:t>用于静态心电图、动态</w:t>
            </w:r>
            <w:r>
              <w:rPr>
                <w:rFonts w:ascii="宋体" w:hAnsi="宋体" w:cs="宋体" w:eastAsia="宋体" w:hint="default"/>
                <w:sz w:val="18"/>
                <w:szCs w:val="18"/>
              </w:rPr>
              <w:t> </w:t>
            </w:r>
            <w:r>
              <w:rPr>
                <w:rFonts w:ascii="宋体" w:hAnsi="宋体" w:cs="宋体" w:eastAsia="宋体" w:hint="default"/>
                <w:spacing w:val="-9"/>
                <w:sz w:val="18"/>
                <w:szCs w:val="18"/>
              </w:rPr>
              <w:t>心电图数据的接收、查</w:t>
            </w:r>
            <w:r>
              <w:rPr>
                <w:rFonts w:ascii="宋体" w:hAnsi="宋体" w:cs="宋体" w:eastAsia="宋体" w:hint="default"/>
                <w:sz w:val="18"/>
                <w:szCs w:val="18"/>
              </w:rPr>
              <w:t> 看和编辑，报告打印， </w:t>
            </w:r>
            <w:r>
              <w:rPr>
                <w:rFonts w:ascii="宋体" w:hAnsi="宋体" w:cs="宋体" w:eastAsia="宋体" w:hint="default"/>
                <w:spacing w:val="-9"/>
                <w:sz w:val="18"/>
                <w:szCs w:val="18"/>
              </w:rPr>
              <w:t>统计数据功能，不包括</w:t>
            </w:r>
            <w:r>
              <w:rPr>
                <w:rFonts w:ascii="宋体" w:hAnsi="宋体" w:cs="宋体" w:eastAsia="宋体" w:hint="default"/>
                <w:sz w:val="18"/>
                <w:szCs w:val="18"/>
              </w:rPr>
              <w:t> 自动诊断部分。</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p>
          <w:p>
            <w:pPr>
              <w:pStyle w:val="TableParagraph"/>
              <w:spacing w:line="240" w:lineRule="auto" w:before="64"/>
              <w:ind w:left="19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51" w:type="dxa"/>
        <w:tblLayout w:type="fixed"/>
        <w:tblCellMar>
          <w:top w:w="0" w:type="dxa"/>
          <w:left w:w="0" w:type="dxa"/>
          <w:bottom w:w="0" w:type="dxa"/>
          <w:right w:w="0" w:type="dxa"/>
        </w:tblCellMar>
        <w:tblLook w:val="01E0"/>
      </w:tblPr>
      <w:tblGrid>
        <w:gridCol w:w="570"/>
        <w:gridCol w:w="1066"/>
        <w:gridCol w:w="1140"/>
        <w:gridCol w:w="1217"/>
        <w:gridCol w:w="1574"/>
        <w:gridCol w:w="1936"/>
        <w:gridCol w:w="1034"/>
        <w:gridCol w:w="1259"/>
      </w:tblGrid>
      <w:tr>
        <w:trPr>
          <w:trHeight w:val="1338" w:hRule="exact"/>
        </w:trPr>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8"/>
              <w:jc w:val="right"/>
              <w:rPr>
                <w:rFonts w:ascii="Times New Roman" w:hAnsi="Times New Roman" w:cs="Times New Roman" w:eastAsia="Times New Roman" w:hint="default"/>
                <w:sz w:val="18"/>
                <w:szCs w:val="18"/>
              </w:rPr>
            </w:pPr>
            <w:r>
              <w:rPr>
                <w:rFonts w:ascii="Times New Roman"/>
                <w:sz w:val="18"/>
              </w:rPr>
              <w:t>10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436" w:right="167" w:hanging="270"/>
              <w:jc w:val="left"/>
              <w:rPr>
                <w:rFonts w:ascii="宋体" w:hAnsi="宋体" w:cs="宋体" w:eastAsia="宋体" w:hint="default"/>
                <w:sz w:val="18"/>
                <w:szCs w:val="18"/>
              </w:rPr>
            </w:pPr>
            <w:r>
              <w:rPr>
                <w:rFonts w:ascii="宋体" w:hAnsi="宋体" w:cs="宋体" w:eastAsia="宋体" w:hint="default"/>
                <w:sz w:val="18"/>
                <w:szCs w:val="18"/>
              </w:rPr>
              <w:t>心电工作 站</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类</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6821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医</w:t>
            </w:r>
          </w:p>
          <w:p>
            <w:pPr>
              <w:pStyle w:val="TableParagraph"/>
              <w:spacing w:line="319" w:lineRule="auto" w:before="63"/>
              <w:ind w:left="383" w:right="114" w:hanging="270"/>
              <w:jc w:val="left"/>
              <w:rPr>
                <w:rFonts w:ascii="宋体" w:hAnsi="宋体" w:cs="宋体" w:eastAsia="宋体" w:hint="default"/>
                <w:sz w:val="18"/>
                <w:szCs w:val="18"/>
              </w:rPr>
            </w:pPr>
            <w:r>
              <w:rPr>
                <w:rFonts w:ascii="宋体" w:hAnsi="宋体" w:cs="宋体" w:eastAsia="宋体" w:hint="default"/>
                <w:sz w:val="18"/>
                <w:szCs w:val="18"/>
              </w:rPr>
              <w:t>用电子仪器 设备</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粤械注准</w:t>
            </w:r>
          </w:p>
          <w:p>
            <w:pPr>
              <w:pStyle w:val="TableParagraph"/>
              <w:spacing w:line="240" w:lineRule="auto" w:before="117"/>
              <w:ind w:right="3"/>
              <w:jc w:val="center"/>
              <w:rPr>
                <w:rFonts w:ascii="Times New Roman" w:hAnsi="Times New Roman" w:cs="Times New Roman" w:eastAsia="Times New Roman" w:hint="default"/>
                <w:sz w:val="18"/>
                <w:szCs w:val="18"/>
              </w:rPr>
            </w:pPr>
            <w:r>
              <w:rPr>
                <w:rFonts w:ascii="Times New Roman"/>
                <w:sz w:val="18"/>
              </w:rPr>
              <w:t>20172211166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40" w:lineRule="auto" w:before="156"/>
              <w:ind w:left="332" w:right="240" w:hanging="9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ePCECG-12</w:t>
            </w:r>
            <w:r>
              <w:rPr>
                <w:rFonts w:ascii="宋体" w:hAnsi="宋体" w:cs="宋体" w:eastAsia="宋体" w:hint="default"/>
                <w:sz w:val="18"/>
                <w:szCs w:val="18"/>
              </w:rPr>
              <w:t>、</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ePCECG-18</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2" w:hanging="1"/>
              <w:jc w:val="center"/>
              <w:rPr>
                <w:rFonts w:ascii="宋体" w:hAnsi="宋体" w:cs="宋体" w:eastAsia="宋体" w:hint="default"/>
                <w:sz w:val="18"/>
                <w:szCs w:val="18"/>
              </w:rPr>
            </w:pPr>
            <w:r>
              <w:rPr>
                <w:rFonts w:ascii="宋体" w:hAnsi="宋体" w:cs="宋体" w:eastAsia="宋体" w:hint="default"/>
                <w:sz w:val="18"/>
                <w:szCs w:val="18"/>
              </w:rPr>
              <w:t>用于医疗机构提取人 体的十二导联或十八 </w:t>
            </w:r>
            <w:r>
              <w:rPr>
                <w:rFonts w:ascii="宋体" w:hAnsi="宋体" w:cs="宋体" w:eastAsia="宋体" w:hint="default"/>
                <w:spacing w:val="-9"/>
                <w:sz w:val="18"/>
                <w:szCs w:val="18"/>
              </w:rPr>
              <w:t>导联心电波群，供临床</w:t>
            </w:r>
            <w:r>
              <w:rPr>
                <w:rFonts w:ascii="宋体" w:hAnsi="宋体" w:cs="宋体" w:eastAsia="宋体" w:hint="default"/>
                <w:sz w:val="18"/>
                <w:szCs w:val="18"/>
              </w:rPr>
              <w:t> 诊断和研究。</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5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p>
          <w:p>
            <w:pPr>
              <w:pStyle w:val="TableParagraph"/>
              <w:spacing w:line="240" w:lineRule="auto" w:before="64"/>
              <w:ind w:left="24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66" w:right="167"/>
              <w:jc w:val="center"/>
              <w:rPr>
                <w:rFonts w:ascii="宋体" w:hAnsi="宋体" w:cs="宋体" w:eastAsia="宋体" w:hint="default"/>
                <w:sz w:val="18"/>
                <w:szCs w:val="18"/>
              </w:rPr>
            </w:pPr>
            <w:r>
              <w:rPr>
                <w:rFonts w:ascii="宋体" w:hAnsi="宋体" w:cs="宋体" w:eastAsia="宋体" w:hint="default"/>
                <w:sz w:val="18"/>
                <w:szCs w:val="18"/>
              </w:rPr>
              <w:t>数字式多 道心电图 机</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类</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6821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医</w:t>
            </w:r>
          </w:p>
          <w:p>
            <w:pPr>
              <w:pStyle w:val="TableParagraph"/>
              <w:spacing w:line="319" w:lineRule="auto" w:before="63"/>
              <w:ind w:left="383" w:right="114" w:hanging="270"/>
              <w:jc w:val="left"/>
              <w:rPr>
                <w:rFonts w:ascii="宋体" w:hAnsi="宋体" w:cs="宋体" w:eastAsia="宋体" w:hint="default"/>
                <w:sz w:val="18"/>
                <w:szCs w:val="18"/>
              </w:rPr>
            </w:pPr>
            <w:r>
              <w:rPr>
                <w:rFonts w:ascii="宋体" w:hAnsi="宋体" w:cs="宋体" w:eastAsia="宋体" w:hint="default"/>
                <w:sz w:val="18"/>
                <w:szCs w:val="18"/>
              </w:rPr>
              <w:t>用电子仪器 设备</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粤械注准</w:t>
            </w:r>
          </w:p>
          <w:p>
            <w:pPr>
              <w:pStyle w:val="TableParagraph"/>
              <w:spacing w:line="240" w:lineRule="auto" w:before="117"/>
              <w:ind w:right="3"/>
              <w:jc w:val="center"/>
              <w:rPr>
                <w:rFonts w:ascii="Times New Roman" w:hAnsi="Times New Roman" w:cs="Times New Roman" w:eastAsia="Times New Roman" w:hint="default"/>
                <w:sz w:val="18"/>
                <w:szCs w:val="18"/>
              </w:rPr>
            </w:pPr>
            <w:r>
              <w:rPr>
                <w:rFonts w:ascii="Times New Roman"/>
                <w:sz w:val="18"/>
              </w:rPr>
              <w:t>20172211217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5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e1200</w:t>
            </w:r>
            <w:r>
              <w:rPr>
                <w:rFonts w:ascii="宋体" w:hAnsi="宋体" w:cs="宋体" w:eastAsia="宋体" w:hint="default"/>
                <w:sz w:val="18"/>
                <w:szCs w:val="18"/>
              </w:rPr>
              <w:t>、</w:t>
            </w:r>
            <w:r>
              <w:rPr>
                <w:rFonts w:ascii="Times New Roman" w:hAnsi="Times New Roman" w:cs="Times New Roman" w:eastAsia="Times New Roman" w:hint="default"/>
                <w:sz w:val="18"/>
                <w:szCs w:val="18"/>
              </w:rPr>
              <w:t>e1200</w:t>
            </w:r>
          </w:p>
          <w:p>
            <w:pPr>
              <w:pStyle w:val="TableParagraph"/>
              <w:spacing w:line="340" w:lineRule="auto" w:before="63"/>
              <w:ind w:left="390" w:right="230" w:hanging="15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plus</w:t>
            </w:r>
            <w:r>
              <w:rPr>
                <w:rFonts w:ascii="宋体" w:hAnsi="宋体" w:cs="宋体" w:eastAsia="宋体" w:hint="default"/>
                <w:sz w:val="18"/>
                <w:szCs w:val="18"/>
              </w:rPr>
              <w:t>、</w:t>
            </w:r>
            <w:r>
              <w:rPr>
                <w:rFonts w:ascii="Times New Roman" w:hAnsi="Times New Roman" w:cs="Times New Roman" w:eastAsia="Times New Roman" w:hint="default"/>
                <w:sz w:val="18"/>
                <w:szCs w:val="18"/>
              </w:rPr>
              <w:t>e1800</w:t>
            </w:r>
            <w:r>
              <w:rPr>
                <w:rFonts w:ascii="宋体" w:hAnsi="宋体" w:cs="宋体" w:eastAsia="宋体" w:hint="default"/>
                <w:sz w:val="18"/>
                <w:szCs w:val="18"/>
              </w:rPr>
              <w:t>、</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e1800</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plus</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hanging="2"/>
              <w:jc w:val="center"/>
              <w:rPr>
                <w:rFonts w:ascii="宋体" w:hAnsi="宋体" w:cs="宋体" w:eastAsia="宋体" w:hint="default"/>
                <w:sz w:val="18"/>
                <w:szCs w:val="18"/>
              </w:rPr>
            </w:pPr>
            <w:r>
              <w:rPr>
                <w:rFonts w:ascii="宋体" w:hAnsi="宋体" w:cs="宋体" w:eastAsia="宋体" w:hint="default"/>
                <w:sz w:val="18"/>
                <w:szCs w:val="18"/>
              </w:rPr>
              <w:t>供医疗机构用于提取 人体的十二导联或十 </w:t>
            </w:r>
            <w:r>
              <w:rPr>
                <w:rFonts w:ascii="宋体" w:hAnsi="宋体" w:cs="宋体" w:eastAsia="宋体" w:hint="default"/>
                <w:spacing w:val="-9"/>
                <w:sz w:val="18"/>
                <w:szCs w:val="18"/>
              </w:rPr>
              <w:t>八导联心电波群，供临</w:t>
            </w:r>
            <w:r>
              <w:rPr>
                <w:rFonts w:ascii="宋体" w:hAnsi="宋体" w:cs="宋体" w:eastAsia="宋体" w:hint="default"/>
                <w:sz w:val="18"/>
                <w:szCs w:val="18"/>
              </w:rPr>
              <w:t> 床诊断和研究。</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5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p>
          <w:p>
            <w:pPr>
              <w:pStyle w:val="TableParagraph"/>
              <w:spacing w:line="240" w:lineRule="auto" w:before="64"/>
              <w:ind w:left="19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Times New Roman" w:hAnsi="Times New Roman" w:cs="Times New Roman" w:eastAsia="Times New Roman" w:hint="default"/>
          <w:sz w:val="24"/>
          <w:szCs w:val="24"/>
        </w:rPr>
      </w:pPr>
    </w:p>
    <w:p>
      <w:pPr>
        <w:pStyle w:val="BodyText"/>
        <w:spacing w:line="240" w:lineRule="auto" w:before="44"/>
        <w:ind w:left="1133" w:right="1015"/>
        <w:jc w:val="left"/>
      </w:pPr>
      <w:r>
        <w:rPr>
          <w:rFonts w:ascii="宋体" w:hAnsi="宋体" w:cs="宋体" w:eastAsia="宋体" w:hint="default"/>
        </w:rPr>
        <w:t>3</w:t>
      </w:r>
      <w:r>
        <w:rPr/>
        <w:t>、报告期内，已获得</w:t>
      </w:r>
      <w:r>
        <w:rPr>
          <w:rFonts w:ascii="宋体" w:hAnsi="宋体" w:cs="宋体" w:eastAsia="宋体" w:hint="default"/>
        </w:rPr>
        <w:t>FDA</w:t>
      </w:r>
      <w:r>
        <w:rPr/>
        <w:t>注册 </w:t>
      </w:r>
      <w:r>
        <w:rPr>
          <w:rFonts w:ascii="宋体" w:hAnsi="宋体" w:cs="宋体" w:eastAsia="宋体" w:hint="default"/>
        </w:rPr>
        <w:t>K</w:t>
      </w:r>
      <w:r>
        <w:rPr/>
        <w:t>号的产品</w:t>
      </w:r>
    </w:p>
    <w:p>
      <w:pPr>
        <w:spacing w:line="240" w:lineRule="auto" w:before="12"/>
        <w:rPr>
          <w:rFonts w:ascii="宋体" w:hAnsi="宋体" w:cs="宋体" w:eastAsia="宋体" w:hint="default"/>
          <w:sz w:val="29"/>
          <w:szCs w:val="29"/>
        </w:rPr>
      </w:pPr>
    </w:p>
    <w:tbl>
      <w:tblPr>
        <w:tblW w:w="0" w:type="auto"/>
        <w:jc w:val="left"/>
        <w:tblInd w:w="746" w:type="dxa"/>
        <w:tblLayout w:type="fixed"/>
        <w:tblCellMar>
          <w:top w:w="0" w:type="dxa"/>
          <w:left w:w="0" w:type="dxa"/>
          <w:bottom w:w="0" w:type="dxa"/>
          <w:right w:w="0" w:type="dxa"/>
        </w:tblCellMar>
        <w:tblLook w:val="01E0"/>
      </w:tblPr>
      <w:tblGrid>
        <w:gridCol w:w="548"/>
        <w:gridCol w:w="970"/>
        <w:gridCol w:w="1069"/>
        <w:gridCol w:w="996"/>
        <w:gridCol w:w="1905"/>
        <w:gridCol w:w="3526"/>
        <w:gridCol w:w="1391"/>
      </w:tblGrid>
      <w:tr>
        <w:trPr>
          <w:trHeight w:val="713" w:hRule="exact"/>
        </w:trPr>
        <w:tc>
          <w:tcPr>
            <w:tcW w:w="54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316" w:lineRule="auto" w:before="52"/>
              <w:ind w:left="178" w:right="179"/>
              <w:jc w:val="left"/>
              <w:rPr>
                <w:rFonts w:ascii="宋体" w:hAnsi="宋体" w:cs="宋体" w:eastAsia="宋体" w:hint="default"/>
                <w:sz w:val="18"/>
                <w:szCs w:val="18"/>
              </w:rPr>
            </w:pPr>
            <w:r>
              <w:rPr>
                <w:rFonts w:ascii="宋体" w:hAnsi="宋体" w:cs="宋体" w:eastAsia="宋体" w:hint="default"/>
                <w:sz w:val="18"/>
                <w:szCs w:val="18"/>
              </w:rPr>
              <w:t>序 号</w:t>
            </w:r>
          </w:p>
        </w:tc>
        <w:tc>
          <w:tcPr>
            <w:tcW w:w="97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106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注册分类</w:t>
            </w:r>
          </w:p>
        </w:tc>
        <w:tc>
          <w:tcPr>
            <w:tcW w:w="996"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证书号</w:t>
            </w:r>
          </w:p>
        </w:tc>
        <w:tc>
          <w:tcPr>
            <w:tcW w:w="1905"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产品型号</w:t>
            </w:r>
          </w:p>
        </w:tc>
        <w:tc>
          <w:tcPr>
            <w:tcW w:w="3526"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临床用途</w:t>
            </w:r>
          </w:p>
        </w:tc>
        <w:tc>
          <w:tcPr>
            <w:tcW w:w="1391"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有效期至</w:t>
            </w:r>
          </w:p>
        </w:tc>
      </w:tr>
      <w:tr>
        <w:trPr>
          <w:trHeight w:val="714"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89" w:right="119" w:hanging="271"/>
              <w:jc w:val="left"/>
              <w:rPr>
                <w:rFonts w:ascii="宋体" w:hAnsi="宋体" w:cs="宋体" w:eastAsia="宋体" w:hint="default"/>
                <w:sz w:val="18"/>
                <w:szCs w:val="18"/>
              </w:rPr>
            </w:pPr>
            <w:r>
              <w:rPr>
                <w:rFonts w:ascii="宋体" w:hAnsi="宋体" w:cs="宋体" w:eastAsia="宋体" w:hint="default"/>
                <w:sz w:val="18"/>
                <w:szCs w:val="18"/>
              </w:rPr>
              <w:t>电子血压 计</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349" w:right="175" w:hanging="172"/>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类医疗</w:t>
            </w:r>
            <w:r>
              <w:rPr>
                <w:rFonts w:ascii="宋体" w:hAnsi="宋体" w:cs="宋体" w:eastAsia="宋体" w:hint="default"/>
                <w:w w:val="99"/>
                <w:sz w:val="18"/>
                <w:szCs w:val="18"/>
              </w:rPr>
              <w:t> </w:t>
            </w:r>
            <w:r>
              <w:rPr>
                <w:rFonts w:ascii="宋体" w:hAnsi="宋体" w:cs="宋体" w:eastAsia="宋体" w:hint="default"/>
                <w:sz w:val="18"/>
                <w:szCs w:val="18"/>
              </w:rPr>
              <w:t>器械</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K101681</w:t>
            </w:r>
          </w:p>
        </w:tc>
        <w:tc>
          <w:tcPr>
            <w:tcW w:w="190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642" w:right="125" w:hanging="516"/>
              <w:jc w:val="left"/>
              <w:rPr>
                <w:rFonts w:ascii="Times New Roman" w:hAnsi="Times New Roman" w:cs="Times New Roman" w:eastAsia="Times New Roman" w:hint="default"/>
                <w:sz w:val="18"/>
                <w:szCs w:val="18"/>
              </w:rPr>
            </w:pPr>
            <w:r>
              <w:rPr>
                <w:rFonts w:ascii="Times New Roman"/>
                <w:sz w:val="18"/>
              </w:rPr>
              <w:t>TMB-986,TMB-987,T</w:t>
            </w:r>
            <w:r>
              <w:rPr>
                <w:rFonts w:ascii="Times New Roman"/>
                <w:w w:val="99"/>
                <w:sz w:val="18"/>
              </w:rPr>
              <w:t> </w:t>
            </w:r>
            <w:r>
              <w:rPr>
                <w:rFonts w:ascii="Times New Roman"/>
                <w:sz w:val="18"/>
              </w:rPr>
              <w:t>MB-995</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96" w:right="137" w:hanging="360"/>
              <w:jc w:val="left"/>
              <w:rPr>
                <w:rFonts w:ascii="宋体" w:hAnsi="宋体" w:cs="宋体" w:eastAsia="宋体" w:hint="default"/>
                <w:sz w:val="18"/>
                <w:szCs w:val="18"/>
              </w:rPr>
            </w:pPr>
            <w:r>
              <w:rPr>
                <w:rFonts w:ascii="宋体" w:hAnsi="宋体" w:cs="宋体" w:eastAsia="宋体" w:hint="default"/>
                <w:sz w:val="18"/>
                <w:szCs w:val="18"/>
              </w:rPr>
              <w:t>适用于以示波法测量成人的收缩压、舒张 压和脉率，其数值供诊断参考。</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长期有效</w:t>
            </w:r>
          </w:p>
        </w:tc>
      </w:tr>
      <w:tr>
        <w:trPr>
          <w:trHeight w:val="1026"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89" w:right="119" w:hanging="271"/>
              <w:jc w:val="left"/>
              <w:rPr>
                <w:rFonts w:ascii="宋体" w:hAnsi="宋体" w:cs="宋体" w:eastAsia="宋体" w:hint="default"/>
                <w:sz w:val="18"/>
                <w:szCs w:val="18"/>
              </w:rPr>
            </w:pPr>
            <w:r>
              <w:rPr>
                <w:rFonts w:ascii="宋体" w:hAnsi="宋体" w:cs="宋体" w:eastAsia="宋体" w:hint="default"/>
                <w:sz w:val="18"/>
                <w:szCs w:val="18"/>
              </w:rPr>
              <w:t>电子血压 计</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349" w:right="175" w:hanging="172"/>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类医疗</w:t>
            </w:r>
            <w:r>
              <w:rPr>
                <w:rFonts w:ascii="宋体" w:hAnsi="宋体" w:cs="宋体" w:eastAsia="宋体" w:hint="default"/>
                <w:w w:val="99"/>
                <w:sz w:val="18"/>
                <w:szCs w:val="18"/>
              </w:rPr>
              <w:t> </w:t>
            </w:r>
            <w:r>
              <w:rPr>
                <w:rFonts w:ascii="宋体" w:hAnsi="宋体" w:cs="宋体" w:eastAsia="宋体" w:hint="default"/>
                <w:sz w:val="18"/>
                <w:szCs w:val="18"/>
              </w:rPr>
              <w:t>器械</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K120058</w:t>
            </w:r>
          </w:p>
        </w:tc>
        <w:tc>
          <w:tcPr>
            <w:tcW w:w="19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1"/>
              <w:ind w:left="103" w:right="101" w:hanging="1"/>
              <w:jc w:val="center"/>
              <w:rPr>
                <w:rFonts w:ascii="宋体" w:hAnsi="宋体" w:cs="宋体" w:eastAsia="宋体" w:hint="default"/>
                <w:sz w:val="18"/>
                <w:szCs w:val="18"/>
              </w:rPr>
            </w:pPr>
            <w:r>
              <w:rPr>
                <w:rFonts w:ascii="Times New Roman" w:hAnsi="Times New Roman" w:cs="Times New Roman" w:eastAsia="Times New Roman" w:hint="default"/>
                <w:sz w:val="18"/>
                <w:szCs w:val="18"/>
              </w:rPr>
              <w:t>LS-802,TMB-1018,T</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MB-1018-A</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等</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个产</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品</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96" w:right="137" w:hanging="360"/>
              <w:jc w:val="left"/>
              <w:rPr>
                <w:rFonts w:ascii="宋体" w:hAnsi="宋体" w:cs="宋体" w:eastAsia="宋体" w:hint="default"/>
                <w:sz w:val="18"/>
                <w:szCs w:val="18"/>
              </w:rPr>
            </w:pPr>
            <w:r>
              <w:rPr>
                <w:rFonts w:ascii="宋体" w:hAnsi="宋体" w:cs="宋体" w:eastAsia="宋体" w:hint="default"/>
                <w:sz w:val="18"/>
                <w:szCs w:val="18"/>
              </w:rPr>
              <w:t>适用于以示波法测量成人的收缩压、舒张 压和脉率，其数值供诊断参考。</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长期有效</w:t>
            </w:r>
          </w:p>
        </w:tc>
      </w:tr>
      <w:tr>
        <w:trPr>
          <w:trHeight w:val="714"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89" w:right="119" w:hanging="271"/>
              <w:jc w:val="left"/>
              <w:rPr>
                <w:rFonts w:ascii="宋体" w:hAnsi="宋体" w:cs="宋体" w:eastAsia="宋体" w:hint="default"/>
                <w:sz w:val="18"/>
                <w:szCs w:val="18"/>
              </w:rPr>
            </w:pPr>
            <w:r>
              <w:rPr>
                <w:rFonts w:ascii="宋体" w:hAnsi="宋体" w:cs="宋体" w:eastAsia="宋体" w:hint="default"/>
                <w:sz w:val="18"/>
                <w:szCs w:val="18"/>
              </w:rPr>
              <w:t>电子血压 计</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349" w:right="175" w:hanging="172"/>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类医疗</w:t>
            </w:r>
            <w:r>
              <w:rPr>
                <w:rFonts w:ascii="宋体" w:hAnsi="宋体" w:cs="宋体" w:eastAsia="宋体" w:hint="default"/>
                <w:w w:val="99"/>
                <w:sz w:val="18"/>
                <w:szCs w:val="18"/>
              </w:rPr>
              <w:t> </w:t>
            </w:r>
            <w:r>
              <w:rPr>
                <w:rFonts w:ascii="宋体" w:hAnsi="宋体" w:cs="宋体" w:eastAsia="宋体" w:hint="default"/>
                <w:sz w:val="18"/>
                <w:szCs w:val="18"/>
              </w:rPr>
              <w:t>器械</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K122482</w:t>
            </w:r>
          </w:p>
        </w:tc>
        <w:tc>
          <w:tcPr>
            <w:tcW w:w="1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TMB-895,TMB-988,T</w:t>
            </w:r>
          </w:p>
          <w:p>
            <w:pPr>
              <w:pStyle w:val="TableParagraph"/>
              <w:spacing w:line="240" w:lineRule="auto" w:before="66"/>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MB-1014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个产品</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96" w:right="137" w:hanging="360"/>
              <w:jc w:val="left"/>
              <w:rPr>
                <w:rFonts w:ascii="宋体" w:hAnsi="宋体" w:cs="宋体" w:eastAsia="宋体" w:hint="default"/>
                <w:sz w:val="18"/>
                <w:szCs w:val="18"/>
              </w:rPr>
            </w:pPr>
            <w:r>
              <w:rPr>
                <w:rFonts w:ascii="宋体" w:hAnsi="宋体" w:cs="宋体" w:eastAsia="宋体" w:hint="default"/>
                <w:sz w:val="18"/>
                <w:szCs w:val="18"/>
              </w:rPr>
              <w:t>适用于以示波法测量成人的收缩压、舒张 压和脉率，其数值供诊断参考。</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长期有效</w:t>
            </w:r>
          </w:p>
        </w:tc>
      </w:tr>
      <w:tr>
        <w:trPr>
          <w:trHeight w:val="714"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89" w:right="119" w:hanging="271"/>
              <w:jc w:val="left"/>
              <w:rPr>
                <w:rFonts w:ascii="宋体" w:hAnsi="宋体" w:cs="宋体" w:eastAsia="宋体" w:hint="default"/>
                <w:sz w:val="18"/>
                <w:szCs w:val="18"/>
              </w:rPr>
            </w:pPr>
            <w:r>
              <w:rPr>
                <w:rFonts w:ascii="宋体" w:hAnsi="宋体" w:cs="宋体" w:eastAsia="宋体" w:hint="default"/>
                <w:sz w:val="18"/>
                <w:szCs w:val="18"/>
              </w:rPr>
              <w:t>电子血压 计</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349" w:right="175" w:hanging="172"/>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类医疗</w:t>
            </w:r>
            <w:r>
              <w:rPr>
                <w:rFonts w:ascii="宋体" w:hAnsi="宋体" w:cs="宋体" w:eastAsia="宋体" w:hint="default"/>
                <w:w w:val="99"/>
                <w:sz w:val="18"/>
                <w:szCs w:val="18"/>
              </w:rPr>
              <w:t> </w:t>
            </w:r>
            <w:r>
              <w:rPr>
                <w:rFonts w:ascii="宋体" w:hAnsi="宋体" w:cs="宋体" w:eastAsia="宋体" w:hint="default"/>
                <w:sz w:val="18"/>
                <w:szCs w:val="18"/>
              </w:rPr>
              <w:t>器械</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K123669</w:t>
            </w:r>
          </w:p>
        </w:tc>
        <w:tc>
          <w:tcPr>
            <w:tcW w:w="190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314" w:right="109" w:hanging="203"/>
              <w:jc w:val="left"/>
              <w:rPr>
                <w:rFonts w:ascii="Times New Roman" w:hAnsi="Times New Roman" w:cs="Times New Roman" w:eastAsia="Times New Roman" w:hint="default"/>
                <w:sz w:val="18"/>
                <w:szCs w:val="18"/>
              </w:rPr>
            </w:pPr>
            <w:r>
              <w:rPr>
                <w:rFonts w:ascii="Times New Roman"/>
                <w:spacing w:val="-1"/>
                <w:sz w:val="18"/>
              </w:rPr>
              <w:t>TMB-1014-BT,LS810-</w:t>
            </w:r>
            <w:r>
              <w:rPr>
                <w:rFonts w:ascii="Times New Roman"/>
                <w:w w:val="99"/>
                <w:sz w:val="18"/>
              </w:rPr>
              <w:t> </w:t>
            </w:r>
            <w:r>
              <w:rPr>
                <w:rFonts w:ascii="Times New Roman"/>
                <w:sz w:val="18"/>
              </w:rPr>
              <w:t>B,TMB-1580-BT</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96" w:right="137" w:hanging="360"/>
              <w:jc w:val="left"/>
              <w:rPr>
                <w:rFonts w:ascii="宋体" w:hAnsi="宋体" w:cs="宋体" w:eastAsia="宋体" w:hint="default"/>
                <w:sz w:val="18"/>
                <w:szCs w:val="18"/>
              </w:rPr>
            </w:pPr>
            <w:r>
              <w:rPr>
                <w:rFonts w:ascii="宋体" w:hAnsi="宋体" w:cs="宋体" w:eastAsia="宋体" w:hint="default"/>
                <w:sz w:val="18"/>
                <w:szCs w:val="18"/>
              </w:rPr>
              <w:t>适用于以示波法测量成人的收缩压、舒张 压和脉率，其数值供诊断参考。</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长期有效</w:t>
            </w:r>
          </w:p>
        </w:tc>
      </w:tr>
      <w:tr>
        <w:trPr>
          <w:trHeight w:val="1026"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89" w:right="119" w:hanging="271"/>
              <w:jc w:val="left"/>
              <w:rPr>
                <w:rFonts w:ascii="宋体" w:hAnsi="宋体" w:cs="宋体" w:eastAsia="宋体" w:hint="default"/>
                <w:sz w:val="18"/>
                <w:szCs w:val="18"/>
              </w:rPr>
            </w:pPr>
            <w:r>
              <w:rPr>
                <w:rFonts w:ascii="宋体" w:hAnsi="宋体" w:cs="宋体" w:eastAsia="宋体" w:hint="default"/>
                <w:sz w:val="18"/>
                <w:szCs w:val="18"/>
              </w:rPr>
              <w:t>电子血压 计</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349" w:right="175" w:hanging="172"/>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类医疗</w:t>
            </w:r>
            <w:r>
              <w:rPr>
                <w:rFonts w:ascii="宋体" w:hAnsi="宋体" w:cs="宋体" w:eastAsia="宋体" w:hint="default"/>
                <w:w w:val="99"/>
                <w:sz w:val="18"/>
                <w:szCs w:val="18"/>
              </w:rPr>
              <w:t> </w:t>
            </w:r>
            <w:r>
              <w:rPr>
                <w:rFonts w:ascii="宋体" w:hAnsi="宋体" w:cs="宋体" w:eastAsia="宋体" w:hint="default"/>
                <w:sz w:val="18"/>
                <w:szCs w:val="18"/>
              </w:rPr>
              <w:t>器械</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K131395</w:t>
            </w:r>
          </w:p>
        </w:tc>
        <w:tc>
          <w:tcPr>
            <w:tcW w:w="190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4" w:right="104" w:firstLine="1"/>
              <w:jc w:val="center"/>
              <w:rPr>
                <w:rFonts w:ascii="宋体" w:hAnsi="宋体" w:cs="宋体" w:eastAsia="宋体" w:hint="default"/>
                <w:sz w:val="18"/>
                <w:szCs w:val="18"/>
              </w:rPr>
            </w:pPr>
            <w:r>
              <w:rPr>
                <w:rFonts w:ascii="Times New Roman" w:hAnsi="Times New Roman" w:cs="Times New Roman" w:eastAsia="Times New Roman" w:hint="default"/>
                <w:sz w:val="18"/>
                <w:szCs w:val="18"/>
              </w:rPr>
              <w:t>LS802-B</w:t>
            </w:r>
            <w:r>
              <w:rPr>
                <w:rFonts w:ascii="宋体" w:hAnsi="宋体" w:cs="宋体" w:eastAsia="宋体" w:hint="default"/>
                <w:sz w:val="18"/>
                <w:szCs w:val="18"/>
              </w:rPr>
              <w:t>，</w:t>
            </w:r>
            <w:r>
              <w:rPr>
                <w:rFonts w:ascii="Times New Roman" w:hAnsi="Times New Roman" w:cs="Times New Roman" w:eastAsia="Times New Roman" w:hint="default"/>
                <w:sz w:val="18"/>
                <w:szCs w:val="18"/>
              </w:rPr>
              <w:t>LS805-B</w:t>
            </w:r>
            <w:r>
              <w:rPr>
                <w:rFonts w:ascii="宋体" w:hAnsi="宋体" w:cs="宋体" w:eastAsia="宋体" w:hint="default"/>
                <w:sz w:val="18"/>
                <w:szCs w:val="18"/>
              </w:rPr>
              <w:t>，</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TMB-1018-BT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w:t>
            </w:r>
          </w:p>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产品</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96" w:right="137" w:hanging="360"/>
              <w:jc w:val="left"/>
              <w:rPr>
                <w:rFonts w:ascii="宋体" w:hAnsi="宋体" w:cs="宋体" w:eastAsia="宋体" w:hint="default"/>
                <w:sz w:val="18"/>
                <w:szCs w:val="18"/>
              </w:rPr>
            </w:pPr>
            <w:r>
              <w:rPr>
                <w:rFonts w:ascii="宋体" w:hAnsi="宋体" w:cs="宋体" w:eastAsia="宋体" w:hint="default"/>
                <w:sz w:val="18"/>
                <w:szCs w:val="18"/>
              </w:rPr>
              <w:t>适用于以示波法测量成人的收缩压、舒张 压和脉率，其数值供诊断参考。</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长期有效</w:t>
            </w:r>
          </w:p>
        </w:tc>
      </w:tr>
      <w:tr>
        <w:trPr>
          <w:trHeight w:val="714"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89" w:right="119" w:hanging="271"/>
              <w:jc w:val="left"/>
              <w:rPr>
                <w:rFonts w:ascii="宋体" w:hAnsi="宋体" w:cs="宋体" w:eastAsia="宋体" w:hint="default"/>
                <w:sz w:val="18"/>
                <w:szCs w:val="18"/>
              </w:rPr>
            </w:pPr>
            <w:r>
              <w:rPr>
                <w:rFonts w:ascii="宋体" w:hAnsi="宋体" w:cs="宋体" w:eastAsia="宋体" w:hint="default"/>
                <w:sz w:val="18"/>
                <w:szCs w:val="18"/>
              </w:rPr>
              <w:t>电子血压 计</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349" w:right="175" w:hanging="172"/>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类医疗</w:t>
            </w:r>
            <w:r>
              <w:rPr>
                <w:rFonts w:ascii="宋体" w:hAnsi="宋体" w:cs="宋体" w:eastAsia="宋体" w:hint="default"/>
                <w:w w:val="99"/>
                <w:sz w:val="18"/>
                <w:szCs w:val="18"/>
              </w:rPr>
              <w:t> </w:t>
            </w:r>
            <w:r>
              <w:rPr>
                <w:rFonts w:ascii="宋体" w:hAnsi="宋体" w:cs="宋体" w:eastAsia="宋体" w:hint="default"/>
                <w:sz w:val="18"/>
                <w:szCs w:val="18"/>
              </w:rPr>
              <w:t>器械</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K161886</w:t>
            </w:r>
          </w:p>
        </w:tc>
        <w:tc>
          <w:tcPr>
            <w:tcW w:w="1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TMB-1591-A</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96" w:right="137" w:hanging="360"/>
              <w:jc w:val="left"/>
              <w:rPr>
                <w:rFonts w:ascii="宋体" w:hAnsi="宋体" w:cs="宋体" w:eastAsia="宋体" w:hint="default"/>
                <w:sz w:val="18"/>
                <w:szCs w:val="18"/>
              </w:rPr>
            </w:pPr>
            <w:r>
              <w:rPr>
                <w:rFonts w:ascii="宋体" w:hAnsi="宋体" w:cs="宋体" w:eastAsia="宋体" w:hint="default"/>
                <w:sz w:val="18"/>
                <w:szCs w:val="18"/>
              </w:rPr>
              <w:t>适用于以示波法测量成人的收缩压、舒张 压和脉率，其数值供诊断参考。</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长期有效</w:t>
            </w:r>
          </w:p>
        </w:tc>
      </w:tr>
      <w:tr>
        <w:trPr>
          <w:trHeight w:val="1026"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89" w:right="119" w:hanging="271"/>
              <w:jc w:val="left"/>
              <w:rPr>
                <w:rFonts w:ascii="宋体" w:hAnsi="宋体" w:cs="宋体" w:eastAsia="宋体" w:hint="default"/>
                <w:sz w:val="18"/>
                <w:szCs w:val="18"/>
              </w:rPr>
            </w:pPr>
            <w:r>
              <w:rPr>
                <w:rFonts w:ascii="宋体" w:hAnsi="宋体" w:cs="宋体" w:eastAsia="宋体" w:hint="default"/>
                <w:sz w:val="18"/>
                <w:szCs w:val="18"/>
              </w:rPr>
              <w:t>脂肪测量 仪</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349" w:right="175" w:hanging="172"/>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类医疗</w:t>
            </w:r>
            <w:r>
              <w:rPr>
                <w:rFonts w:ascii="宋体" w:hAnsi="宋体" w:cs="宋体" w:eastAsia="宋体" w:hint="default"/>
                <w:w w:val="99"/>
                <w:sz w:val="18"/>
                <w:szCs w:val="18"/>
              </w:rPr>
              <w:t> </w:t>
            </w:r>
            <w:r>
              <w:rPr>
                <w:rFonts w:ascii="宋体" w:hAnsi="宋体" w:cs="宋体" w:eastAsia="宋体" w:hint="default"/>
                <w:sz w:val="18"/>
                <w:szCs w:val="18"/>
              </w:rPr>
              <w:t>器械</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K102191</w:t>
            </w:r>
          </w:p>
        </w:tc>
        <w:tc>
          <w:tcPr>
            <w:tcW w:w="1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GBF-830,</w:t>
            </w:r>
            <w:r>
              <w:rPr>
                <w:rFonts w:ascii="Times New Roman"/>
                <w:spacing w:val="-3"/>
                <w:sz w:val="18"/>
              </w:rPr>
              <w:t> </w:t>
            </w:r>
            <w:r>
              <w:rPr>
                <w:rFonts w:ascii="Times New Roman"/>
                <w:sz w:val="18"/>
              </w:rPr>
              <w:t>GBF-835,</w:t>
            </w:r>
          </w:p>
          <w:p>
            <w:pPr>
              <w:pStyle w:val="TableParagraph"/>
              <w:spacing w:line="240" w:lineRule="auto" w:before="66"/>
              <w:ind w:left="1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GBF-950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个产品</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 w:hanging="93"/>
              <w:jc w:val="center"/>
              <w:rPr>
                <w:rFonts w:ascii="宋体" w:hAnsi="宋体" w:cs="宋体" w:eastAsia="宋体" w:hint="default"/>
                <w:sz w:val="18"/>
                <w:szCs w:val="18"/>
              </w:rPr>
            </w:pPr>
            <w:r>
              <w:rPr>
                <w:rFonts w:ascii="宋体" w:hAnsi="宋体" w:cs="宋体" w:eastAsia="宋体" w:hint="default"/>
                <w:sz w:val="18"/>
                <w:szCs w:val="18"/>
              </w:rPr>
              <w:t>通过人体体重、身体阻抗的测量，估算体 </w:t>
            </w:r>
            <w:r>
              <w:rPr>
                <w:rFonts w:ascii="宋体" w:hAnsi="宋体" w:cs="宋体" w:eastAsia="宋体" w:hint="default"/>
                <w:spacing w:val="-2"/>
                <w:sz w:val="18"/>
                <w:szCs w:val="18"/>
              </w:rPr>
              <w:t>脂肪率和（或）体脂肪量、骨量、肌肉量、</w:t>
            </w:r>
            <w:r>
              <w:rPr>
                <w:rFonts w:ascii="宋体" w:hAnsi="宋体" w:cs="宋体" w:eastAsia="宋体" w:hint="default"/>
                <w:sz w:val="18"/>
                <w:szCs w:val="18"/>
              </w:rPr>
              <w:t> 体水分量。</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长期有效</w:t>
            </w:r>
          </w:p>
        </w:tc>
      </w:tr>
      <w:tr>
        <w:trPr>
          <w:trHeight w:val="1026"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89" w:right="119" w:hanging="271"/>
              <w:jc w:val="left"/>
              <w:rPr>
                <w:rFonts w:ascii="宋体" w:hAnsi="宋体" w:cs="宋体" w:eastAsia="宋体" w:hint="default"/>
                <w:sz w:val="18"/>
                <w:szCs w:val="18"/>
              </w:rPr>
            </w:pPr>
            <w:r>
              <w:rPr>
                <w:rFonts w:ascii="宋体" w:hAnsi="宋体" w:cs="宋体" w:eastAsia="宋体" w:hint="default"/>
                <w:sz w:val="18"/>
                <w:szCs w:val="18"/>
              </w:rPr>
              <w:t>脂肪测量 仪</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349" w:right="175" w:hanging="172"/>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类医疗</w:t>
            </w:r>
            <w:r>
              <w:rPr>
                <w:rFonts w:ascii="宋体" w:hAnsi="宋体" w:cs="宋体" w:eastAsia="宋体" w:hint="default"/>
                <w:w w:val="99"/>
                <w:sz w:val="18"/>
                <w:szCs w:val="18"/>
              </w:rPr>
              <w:t> </w:t>
            </w:r>
            <w:r>
              <w:rPr>
                <w:rFonts w:ascii="宋体" w:hAnsi="宋体" w:cs="宋体" w:eastAsia="宋体" w:hint="default"/>
                <w:sz w:val="18"/>
                <w:szCs w:val="18"/>
              </w:rPr>
              <w:t>器械</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K112932</w:t>
            </w:r>
          </w:p>
        </w:tc>
        <w:tc>
          <w:tcPr>
            <w:tcW w:w="1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4" w:right="0"/>
              <w:jc w:val="left"/>
              <w:rPr>
                <w:rFonts w:ascii="Times New Roman" w:hAnsi="Times New Roman" w:cs="Times New Roman" w:eastAsia="Times New Roman" w:hint="default"/>
                <w:sz w:val="18"/>
                <w:szCs w:val="18"/>
              </w:rPr>
            </w:pPr>
            <w:r>
              <w:rPr>
                <w:rFonts w:ascii="Times New Roman"/>
                <w:sz w:val="18"/>
              </w:rPr>
              <w:t>GBF-733-W1,</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GBF-1012,</w:t>
            </w:r>
            <w:r>
              <w:rPr>
                <w:rFonts w:ascii="Times New Roman"/>
                <w:spacing w:val="-3"/>
                <w:sz w:val="18"/>
              </w:rPr>
              <w:t> </w:t>
            </w:r>
            <w:r>
              <w:rPr>
                <w:rFonts w:ascii="Times New Roman"/>
                <w:sz w:val="18"/>
              </w:rPr>
              <w:t>BF-1039</w:t>
            </w:r>
          </w:p>
          <w:p>
            <w:pPr>
              <w:pStyle w:val="TableParagraph"/>
              <w:spacing w:line="240" w:lineRule="auto" w:before="66"/>
              <w:ind w:left="496" w:right="0"/>
              <w:jc w:val="left"/>
              <w:rPr>
                <w:rFonts w:ascii="宋体" w:hAnsi="宋体" w:cs="宋体" w:eastAsia="宋体" w:hint="default"/>
                <w:sz w:val="18"/>
                <w:szCs w:val="18"/>
              </w:rPr>
            </w:pPr>
            <w:r>
              <w:rPr>
                <w:rFonts w:ascii="宋体" w:hAnsi="宋体" w:cs="宋体" w:eastAsia="宋体" w:hint="default"/>
                <w:sz w:val="18"/>
                <w:szCs w:val="18"/>
              </w:rPr>
              <w:t>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个产品</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 w:hanging="93"/>
              <w:jc w:val="center"/>
              <w:rPr>
                <w:rFonts w:ascii="宋体" w:hAnsi="宋体" w:cs="宋体" w:eastAsia="宋体" w:hint="default"/>
                <w:sz w:val="18"/>
                <w:szCs w:val="18"/>
              </w:rPr>
            </w:pPr>
            <w:r>
              <w:rPr>
                <w:rFonts w:ascii="宋体" w:hAnsi="宋体" w:cs="宋体" w:eastAsia="宋体" w:hint="default"/>
                <w:sz w:val="18"/>
                <w:szCs w:val="18"/>
              </w:rPr>
              <w:t>通过人体体重、身体阻抗的测量，估算体 </w:t>
            </w:r>
            <w:r>
              <w:rPr>
                <w:rFonts w:ascii="宋体" w:hAnsi="宋体" w:cs="宋体" w:eastAsia="宋体" w:hint="default"/>
                <w:spacing w:val="-2"/>
                <w:sz w:val="18"/>
                <w:szCs w:val="18"/>
              </w:rPr>
              <w:t>脂肪率和（或）体脂肪量、骨量、肌肉量、</w:t>
            </w:r>
            <w:r>
              <w:rPr>
                <w:rFonts w:ascii="宋体" w:hAnsi="宋体" w:cs="宋体" w:eastAsia="宋体" w:hint="default"/>
                <w:sz w:val="18"/>
                <w:szCs w:val="18"/>
              </w:rPr>
              <w:t> 体水分量。</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长期有效</w:t>
            </w:r>
          </w:p>
        </w:tc>
      </w:tr>
      <w:tr>
        <w:trPr>
          <w:trHeight w:val="1026"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89" w:right="119" w:hanging="271"/>
              <w:jc w:val="left"/>
              <w:rPr>
                <w:rFonts w:ascii="宋体" w:hAnsi="宋体" w:cs="宋体" w:eastAsia="宋体" w:hint="default"/>
                <w:sz w:val="18"/>
                <w:szCs w:val="18"/>
              </w:rPr>
            </w:pPr>
            <w:r>
              <w:rPr>
                <w:rFonts w:ascii="宋体" w:hAnsi="宋体" w:cs="宋体" w:eastAsia="宋体" w:hint="default"/>
                <w:sz w:val="18"/>
                <w:szCs w:val="18"/>
              </w:rPr>
              <w:t>脂肪测量 仪</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349" w:right="175" w:hanging="172"/>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类医疗</w:t>
            </w:r>
            <w:r>
              <w:rPr>
                <w:rFonts w:ascii="宋体" w:hAnsi="宋体" w:cs="宋体" w:eastAsia="宋体" w:hint="default"/>
                <w:w w:val="99"/>
                <w:sz w:val="18"/>
                <w:szCs w:val="18"/>
              </w:rPr>
              <w:t> </w:t>
            </w:r>
            <w:r>
              <w:rPr>
                <w:rFonts w:ascii="宋体" w:hAnsi="宋体" w:cs="宋体" w:eastAsia="宋体" w:hint="default"/>
                <w:sz w:val="18"/>
                <w:szCs w:val="18"/>
              </w:rPr>
              <w:t>器械</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K123781</w:t>
            </w:r>
          </w:p>
        </w:tc>
        <w:tc>
          <w:tcPr>
            <w:tcW w:w="1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LS206-E</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 w:hanging="93"/>
              <w:jc w:val="center"/>
              <w:rPr>
                <w:rFonts w:ascii="宋体" w:hAnsi="宋体" w:cs="宋体" w:eastAsia="宋体" w:hint="default"/>
                <w:sz w:val="18"/>
                <w:szCs w:val="18"/>
              </w:rPr>
            </w:pPr>
            <w:r>
              <w:rPr>
                <w:rFonts w:ascii="宋体" w:hAnsi="宋体" w:cs="宋体" w:eastAsia="宋体" w:hint="default"/>
                <w:sz w:val="18"/>
                <w:szCs w:val="18"/>
              </w:rPr>
              <w:t>通过人体体重、身体阻抗的测量，估算体 </w:t>
            </w:r>
            <w:r>
              <w:rPr>
                <w:rFonts w:ascii="宋体" w:hAnsi="宋体" w:cs="宋体" w:eastAsia="宋体" w:hint="default"/>
                <w:spacing w:val="-2"/>
                <w:sz w:val="18"/>
                <w:szCs w:val="18"/>
              </w:rPr>
              <w:t>脂肪率和（或）体脂肪量、骨量、肌肉量、</w:t>
            </w:r>
            <w:r>
              <w:rPr>
                <w:rFonts w:ascii="宋体" w:hAnsi="宋体" w:cs="宋体" w:eastAsia="宋体" w:hint="default"/>
                <w:sz w:val="18"/>
                <w:szCs w:val="18"/>
              </w:rPr>
              <w:t> 体水分量。</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长期有效</w:t>
            </w:r>
          </w:p>
        </w:tc>
      </w:tr>
      <w:tr>
        <w:trPr>
          <w:trHeight w:val="1338"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89" w:right="119" w:hanging="271"/>
              <w:jc w:val="left"/>
              <w:rPr>
                <w:rFonts w:ascii="宋体" w:hAnsi="宋体" w:cs="宋体" w:eastAsia="宋体" w:hint="default"/>
                <w:sz w:val="18"/>
                <w:szCs w:val="18"/>
              </w:rPr>
            </w:pPr>
            <w:r>
              <w:rPr>
                <w:rFonts w:ascii="宋体" w:hAnsi="宋体" w:cs="宋体" w:eastAsia="宋体" w:hint="default"/>
                <w:sz w:val="18"/>
                <w:szCs w:val="18"/>
              </w:rPr>
              <w:t>脂肪测量 仪</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8"/>
              <w:ind w:left="349" w:right="175" w:hanging="172"/>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类医疗</w:t>
            </w:r>
            <w:r>
              <w:rPr>
                <w:rFonts w:ascii="宋体" w:hAnsi="宋体" w:cs="宋体" w:eastAsia="宋体" w:hint="default"/>
                <w:w w:val="99"/>
                <w:sz w:val="18"/>
                <w:szCs w:val="18"/>
              </w:rPr>
              <w:t> </w:t>
            </w:r>
            <w:r>
              <w:rPr>
                <w:rFonts w:ascii="宋体" w:hAnsi="宋体" w:cs="宋体" w:eastAsia="宋体" w:hint="default"/>
                <w:sz w:val="18"/>
                <w:szCs w:val="18"/>
              </w:rPr>
              <w:t>器械</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K130311</w:t>
            </w:r>
          </w:p>
        </w:tc>
        <w:tc>
          <w:tcPr>
            <w:tcW w:w="190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449" w:right="448"/>
              <w:jc w:val="center"/>
              <w:rPr>
                <w:rFonts w:ascii="Times New Roman" w:hAnsi="Times New Roman" w:cs="Times New Roman" w:eastAsia="Times New Roman" w:hint="default"/>
                <w:sz w:val="18"/>
                <w:szCs w:val="18"/>
              </w:rPr>
            </w:pPr>
            <w:r>
              <w:rPr>
                <w:rFonts w:ascii="Times New Roman"/>
                <w:sz w:val="18"/>
              </w:rPr>
              <w:t>GBF-1251-B,</w:t>
            </w:r>
            <w:r>
              <w:rPr>
                <w:rFonts w:ascii="Times New Roman"/>
                <w:w w:val="99"/>
                <w:sz w:val="18"/>
              </w:rPr>
              <w:t> </w:t>
            </w:r>
            <w:r>
              <w:rPr>
                <w:rFonts w:ascii="Times New Roman"/>
                <w:sz w:val="18"/>
              </w:rPr>
              <w:t>BF-1255-B,</w:t>
            </w:r>
          </w:p>
          <w:p>
            <w:pPr>
              <w:pStyle w:val="TableParagraph"/>
              <w:spacing w:line="213"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BF-1256-B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个产</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品</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1" w:hanging="93"/>
              <w:jc w:val="center"/>
              <w:rPr>
                <w:rFonts w:ascii="宋体" w:hAnsi="宋体" w:cs="宋体" w:eastAsia="宋体" w:hint="default"/>
                <w:sz w:val="18"/>
                <w:szCs w:val="18"/>
              </w:rPr>
            </w:pPr>
            <w:r>
              <w:rPr>
                <w:rFonts w:ascii="宋体" w:hAnsi="宋体" w:cs="宋体" w:eastAsia="宋体" w:hint="default"/>
                <w:sz w:val="18"/>
                <w:szCs w:val="18"/>
              </w:rPr>
              <w:t>通过人体体重、身体阻抗的测量，估算体 </w:t>
            </w:r>
            <w:r>
              <w:rPr>
                <w:rFonts w:ascii="宋体" w:hAnsi="宋体" w:cs="宋体" w:eastAsia="宋体" w:hint="default"/>
                <w:spacing w:val="-2"/>
                <w:sz w:val="18"/>
                <w:szCs w:val="18"/>
              </w:rPr>
              <w:t>脂肪率和（或）体脂肪量、骨量、肌肉量、</w:t>
            </w:r>
            <w:r>
              <w:rPr>
                <w:rFonts w:ascii="宋体" w:hAnsi="宋体" w:cs="宋体" w:eastAsia="宋体" w:hint="default"/>
                <w:sz w:val="18"/>
                <w:szCs w:val="18"/>
              </w:rPr>
              <w:t> 体水分量。</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长期有效</w:t>
            </w:r>
          </w:p>
        </w:tc>
      </w:tr>
    </w:tbl>
    <w:p>
      <w:pPr>
        <w:spacing w:after="0" w:line="240" w:lineRule="auto"/>
        <w:jc w:val="center"/>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746" w:type="dxa"/>
        <w:tblLayout w:type="fixed"/>
        <w:tblCellMar>
          <w:top w:w="0" w:type="dxa"/>
          <w:left w:w="0" w:type="dxa"/>
          <w:bottom w:w="0" w:type="dxa"/>
          <w:right w:w="0" w:type="dxa"/>
        </w:tblCellMar>
        <w:tblLook w:val="01E0"/>
      </w:tblPr>
      <w:tblGrid>
        <w:gridCol w:w="548"/>
        <w:gridCol w:w="970"/>
        <w:gridCol w:w="1069"/>
        <w:gridCol w:w="996"/>
        <w:gridCol w:w="1905"/>
        <w:gridCol w:w="3526"/>
        <w:gridCol w:w="1391"/>
      </w:tblGrid>
      <w:tr>
        <w:trPr>
          <w:trHeight w:val="1026"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89" w:right="119" w:hanging="271"/>
              <w:jc w:val="left"/>
              <w:rPr>
                <w:rFonts w:ascii="宋体" w:hAnsi="宋体" w:cs="宋体" w:eastAsia="宋体" w:hint="default"/>
                <w:sz w:val="18"/>
                <w:szCs w:val="18"/>
              </w:rPr>
            </w:pPr>
            <w:r>
              <w:rPr>
                <w:rFonts w:ascii="宋体" w:hAnsi="宋体" w:cs="宋体" w:eastAsia="宋体" w:hint="default"/>
                <w:sz w:val="18"/>
                <w:szCs w:val="18"/>
              </w:rPr>
              <w:t>脂肪测量 仪</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349" w:right="175" w:hanging="172"/>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类医疗</w:t>
            </w:r>
            <w:r>
              <w:rPr>
                <w:rFonts w:ascii="宋体" w:hAnsi="宋体" w:cs="宋体" w:eastAsia="宋体" w:hint="default"/>
                <w:w w:val="99"/>
                <w:sz w:val="18"/>
                <w:szCs w:val="18"/>
              </w:rPr>
              <w:t> </w:t>
            </w:r>
            <w:r>
              <w:rPr>
                <w:rFonts w:ascii="宋体" w:hAnsi="宋体" w:cs="宋体" w:eastAsia="宋体" w:hint="default"/>
                <w:sz w:val="18"/>
                <w:szCs w:val="18"/>
              </w:rPr>
              <w:t>器械</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K131394</w:t>
            </w:r>
          </w:p>
        </w:tc>
        <w:tc>
          <w:tcPr>
            <w:tcW w:w="1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LS203-B,</w:t>
            </w:r>
            <w:r>
              <w:rPr>
                <w:rFonts w:ascii="Times New Roman"/>
                <w:spacing w:val="-5"/>
                <w:sz w:val="18"/>
              </w:rPr>
              <w:t> </w:t>
            </w:r>
            <w:r>
              <w:rPr>
                <w:rFonts w:ascii="Times New Roman"/>
                <w:sz w:val="18"/>
              </w:rPr>
              <w:t>LS202-B5</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 w:hanging="93"/>
              <w:jc w:val="center"/>
              <w:rPr>
                <w:rFonts w:ascii="宋体" w:hAnsi="宋体" w:cs="宋体" w:eastAsia="宋体" w:hint="default"/>
                <w:sz w:val="18"/>
                <w:szCs w:val="18"/>
              </w:rPr>
            </w:pPr>
            <w:r>
              <w:rPr>
                <w:rFonts w:ascii="宋体" w:hAnsi="宋体" w:cs="宋体" w:eastAsia="宋体" w:hint="default"/>
                <w:sz w:val="18"/>
                <w:szCs w:val="18"/>
              </w:rPr>
              <w:t>通过人体体重、身体阻抗的测量，估算体 </w:t>
            </w:r>
            <w:r>
              <w:rPr>
                <w:rFonts w:ascii="宋体" w:hAnsi="宋体" w:cs="宋体" w:eastAsia="宋体" w:hint="default"/>
                <w:spacing w:val="-2"/>
                <w:sz w:val="18"/>
                <w:szCs w:val="18"/>
              </w:rPr>
              <w:t>脂肪率和（或）体脂肪量、骨量、肌肉量、</w:t>
            </w:r>
            <w:r>
              <w:rPr>
                <w:rFonts w:ascii="宋体" w:hAnsi="宋体" w:cs="宋体" w:eastAsia="宋体" w:hint="default"/>
                <w:sz w:val="18"/>
                <w:szCs w:val="18"/>
              </w:rPr>
              <w:t> 体水分量。</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长期有效</w:t>
            </w:r>
          </w:p>
        </w:tc>
      </w:tr>
    </w:tbl>
    <w:p>
      <w:pPr>
        <w:spacing w:line="240" w:lineRule="auto" w:before="5"/>
        <w:rPr>
          <w:rFonts w:ascii="宋体" w:hAnsi="宋体" w:cs="宋体" w:eastAsia="宋体" w:hint="default"/>
          <w:sz w:val="24"/>
          <w:szCs w:val="24"/>
        </w:rPr>
      </w:pPr>
    </w:p>
    <w:p>
      <w:pPr>
        <w:pStyle w:val="BodyText"/>
        <w:spacing w:line="240" w:lineRule="auto" w:before="44"/>
        <w:ind w:left="1133" w:right="1015"/>
        <w:jc w:val="left"/>
      </w:pPr>
      <w:r>
        <w:rPr>
          <w:rFonts w:ascii="宋体" w:hAnsi="宋体" w:cs="宋体" w:eastAsia="宋体" w:hint="default"/>
        </w:rPr>
        <w:t>4</w:t>
      </w:r>
      <w:r>
        <w:rPr/>
        <w:t>、报告期内，已获得</w:t>
      </w:r>
      <w:r>
        <w:rPr>
          <w:spacing w:val="-46"/>
        </w:rPr>
        <w:t> </w:t>
      </w:r>
      <w:r>
        <w:rPr>
          <w:rFonts w:ascii="宋体" w:hAnsi="宋体" w:cs="宋体" w:eastAsia="宋体" w:hint="default"/>
        </w:rPr>
        <w:t>CE</w:t>
      </w:r>
      <w:r>
        <w:rPr>
          <w:rFonts w:ascii="宋体" w:hAnsi="宋体" w:cs="宋体" w:eastAsia="宋体" w:hint="default"/>
          <w:spacing w:val="-46"/>
        </w:rPr>
        <w:t> </w:t>
      </w:r>
      <w:r>
        <w:rPr/>
        <w:t>证书情况</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2"/>
          <w:szCs w:val="12"/>
        </w:rPr>
      </w:pPr>
    </w:p>
    <w:tbl>
      <w:tblPr>
        <w:tblW w:w="0" w:type="auto"/>
        <w:jc w:val="left"/>
        <w:tblInd w:w="577" w:type="dxa"/>
        <w:tblLayout w:type="fixed"/>
        <w:tblCellMar>
          <w:top w:w="0" w:type="dxa"/>
          <w:left w:w="0" w:type="dxa"/>
          <w:bottom w:w="0" w:type="dxa"/>
          <w:right w:w="0" w:type="dxa"/>
        </w:tblCellMar>
        <w:tblLook w:val="01E0"/>
      </w:tblPr>
      <w:tblGrid>
        <w:gridCol w:w="900"/>
        <w:gridCol w:w="900"/>
        <w:gridCol w:w="1532"/>
        <w:gridCol w:w="1534"/>
        <w:gridCol w:w="2907"/>
        <w:gridCol w:w="1770"/>
        <w:gridCol w:w="1200"/>
      </w:tblGrid>
      <w:tr>
        <w:trPr>
          <w:trHeight w:val="714" w:hRule="exact"/>
        </w:trPr>
        <w:tc>
          <w:tcPr>
            <w:tcW w:w="90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90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316" w:lineRule="auto" w:before="51"/>
              <w:ind w:left="355" w:right="173" w:hanging="180"/>
              <w:jc w:val="left"/>
              <w:rPr>
                <w:rFonts w:ascii="宋体" w:hAnsi="宋体" w:cs="宋体" w:eastAsia="宋体" w:hint="default"/>
                <w:sz w:val="18"/>
                <w:szCs w:val="18"/>
              </w:rPr>
            </w:pPr>
            <w:r>
              <w:rPr>
                <w:rFonts w:ascii="宋体" w:hAnsi="宋体" w:cs="宋体" w:eastAsia="宋体" w:hint="default"/>
                <w:sz w:val="18"/>
                <w:szCs w:val="18"/>
              </w:rPr>
              <w:t>产品名 称</w:t>
            </w:r>
          </w:p>
        </w:tc>
        <w:tc>
          <w:tcPr>
            <w:tcW w:w="1532"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注册类型</w:t>
            </w:r>
          </w:p>
        </w:tc>
        <w:tc>
          <w:tcPr>
            <w:tcW w:w="153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1" w:right="0"/>
              <w:jc w:val="left"/>
              <w:rPr>
                <w:rFonts w:ascii="宋体" w:hAnsi="宋体" w:cs="宋体" w:eastAsia="宋体" w:hint="default"/>
                <w:sz w:val="18"/>
                <w:szCs w:val="18"/>
              </w:rPr>
            </w:pPr>
            <w:r>
              <w:rPr>
                <w:rFonts w:ascii="宋体" w:hAnsi="宋体" w:cs="宋体" w:eastAsia="宋体" w:hint="default"/>
                <w:sz w:val="18"/>
                <w:szCs w:val="18"/>
              </w:rPr>
              <w:t>证书号</w:t>
            </w:r>
          </w:p>
        </w:tc>
        <w:tc>
          <w:tcPr>
            <w:tcW w:w="2907"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临床用途</w:t>
            </w:r>
          </w:p>
        </w:tc>
        <w:tc>
          <w:tcPr>
            <w:tcW w:w="177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有效期至</w:t>
            </w:r>
          </w:p>
        </w:tc>
        <w:tc>
          <w:tcPr>
            <w:tcW w:w="120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6"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5" w:right="173" w:hanging="90"/>
              <w:jc w:val="left"/>
              <w:rPr>
                <w:rFonts w:ascii="宋体" w:hAnsi="宋体" w:cs="宋体" w:eastAsia="宋体" w:hint="default"/>
                <w:sz w:val="18"/>
                <w:szCs w:val="18"/>
              </w:rPr>
            </w:pPr>
            <w:r>
              <w:rPr>
                <w:rFonts w:ascii="宋体" w:hAnsi="宋体" w:cs="宋体" w:eastAsia="宋体" w:hint="default"/>
                <w:sz w:val="18"/>
                <w:szCs w:val="18"/>
              </w:rPr>
              <w:t>电子血 压计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类医疗器械</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NO.G1 16</w:t>
            </w:r>
            <w:r>
              <w:rPr>
                <w:rFonts w:ascii="Times New Roman"/>
                <w:spacing w:val="-2"/>
                <w:sz w:val="18"/>
              </w:rPr>
              <w:t> </w:t>
            </w:r>
            <w:r>
              <w:rPr>
                <w:rFonts w:ascii="Times New Roman"/>
                <w:spacing w:val="-4"/>
                <w:sz w:val="18"/>
              </w:rPr>
              <w:t>11</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82800 026</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center"/>
              <w:rPr>
                <w:rFonts w:ascii="宋体" w:hAnsi="宋体" w:cs="宋体" w:eastAsia="宋体" w:hint="default"/>
                <w:sz w:val="18"/>
                <w:szCs w:val="18"/>
              </w:rPr>
            </w:pPr>
            <w:r>
              <w:rPr>
                <w:rFonts w:ascii="宋体" w:hAnsi="宋体" w:cs="宋体" w:eastAsia="宋体" w:hint="default"/>
                <w:sz w:val="18"/>
                <w:szCs w:val="18"/>
              </w:rPr>
              <w:t>适用于以示波法测量成人的收缩 </w:t>
            </w:r>
            <w:r>
              <w:rPr>
                <w:rFonts w:ascii="宋体" w:hAnsi="宋体" w:cs="宋体" w:eastAsia="宋体" w:hint="default"/>
                <w:spacing w:val="-1"/>
                <w:sz w:val="18"/>
                <w:szCs w:val="18"/>
              </w:rPr>
              <w:t>压、舒张压和脉率，其数值供诊断</w:t>
            </w:r>
            <w:r>
              <w:rPr>
                <w:rFonts w:ascii="宋体" w:hAnsi="宋体" w:cs="宋体" w:eastAsia="宋体" w:hint="default"/>
                <w:sz w:val="18"/>
                <w:szCs w:val="18"/>
              </w:rPr>
              <w:t> 参考。</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05" w:right="143" w:hanging="360"/>
              <w:jc w:val="left"/>
              <w:rPr>
                <w:rFonts w:ascii="宋体" w:hAnsi="宋体" w:cs="宋体" w:eastAsia="宋体" w:hint="default"/>
                <w:sz w:val="18"/>
                <w:szCs w:val="18"/>
              </w:rPr>
            </w:pPr>
            <w:r>
              <w:rPr>
                <w:rFonts w:ascii="宋体" w:hAnsi="宋体" w:cs="宋体" w:eastAsia="宋体" w:hint="default"/>
                <w:sz w:val="18"/>
                <w:szCs w:val="18"/>
              </w:rPr>
              <w:t>报告期内变 更</w:t>
            </w:r>
          </w:p>
        </w:tc>
      </w:tr>
    </w:tbl>
    <w:p>
      <w:pPr>
        <w:spacing w:line="240" w:lineRule="auto" w:before="10"/>
        <w:rPr>
          <w:rFonts w:ascii="宋体" w:hAnsi="宋体" w:cs="宋体" w:eastAsia="宋体" w:hint="default"/>
          <w:sz w:val="12"/>
          <w:szCs w:val="12"/>
        </w:rPr>
      </w:pPr>
    </w:p>
    <w:p>
      <w:pPr>
        <w:pStyle w:val="BodyText"/>
        <w:spacing w:line="240" w:lineRule="auto"/>
        <w:ind w:left="1133" w:right="1015"/>
        <w:jc w:val="left"/>
      </w:pPr>
      <w:r>
        <w:rPr>
          <w:rFonts w:ascii="宋体" w:hAnsi="宋体" w:cs="宋体" w:eastAsia="宋体" w:hint="default"/>
        </w:rPr>
        <w:t>5</w:t>
      </w:r>
      <w:r>
        <w:rPr/>
        <w:t>、本报告期末及去年同期的医疗器械产品注册证的数量</w:t>
      </w:r>
    </w:p>
    <w:p>
      <w:pPr>
        <w:spacing w:line="240" w:lineRule="auto" w:before="12"/>
        <w:rPr>
          <w:rFonts w:ascii="宋体" w:hAnsi="宋体" w:cs="宋体" w:eastAsia="宋体" w:hint="default"/>
          <w:sz w:val="29"/>
          <w:szCs w:val="29"/>
        </w:rPr>
      </w:pPr>
    </w:p>
    <w:tbl>
      <w:tblPr>
        <w:tblW w:w="0" w:type="auto"/>
        <w:jc w:val="left"/>
        <w:tblInd w:w="1077" w:type="dxa"/>
        <w:tblLayout w:type="fixed"/>
        <w:tblCellMar>
          <w:top w:w="0" w:type="dxa"/>
          <w:left w:w="0" w:type="dxa"/>
          <w:bottom w:w="0" w:type="dxa"/>
          <w:right w:w="0" w:type="dxa"/>
        </w:tblCellMar>
        <w:tblLook w:val="01E0"/>
      </w:tblPr>
      <w:tblGrid>
        <w:gridCol w:w="3166"/>
        <w:gridCol w:w="2538"/>
        <w:gridCol w:w="2014"/>
        <w:gridCol w:w="2024"/>
      </w:tblGrid>
      <w:tr>
        <w:trPr>
          <w:trHeight w:val="542" w:hRule="exact"/>
        </w:trPr>
        <w:tc>
          <w:tcPr>
            <w:tcW w:w="3166"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53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163"/>
              <w:jc w:val="right"/>
              <w:rPr>
                <w:rFonts w:ascii="宋体" w:hAnsi="宋体" w:cs="宋体" w:eastAsia="宋体" w:hint="default"/>
                <w:sz w:val="18"/>
                <w:szCs w:val="18"/>
              </w:rPr>
            </w:pPr>
            <w:r>
              <w:rPr>
                <w:rFonts w:ascii="宋体" w:hAnsi="宋体" w:cs="宋体" w:eastAsia="宋体" w:hint="default"/>
                <w:sz w:val="18"/>
                <w:szCs w:val="18"/>
              </w:rPr>
              <w:t>医疗器械注册证</w:t>
            </w:r>
          </w:p>
        </w:tc>
        <w:tc>
          <w:tcPr>
            <w:tcW w:w="201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FDA</w:t>
            </w:r>
            <w:r>
              <w:rPr>
                <w:rFonts w:ascii="宋体" w:hAnsi="宋体" w:cs="宋体" w:eastAsia="宋体" w:hint="default"/>
                <w:sz w:val="18"/>
                <w:szCs w:val="18"/>
              </w:rPr>
              <w:t>注册</w:t>
            </w:r>
            <w:r>
              <w:rPr>
                <w:rFonts w:ascii="宋体" w:hAnsi="宋体" w:cs="宋体" w:eastAsia="宋体" w:hint="default"/>
                <w:sz w:val="18"/>
                <w:szCs w:val="18"/>
              </w:rPr>
              <w:t>K</w:t>
            </w:r>
            <w:r>
              <w:rPr>
                <w:rFonts w:ascii="宋体" w:hAnsi="宋体" w:cs="宋体" w:eastAsia="宋体" w:hint="default"/>
                <w:sz w:val="18"/>
                <w:szCs w:val="18"/>
              </w:rPr>
              <w:t>号</w:t>
            </w:r>
          </w:p>
        </w:tc>
        <w:tc>
          <w:tcPr>
            <w:tcW w:w="202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CE</w:t>
            </w:r>
            <w:r>
              <w:rPr>
                <w:rFonts w:ascii="宋体" w:hAnsi="宋体" w:cs="宋体" w:eastAsia="宋体" w:hint="default"/>
                <w:sz w:val="18"/>
                <w:szCs w:val="18"/>
              </w:rPr>
              <w:t>证</w:t>
            </w:r>
          </w:p>
        </w:tc>
      </w:tr>
      <w:tr>
        <w:trPr>
          <w:trHeight w:val="472"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48" w:right="0"/>
              <w:jc w:val="left"/>
              <w:rPr>
                <w:rFonts w:ascii="宋体" w:hAnsi="宋体" w:cs="宋体" w:eastAsia="宋体" w:hint="default"/>
                <w:sz w:val="18"/>
                <w:szCs w:val="18"/>
              </w:rPr>
            </w:pPr>
            <w:r>
              <w:rPr>
                <w:rFonts w:ascii="宋体" w:hAnsi="宋体" w:cs="宋体" w:eastAsia="宋体" w:hint="default"/>
                <w:sz w:val="18"/>
                <w:szCs w:val="18"/>
              </w:rPr>
              <w:t>本报告期末数量</w:t>
            </w: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183"/>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22"/>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61"/>
              <w:jc w:val="right"/>
              <w:rPr>
                <w:rFonts w:ascii="Times New Roman" w:hAnsi="Times New Roman" w:cs="Times New Roman" w:eastAsia="Times New Roman" w:hint="default"/>
                <w:sz w:val="18"/>
                <w:szCs w:val="18"/>
              </w:rPr>
            </w:pPr>
            <w:r>
              <w:rPr>
                <w:rFonts w:ascii="Times New Roman"/>
                <w:sz w:val="18"/>
              </w:rPr>
              <w:t>1</w:t>
            </w:r>
          </w:p>
        </w:tc>
      </w:tr>
      <w:tr>
        <w:trPr>
          <w:trHeight w:val="617"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678" w:right="0"/>
              <w:jc w:val="left"/>
              <w:rPr>
                <w:rFonts w:ascii="宋体" w:hAnsi="宋体" w:cs="宋体" w:eastAsia="宋体" w:hint="default"/>
                <w:sz w:val="18"/>
                <w:szCs w:val="18"/>
              </w:rPr>
            </w:pPr>
            <w:r>
              <w:rPr>
                <w:rFonts w:ascii="宋体" w:hAnsi="宋体" w:cs="宋体" w:eastAsia="宋体" w:hint="default"/>
                <w:sz w:val="18"/>
                <w:szCs w:val="18"/>
              </w:rPr>
              <w:t>去年同期末注册证数量</w:t>
            </w: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218"/>
              <w:jc w:val="right"/>
              <w:rPr>
                <w:rFonts w:ascii="Times New Roman" w:hAnsi="Times New Roman" w:cs="Times New Roman" w:eastAsia="Times New Roman" w:hint="default"/>
                <w:sz w:val="18"/>
                <w:szCs w:val="18"/>
              </w:rPr>
            </w:pPr>
            <w:r>
              <w:rPr>
                <w:rFonts w:ascii="Times New Roman"/>
                <w:sz w:val="18"/>
              </w:rPr>
              <w:t>5</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22"/>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61"/>
              <w:jc w:val="right"/>
              <w:rPr>
                <w:rFonts w:ascii="Times New Roman" w:hAnsi="Times New Roman" w:cs="Times New Roman" w:eastAsia="Times New Roman" w:hint="default"/>
                <w:sz w:val="18"/>
                <w:szCs w:val="18"/>
              </w:rPr>
            </w:pPr>
            <w:r>
              <w:rPr>
                <w:rFonts w:ascii="Times New Roman"/>
                <w:sz w:val="18"/>
              </w:rPr>
              <w:t>1</w:t>
            </w:r>
          </w:p>
        </w:tc>
      </w:tr>
      <w:tr>
        <w:trPr>
          <w:trHeight w:val="618"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408" w:right="0"/>
              <w:jc w:val="left"/>
              <w:rPr>
                <w:rFonts w:ascii="宋体" w:hAnsi="宋体" w:cs="宋体" w:eastAsia="宋体" w:hint="default"/>
                <w:sz w:val="18"/>
                <w:szCs w:val="18"/>
              </w:rPr>
            </w:pPr>
            <w:r>
              <w:rPr>
                <w:rFonts w:ascii="宋体" w:hAnsi="宋体" w:cs="宋体" w:eastAsia="宋体" w:hint="default"/>
                <w:sz w:val="18"/>
                <w:szCs w:val="18"/>
              </w:rPr>
              <w:t>本报告期新增或失效证书数量</w:t>
            </w: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218"/>
              <w:jc w:val="right"/>
              <w:rPr>
                <w:rFonts w:ascii="Times New Roman" w:hAnsi="Times New Roman" w:cs="Times New Roman" w:eastAsia="Times New Roman" w:hint="default"/>
                <w:sz w:val="18"/>
                <w:szCs w:val="18"/>
              </w:rPr>
            </w:pPr>
            <w:r>
              <w:rPr>
                <w:rFonts w:ascii="Times New Roman"/>
                <w:sz w:val="18"/>
              </w:rPr>
              <w:t>6</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57"/>
              <w:jc w:val="right"/>
              <w:rPr>
                <w:rFonts w:ascii="Times New Roman" w:hAnsi="Times New Roman" w:cs="Times New Roman" w:eastAsia="Times New Roman" w:hint="default"/>
                <w:sz w:val="18"/>
                <w:szCs w:val="18"/>
              </w:rPr>
            </w:pPr>
            <w:r>
              <w:rPr>
                <w:rFonts w:ascii="Times New Roman"/>
                <w:sz w:val="18"/>
              </w:rPr>
              <w:t>0</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6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2"/>
        <w:rPr>
          <w:rFonts w:ascii="宋体" w:hAnsi="宋体" w:cs="宋体" w:eastAsia="宋体" w:hint="default"/>
          <w:sz w:val="21"/>
          <w:szCs w:val="21"/>
        </w:rPr>
      </w:pPr>
    </w:p>
    <w:p>
      <w:pPr>
        <w:pStyle w:val="Heading3"/>
        <w:spacing w:line="240" w:lineRule="auto"/>
        <w:ind w:right="1015"/>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964,216,390.47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884,119,177.26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9.06%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968,319,732.67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805,942,162.74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20.15%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-4,103,342.20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78,177,014.52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-105.25%</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153,821,777.26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2,409,491.04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6,283.99%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364,183,126.58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59,071,217.72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516.52%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-210,361,349.32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-56,661,726.68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-271.26%</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110,876,526.89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234,610,721.27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-52.74%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95,756,496.18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30,411,040.34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214.87%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15,120,030.71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204,199,680.93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-92.60%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-200,843,232.87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229,681,178.07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-187.44%</w:t>
            </w:r>
            <w:r>
              <w:rPr>
                <w:rFonts w:ascii="Times New Roman"/>
                <w:sz w:val="18"/>
              </w:rPr>
            </w:r>
          </w:p>
        </w:tc>
      </w:tr>
    </w:tbl>
    <w:p>
      <w:pPr>
        <w:pStyle w:val="BodyText"/>
        <w:spacing w:line="240" w:lineRule="auto" w:before="51"/>
        <w:ind w:right="1015"/>
        <w:jc w:val="left"/>
      </w:pPr>
      <w:r>
        <w:rPr/>
        <w:t>相关数据同比发生重大变动的主要影响因素说明</w:t>
      </w:r>
    </w:p>
    <w:p>
      <w:pPr>
        <w:spacing w:after="0" w:line="240" w:lineRule="auto"/>
        <w:jc w:val="left"/>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left="1133" w:right="1015"/>
        <w:jc w:val="left"/>
      </w:pPr>
      <w:r>
        <w:rPr/>
        <w:t>√ 适用 □ 不适用</w:t>
      </w:r>
    </w:p>
    <w:p>
      <w:pPr>
        <w:pStyle w:val="BodyText"/>
        <w:spacing w:line="316" w:lineRule="auto" w:before="115"/>
        <w:ind w:left="1133" w:right="1123"/>
        <w:jc w:val="left"/>
      </w:pPr>
      <w:r>
        <w:rPr>
          <w:rFonts w:ascii="宋体" w:hAnsi="宋体" w:cs="宋体" w:eastAsia="宋体" w:hint="default"/>
        </w:rPr>
        <w:t>1</w:t>
      </w:r>
      <w:r>
        <w:rPr/>
        <w:t>、经营活动产生的现金流量净额本报告期较上年同期减少</w:t>
      </w:r>
      <w:r>
        <w:rPr>
          <w:rFonts w:ascii="宋体" w:hAnsi="宋体" w:cs="宋体" w:eastAsia="宋体" w:hint="default"/>
        </w:rPr>
        <w:t>8,009.72</w:t>
      </w:r>
      <w:r>
        <w:rPr/>
        <w:t>万元，变动幅度</w:t>
      </w:r>
      <w:r>
        <w:rPr>
          <w:rFonts w:ascii="宋体" w:hAnsi="宋体" w:cs="宋体" w:eastAsia="宋体" w:hint="default"/>
        </w:rPr>
        <w:t>-105.25%</w:t>
      </w:r>
      <w:r>
        <w:rPr/>
        <w:t>，主要系本报告期应收账款增 加及销售广告推广费用增加所致。 </w:t>
      </w:r>
      <w:r>
        <w:rPr>
          <w:rFonts w:ascii="宋体" w:hAnsi="宋体" w:cs="宋体" w:eastAsia="宋体" w:hint="default"/>
        </w:rPr>
        <w:t>2</w:t>
      </w:r>
      <w:r>
        <w:rPr/>
        <w:t>、投资活动现金流入小计本报告期较上年同期增加</w:t>
      </w:r>
      <w:r>
        <w:rPr>
          <w:rFonts w:ascii="宋体" w:hAnsi="宋体" w:cs="宋体" w:eastAsia="宋体" w:hint="default"/>
        </w:rPr>
        <w:t>15,141.23</w:t>
      </w:r>
      <w:r>
        <w:rPr/>
        <w:t>万元，变动幅度</w:t>
      </w:r>
      <w:r>
        <w:rPr>
          <w:rFonts w:ascii="宋体" w:hAnsi="宋体" w:cs="宋体" w:eastAsia="宋体" w:hint="default"/>
        </w:rPr>
        <w:t>6,283.99%</w:t>
      </w:r>
      <w:r>
        <w:rPr/>
        <w:t>，主要系报告期收回到期闲置募集 资金银行理财产品所致。 </w:t>
      </w:r>
      <w:r>
        <w:rPr>
          <w:rFonts w:ascii="宋体" w:hAnsi="宋体" w:cs="宋体" w:eastAsia="宋体" w:hint="default"/>
        </w:rPr>
        <w:t>3</w:t>
      </w:r>
      <w:r>
        <w:rPr/>
        <w:t>、投资活动现金流出小计本报告期较上年同期增加</w:t>
      </w:r>
      <w:r>
        <w:rPr>
          <w:rFonts w:ascii="宋体" w:hAnsi="宋体" w:cs="宋体" w:eastAsia="宋体" w:hint="default"/>
        </w:rPr>
        <w:t>30,511.19</w:t>
      </w:r>
      <w:r>
        <w:rPr/>
        <w:t>万元，变动幅度</w:t>
      </w:r>
      <w:r>
        <w:rPr>
          <w:rFonts w:ascii="宋体" w:hAnsi="宋体" w:cs="宋体" w:eastAsia="宋体" w:hint="default"/>
        </w:rPr>
        <w:t>516.52%</w:t>
      </w:r>
      <w:r>
        <w:rPr/>
        <w:t>，主要系本报告期闲置募集资金购买 银行理财产品及厂房建设投入所致。</w:t>
      </w:r>
    </w:p>
    <w:p>
      <w:pPr>
        <w:pStyle w:val="BodyText"/>
        <w:spacing w:line="316" w:lineRule="auto" w:before="19"/>
        <w:ind w:left="1133" w:right="1123"/>
        <w:jc w:val="left"/>
      </w:pPr>
      <w:r>
        <w:rPr>
          <w:rFonts w:ascii="宋体" w:hAnsi="宋体" w:cs="宋体" w:eastAsia="宋体" w:hint="default"/>
        </w:rPr>
        <w:t>4</w:t>
      </w:r>
      <w:r>
        <w:rPr/>
        <w:t>、筹资活动现金流入小计本报告期较上年同期减少</w:t>
      </w:r>
      <w:r>
        <w:rPr>
          <w:rFonts w:ascii="宋体" w:hAnsi="宋体" w:cs="宋体" w:eastAsia="宋体" w:hint="default"/>
        </w:rPr>
        <w:t>12,373.42</w:t>
      </w:r>
      <w:r>
        <w:rPr/>
        <w:t>万元，变动幅度</w:t>
      </w:r>
      <w:r>
        <w:rPr>
          <w:rFonts w:ascii="宋体" w:hAnsi="宋体" w:cs="宋体" w:eastAsia="宋体" w:hint="default"/>
        </w:rPr>
        <w:t>-52.74%</w:t>
      </w:r>
      <w:r>
        <w:rPr/>
        <w:t>，主要系上年度公司首次公开发行人 民币普通股（</w:t>
      </w:r>
      <w:r>
        <w:rPr>
          <w:rFonts w:ascii="宋体" w:hAnsi="宋体" w:cs="宋体" w:eastAsia="宋体" w:hint="default"/>
        </w:rPr>
        <w:t>A </w:t>
      </w:r>
      <w:r>
        <w:rPr/>
        <w:t>股）收到募集资金所致。</w:t>
      </w:r>
    </w:p>
    <w:p>
      <w:pPr>
        <w:pStyle w:val="BodyText"/>
        <w:spacing w:line="319" w:lineRule="auto" w:before="59"/>
        <w:ind w:left="1133" w:right="1117"/>
        <w:jc w:val="left"/>
      </w:pPr>
      <w:r>
        <w:rPr>
          <w:rFonts w:ascii="宋体" w:hAnsi="宋体" w:cs="宋体" w:eastAsia="宋体" w:hint="default"/>
        </w:rPr>
        <w:t>5</w:t>
      </w:r>
      <w:r>
        <w:rPr/>
        <w:t>、筹资活动现金流出小计本报告期较上年同期增加</w:t>
      </w:r>
      <w:r>
        <w:rPr>
          <w:spacing w:val="-58"/>
        </w:rPr>
        <w:t> </w:t>
      </w:r>
      <w:r>
        <w:rPr>
          <w:rFonts w:ascii="宋体" w:hAnsi="宋体" w:cs="宋体" w:eastAsia="宋体" w:hint="default"/>
        </w:rPr>
        <w:t>6,534.55</w:t>
      </w:r>
      <w:r>
        <w:rPr>
          <w:rFonts w:ascii="宋体" w:hAnsi="宋体" w:cs="宋体" w:eastAsia="宋体" w:hint="default"/>
          <w:spacing w:val="-58"/>
        </w:rPr>
        <w:t> </w:t>
      </w:r>
      <w:r>
        <w:rPr/>
        <w:t>万元，变动幅度</w:t>
      </w:r>
      <w:r>
        <w:rPr>
          <w:spacing w:val="-58"/>
        </w:rPr>
        <w:t> </w:t>
      </w:r>
      <w:r>
        <w:rPr>
          <w:rFonts w:ascii="宋体" w:hAnsi="宋体" w:cs="宋体" w:eastAsia="宋体" w:hint="default"/>
        </w:rPr>
        <w:t>214.87%</w:t>
      </w:r>
      <w:r>
        <w:rPr/>
        <w:t>，主要系本报告期偿还银行流动资金 借款所致。报告期内公司经营活动产生的现金净流量与本年度净利润存在重大差异的原因说明</w:t>
      </w:r>
    </w:p>
    <w:p>
      <w:pPr>
        <w:pStyle w:val="BodyText"/>
        <w:spacing w:line="240" w:lineRule="auto" w:before="56"/>
        <w:ind w:left="1133" w:right="1015"/>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1015"/>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3" w:right="1015"/>
        <w:jc w:val="left"/>
      </w:pPr>
      <w:r>
        <w:rPr/>
        <w:t>√ 适用 □ 不适用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7"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026"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4,884,174.83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18.99%</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1"/>
              <w:jc w:val="both"/>
              <w:rPr>
                <w:rFonts w:ascii="宋体" w:hAnsi="宋体" w:cs="宋体" w:eastAsia="宋体" w:hint="default"/>
                <w:sz w:val="18"/>
                <w:szCs w:val="18"/>
              </w:rPr>
            </w:pPr>
            <w:r>
              <w:rPr>
                <w:rFonts w:ascii="宋体" w:hAnsi="宋体" w:cs="宋体" w:eastAsia="宋体" w:hint="default"/>
                <w:sz w:val="18"/>
                <w:szCs w:val="18"/>
              </w:rPr>
              <w:t>主要系本报告期将闲置 募集资金购买银行理财 产品利息收益所致</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48"/>
              <w:jc w:val="left"/>
              <w:rPr>
                <w:rFonts w:ascii="宋体" w:hAnsi="宋体" w:cs="宋体" w:eastAsia="宋体" w:hint="default"/>
                <w:sz w:val="18"/>
                <w:szCs w:val="18"/>
              </w:rPr>
            </w:pPr>
            <w:r>
              <w:rPr>
                <w:rFonts w:ascii="宋体" w:hAnsi="宋体" w:cs="宋体" w:eastAsia="宋体" w:hint="default"/>
                <w:sz w:val="18"/>
                <w:szCs w:val="18"/>
              </w:rPr>
              <w:t>公允价值变动损 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934,600.00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3.63%</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1"/>
              <w:jc w:val="both"/>
              <w:rPr>
                <w:rFonts w:ascii="宋体" w:hAnsi="宋体" w:cs="宋体" w:eastAsia="宋体" w:hint="default"/>
                <w:sz w:val="18"/>
                <w:szCs w:val="18"/>
              </w:rPr>
            </w:pPr>
            <w:r>
              <w:rPr>
                <w:rFonts w:ascii="宋体" w:hAnsi="宋体" w:cs="宋体" w:eastAsia="宋体" w:hint="default"/>
                <w:sz w:val="18"/>
                <w:szCs w:val="18"/>
              </w:rPr>
              <w:t>主要系本报告期公司为 规避汇率波动风险签订 的远期外汇结算合约产 生的公允价值变动收益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2,715,957.27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10.56%</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1"/>
              <w:jc w:val="both"/>
              <w:rPr>
                <w:rFonts w:ascii="宋体" w:hAnsi="宋体" w:cs="宋体" w:eastAsia="宋体" w:hint="default"/>
                <w:sz w:val="18"/>
                <w:szCs w:val="18"/>
              </w:rPr>
            </w:pPr>
            <w:r>
              <w:rPr>
                <w:rFonts w:ascii="宋体" w:hAnsi="宋体" w:cs="宋体" w:eastAsia="宋体" w:hint="default"/>
                <w:sz w:val="18"/>
                <w:szCs w:val="18"/>
              </w:rPr>
              <w:t>主要系本报告期随应收 账款增加而新增计提的 坏账准备</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14,655,343.83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56.97%</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1"/>
              <w:jc w:val="left"/>
              <w:rPr>
                <w:rFonts w:ascii="宋体" w:hAnsi="宋体" w:cs="宋体" w:eastAsia="宋体" w:hint="default"/>
                <w:sz w:val="18"/>
                <w:szCs w:val="18"/>
              </w:rPr>
            </w:pPr>
            <w:r>
              <w:rPr>
                <w:rFonts w:ascii="宋体" w:hAnsi="宋体" w:cs="宋体" w:eastAsia="宋体" w:hint="default"/>
                <w:sz w:val="18"/>
                <w:szCs w:val="18"/>
              </w:rPr>
              <w:t>本期系本报告收到政府 补助增加所致</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1,209,561.37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4.70%</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1"/>
              <w:jc w:val="left"/>
              <w:rPr>
                <w:rFonts w:ascii="宋体" w:hAnsi="宋体" w:cs="宋体" w:eastAsia="宋体" w:hint="default"/>
                <w:sz w:val="18"/>
                <w:szCs w:val="18"/>
              </w:rPr>
            </w:pPr>
            <w:r>
              <w:rPr>
                <w:rFonts w:ascii="宋体" w:hAnsi="宋体" w:cs="宋体" w:eastAsia="宋体" w:hint="default"/>
                <w:sz w:val="18"/>
                <w:szCs w:val="18"/>
              </w:rPr>
              <w:t>主要系本报告期对外捐 赠增加所致</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3,098,555.20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12.05%</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1"/>
              <w:jc w:val="both"/>
              <w:rPr>
                <w:rFonts w:ascii="宋体" w:hAnsi="宋体" w:cs="宋体" w:eastAsia="宋体" w:hint="default"/>
                <w:sz w:val="18"/>
                <w:szCs w:val="18"/>
              </w:rPr>
            </w:pPr>
            <w:r>
              <w:rPr>
                <w:rFonts w:ascii="宋体" w:hAnsi="宋体" w:cs="宋体" w:eastAsia="宋体" w:hint="default"/>
                <w:sz w:val="18"/>
                <w:szCs w:val="18"/>
              </w:rPr>
              <w:t>主要系本报告嵌入式软 件增值税实际税负超过 </w:t>
            </w:r>
            <w:r>
              <w:rPr>
                <w:rFonts w:ascii="Times New Roman" w:hAnsi="Times New Roman" w:cs="Times New Roman" w:eastAsia="Times New Roman" w:hint="default"/>
                <w:sz w:val="18"/>
                <w:szCs w:val="18"/>
              </w:rPr>
              <w:t>3%</w:t>
            </w:r>
            <w:r>
              <w:rPr>
                <w:rFonts w:ascii="宋体" w:hAnsi="宋体" w:cs="宋体" w:eastAsia="宋体" w:hint="default"/>
                <w:sz w:val="18"/>
                <w:szCs w:val="18"/>
              </w:rPr>
              <w:t>的部分即征即退税</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8"/>
          <w:szCs w:val="18"/>
        </w:rPr>
      </w:pPr>
    </w:p>
    <w:p>
      <w:pPr>
        <w:pStyle w:val="Heading2"/>
        <w:spacing w:line="240" w:lineRule="auto" w:before="26"/>
        <w:ind w:right="1015"/>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15"/>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302" w:right="125"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149,303,384.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319,902,598.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-28.54</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2" w:right="105"/>
              <w:jc w:val="left"/>
              <w:rPr>
                <w:rFonts w:ascii="宋体" w:hAnsi="宋体" w:cs="宋体" w:eastAsia="宋体" w:hint="default"/>
                <w:sz w:val="18"/>
                <w:szCs w:val="18"/>
              </w:rPr>
            </w:pPr>
            <w:r>
              <w:rPr>
                <w:rFonts w:ascii="宋体" w:hAnsi="宋体" w:cs="宋体" w:eastAsia="宋体" w:hint="default"/>
                <w:sz w:val="18"/>
                <w:szCs w:val="18"/>
              </w:rPr>
              <w:t>主要系公司投资性支出增多及将闲 置募集资金购买银行理财产品所致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133,467,262.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89,176,337.2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4.21%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主要系调整部分客户信用账期所致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81,433,205.2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75,626,209.8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-0.63%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center"/>
              <w:rPr>
                <w:rFonts w:ascii="Times New Roman" w:hAnsi="Times New Roman" w:cs="Times New Roman" w:eastAsia="Times New Roman" w:hint="default"/>
                <w:sz w:val="18"/>
                <w:szCs w:val="18"/>
              </w:rPr>
            </w:pPr>
            <w:r>
              <w:rPr>
                <w:rFonts w:ascii="Times New Roman"/>
                <w:sz w:val="18"/>
              </w:rPr>
              <w:t>310,929.13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484,668.62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140,512,589.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18.61%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72,159,777.9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10.90%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7.71%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102" w:right="105"/>
              <w:jc w:val="left"/>
              <w:rPr>
                <w:rFonts w:ascii="宋体" w:hAnsi="宋体" w:cs="宋体" w:eastAsia="宋体" w:hint="default"/>
                <w:sz w:val="18"/>
                <w:szCs w:val="18"/>
              </w:rPr>
            </w:pPr>
            <w:r>
              <w:rPr>
                <w:rFonts w:ascii="宋体" w:hAnsi="宋体" w:cs="宋体" w:eastAsia="宋体" w:hint="default"/>
                <w:sz w:val="18"/>
                <w:szCs w:val="18"/>
              </w:rPr>
              <w:t>主要系本报告期在建工程东利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 </w:t>
            </w:r>
            <w:r>
              <w:rPr>
                <w:rFonts w:ascii="宋体" w:hAnsi="宋体" w:cs="宋体" w:eastAsia="宋体" w:hint="default"/>
                <w:sz w:val="18"/>
                <w:szCs w:val="18"/>
              </w:rPr>
              <w:t>号厂房工程、民众立体仓库工程、 东利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号厂房工程结转至固定资 产所致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pacing w:val="-1"/>
                <w:sz w:val="18"/>
              </w:rPr>
              <w:t>12,299,440.1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38,548,282.8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-4.19%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2" w:right="103"/>
              <w:jc w:val="left"/>
              <w:rPr>
                <w:rFonts w:ascii="宋体" w:hAnsi="宋体" w:cs="宋体" w:eastAsia="宋体" w:hint="default"/>
                <w:sz w:val="18"/>
                <w:szCs w:val="18"/>
              </w:rPr>
            </w:pPr>
            <w:r>
              <w:rPr>
                <w:rFonts w:ascii="宋体" w:hAnsi="宋体" w:cs="宋体" w:eastAsia="宋体" w:hint="default"/>
                <w:sz w:val="18"/>
                <w:szCs w:val="18"/>
              </w:rPr>
              <w:t>主要系本报告期内部分建工程完工 转入固定资产所致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29,077,190.0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3.85%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主要系本报告期公司增加不超过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240" w:lineRule="auto" w:before="64"/>
              <w:ind w:left="102" w:right="0"/>
              <w:jc w:val="left"/>
              <w:rPr>
                <w:rFonts w:ascii="宋体" w:hAnsi="宋体" w:cs="宋体" w:eastAsia="宋体" w:hint="default"/>
                <w:sz w:val="18"/>
                <w:szCs w:val="18"/>
              </w:rPr>
            </w:pPr>
            <w:r>
              <w:rPr>
                <w:rFonts w:ascii="宋体" w:hAnsi="宋体" w:cs="宋体" w:eastAsia="宋体" w:hint="default"/>
                <w:sz w:val="18"/>
                <w:szCs w:val="18"/>
              </w:rPr>
              <w:t>个月出口发票贸易融资所致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3,286,721.27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-0.50%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2" w:right="133"/>
              <w:jc w:val="left"/>
              <w:rPr>
                <w:rFonts w:ascii="宋体" w:hAnsi="宋体" w:cs="宋体" w:eastAsia="宋体" w:hint="default"/>
                <w:sz w:val="18"/>
                <w:szCs w:val="18"/>
              </w:rPr>
            </w:pPr>
            <w:r>
              <w:rPr>
                <w:rFonts w:ascii="宋体" w:hAnsi="宋体" w:cs="宋体" w:eastAsia="宋体" w:hint="default"/>
                <w:sz w:val="18"/>
                <w:szCs w:val="18"/>
              </w:rPr>
              <w:t>主要系公司偿还东利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号厂房工 程的贷款所致。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10,053,516.5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4,901,709.14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0.74%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0.59%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2" w:right="203"/>
              <w:jc w:val="left"/>
              <w:rPr>
                <w:rFonts w:ascii="宋体" w:hAnsi="宋体" w:cs="宋体" w:eastAsia="宋体" w:hint="default"/>
                <w:sz w:val="18"/>
                <w:szCs w:val="18"/>
              </w:rPr>
            </w:pPr>
            <w:r>
              <w:rPr>
                <w:rFonts w:ascii="宋体" w:hAnsi="宋体" w:cs="宋体" w:eastAsia="宋体" w:hint="default"/>
                <w:sz w:val="18"/>
                <w:szCs w:val="18"/>
              </w:rPr>
              <w:t>主要系本期预付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MIO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品牌在全球 范围内系列商标权所致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91,900,849.6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7,953,473.67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10.97%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2" w:right="105"/>
              <w:jc w:val="left"/>
              <w:rPr>
                <w:rFonts w:ascii="宋体" w:hAnsi="宋体" w:cs="宋体" w:eastAsia="宋体" w:hint="default"/>
                <w:sz w:val="18"/>
                <w:szCs w:val="18"/>
              </w:rPr>
            </w:pPr>
            <w:r>
              <w:rPr>
                <w:rFonts w:ascii="宋体" w:hAnsi="宋体" w:cs="宋体" w:eastAsia="宋体" w:hint="default"/>
                <w:sz w:val="18"/>
                <w:szCs w:val="18"/>
              </w:rPr>
              <w:t>主要系公司将闲置募集资金购买银 行理财产品所致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可供出售金融 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35,954,516.0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4.76%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2" w:right="640"/>
              <w:jc w:val="left"/>
              <w:rPr>
                <w:rFonts w:ascii="宋体" w:hAnsi="宋体" w:cs="宋体" w:eastAsia="宋体" w:hint="default"/>
                <w:sz w:val="18"/>
                <w:szCs w:val="18"/>
              </w:rPr>
            </w:pPr>
            <w:r>
              <w:rPr>
                <w:rFonts w:ascii="宋体" w:hAnsi="宋体" w:cs="宋体" w:eastAsia="宋体" w:hint="default"/>
                <w:sz w:val="18"/>
                <w:szCs w:val="18"/>
              </w:rPr>
              <w:t>主要系本期投资美国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Ambiq Micro,Inc.</w:t>
            </w:r>
            <w:r>
              <w:rPr>
                <w:rFonts w:ascii="宋体" w:hAnsi="宋体" w:cs="宋体" w:eastAsia="宋体" w:hint="default"/>
                <w:sz w:val="18"/>
                <w:szCs w:val="18"/>
              </w:rPr>
              <w:t>公司所致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20,681,165.4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2.74%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2" w:right="103"/>
              <w:jc w:val="both"/>
              <w:rPr>
                <w:rFonts w:ascii="宋体" w:hAnsi="宋体" w:cs="宋体" w:eastAsia="宋体" w:hint="default"/>
                <w:sz w:val="18"/>
                <w:szCs w:val="18"/>
              </w:rPr>
            </w:pPr>
            <w:r>
              <w:rPr>
                <w:rFonts w:ascii="宋体" w:hAnsi="宋体" w:cs="宋体" w:eastAsia="宋体" w:hint="default"/>
                <w:sz w:val="18"/>
                <w:szCs w:val="18"/>
              </w:rPr>
              <w:t>主要系本报告期公司因收购瑞康宏 业股权总成本与被购买方购买日可 辨认净资产的公允价值差额所致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23,584,291.4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3,807,810.27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2" w:right="105"/>
              <w:jc w:val="both"/>
              <w:rPr>
                <w:rFonts w:ascii="宋体" w:hAnsi="宋体" w:cs="宋体" w:eastAsia="宋体" w:hint="default"/>
                <w:sz w:val="18"/>
                <w:szCs w:val="18"/>
              </w:rPr>
            </w:pPr>
            <w:r>
              <w:rPr>
                <w:rFonts w:ascii="宋体" w:hAnsi="宋体" w:cs="宋体" w:eastAsia="宋体" w:hint="default"/>
                <w:sz w:val="18"/>
                <w:szCs w:val="18"/>
              </w:rPr>
              <w:t>主要系本报告期公司聘请运动手环 品牌代言人及相关费用、库珀有氧 大健康授权费增加所致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73"/>
              <w:jc w:val="left"/>
              <w:rPr>
                <w:rFonts w:ascii="宋体" w:hAnsi="宋体" w:cs="宋体" w:eastAsia="宋体" w:hint="default"/>
                <w:sz w:val="18"/>
                <w:szCs w:val="18"/>
              </w:rPr>
            </w:pPr>
            <w:r>
              <w:rPr>
                <w:rFonts w:ascii="宋体" w:hAnsi="宋体" w:cs="宋体" w:eastAsia="宋体" w:hint="default"/>
                <w:sz w:val="18"/>
                <w:szCs w:val="18"/>
              </w:rPr>
              <w:t>递延所得税资 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4,349,590.27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2,377,180.64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0.22%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2" w:right="103"/>
              <w:jc w:val="both"/>
              <w:rPr>
                <w:rFonts w:ascii="宋体" w:hAnsi="宋体" w:cs="宋体" w:eastAsia="宋体" w:hint="default"/>
                <w:sz w:val="18"/>
                <w:szCs w:val="18"/>
              </w:rPr>
            </w:pPr>
            <w:r>
              <w:rPr>
                <w:rFonts w:ascii="宋体" w:hAnsi="宋体" w:cs="宋体" w:eastAsia="宋体" w:hint="default"/>
                <w:sz w:val="18"/>
                <w:szCs w:val="18"/>
              </w:rPr>
              <w:t>主要系本报告期应收账款增加计提 坏账准备产生的递延所得税资产所 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92,854,607.6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12.30%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2" w:right="105"/>
              <w:jc w:val="left"/>
              <w:rPr>
                <w:rFonts w:ascii="宋体" w:hAnsi="宋体" w:cs="宋体" w:eastAsia="宋体" w:hint="default"/>
                <w:sz w:val="18"/>
                <w:szCs w:val="18"/>
              </w:rPr>
            </w:pPr>
            <w:r>
              <w:rPr>
                <w:rFonts w:ascii="宋体" w:hAnsi="宋体" w:cs="宋体" w:eastAsia="宋体" w:hint="default"/>
                <w:sz w:val="18"/>
                <w:szCs w:val="18"/>
              </w:rPr>
              <w:t>主要系本报告期公司变更部分供应 商结算方式由电汇付款改为支付银</w:t>
            </w:r>
          </w:p>
        </w:tc>
      </w:tr>
    </w:tbl>
    <w:p>
      <w:pPr>
        <w:spacing w:after="0" w:line="316"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行承兑汇票所致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62,877,100.8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97,370,914.4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-6.38%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05"/>
              <w:jc w:val="both"/>
              <w:rPr>
                <w:rFonts w:ascii="宋体" w:hAnsi="宋体" w:cs="宋体" w:eastAsia="宋体" w:hint="default"/>
                <w:sz w:val="18"/>
                <w:szCs w:val="18"/>
              </w:rPr>
            </w:pPr>
            <w:r>
              <w:rPr>
                <w:rFonts w:ascii="宋体" w:hAnsi="宋体" w:cs="宋体" w:eastAsia="宋体" w:hint="default"/>
                <w:sz w:val="18"/>
                <w:szCs w:val="18"/>
              </w:rPr>
              <w:t>主要系本报告期公司同部分供应商 变更付款方式，由电汇转为银行承 兑汇票所致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16,020,610.3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10,618,764.0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0.52%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05"/>
              <w:jc w:val="left"/>
              <w:rPr>
                <w:rFonts w:ascii="宋体" w:hAnsi="宋体" w:cs="宋体" w:eastAsia="宋体" w:hint="default"/>
                <w:sz w:val="18"/>
                <w:szCs w:val="18"/>
              </w:rPr>
            </w:pPr>
            <w:r>
              <w:rPr>
                <w:rFonts w:ascii="宋体" w:hAnsi="宋体" w:cs="宋体" w:eastAsia="宋体" w:hint="default"/>
                <w:sz w:val="18"/>
                <w:szCs w:val="18"/>
              </w:rPr>
              <w:t>主要系有订金结算条款的客户订单 量增加所致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14,215,683.8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26,266,790.0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03"/>
              <w:jc w:val="left"/>
              <w:rPr>
                <w:rFonts w:ascii="宋体" w:hAnsi="宋体" w:cs="宋体" w:eastAsia="宋体" w:hint="default"/>
                <w:sz w:val="18"/>
                <w:szCs w:val="18"/>
              </w:rPr>
            </w:pPr>
            <w:r>
              <w:rPr>
                <w:rFonts w:ascii="宋体" w:hAnsi="宋体" w:cs="宋体" w:eastAsia="宋体" w:hint="default"/>
                <w:sz w:val="18"/>
                <w:szCs w:val="18"/>
              </w:rPr>
              <w:t>主要本报告期系公司整体未达成绩 效，则未计提绩效奖金所致</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16,744,584.9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2.22%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38" w:right="0"/>
              <w:jc w:val="left"/>
              <w:rPr>
                <w:rFonts w:ascii="Times New Roman" w:hAnsi="Times New Roman" w:cs="Times New Roman" w:eastAsia="Times New Roman" w:hint="default"/>
                <w:sz w:val="18"/>
                <w:szCs w:val="18"/>
              </w:rPr>
            </w:pPr>
            <w:r>
              <w:rPr>
                <w:rFonts w:ascii="Times New Roman"/>
                <w:sz w:val="18"/>
              </w:rPr>
              <w:t>6,240,217.51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0.94%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1.28%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05"/>
              <w:jc w:val="both"/>
              <w:rPr>
                <w:rFonts w:ascii="宋体" w:hAnsi="宋体" w:cs="宋体" w:eastAsia="宋体" w:hint="default"/>
                <w:sz w:val="18"/>
                <w:szCs w:val="18"/>
              </w:rPr>
            </w:pPr>
            <w:r>
              <w:rPr>
                <w:rFonts w:ascii="宋体" w:hAnsi="宋体" w:cs="宋体" w:eastAsia="宋体" w:hint="default"/>
                <w:sz w:val="18"/>
                <w:szCs w:val="18"/>
              </w:rPr>
              <w:t>主要系截止于年末公司有未到期支 付的运动手环形象代言费、购买深 圳市瑞康宏业科技开发有限公司股 权尾款所致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188,800,000.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8.91%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16.10%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主要系资本公积转增股本所致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121,880,180.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251,680,180.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-21.86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主要系资本公积转增股本所致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28,935,212.3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23,159,945.0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0.33%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05"/>
              <w:jc w:val="left"/>
              <w:rPr>
                <w:rFonts w:ascii="宋体" w:hAnsi="宋体" w:cs="宋体" w:eastAsia="宋体" w:hint="default"/>
                <w:sz w:val="18"/>
                <w:szCs w:val="18"/>
              </w:rPr>
            </w:pPr>
            <w:r>
              <w:rPr>
                <w:rFonts w:ascii="宋体" w:hAnsi="宋体" w:cs="宋体" w:eastAsia="宋体" w:hint="default"/>
                <w:sz w:val="18"/>
                <w:szCs w:val="18"/>
              </w:rPr>
              <w:t>主要系本报告期计提法定盈余公积 所致</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15"/>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15"/>
        <w:jc w:val="left"/>
      </w:pPr>
      <w:r>
        <w:rPr/>
        <w:t>√ 适用 □ 不适用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86"/>
        <w:gridCol w:w="1156"/>
        <w:gridCol w:w="1155"/>
        <w:gridCol w:w="1153"/>
        <w:gridCol w:w="1154"/>
        <w:gridCol w:w="1155"/>
        <w:gridCol w:w="1153"/>
        <w:gridCol w:w="1154"/>
      </w:tblGrid>
      <w:tr>
        <w:trPr>
          <w:trHeight w:val="1026"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22" w:right="120"/>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1" w:right="120"/>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92" w:right="120" w:hanging="270"/>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1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82" w:right="120" w:hanging="360"/>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1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81" w:right="120"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956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650"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1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 量且其变动计入 当期损益的金融 资产（不含衍生 金融资产）</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934,600.00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934,600.00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934,600.00</w:t>
            </w:r>
          </w:p>
        </w:tc>
      </w:tr>
      <w:tr>
        <w:trPr>
          <w:trHeight w:val="402"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934,600.00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934,600.00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934,600.00</w:t>
            </w:r>
          </w:p>
        </w:tc>
      </w:tr>
      <w:tr>
        <w:trPr>
          <w:trHeight w:val="402"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015"/>
        <w:jc w:val="left"/>
      </w:pPr>
      <w:r>
        <w:rPr/>
        <w:t>报告期内公司主要资产计量属性是否发生重大变化</w:t>
      </w:r>
    </w:p>
    <w:p>
      <w:pPr>
        <w:pStyle w:val="BodyText"/>
        <w:spacing w:line="240" w:lineRule="auto" w:before="117"/>
        <w:ind w:right="1015"/>
        <w:jc w:val="left"/>
      </w:pPr>
      <w:r>
        <w:rPr/>
        <w:t>□ 是 √ 否</w:t>
      </w:r>
    </w:p>
    <w:p>
      <w:pPr>
        <w:spacing w:line="240" w:lineRule="auto" w:before="10"/>
        <w:rPr>
          <w:rFonts w:ascii="宋体" w:hAnsi="宋体" w:cs="宋体" w:eastAsia="宋体" w:hint="default"/>
          <w:sz w:val="26"/>
          <w:szCs w:val="26"/>
        </w:rPr>
      </w:pPr>
    </w:p>
    <w:p>
      <w:pPr>
        <w:pStyle w:val="Heading3"/>
        <w:spacing w:line="240" w:lineRule="auto"/>
        <w:ind w:left="1133" w:right="1015"/>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1"/>
          <w:szCs w:val="11"/>
        </w:rPr>
      </w:pPr>
    </w:p>
    <w:p>
      <w:pPr>
        <w:spacing w:line="1710" w:lineRule="exact"/>
        <w:ind w:left="1134" w:right="0" w:firstLine="0"/>
        <w:rPr>
          <w:rFonts w:ascii="宋体" w:hAnsi="宋体" w:cs="宋体" w:eastAsia="宋体" w:hint="default"/>
          <w:sz w:val="20"/>
          <w:szCs w:val="20"/>
        </w:rPr>
      </w:pPr>
      <w:r>
        <w:rPr>
          <w:rFonts w:ascii="宋体" w:hAnsi="宋体" w:cs="宋体" w:eastAsia="宋体" w:hint="default"/>
          <w:position w:val="-33"/>
          <w:sz w:val="20"/>
          <w:szCs w:val="20"/>
        </w:rPr>
        <w:drawing>
          <wp:inline distT="0" distB="0" distL="0" distR="0">
            <wp:extent cx="5314950" cy="1085850"/>
            <wp:effectExtent l="0" t="0" r="0" b="0"/>
            <wp:docPr id="15" name="image9.png" descr=""/>
            <wp:cNvGraphicFramePr>
              <a:graphicFrameLocks noChangeAspect="1"/>
            </wp:cNvGraphicFramePr>
            <a:graphic>
              <a:graphicData uri="http://schemas.openxmlformats.org/drawingml/2006/picture">
                <pic:pic>
                  <pic:nvPicPr>
                    <pic:cNvPr id="16" name="image9.png"/>
                    <pic:cNvPicPr/>
                  </pic:nvPicPr>
                  <pic:blipFill>
                    <a:blip r:embed="rId19" cstate="print"/>
                    <a:stretch>
                      <a:fillRect/>
                    </a:stretch>
                  </pic:blipFill>
                  <pic:spPr>
                    <a:xfrm>
                      <a:off x="0" y="0"/>
                      <a:ext cx="5314950" cy="1085850"/>
                    </a:xfrm>
                    <a:prstGeom prst="rect">
                      <a:avLst/>
                    </a:prstGeom>
                  </pic:spPr>
                </pic:pic>
              </a:graphicData>
            </a:graphic>
          </wp:inline>
        </w:drawing>
      </w:r>
      <w:r>
        <w:rPr>
          <w:rFonts w:ascii="宋体" w:hAnsi="宋体" w:cs="宋体" w:eastAsia="宋体" w:hint="default"/>
          <w:position w:val="-33"/>
          <w:sz w:val="20"/>
          <w:szCs w:val="20"/>
        </w:rPr>
      </w:r>
    </w:p>
    <w:p>
      <w:pPr>
        <w:pStyle w:val="Heading5"/>
        <w:spacing w:line="285" w:lineRule="auto" w:before="85"/>
        <w:ind w:right="1126"/>
        <w:jc w:val="left"/>
      </w:pPr>
      <w:r>
        <w:rPr>
          <w:spacing w:val="-3"/>
        </w:rPr>
        <w:t>说明：（</w:t>
      </w:r>
      <w:r>
        <w:rPr>
          <w:rFonts w:ascii="Times New Roman" w:hAnsi="Times New Roman" w:cs="Times New Roman" w:eastAsia="Times New Roman" w:hint="default"/>
          <w:spacing w:val="-3"/>
        </w:rPr>
        <w:t>1</w:t>
      </w:r>
      <w:r>
        <w:rPr>
          <w:spacing w:val="-3"/>
        </w:rPr>
        <w:t>）</w:t>
      </w:r>
      <w:r>
        <w:rPr>
          <w:spacing w:val="-45"/>
        </w:rPr>
        <w:t> </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12</w:t>
      </w:r>
      <w:r>
        <w:rPr/>
        <w:t>日，本公司与中国银行中山分行签订了编号为中型</w:t>
      </w:r>
      <w:r>
        <w:rPr>
          <w:rFonts w:ascii="宋体" w:hAnsi="宋体" w:cs="宋体" w:eastAsia="宋体" w:hint="default"/>
        </w:rPr>
        <w:t>-GDY476440120160033</w:t>
      </w:r>
      <w:r>
        <w:rPr/>
        <w:t>号的最高额抵押合</w:t>
      </w:r>
      <w:r>
        <w:rPr>
          <w:w w:val="99"/>
        </w:rPr>
        <w:t> </w:t>
      </w:r>
      <w:r>
        <w:rPr/>
        <w:t>同，将位于中山市火炬开发区东利村的土地使用权抵押给中国银行（土地面积</w:t>
      </w:r>
      <w:r>
        <w:rPr>
          <w:rFonts w:ascii="宋体" w:hAnsi="宋体" w:cs="宋体" w:eastAsia="宋体" w:hint="default"/>
        </w:rPr>
        <w:t>10,410.10</w:t>
      </w:r>
      <w:r>
        <w:rPr/>
        <w:t>平方米，证号为“中府国用</w:t>
      </w:r>
    </w:p>
    <w:p>
      <w:pPr>
        <w:pStyle w:val="Heading5"/>
        <w:spacing w:line="240" w:lineRule="auto" w:before="27"/>
        <w:ind w:right="1015"/>
        <w:jc w:val="left"/>
      </w:pPr>
      <w:r>
        <w:rPr/>
        <w:t>（</w:t>
      </w:r>
      <w:r>
        <w:rPr>
          <w:rFonts w:ascii="宋体" w:hAnsi="宋体" w:cs="宋体" w:eastAsia="宋体" w:hint="default"/>
        </w:rPr>
        <w:t>2013</w:t>
      </w:r>
      <w:r>
        <w:rPr/>
        <w:t>）第易</w:t>
      </w:r>
      <w:r>
        <w:rPr>
          <w:rFonts w:ascii="宋体" w:hAnsi="宋体" w:cs="宋体" w:eastAsia="宋体" w:hint="default"/>
        </w:rPr>
        <w:t>1507063</w:t>
      </w:r>
      <w:r>
        <w:rPr/>
        <w:t>号”）；</w:t>
      </w:r>
    </w:p>
    <w:p>
      <w:pPr>
        <w:pStyle w:val="Heading5"/>
        <w:spacing w:line="240" w:lineRule="auto" w:before="63"/>
        <w:ind w:left="1608" w:right="1015"/>
        <w:jc w:val="left"/>
      </w:pPr>
      <w:r>
        <w:rPr/>
        <w:t>（</w:t>
      </w:r>
      <w:r>
        <w:rPr>
          <w:rFonts w:ascii="Times New Roman" w:hAnsi="Times New Roman" w:cs="Times New Roman" w:eastAsia="Times New Roman" w:hint="default"/>
        </w:rPr>
        <w:t>2</w:t>
      </w:r>
      <w:r>
        <w:rPr/>
        <w:t>）受限资金为公司开具银行承兑汇票所存入的保证金。</w:t>
      </w:r>
    </w:p>
    <w:p>
      <w:pPr>
        <w:spacing w:line="240" w:lineRule="auto" w:before="9"/>
        <w:rPr>
          <w:rFonts w:ascii="宋体" w:hAnsi="宋体" w:cs="宋体" w:eastAsia="宋体" w:hint="default"/>
          <w:sz w:val="23"/>
          <w:szCs w:val="23"/>
        </w:rPr>
      </w:pPr>
    </w:p>
    <w:p>
      <w:pPr>
        <w:pStyle w:val="Heading2"/>
        <w:spacing w:line="240" w:lineRule="auto"/>
        <w:ind w:right="1015"/>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15"/>
        <w:jc w:val="left"/>
      </w:pPr>
      <w:r>
        <w:rPr/>
        <w:t>√ 适用 □ 不适用</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41" w:right="0"/>
              <w:jc w:val="left"/>
              <w:rPr>
                <w:rFonts w:ascii="Times New Roman" w:hAnsi="Times New Roman" w:cs="Times New Roman" w:eastAsia="Times New Roman" w:hint="default"/>
                <w:sz w:val="18"/>
                <w:szCs w:val="18"/>
              </w:rPr>
            </w:pPr>
            <w:r>
              <w:rPr>
                <w:rFonts w:ascii="Times New Roman"/>
                <w:sz w:val="18"/>
              </w:rPr>
              <w:t>73,228,444.04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41" w:right="0"/>
              <w:jc w:val="left"/>
              <w:rPr>
                <w:rFonts w:ascii="Times New Roman" w:hAnsi="Times New Roman" w:cs="Times New Roman" w:eastAsia="Times New Roman" w:hint="default"/>
                <w:sz w:val="18"/>
                <w:szCs w:val="18"/>
              </w:rPr>
            </w:pPr>
            <w:r>
              <w:rPr>
                <w:rFonts w:ascii="Times New Roman"/>
                <w:sz w:val="18"/>
              </w:rPr>
              <w:t>17,208,603.23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325.53%</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15"/>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015"/>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15"/>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015"/>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15"/>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015"/>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15"/>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015"/>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15"/>
        <w:jc w:val="left"/>
      </w:pPr>
      <w:r>
        <w:rPr/>
        <w:t>√ 适用 □ 不适用</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37" w:right="156" w:hanging="180"/>
              <w:jc w:val="left"/>
              <w:rPr>
                <w:rFonts w:ascii="宋体" w:hAnsi="宋体" w:cs="宋体" w:eastAsia="宋体" w:hint="default"/>
                <w:sz w:val="18"/>
                <w:szCs w:val="18"/>
              </w:rPr>
            </w:pPr>
            <w:r>
              <w:rPr>
                <w:rFonts w:ascii="宋体" w:hAnsi="宋体" w:cs="宋体" w:eastAsia="宋体" w:hint="default"/>
                <w:sz w:val="18"/>
                <w:szCs w:val="18"/>
              </w:rPr>
              <w:t>募集年 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39" w:right="158" w:hanging="180"/>
              <w:jc w:val="left"/>
              <w:rPr>
                <w:rFonts w:ascii="宋体" w:hAnsi="宋体" w:cs="宋体" w:eastAsia="宋体" w:hint="default"/>
                <w:sz w:val="18"/>
                <w:szCs w:val="18"/>
              </w:rPr>
            </w:pPr>
            <w:r>
              <w:rPr>
                <w:rFonts w:ascii="宋体" w:hAnsi="宋体" w:cs="宋体" w:eastAsia="宋体" w:hint="default"/>
                <w:sz w:val="18"/>
                <w:szCs w:val="18"/>
              </w:rPr>
              <w:t>募集方 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59" w:right="158"/>
              <w:jc w:val="left"/>
              <w:rPr>
                <w:rFonts w:ascii="宋体" w:hAnsi="宋体" w:cs="宋体" w:eastAsia="宋体" w:hint="default"/>
                <w:sz w:val="18"/>
                <w:szCs w:val="18"/>
              </w:rPr>
            </w:pPr>
            <w:r>
              <w:rPr>
                <w:rFonts w:ascii="宋体" w:hAnsi="宋体" w:cs="宋体" w:eastAsia="宋体" w:hint="default"/>
                <w:sz w:val="18"/>
                <w:szCs w:val="18"/>
              </w:rPr>
              <w:t>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9" w:right="158"/>
              <w:jc w:val="both"/>
              <w:rPr>
                <w:rFonts w:ascii="宋体" w:hAnsi="宋体" w:cs="宋体" w:eastAsia="宋体" w:hint="default"/>
                <w:sz w:val="18"/>
                <w:szCs w:val="18"/>
              </w:rPr>
            </w:pPr>
            <w:r>
              <w:rPr>
                <w:rFonts w:ascii="宋体" w:hAnsi="宋体" w:cs="宋体" w:eastAsia="宋体" w:hint="default"/>
                <w:sz w:val="18"/>
                <w:szCs w:val="18"/>
              </w:rPr>
              <w:t>本期已 使用募 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9" w:right="159"/>
              <w:jc w:val="both"/>
              <w:rPr>
                <w:rFonts w:ascii="宋体" w:hAnsi="宋体" w:cs="宋体" w:eastAsia="宋体" w:hint="default"/>
                <w:sz w:val="18"/>
                <w:szCs w:val="18"/>
              </w:rPr>
            </w:pPr>
            <w:r>
              <w:rPr>
                <w:rFonts w:ascii="宋体" w:hAnsi="宋体" w:cs="宋体" w:eastAsia="宋体" w:hint="default"/>
                <w:sz w:val="18"/>
                <w:szCs w:val="18"/>
              </w:rPr>
              <w:t>已累计 使用募 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159" w:right="157"/>
              <w:jc w:val="both"/>
              <w:rPr>
                <w:rFonts w:ascii="宋体" w:hAnsi="宋体" w:cs="宋体" w:eastAsia="宋体" w:hint="default"/>
                <w:sz w:val="18"/>
                <w:szCs w:val="18"/>
              </w:rPr>
            </w:pPr>
            <w:r>
              <w:rPr>
                <w:rFonts w:ascii="宋体" w:hAnsi="宋体" w:cs="宋体" w:eastAsia="宋体" w:hint="default"/>
                <w:sz w:val="18"/>
                <w:szCs w:val="18"/>
              </w:rPr>
              <w:t>报告期 内变更 用途的 募集资</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159" w:right="158"/>
              <w:jc w:val="both"/>
              <w:rPr>
                <w:rFonts w:ascii="宋体" w:hAnsi="宋体" w:cs="宋体" w:eastAsia="宋体" w:hint="default"/>
                <w:sz w:val="18"/>
                <w:szCs w:val="18"/>
              </w:rPr>
            </w:pPr>
            <w:r>
              <w:rPr>
                <w:rFonts w:ascii="宋体" w:hAnsi="宋体" w:cs="宋体" w:eastAsia="宋体" w:hint="default"/>
                <w:sz w:val="18"/>
                <w:szCs w:val="18"/>
              </w:rPr>
              <w:t>累计变 更用途 的募集 资金总</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159" w:right="158"/>
              <w:jc w:val="both"/>
              <w:rPr>
                <w:rFonts w:ascii="宋体" w:hAnsi="宋体" w:cs="宋体" w:eastAsia="宋体" w:hint="default"/>
                <w:sz w:val="18"/>
                <w:szCs w:val="18"/>
              </w:rPr>
            </w:pPr>
            <w:r>
              <w:rPr>
                <w:rFonts w:ascii="宋体" w:hAnsi="宋体" w:cs="宋体" w:eastAsia="宋体" w:hint="default"/>
                <w:sz w:val="18"/>
                <w:szCs w:val="18"/>
              </w:rPr>
              <w:t>累计变 更用途 的募集 资金总</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0" w:right="158"/>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159" w:right="158"/>
              <w:jc w:val="both"/>
              <w:rPr>
                <w:rFonts w:ascii="宋体" w:hAnsi="宋体" w:cs="宋体" w:eastAsia="宋体" w:hint="default"/>
                <w:sz w:val="18"/>
                <w:szCs w:val="18"/>
              </w:rPr>
            </w:pPr>
            <w:r>
              <w:rPr>
                <w:rFonts w:ascii="宋体" w:hAnsi="宋体" w:cs="宋体" w:eastAsia="宋体" w:hint="default"/>
                <w:sz w:val="18"/>
                <w:szCs w:val="18"/>
              </w:rPr>
              <w:t>尚未使 用募集 资金用 途及去</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9" w:right="157"/>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bl>
    <w:p>
      <w:pPr>
        <w:spacing w:after="0" w:line="319" w:lineRule="auto"/>
        <w:jc w:val="both"/>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36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9" w:right="0"/>
              <w:jc w:val="left"/>
              <w:rPr>
                <w:rFonts w:ascii="宋体" w:hAnsi="宋体" w:cs="宋体" w:eastAsia="宋体" w:hint="default"/>
                <w:sz w:val="18"/>
                <w:szCs w:val="18"/>
              </w:rPr>
            </w:pPr>
            <w:r>
              <w:rPr>
                <w:rFonts w:ascii="宋体" w:hAnsi="宋体" w:cs="宋体" w:eastAsia="宋体" w:hint="default"/>
                <w:sz w:val="18"/>
                <w:szCs w:val="18"/>
              </w:rPr>
              <w:t>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58"/>
              <w:jc w:val="right"/>
              <w:rPr>
                <w:rFonts w:ascii="宋体" w:hAnsi="宋体" w:cs="宋体" w:eastAsia="宋体" w:hint="default"/>
                <w:sz w:val="18"/>
                <w:szCs w:val="18"/>
              </w:rPr>
            </w:pPr>
            <w:r>
              <w:rPr>
                <w:rFonts w:ascii="宋体" w:hAnsi="宋体" w:cs="宋体" w:eastAsia="宋体" w:hint="default"/>
                <w:sz w:val="18"/>
                <w:szCs w:val="18"/>
              </w:rPr>
              <w:t>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39" w:right="0"/>
              <w:jc w:val="left"/>
              <w:rPr>
                <w:rFonts w:ascii="宋体" w:hAnsi="宋体" w:cs="宋体" w:eastAsia="宋体" w:hint="default"/>
                <w:sz w:val="18"/>
                <w:szCs w:val="18"/>
              </w:rPr>
            </w:pPr>
            <w:r>
              <w:rPr>
                <w:rFonts w:ascii="宋体" w:hAnsi="宋体" w:cs="宋体" w:eastAsia="宋体" w:hint="default"/>
                <w:sz w:val="18"/>
                <w:szCs w:val="18"/>
              </w:rPr>
              <w:t>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70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103" w:right="215"/>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20,926.0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127" w:right="0"/>
              <w:jc w:val="left"/>
              <w:rPr>
                <w:rFonts w:ascii="Times New Roman" w:hAnsi="Times New Roman" w:cs="Times New Roman" w:eastAsia="Times New Roman" w:hint="default"/>
                <w:sz w:val="18"/>
                <w:szCs w:val="18"/>
              </w:rPr>
            </w:pPr>
            <w:r>
              <w:rPr>
                <w:rFonts w:ascii="Times New Roman"/>
                <w:sz w:val="18"/>
              </w:rPr>
              <w:t>9,733.55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127" w:right="0"/>
              <w:jc w:val="left"/>
              <w:rPr>
                <w:rFonts w:ascii="Times New Roman" w:hAnsi="Times New Roman" w:cs="Times New Roman" w:eastAsia="Times New Roman" w:hint="default"/>
                <w:sz w:val="18"/>
                <w:szCs w:val="18"/>
              </w:rPr>
            </w:pPr>
            <w:r>
              <w:rPr>
                <w:rFonts w:ascii="Times New Roman"/>
                <w:sz w:val="18"/>
              </w:rPr>
              <w:t>9,953.36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w w:val="95"/>
                <w:sz w:val="18"/>
              </w:rPr>
              <w:t>11,229.7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103" w:right="124"/>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其中人 民币 </w:t>
            </w:r>
            <w:r>
              <w:rPr>
                <w:rFonts w:ascii="Times New Roman" w:hAnsi="Times New Roman" w:cs="Times New Roman" w:eastAsia="Times New Roman" w:hint="default"/>
                <w:sz w:val="18"/>
                <w:szCs w:val="18"/>
              </w:rPr>
              <w:t>3,229.76</w:t>
            </w:r>
          </w:p>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万元存</w:t>
            </w:r>
          </w:p>
          <w:p>
            <w:pPr>
              <w:pStyle w:val="TableParagraph"/>
              <w:spacing w:line="316" w:lineRule="auto" w:before="76"/>
              <w:ind w:left="103" w:right="101"/>
              <w:jc w:val="left"/>
              <w:rPr>
                <w:rFonts w:ascii="宋体" w:hAnsi="宋体" w:cs="宋体" w:eastAsia="宋体" w:hint="default"/>
                <w:sz w:val="18"/>
                <w:szCs w:val="18"/>
              </w:rPr>
            </w:pPr>
            <w:r>
              <w:rPr>
                <w:rFonts w:ascii="宋体" w:hAnsi="宋体" w:cs="宋体" w:eastAsia="宋体" w:hint="default"/>
                <w:sz w:val="18"/>
                <w:szCs w:val="18"/>
              </w:rPr>
              <w:t>放于募 集资金 开户银 行的活 期账户 </w:t>
            </w:r>
            <w:r>
              <w:rPr>
                <w:rFonts w:ascii="宋体" w:hAnsi="宋体" w:cs="宋体" w:eastAsia="宋体" w:hint="default"/>
                <w:spacing w:val="-17"/>
                <w:sz w:val="18"/>
                <w:szCs w:val="18"/>
              </w:rPr>
              <w:t>内；另人</w:t>
            </w:r>
            <w:r>
              <w:rPr>
                <w:rFonts w:ascii="宋体" w:hAnsi="宋体" w:cs="宋体" w:eastAsia="宋体" w:hint="default"/>
                <w:sz w:val="18"/>
                <w:szCs w:val="18"/>
              </w:rPr>
              <w:t> 民币</w:t>
            </w:r>
          </w:p>
          <w:p>
            <w:pPr>
              <w:pStyle w:val="TableParagraph"/>
              <w:spacing w:line="240" w:lineRule="auto" w:before="58"/>
              <w:ind w:left="103"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319" w:lineRule="auto" w:before="65"/>
              <w:ind w:left="103" w:right="215"/>
              <w:jc w:val="both"/>
              <w:rPr>
                <w:rFonts w:ascii="宋体" w:hAnsi="宋体" w:cs="宋体" w:eastAsia="宋体" w:hint="default"/>
                <w:sz w:val="18"/>
                <w:szCs w:val="18"/>
              </w:rPr>
            </w:pPr>
            <w:r>
              <w:rPr>
                <w:rFonts w:ascii="宋体" w:hAnsi="宋体" w:cs="宋体" w:eastAsia="宋体" w:hint="default"/>
                <w:sz w:val="18"/>
                <w:szCs w:val="18"/>
              </w:rPr>
              <w:t>万元闲 置募集 资金存 放于理 财账户 内</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20,926.0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9,733.55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9,953.36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w w:val="95"/>
                <w:sz w:val="18"/>
              </w:rPr>
              <w:t>11,229.7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666"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宋体" w:hAnsi="宋体" w:cs="宋体" w:eastAsia="宋体" w:hint="default"/>
                <w:sz w:val="18"/>
                <w:szCs w:val="18"/>
              </w:rPr>
              <w:t>募集资金情况</w:t>
            </w:r>
          </w:p>
          <w:p>
            <w:pPr>
              <w:pStyle w:val="TableParagraph"/>
              <w:spacing w:line="300" w:lineRule="auto" w:before="116"/>
              <w:ind w:left="103" w:right="1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、根据中国证券监督管理委员会“证监许可</w:t>
            </w:r>
            <w:r>
              <w:rPr>
                <w:rFonts w:ascii="Times New Roman" w:hAnsi="Times New Roman" w:cs="Times New Roman" w:eastAsia="Times New Roman" w:hint="default"/>
                <w:sz w:val="18"/>
                <w:szCs w:val="18"/>
              </w:rPr>
              <w:t>[2016]2432</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号”《关于核准广东乐心医疗电子股份有限公司首次公开发行股</w:t>
            </w:r>
            <w:r>
              <w:rPr>
                <w:rFonts w:ascii="宋体" w:hAnsi="宋体" w:cs="宋体" w:eastAsia="宋体" w:hint="default"/>
                <w:sz w:val="18"/>
                <w:szCs w:val="18"/>
              </w:rPr>
              <w:t> 票的批复》核准，公司向社会公众公开发行人民币普通股（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14,800,000.00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股，每股面值人民币</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元，每股发行 价为人民币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15.63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元，募集资金总额为人民币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231,324,000.00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元，扣除发行费用人民币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22,063,900.00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元，实际募集资金</w:t>
            </w:r>
          </w:p>
          <w:p>
            <w:pPr>
              <w:pStyle w:val="TableParagraph"/>
              <w:spacing w:line="240" w:lineRule="auto" w:before="14"/>
              <w:ind w:left="103" w:right="0"/>
              <w:jc w:val="both"/>
              <w:rPr>
                <w:rFonts w:ascii="宋体" w:hAnsi="宋体" w:cs="宋体" w:eastAsia="宋体" w:hint="default"/>
                <w:sz w:val="18"/>
                <w:szCs w:val="18"/>
              </w:rPr>
            </w:pPr>
            <w:r>
              <w:rPr>
                <w:rFonts w:ascii="宋体" w:hAnsi="宋体" w:cs="宋体" w:eastAsia="宋体" w:hint="default"/>
                <w:sz w:val="18"/>
                <w:szCs w:val="18"/>
              </w:rPr>
              <w:t>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209,260,100.00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300" w:lineRule="auto" w:before="101"/>
              <w:ind w:left="10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6"/>
                <w:sz w:val="18"/>
                <w:szCs w:val="18"/>
              </w:rPr>
              <w:t> </w:t>
            </w:r>
            <w:r>
              <w:rPr>
                <w:rFonts w:ascii="宋体" w:hAnsi="宋体" w:cs="宋体" w:eastAsia="宋体" w:hint="default"/>
                <w:sz w:val="18"/>
                <w:szCs w:val="18"/>
              </w:rPr>
              <w:t>截止上年末，公司募集资金专户余额为人民币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207,404,773.64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年度公司募集资金专户收到的利息收入扣除 银行手续费后的净额为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2,228,297.09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元；报告期内公司实际使用募集资金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37,335,512.80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公司累计使用闲置募集资金</w:t>
            </w:r>
          </w:p>
          <w:p>
            <w:pPr>
              <w:pStyle w:val="TableParagraph"/>
              <w:spacing w:line="240" w:lineRule="auto" w:before="14"/>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60,000,000.00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元临时补充流动资金，截止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日，公司募集资金专户余额为人民币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112,297,557.93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15"/>
        <w:jc w:val="left"/>
      </w:pPr>
      <w:r>
        <w:rPr/>
        <w:t>√ 适用 □ 不适用</w:t>
      </w:r>
    </w:p>
    <w:p>
      <w:pPr>
        <w:pStyle w:val="BodyText"/>
        <w:spacing w:line="240" w:lineRule="auto" w:before="116"/>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650"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429" w:right="15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14"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 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15" w:right="11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5"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3" w:right="11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15"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2"/>
              <w:ind w:left="115"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5" w:right="11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5" w:right="113"/>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5" w:right="113"/>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5" w:right="113"/>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1"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3"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、生产基地建设项</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7" w:right="0"/>
              <w:jc w:val="left"/>
              <w:rPr>
                <w:rFonts w:ascii="Times New Roman" w:hAnsi="Times New Roman" w:cs="Times New Roman" w:eastAsia="Times New Roman" w:hint="default"/>
                <w:sz w:val="18"/>
                <w:szCs w:val="18"/>
              </w:rPr>
            </w:pPr>
            <w:r>
              <w:rPr>
                <w:rFonts w:ascii="Times New Roman"/>
                <w:sz w:val="18"/>
              </w:rPr>
              <w:t>13,654.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7" w:right="0"/>
              <w:jc w:val="left"/>
              <w:rPr>
                <w:rFonts w:ascii="Times New Roman" w:hAnsi="Times New Roman" w:cs="Times New Roman" w:eastAsia="Times New Roman" w:hint="default"/>
                <w:sz w:val="18"/>
                <w:szCs w:val="18"/>
              </w:rPr>
            </w:pPr>
            <w:r>
              <w:rPr>
                <w:rFonts w:ascii="Times New Roman"/>
                <w:sz w:val="18"/>
              </w:rPr>
              <w:t>13,654.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6" w:right="0"/>
              <w:jc w:val="left"/>
              <w:rPr>
                <w:rFonts w:ascii="Times New Roman" w:hAnsi="Times New Roman" w:cs="Times New Roman" w:eastAsia="Times New Roman" w:hint="default"/>
                <w:sz w:val="18"/>
                <w:szCs w:val="18"/>
              </w:rPr>
            </w:pPr>
            <w:r>
              <w:rPr>
                <w:rFonts w:ascii="Times New Roman"/>
                <w:sz w:val="18"/>
              </w:rPr>
              <w:t>2,550.5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7" w:right="0"/>
              <w:jc w:val="left"/>
              <w:rPr>
                <w:rFonts w:ascii="Times New Roman" w:hAnsi="Times New Roman" w:cs="Times New Roman" w:eastAsia="Times New Roman" w:hint="default"/>
                <w:sz w:val="18"/>
                <w:szCs w:val="18"/>
              </w:rPr>
            </w:pPr>
            <w:r>
              <w:rPr>
                <w:rFonts w:ascii="Times New Roman"/>
                <w:sz w:val="18"/>
              </w:rPr>
              <w:t>2,770.3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2" w:right="0"/>
              <w:jc w:val="left"/>
              <w:rPr>
                <w:rFonts w:ascii="Times New Roman" w:hAnsi="Times New Roman" w:cs="Times New Roman" w:eastAsia="Times New Roman" w:hint="default"/>
                <w:sz w:val="18"/>
                <w:szCs w:val="18"/>
              </w:rPr>
            </w:pPr>
            <w:r>
              <w:rPr>
                <w:rFonts w:ascii="Times New Roman"/>
                <w:sz w:val="18"/>
              </w:rPr>
              <w:t>20.29%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67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、研发中心建设项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5,708.7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5,708.7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591.08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591.08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10.35%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、营销网络优化建 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1,562.3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1,562.3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591.92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591.92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37.89%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9"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20,926.</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20,926.</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01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3,733.5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3,953.3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20,926.</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20,926.</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01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3,733.5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3,953.3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35"/>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报告期无</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15"/>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报告期无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103" w:right="101"/>
              <w:jc w:val="left"/>
              <w:rPr>
                <w:rFonts w:ascii="宋体" w:hAnsi="宋体" w:cs="宋体" w:eastAsia="宋体" w:hint="default"/>
                <w:sz w:val="18"/>
                <w:szCs w:val="18"/>
              </w:rPr>
            </w:pPr>
            <w:r>
              <w:rPr>
                <w:rFonts w:ascii="宋体" w:hAnsi="宋体" w:cs="宋体" w:eastAsia="宋体" w:hint="default"/>
                <w:spacing w:val="-8"/>
                <w:sz w:val="18"/>
                <w:szCs w:val="18"/>
              </w:rPr>
              <w:t>超募资金的金额、用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途及使用进展情况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103" w:right="215"/>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103" w:right="215"/>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1026"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23"/>
              <w:jc w:val="both"/>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日公司第二届董事会第六次会议和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股东大会上审议通过了《关于变更部分募投项目实施主体的议案》，公司将“营销网络优化建设 项目”实施主体变更为公司全资子公司深圳市乐心医疗电子有限公司。</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19" w:lineRule="auto"/>
              <w:ind w:left="103" w:right="215"/>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日召开第二届董事会第十三次会议、第二届监事会第十次会议，审议通过</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了《关于使用部分闲置募集资金暂时补充流动资金的议案》，同意公司使用不超过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置募集资金暂时补充流动资金，使用期限自董事会审议通过之日起不超过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1"/>
                <w:sz w:val="18"/>
                <w:szCs w:val="18"/>
              </w:rPr>
              <w:t> </w:t>
            </w:r>
            <w:r>
              <w:rPr>
                <w:rFonts w:ascii="宋体" w:hAnsi="宋体" w:cs="宋体" w:eastAsia="宋体" w:hint="default"/>
                <w:spacing w:val="-3"/>
                <w:sz w:val="18"/>
                <w:szCs w:val="18"/>
              </w:rPr>
              <w:t>个月。截至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日，公司累计使用闲置募集资金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万元临时补充流动资金，累计已归还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项目实施出现募集</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770"/>
        <w:gridCol w:w="7798"/>
      </w:tblGrid>
      <w:tr>
        <w:trPr>
          <w:trHeight w:val="67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03" w:right="215"/>
              <w:jc w:val="left"/>
              <w:rPr>
                <w:rFonts w:ascii="宋体" w:hAnsi="宋体" w:cs="宋体" w:eastAsia="宋体" w:hint="default"/>
                <w:sz w:val="18"/>
                <w:szCs w:val="18"/>
              </w:rPr>
            </w:pPr>
            <w:r>
              <w:rPr>
                <w:rFonts w:ascii="宋体" w:hAnsi="宋体" w:cs="宋体" w:eastAsia="宋体" w:hint="default"/>
                <w:sz w:val="18"/>
                <w:szCs w:val="18"/>
              </w:rPr>
              <w:t>资金结余的金额及 原因</w:t>
            </w: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15"/>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日，公司剩余尚未使用的募集资金及利息总额为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11,229.76</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万元，其中</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8,000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万元已进行现金管理（已履行相关审批程序）。</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不存在。</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15"/>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332"/>
        <w:jc w:val="left"/>
      </w:pPr>
      <w:r>
        <w:rPr/>
        <w:t>□ 适用 √ 不适用 公司报告期不存在募集资金变更项目情况。</w:t>
      </w:r>
    </w:p>
    <w:p>
      <w:pPr>
        <w:spacing w:line="240" w:lineRule="auto" w:before="4"/>
        <w:rPr>
          <w:rFonts w:ascii="宋体" w:hAnsi="宋体" w:cs="宋体" w:eastAsia="宋体" w:hint="default"/>
          <w:sz w:val="18"/>
          <w:szCs w:val="18"/>
        </w:rPr>
      </w:pPr>
    </w:p>
    <w:p>
      <w:pPr>
        <w:pStyle w:val="Heading2"/>
        <w:spacing w:line="240" w:lineRule="auto"/>
        <w:ind w:right="1015"/>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 适用 √ 不适用 公司报告期未出售重大资产。</w:t>
      </w:r>
    </w:p>
    <w:p>
      <w:pPr>
        <w:spacing w:line="240" w:lineRule="auto" w:before="13"/>
        <w:rPr>
          <w:rFonts w:ascii="宋体" w:hAnsi="宋体" w:cs="宋体" w:eastAsia="宋体" w:hint="default"/>
          <w:sz w:val="19"/>
          <w:szCs w:val="19"/>
        </w:rPr>
      </w:pPr>
    </w:p>
    <w:p>
      <w:pPr>
        <w:pStyle w:val="Heading3"/>
        <w:spacing w:line="240" w:lineRule="auto"/>
        <w:ind w:right="1015"/>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15"/>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1015"/>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0" w:right="0"/>
        </w:sectPr>
      </w:pPr>
    </w:p>
    <w:p>
      <w:pPr>
        <w:pStyle w:val="BodyText"/>
        <w:spacing w:line="240" w:lineRule="auto" w:before="44"/>
        <w:ind w:left="1133" w:right="-20"/>
        <w:jc w:val="left"/>
      </w:pPr>
      <w:r>
        <w:rPr/>
        <w:t>√ 适用 □ 不适用</w:t>
      </w:r>
    </w:p>
    <w:p>
      <w:pPr>
        <w:pStyle w:val="BodyText"/>
        <w:spacing w:line="240" w:lineRule="auto" w:before="116"/>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100" w:bottom="1200" w:left="0" w:right="0"/>
          <w:cols w:num="2" w:equalWidth="0">
            <w:col w:w="5829" w:space="3090"/>
            <w:col w:w="299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深圳市乐 心医疗电 子有限公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10"/>
              <w:jc w:val="both"/>
              <w:rPr>
                <w:rFonts w:ascii="宋体" w:hAnsi="宋体" w:cs="宋体" w:eastAsia="宋体" w:hint="default"/>
                <w:sz w:val="18"/>
                <w:szCs w:val="18"/>
              </w:rPr>
            </w:pPr>
            <w:r>
              <w:rPr>
                <w:rFonts w:ascii="宋体" w:hAnsi="宋体" w:cs="宋体" w:eastAsia="宋体" w:hint="default"/>
                <w:sz w:val="18"/>
                <w:szCs w:val="18"/>
              </w:rPr>
              <w:t>国内自有 品牌产品 销售平台</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121,171,59</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8.59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-21,732,79</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7.35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359,368,80</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6.69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-39,305,97</w:t>
            </w:r>
          </w:p>
          <w:p>
            <w:pPr>
              <w:pStyle w:val="TableParagraph"/>
              <w:spacing w:line="240" w:lineRule="auto" w:before="106"/>
              <w:ind w:left="617" w:right="0"/>
              <w:jc w:val="left"/>
              <w:rPr>
                <w:rFonts w:ascii="Times New Roman" w:hAnsi="Times New Roman" w:cs="Times New Roman" w:eastAsia="Times New Roman" w:hint="default"/>
                <w:sz w:val="18"/>
                <w:szCs w:val="18"/>
              </w:rPr>
            </w:pPr>
            <w:r>
              <w:rPr>
                <w:rFonts w:ascii="Times New Roman"/>
                <w:sz w:val="18"/>
              </w:rPr>
              <w:t>2.16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-38,218,91</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9.49</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广州动心 信息科技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7"/>
              <w:jc w:val="center"/>
              <w:rPr>
                <w:rFonts w:ascii="宋体" w:hAnsi="宋体" w:cs="宋体" w:eastAsia="宋体" w:hint="default"/>
                <w:sz w:val="18"/>
                <w:szCs w:val="18"/>
              </w:rPr>
            </w:pPr>
            <w:r>
              <w:rPr>
                <w:rFonts w:ascii="宋体" w:hAnsi="宋体" w:cs="宋体" w:eastAsia="宋体" w:hint="default"/>
                <w:sz w:val="18"/>
                <w:szCs w:val="18"/>
              </w:rPr>
              <w:t>软件开发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3,112,410.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-23,143,66</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8.94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8,743,711.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-13,527,00</w:t>
            </w:r>
          </w:p>
          <w:p>
            <w:pPr>
              <w:pStyle w:val="TableParagraph"/>
              <w:spacing w:line="240" w:lineRule="auto" w:before="106"/>
              <w:ind w:left="617" w:right="0"/>
              <w:jc w:val="left"/>
              <w:rPr>
                <w:rFonts w:ascii="Times New Roman" w:hAnsi="Times New Roman" w:cs="Times New Roman" w:eastAsia="Times New Roman" w:hint="default"/>
                <w:sz w:val="18"/>
                <w:szCs w:val="18"/>
              </w:rPr>
            </w:pPr>
            <w:r>
              <w:rPr>
                <w:rFonts w:ascii="Times New Roman"/>
                <w:sz w:val="18"/>
              </w:rPr>
              <w:t>1.50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-13,534,37</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6.80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中山乐心 电子有限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30"/>
              <w:jc w:val="left"/>
              <w:rPr>
                <w:rFonts w:ascii="宋体" w:hAnsi="宋体" w:cs="宋体" w:eastAsia="宋体" w:hint="default"/>
                <w:sz w:val="18"/>
                <w:szCs w:val="18"/>
              </w:rPr>
            </w:pPr>
            <w:r>
              <w:rPr>
                <w:rFonts w:ascii="宋体" w:hAnsi="宋体" w:cs="宋体" w:eastAsia="宋体" w:hint="default"/>
                <w:sz w:val="18"/>
                <w:szCs w:val="18"/>
              </w:rPr>
              <w:t>电子健康 产品研发、 生产</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3,112,410.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-23,143,66</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8.94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8,743,711.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-13,527,00</w:t>
            </w:r>
          </w:p>
          <w:p>
            <w:pPr>
              <w:pStyle w:val="TableParagraph"/>
              <w:spacing w:line="240" w:lineRule="auto" w:before="106"/>
              <w:ind w:left="617" w:right="0"/>
              <w:jc w:val="left"/>
              <w:rPr>
                <w:rFonts w:ascii="Times New Roman" w:hAnsi="Times New Roman" w:cs="Times New Roman" w:eastAsia="Times New Roman" w:hint="default"/>
                <w:sz w:val="18"/>
                <w:szCs w:val="18"/>
              </w:rPr>
            </w:pPr>
            <w:r>
              <w:rPr>
                <w:rFonts w:ascii="Times New Roman"/>
                <w:sz w:val="18"/>
              </w:rPr>
              <w:t>1.50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-13,534,37</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6.80</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219"/>
              <w:jc w:val="left"/>
              <w:rPr>
                <w:rFonts w:ascii="宋体" w:hAnsi="宋体" w:cs="宋体" w:eastAsia="宋体" w:hint="default"/>
                <w:sz w:val="18"/>
                <w:szCs w:val="18"/>
              </w:rPr>
            </w:pPr>
            <w:r>
              <w:rPr>
                <w:rFonts w:ascii="宋体" w:hAnsi="宋体" w:cs="宋体" w:eastAsia="宋体" w:hint="default"/>
                <w:sz w:val="18"/>
                <w:szCs w:val="18"/>
              </w:rPr>
              <w:t>中山市创 源贸易有</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0"/>
              <w:jc w:val="left"/>
              <w:rPr>
                <w:rFonts w:ascii="宋体" w:hAnsi="宋体" w:cs="宋体" w:eastAsia="宋体" w:hint="default"/>
                <w:sz w:val="18"/>
                <w:szCs w:val="18"/>
              </w:rPr>
            </w:pPr>
            <w:r>
              <w:rPr>
                <w:rFonts w:ascii="宋体" w:hAnsi="宋体" w:cs="宋体" w:eastAsia="宋体" w:hint="default"/>
                <w:sz w:val="18"/>
                <w:szCs w:val="18"/>
              </w:rPr>
              <w:t>电子健康 产品销售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1,069,382.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849,210.04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7,899,201.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-2,077,738.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-2,072,352.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香港创源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0"/>
              <w:jc w:val="left"/>
              <w:rPr>
                <w:rFonts w:ascii="宋体" w:hAnsi="宋体" w:cs="宋体" w:eastAsia="宋体" w:hint="default"/>
                <w:sz w:val="18"/>
                <w:szCs w:val="18"/>
              </w:rPr>
            </w:pPr>
            <w:r>
              <w:rPr>
                <w:rFonts w:ascii="宋体" w:hAnsi="宋体" w:cs="宋体" w:eastAsia="宋体" w:hint="default"/>
                <w:sz w:val="18"/>
                <w:szCs w:val="18"/>
              </w:rPr>
              <w:t>电子健康 产品销售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1,361,800.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155,264,02</w:t>
            </w:r>
          </w:p>
          <w:p>
            <w:pPr>
              <w:pStyle w:val="TableParagraph"/>
              <w:spacing w:line="240" w:lineRule="auto" w:before="105"/>
              <w:ind w:left="619" w:right="0"/>
              <w:jc w:val="left"/>
              <w:rPr>
                <w:rFonts w:ascii="Times New Roman" w:hAnsi="Times New Roman" w:cs="Times New Roman" w:eastAsia="Times New Roman" w:hint="default"/>
                <w:sz w:val="18"/>
                <w:szCs w:val="18"/>
              </w:rPr>
            </w:pPr>
            <w:r>
              <w:rPr>
                <w:rFonts w:ascii="Times New Roman"/>
                <w:sz w:val="18"/>
              </w:rPr>
              <w:t>9.10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-2,036,321.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368,533,94</w:t>
            </w:r>
          </w:p>
          <w:p>
            <w:pPr>
              <w:pStyle w:val="TableParagraph"/>
              <w:spacing w:line="240" w:lineRule="auto" w:before="105"/>
              <w:ind w:left="618" w:right="0"/>
              <w:jc w:val="left"/>
              <w:rPr>
                <w:rFonts w:ascii="Times New Roman" w:hAnsi="Times New Roman" w:cs="Times New Roman" w:eastAsia="Times New Roman" w:hint="default"/>
                <w:sz w:val="18"/>
                <w:szCs w:val="18"/>
              </w:rPr>
            </w:pPr>
            <w:r>
              <w:rPr>
                <w:rFonts w:ascii="Times New Roman"/>
                <w:sz w:val="18"/>
              </w:rPr>
              <w:t>6.39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-4,279,444.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-3,398,121.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54</w:t>
            </w:r>
          </w:p>
        </w:tc>
      </w:tr>
    </w:tbl>
    <w:p>
      <w:pPr>
        <w:pStyle w:val="BodyText"/>
        <w:spacing w:line="240" w:lineRule="auto" w:before="51"/>
        <w:ind w:right="1015"/>
        <w:jc w:val="left"/>
      </w:pPr>
      <w:r>
        <w:rPr/>
        <w:t>报告期内取得和处置子公司的情况</w:t>
      </w:r>
    </w:p>
    <w:p>
      <w:pPr>
        <w:pStyle w:val="BodyText"/>
        <w:spacing w:line="240" w:lineRule="auto" w:before="117"/>
        <w:ind w:right="1015"/>
        <w:jc w:val="left"/>
      </w:pPr>
      <w:r>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福州乐医成信息技术服务有限公司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新设控股孙公司（全资子公司深圳乐心</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新设之控股子公司）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报告期内对净利润影响</w:t>
            </w:r>
            <w:r>
              <w:rPr>
                <w:rFonts w:ascii="Times New Roman" w:hAnsi="Times New Roman" w:cs="Times New Roman" w:eastAsia="Times New Roman" w:hint="default"/>
                <w:sz w:val="18"/>
                <w:szCs w:val="18"/>
              </w:rPr>
              <w:t>-21.06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Lifesense Singapore Pte.</w:t>
            </w:r>
            <w:r>
              <w:rPr>
                <w:rFonts w:ascii="Times New Roman"/>
                <w:spacing w:val="-7"/>
                <w:sz w:val="18"/>
              </w:rPr>
              <w:t> </w:t>
            </w:r>
            <w:r>
              <w:rPr>
                <w:rFonts w:ascii="Times New Roman"/>
                <w:sz w:val="18"/>
              </w:rPr>
              <w:t>Ltd.</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新设全资子公司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当期无影响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FutureIOT Labs</w:t>
            </w:r>
            <w:r>
              <w:rPr>
                <w:rFonts w:ascii="Times New Roman"/>
                <w:spacing w:val="-6"/>
                <w:sz w:val="18"/>
              </w:rPr>
              <w:t> </w:t>
            </w:r>
            <w:r>
              <w:rPr>
                <w:rFonts w:ascii="Times New Roman"/>
                <w:sz w:val="18"/>
              </w:rPr>
              <w:t>LLC</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新设孙公司（全资子公司乐心新加坡之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当期无影响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深圳市瑞康宏业科技开发有限公司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报告期内对净利润影响</w:t>
            </w:r>
            <w:r>
              <w:rPr>
                <w:rFonts w:ascii="Times New Roman" w:hAnsi="Times New Roman" w:cs="Times New Roman" w:eastAsia="Times New Roman" w:hint="default"/>
                <w:sz w:val="18"/>
                <w:szCs w:val="18"/>
              </w:rPr>
              <w:t>-17.19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中山市乐恒电子有限公司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新设全资子公司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当期无影响</w:t>
            </w:r>
          </w:p>
        </w:tc>
      </w:tr>
    </w:tbl>
    <w:p>
      <w:pPr>
        <w:pStyle w:val="BodyText"/>
        <w:spacing w:line="357" w:lineRule="auto" w:before="51"/>
        <w:ind w:right="8592"/>
        <w:jc w:val="left"/>
      </w:pPr>
      <w:r>
        <w:rPr/>
        <w:t>主要控股参股公司情况说明 无</w:t>
      </w:r>
    </w:p>
    <w:p>
      <w:pPr>
        <w:spacing w:line="240" w:lineRule="auto" w:before="5"/>
        <w:rPr>
          <w:rFonts w:ascii="宋体" w:hAnsi="宋体" w:cs="宋体" w:eastAsia="宋体" w:hint="default"/>
          <w:sz w:val="18"/>
          <w:szCs w:val="18"/>
        </w:rPr>
      </w:pPr>
    </w:p>
    <w:p>
      <w:pPr>
        <w:pStyle w:val="Heading2"/>
        <w:spacing w:line="240" w:lineRule="auto"/>
        <w:ind w:right="1015"/>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1015"/>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1015"/>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1131" w:firstLine="360"/>
        <w:jc w:val="both"/>
      </w:pPr>
      <w:r>
        <w:rPr>
          <w:spacing w:val="-2"/>
        </w:rPr>
        <w:t>公司一直专注于家庭健康管理事业，产品与服务的创新、专业、品质，一直是乐心视为生命的核心价值。</w:t>
      </w:r>
      <w:r>
        <w:rPr>
          <w:rFonts w:ascii="宋体" w:hAnsi="宋体" w:cs="宋体" w:eastAsia="宋体" w:hint="default"/>
          <w:spacing w:val="-2"/>
        </w:rPr>
        <w:t>2017</w:t>
      </w:r>
      <w:r>
        <w:rPr>
          <w:spacing w:val="-2"/>
        </w:rPr>
        <w:t>年度在国</w:t>
      </w:r>
      <w:r>
        <w:rPr/>
        <w:t> </w:t>
      </w:r>
      <w:r>
        <w:rPr>
          <w:spacing w:val="-2"/>
        </w:rPr>
        <w:t>内市场大力发展自有品牌，加大自有品牌推广宣传力度，报告期内国内自有品牌收入较</w:t>
      </w:r>
      <w:r>
        <w:rPr>
          <w:rFonts w:ascii="宋体" w:hAnsi="宋体" w:cs="宋体" w:eastAsia="宋体" w:hint="default"/>
          <w:spacing w:val="-2"/>
        </w:rPr>
        <w:t>2016</w:t>
      </w:r>
      <w:r>
        <w:rPr>
          <w:spacing w:val="-2"/>
        </w:rPr>
        <w:t>年增长</w:t>
      </w:r>
      <w:r>
        <w:rPr>
          <w:rFonts w:ascii="宋体" w:hAnsi="宋体" w:cs="宋体" w:eastAsia="宋体" w:hint="default"/>
          <w:spacing w:val="-2"/>
        </w:rPr>
        <w:t>14.56%</w:t>
      </w:r>
      <w:r>
        <w:rPr>
          <w:spacing w:val="-2"/>
        </w:rPr>
        <w:t>，国外外销业务保</w:t>
      </w:r>
      <w:r>
        <w:rPr>
          <w:spacing w:val="-56"/>
        </w:rPr>
        <w:t> </w:t>
      </w:r>
      <w:r>
        <w:rPr>
          <w:spacing w:val="-56"/>
        </w:rPr>
      </w:r>
      <w:r>
        <w:rPr>
          <w:spacing w:val="-2"/>
        </w:rPr>
        <w:t>持稳定增长，较</w:t>
      </w:r>
      <w:r>
        <w:rPr>
          <w:rFonts w:ascii="宋体" w:hAnsi="宋体" w:cs="宋体" w:eastAsia="宋体" w:hint="default"/>
          <w:spacing w:val="-2"/>
        </w:rPr>
        <w:t>2016</w:t>
      </w:r>
      <w:r>
        <w:rPr>
          <w:spacing w:val="-2"/>
        </w:rPr>
        <w:t>年增长</w:t>
      </w:r>
      <w:r>
        <w:rPr>
          <w:rFonts w:ascii="宋体" w:hAnsi="宋体" w:cs="宋体" w:eastAsia="宋体" w:hint="default"/>
          <w:spacing w:val="-2"/>
        </w:rPr>
        <w:t>10.91%</w:t>
      </w:r>
      <w:r>
        <w:rPr>
          <w:spacing w:val="-2"/>
        </w:rPr>
        <w:t>。</w:t>
      </w:r>
      <w:r>
        <w:rPr>
          <w:rFonts w:ascii="宋体" w:hAnsi="宋体" w:cs="宋体" w:eastAsia="宋体" w:hint="default"/>
          <w:spacing w:val="-2"/>
        </w:rPr>
        <w:t>2017</w:t>
      </w:r>
      <w:r>
        <w:rPr>
          <w:spacing w:val="-2"/>
        </w:rPr>
        <w:t>年公司以基于移动互联网的智能产品为入口，加大乐心健康云平台的建设，通过自</w:t>
      </w:r>
      <w:r>
        <w:rPr>
          <w:spacing w:val="-52"/>
        </w:rPr>
        <w:t> </w:t>
      </w:r>
      <w:r>
        <w:rPr>
          <w:spacing w:val="-52"/>
        </w:rPr>
      </w:r>
      <w:r>
        <w:rPr>
          <w:spacing w:val="-2"/>
        </w:rPr>
        <w:t>身并联合第三方健康医疗服务机构为用户提供个性化增值服务，实施运动瘦身和慢病管理，进而全面实施个人健康管理的闭</w:t>
      </w:r>
      <w:r>
        <w:rPr>
          <w:spacing w:val="-64"/>
        </w:rPr>
        <w:t> </w:t>
      </w:r>
      <w:r>
        <w:rPr>
          <w:spacing w:val="-64"/>
        </w:rPr>
      </w:r>
      <w:r>
        <w:rPr/>
        <w:t>环。为了公司长远发展和保持产品、服务持续创新，</w:t>
      </w:r>
      <w:r>
        <w:rPr>
          <w:rFonts w:ascii="宋体" w:hAnsi="宋体" w:cs="宋体" w:eastAsia="宋体" w:hint="default"/>
        </w:rPr>
        <w:t>2017</w:t>
      </w:r>
      <w:r>
        <w:rPr/>
        <w:t>年度加大了研发投入，</w:t>
      </w:r>
      <w:r>
        <w:rPr>
          <w:rFonts w:ascii="宋体" w:hAnsi="宋体" w:cs="宋体" w:eastAsia="宋体" w:hint="default"/>
        </w:rPr>
        <w:t>2017</w:t>
      </w:r>
      <w:r>
        <w:rPr/>
        <w:t>年研发投入占营收比</w:t>
      </w:r>
      <w:r>
        <w:rPr>
          <w:rFonts w:ascii="宋体" w:hAnsi="宋体" w:cs="宋体" w:eastAsia="宋体" w:hint="default"/>
        </w:rPr>
        <w:t>7.63%</w:t>
      </w:r>
      <w:r>
        <w:rPr/>
        <w:t>。</w:t>
      </w:r>
    </w:p>
    <w:p>
      <w:pPr>
        <w:pStyle w:val="BodyText"/>
        <w:spacing w:line="316" w:lineRule="auto" w:before="19"/>
        <w:ind w:left="1493" w:right="1123" w:hanging="360"/>
        <w:jc w:val="left"/>
      </w:pPr>
      <w:r>
        <w:rPr>
          <w:rFonts w:ascii="宋体" w:hAnsi="宋体" w:cs="宋体" w:eastAsia="宋体" w:hint="default"/>
          <w:b/>
          <w:bCs/>
        </w:rPr>
        <w:t>（一）行业格局和趋势</w:t>
      </w:r>
      <w:r>
        <w:rPr>
          <w:rFonts w:ascii="宋体" w:hAnsi="宋体" w:cs="宋体" w:eastAsia="宋体" w:hint="default"/>
          <w:b/>
          <w:bCs/>
          <w:w w:val="99"/>
        </w:rPr>
        <w:t> </w:t>
      </w:r>
      <w:r>
        <w:rPr/>
        <w:t>市场发展空间大。</w:t>
      </w:r>
      <w:r>
        <w:rPr>
          <w:rFonts w:ascii="宋体" w:hAnsi="宋体" w:cs="宋体" w:eastAsia="宋体" w:hint="default"/>
        </w:rPr>
        <w:t>1</w:t>
      </w:r>
      <w:r>
        <w:rPr/>
        <w:t>、随着人口老龄化人口增多、慢性疾病与并发症等患病率的不断升高、国民保健意识加强、家庭医</w:t>
      </w:r>
    </w:p>
    <w:p>
      <w:pPr>
        <w:pStyle w:val="BodyText"/>
        <w:spacing w:line="316" w:lineRule="auto" w:before="19"/>
        <w:ind w:left="1133" w:right="1129"/>
        <w:jc w:val="both"/>
      </w:pPr>
      <w:r>
        <w:rPr>
          <w:spacing w:val="-2"/>
        </w:rPr>
        <w:t>疗消费能力的提升以及自主研发技术水平的提高等，我国家用医疗器械市场需求规模持续高速增长。中国家用医疗器械行业</w:t>
      </w:r>
      <w:r>
        <w:rPr>
          <w:spacing w:val="-64"/>
        </w:rPr>
        <w:t> </w:t>
      </w:r>
      <w:r>
        <w:rPr>
          <w:spacing w:val="-64"/>
        </w:rPr>
      </w:r>
      <w:r>
        <w:rPr>
          <w:spacing w:val="-2"/>
        </w:rPr>
        <w:t>是医疗器械领域中增长最快的子行业之一，居民消费升级是直接的推动力，制氧机、电子体温计、血压计、血糖仪、疾病监</w:t>
      </w:r>
      <w:r>
        <w:rPr>
          <w:spacing w:val="-68"/>
        </w:rPr>
        <w:t> </w:t>
      </w:r>
      <w:r>
        <w:rPr>
          <w:spacing w:val="-68"/>
        </w:rPr>
      </w:r>
      <w:r>
        <w:rPr/>
        <w:t>控系统等便携式医疗设备进入越来越多的家庭。</w:t>
      </w:r>
      <w:r>
        <w:rPr>
          <w:rFonts w:ascii="宋体" w:hAnsi="宋体" w:cs="宋体" w:eastAsia="宋体" w:hint="default"/>
        </w:rPr>
        <w:t>2014</w:t>
      </w:r>
      <w:r>
        <w:rPr/>
        <w:t>年，我国家用医疗器械市场规模是</w:t>
      </w:r>
      <w:r>
        <w:rPr>
          <w:rFonts w:ascii="宋体" w:hAnsi="宋体" w:cs="宋体" w:eastAsia="宋体" w:hint="default"/>
        </w:rPr>
        <w:t>357.8</w:t>
      </w:r>
      <w:r>
        <w:rPr/>
        <w:t>亿元；</w:t>
      </w:r>
      <w:r>
        <w:rPr>
          <w:rFonts w:ascii="宋体" w:hAnsi="宋体" w:cs="宋体" w:eastAsia="宋体" w:hint="default"/>
        </w:rPr>
        <w:t>2015</w:t>
      </w:r>
      <w:r>
        <w:rPr/>
        <w:t>年，我国家用医疗</w:t>
      </w:r>
      <w:r>
        <w:rPr>
          <w:spacing w:val="-84"/>
        </w:rPr>
        <w:t> </w:t>
      </w:r>
      <w:r>
        <w:rPr>
          <w:spacing w:val="-84"/>
        </w:rPr>
      </w:r>
      <w:r>
        <w:rPr>
          <w:spacing w:val="-2"/>
        </w:rPr>
        <w:t>器械的市场规模达到</w:t>
      </w:r>
      <w:r>
        <w:rPr>
          <w:rFonts w:ascii="宋体" w:hAnsi="宋体" w:cs="宋体" w:eastAsia="宋体" w:hint="default"/>
          <w:spacing w:val="-2"/>
        </w:rPr>
        <w:t>431.2</w:t>
      </w:r>
      <w:r>
        <w:rPr>
          <w:spacing w:val="-2"/>
        </w:rPr>
        <w:t>亿元，国内市场家用医疗器械提升空间还很大，预计未来几年将继续维持</w:t>
      </w:r>
      <w:r>
        <w:rPr>
          <w:rFonts w:ascii="宋体" w:hAnsi="宋体" w:cs="宋体" w:eastAsia="宋体" w:hint="default"/>
          <w:spacing w:val="-2"/>
        </w:rPr>
        <w:t>17%</w:t>
      </w:r>
      <w:r>
        <w:rPr>
          <w:spacing w:val="-2"/>
        </w:rPr>
        <w:t>以上的年增长率。到</w:t>
      </w:r>
      <w:r>
        <w:rPr>
          <w:spacing w:val="-58"/>
        </w:rPr>
        <w:t> </w:t>
      </w:r>
      <w:r>
        <w:rPr>
          <w:spacing w:val="-58"/>
        </w:rPr>
      </w:r>
      <w:r>
        <w:rPr>
          <w:rFonts w:ascii="宋体" w:hAnsi="宋体" w:cs="宋体" w:eastAsia="宋体" w:hint="default"/>
        </w:rPr>
        <w:t>2021</w:t>
      </w:r>
      <w:r>
        <w:rPr/>
        <w:t>年中国家用医疗器械行业市场规模将达到</w:t>
      </w:r>
      <w:r>
        <w:rPr>
          <w:rFonts w:ascii="宋体" w:hAnsi="宋体" w:cs="宋体" w:eastAsia="宋体" w:hint="default"/>
        </w:rPr>
        <w:t>1,112.6</w:t>
      </w:r>
      <w:r>
        <w:rPr/>
        <w:t>亿元。</w:t>
      </w:r>
      <w:r>
        <w:rPr>
          <w:rFonts w:ascii="宋体" w:hAnsi="宋体" w:cs="宋体" w:eastAsia="宋体" w:hint="default"/>
        </w:rPr>
        <w:t>2</w:t>
      </w:r>
      <w:r>
        <w:rPr/>
        <w:t>、行业政策大力支持。</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29</w:t>
      </w:r>
      <w:r>
        <w:rPr/>
        <w:t>日</w:t>
      </w:r>
      <w:r>
        <w:rPr>
          <w:rFonts w:ascii="宋体" w:hAnsi="宋体" w:cs="宋体" w:eastAsia="宋体" w:hint="default"/>
        </w:rPr>
        <w:t>,</w:t>
      </w:r>
      <w:r>
        <w:rPr/>
        <w:t>国家发展改革委印发</w:t>
      </w:r>
    </w:p>
    <w:p>
      <w:pPr>
        <w:pStyle w:val="BodyText"/>
        <w:spacing w:line="316" w:lineRule="auto" w:before="19"/>
        <w:ind w:left="1133" w:right="1042"/>
        <w:jc w:val="left"/>
      </w:pPr>
      <w:r>
        <w:rPr/>
        <w:t>《增强制造业核心竞争力三年行动计划</w:t>
      </w:r>
      <w:r>
        <w:rPr>
          <w:rFonts w:ascii="宋体" w:hAnsi="宋体" w:cs="宋体" w:eastAsia="宋体" w:hint="default"/>
        </w:rPr>
        <w:t>( 2018-2020 </w:t>
      </w:r>
      <w:r>
        <w:rPr/>
        <w:t>年</w:t>
      </w:r>
      <w:r>
        <w:rPr>
          <w:rFonts w:ascii="宋体" w:hAnsi="宋体" w:cs="宋体" w:eastAsia="宋体" w:hint="default"/>
        </w:rPr>
        <w:t>)</w:t>
      </w:r>
      <w:r>
        <w:rPr/>
        <w:t>》，《计划》将“</w:t>
      </w:r>
      <w:r>
        <w:rPr>
          <w:spacing w:val="4"/>
        </w:rPr>
        <w:t> </w:t>
      </w:r>
      <w:r>
        <w:rPr/>
        <w:t>高端医疗器械和药品”列为九大重点领域之一</w:t>
      </w:r>
      <w:r>
        <w:rPr>
          <w:rFonts w:ascii="宋体" w:hAnsi="宋体" w:cs="宋体" w:eastAsia="宋体" w:hint="default"/>
        </w:rPr>
        <w:t>, </w:t>
      </w:r>
      <w:r>
        <w:rPr>
          <w:spacing w:val="-6"/>
        </w:rPr>
        <w:t>将在重点领域组织实施关键技术产业化专项。</w:t>
      </w:r>
      <w:r>
        <w:rPr>
          <w:rFonts w:ascii="宋体" w:hAnsi="宋体" w:cs="宋体" w:eastAsia="宋体" w:hint="default"/>
          <w:spacing w:val="-6"/>
        </w:rPr>
        <w:t>2018</w:t>
      </w:r>
      <w:r>
        <w:rPr>
          <w:spacing w:val="-6"/>
        </w:rPr>
        <w:t>年</w:t>
      </w:r>
      <w:r>
        <w:rPr>
          <w:rFonts w:ascii="宋体" w:hAnsi="宋体" w:cs="宋体" w:eastAsia="宋体" w:hint="default"/>
          <w:spacing w:val="-6"/>
        </w:rPr>
        <w:t>1</w:t>
      </w:r>
      <w:r>
        <w:rPr>
          <w:spacing w:val="-6"/>
        </w:rPr>
        <w:t>月</w:t>
      </w:r>
      <w:r>
        <w:rPr>
          <w:rFonts w:ascii="宋体" w:hAnsi="宋体" w:cs="宋体" w:eastAsia="宋体" w:hint="default"/>
          <w:spacing w:val="-6"/>
        </w:rPr>
        <w:t>3</w:t>
      </w:r>
      <w:r>
        <w:rPr>
          <w:spacing w:val="-6"/>
        </w:rPr>
        <w:t>日国家卫计委发布《进一步改善医疗服务行动计划（</w:t>
      </w:r>
      <w:r>
        <w:rPr>
          <w:rFonts w:ascii="宋体" w:hAnsi="宋体" w:cs="宋体" w:eastAsia="宋体" w:hint="default"/>
          <w:spacing w:val="-6"/>
        </w:rPr>
        <w:t>2018-2020</w:t>
      </w:r>
      <w:r>
        <w:rPr>
          <w:spacing w:val="-6"/>
        </w:rPr>
        <w:t>）》，</w:t>
      </w:r>
      <w:r>
        <w:rPr>
          <w:spacing w:val="-30"/>
        </w:rPr>
        <w:t> </w:t>
      </w:r>
      <w:r>
        <w:rPr/>
        <w:t>“创新医疗服务”为</w:t>
      </w:r>
      <w:r>
        <w:rPr>
          <w:rFonts w:ascii="宋体" w:hAnsi="宋体" w:cs="宋体" w:eastAsia="宋体" w:hint="default"/>
        </w:rPr>
        <w:t>10</w:t>
      </w:r>
      <w:r>
        <w:rPr/>
        <w:t>个方面重点创新医疗服务之一，创新医疗服务为以“互联网</w:t>
      </w:r>
      <w:r>
        <w:rPr>
          <w:rFonts w:ascii="宋体" w:hAnsi="宋体" w:cs="宋体" w:eastAsia="宋体" w:hint="default"/>
        </w:rPr>
        <w:t>+</w:t>
      </w:r>
      <w:r>
        <w:rPr/>
        <w:t>”为手段，建设智慧医院。利用互联网</w:t>
      </w:r>
      <w:r>
        <w:rPr>
          <w:spacing w:val="-83"/>
        </w:rPr>
        <w:t> </w:t>
      </w:r>
      <w:r>
        <w:rPr>
          <w:spacing w:val="-83"/>
        </w:rPr>
      </w:r>
      <w:r>
        <w:rPr>
          <w:spacing w:val="-4"/>
        </w:rPr>
        <w:t>技术不断优化医疗服务流程，应用可穿戴设备为签约患者和重点随访患者提供远程监测和远程指导。计划要求，自</w:t>
      </w:r>
      <w:r>
        <w:rPr>
          <w:rFonts w:ascii="宋体" w:hAnsi="宋体" w:cs="宋体" w:eastAsia="宋体" w:hint="default"/>
          <w:spacing w:val="-4"/>
        </w:rPr>
        <w:t>2018</w:t>
      </w:r>
      <w:r>
        <w:rPr>
          <w:spacing w:val="-4"/>
        </w:rPr>
        <w:t>年起，</w:t>
      </w:r>
      <w:r>
        <w:rPr>
          <w:spacing w:val="-35"/>
        </w:rPr>
        <w:t> </w:t>
      </w:r>
      <w:r>
        <w:rPr>
          <w:spacing w:val="-2"/>
        </w:rPr>
        <w:t>医疗机构要建立远程医疗制度等五项制度。全国所有医联体实现远程医疗全覆盖。医联体牵头医院建立远程医疗中心，向医</w:t>
      </w:r>
      <w:r>
        <w:rPr>
          <w:spacing w:val="-66"/>
        </w:rPr>
        <w:t> </w:t>
      </w:r>
      <w:r>
        <w:rPr>
          <w:spacing w:val="-66"/>
        </w:rPr>
      </w:r>
      <w:r>
        <w:rPr>
          <w:spacing w:val="-2"/>
        </w:rPr>
        <w:t>联体内医疗机构提供远程会诊、远程影像、远程超声、远程心电、远程病理、远程查房、远程监护、远程培训等服务。基层</w:t>
      </w:r>
      <w:r>
        <w:rPr>
          <w:spacing w:val="-67"/>
        </w:rPr>
        <w:t> </w:t>
      </w:r>
      <w:r>
        <w:rPr>
          <w:spacing w:val="-67"/>
        </w:rPr>
      </w:r>
      <w:r>
        <w:rPr>
          <w:spacing w:val="-2"/>
        </w:rPr>
        <w:t>医疗卫生机构逐步扩大远程医疗服务范围，使更多的适宜患者能够在家门口获得上级医院诊疗服务。基层医疗卫生机构可以</w:t>
      </w:r>
      <w:r>
        <w:rPr>
          <w:spacing w:val="-64"/>
        </w:rPr>
        <w:t> </w:t>
      </w:r>
      <w:r>
        <w:rPr>
          <w:spacing w:val="-64"/>
        </w:rPr>
      </w:r>
      <w:r>
        <w:rPr>
          <w:spacing w:val="-2"/>
        </w:rPr>
        <w:t>探索为签约患者提供适宜的远程医疗、远程健康监测、远程健康教育等服务。除此之外，国家还出台了大量的政策支持医疗</w:t>
      </w:r>
    </w:p>
    <w:p>
      <w:pPr>
        <w:spacing w:after="0" w:line="316"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left="1133" w:right="1015"/>
        <w:jc w:val="left"/>
      </w:pPr>
      <w:r>
        <w:rPr>
          <w:spacing w:val="-2"/>
        </w:rPr>
        <w:t>和健康管理行业发展，如《中国防治慢性病中长期规划（</w:t>
      </w:r>
      <w:r>
        <w:rPr>
          <w:rFonts w:ascii="宋体" w:hAnsi="宋体" w:cs="宋体" w:eastAsia="宋体" w:hint="default"/>
          <w:spacing w:val="-2"/>
        </w:rPr>
        <w:t>2017</w:t>
      </w:r>
      <w:r>
        <w:rPr>
          <w:spacing w:val="-2"/>
        </w:rPr>
        <w:t>—</w:t>
      </w:r>
      <w:r>
        <w:rPr>
          <w:rFonts w:ascii="宋体" w:hAnsi="宋体" w:cs="宋体" w:eastAsia="宋体" w:hint="default"/>
          <w:spacing w:val="-2"/>
        </w:rPr>
        <w:t>2025</w:t>
      </w:r>
      <w:r>
        <w:rPr>
          <w:spacing w:val="-2"/>
        </w:rPr>
        <w:t>）》、《“健康中国</w:t>
      </w:r>
      <w:r>
        <w:rPr>
          <w:rFonts w:ascii="宋体" w:hAnsi="宋体" w:cs="宋体" w:eastAsia="宋体" w:hint="default"/>
          <w:spacing w:val="-2"/>
        </w:rPr>
        <w:t>2030</w:t>
      </w:r>
      <w:r>
        <w:rPr>
          <w:spacing w:val="-2"/>
        </w:rPr>
        <w:t>”规划纲要》、《关于加快发</w:t>
      </w:r>
      <w:r>
        <w:rPr>
          <w:spacing w:val="-61"/>
        </w:rPr>
        <w:t> </w:t>
      </w:r>
      <w:r>
        <w:rPr>
          <w:spacing w:val="-61"/>
        </w:rPr>
      </w:r>
      <w:r>
        <w:rPr>
          <w:spacing w:val="-4"/>
        </w:rPr>
        <w:t>展健身休闲产业的指导意见》、《中国制造</w:t>
      </w:r>
      <w:r>
        <w:rPr>
          <w:rFonts w:ascii="宋体" w:hAnsi="宋体" w:cs="宋体" w:eastAsia="宋体" w:hint="default"/>
          <w:spacing w:val="-4"/>
        </w:rPr>
        <w:t>2025</w:t>
      </w:r>
      <w:r>
        <w:rPr>
          <w:spacing w:val="-4"/>
        </w:rPr>
        <w:t>》（关于可穿戴、远程诊疗方向）、《关于促进健康服务业发展的若干意见》</w:t>
      </w:r>
      <w:r>
        <w:rPr>
          <w:spacing w:val="-39"/>
        </w:rPr>
        <w:t> </w:t>
      </w:r>
      <w:r>
        <w:rPr>
          <w:spacing w:val="-39"/>
        </w:rPr>
      </w:r>
      <w:r>
        <w:rPr/>
        <w:t>等。</w:t>
      </w:r>
    </w:p>
    <w:p>
      <w:pPr>
        <w:pStyle w:val="BodyText"/>
        <w:spacing w:line="319" w:lineRule="auto" w:before="19"/>
        <w:ind w:left="1493" w:right="1015" w:hanging="360"/>
        <w:jc w:val="left"/>
      </w:pPr>
      <w:r>
        <w:rPr>
          <w:rFonts w:ascii="宋体" w:hAnsi="宋体" w:cs="宋体" w:eastAsia="宋体" w:hint="default"/>
          <w:b/>
          <w:bCs/>
        </w:rPr>
        <w:t>（二）公司发展战略</w:t>
      </w:r>
      <w:r>
        <w:rPr>
          <w:rFonts w:ascii="宋体" w:hAnsi="宋体" w:cs="宋体" w:eastAsia="宋体" w:hint="default"/>
          <w:b/>
          <w:bCs/>
          <w:w w:val="99"/>
        </w:rPr>
        <w:t> </w:t>
      </w:r>
      <w:r>
        <w:rPr>
          <w:spacing w:val="-2"/>
        </w:rPr>
        <w:t>公司将继续致力于家庭健康管理事业，大力发展自有品牌，顺应行业发展趋势并结合公司先发优势，提升智能产品市场</w:t>
      </w:r>
    </w:p>
    <w:p>
      <w:pPr>
        <w:pStyle w:val="BodyText"/>
        <w:spacing w:line="316" w:lineRule="auto" w:before="17"/>
        <w:ind w:right="1015"/>
        <w:jc w:val="left"/>
      </w:pPr>
      <w:r>
        <w:rPr/>
        <w:t>份额，以及保持</w:t>
      </w:r>
      <w:r>
        <w:rPr>
          <w:rFonts w:ascii="宋体" w:hAnsi="宋体" w:cs="宋体" w:eastAsia="宋体" w:hint="default"/>
        </w:rPr>
        <w:t>ODM</w:t>
      </w:r>
      <w:r>
        <w:rPr/>
        <w:t>外销业务继续稳定增长。未来几年内，硬件设备销售虽然仍是公司营业收入的主要构成，但同时不断加</w:t>
      </w:r>
      <w:r>
        <w:rPr>
          <w:spacing w:val="-83"/>
        </w:rPr>
        <w:t> </w:t>
      </w:r>
      <w:r>
        <w:rPr>
          <w:spacing w:val="-83"/>
        </w:rPr>
      </w:r>
      <w:r>
        <w:rPr/>
        <w:t>大在医疗健康服务对公司业绩的贡献。保持技术、产品</w:t>
      </w:r>
      <w:r>
        <w:rPr>
          <w:rFonts w:ascii="宋体" w:hAnsi="宋体" w:cs="宋体" w:eastAsia="宋体" w:hint="default"/>
        </w:rPr>
        <w:t>/</w:t>
      </w:r>
      <w:r>
        <w:rPr/>
        <w:t>服务和模式的持续创新是公司长远发展的基础。继续以基于移动互</w:t>
      </w:r>
      <w:r>
        <w:rPr>
          <w:spacing w:val="-83"/>
        </w:rPr>
        <w:t> </w:t>
      </w:r>
      <w:r>
        <w:rPr>
          <w:spacing w:val="-83"/>
        </w:rPr>
      </w:r>
      <w:r>
        <w:rPr>
          <w:spacing w:val="-4"/>
        </w:rPr>
        <w:t>联网的智能产品为入口，完善乐心健康云平台的建设，通过自身并联合第三方健康医疗服务机构为用户提供个性化增值服务，</w:t>
      </w:r>
      <w:r>
        <w:rPr>
          <w:spacing w:val="-44"/>
        </w:rPr>
        <w:t> </w:t>
      </w:r>
      <w:r>
        <w:rPr>
          <w:spacing w:val="-44"/>
        </w:rPr>
      </w:r>
      <w:r>
        <w:rPr>
          <w:spacing w:val="-2"/>
        </w:rPr>
        <w:t>实施运动瘦身和慢病管理，全面实施个人健康管理闭环。整合资本、市场、技术等方面资源，深化公司产业的协同，提高公</w:t>
      </w:r>
      <w:r>
        <w:rPr>
          <w:spacing w:val="-67"/>
        </w:rPr>
        <w:t> </w:t>
      </w:r>
      <w:r>
        <w:rPr>
          <w:spacing w:val="-67"/>
        </w:rPr>
      </w:r>
      <w:r>
        <w:rPr/>
        <w:t>司综合竞争力。</w:t>
      </w:r>
    </w:p>
    <w:p>
      <w:pPr>
        <w:spacing w:line="316" w:lineRule="auto" w:before="19"/>
        <w:ind w:left="1494" w:right="5622" w:hanging="360"/>
        <w:jc w:val="left"/>
        <w:rPr>
          <w:rFonts w:ascii="宋体" w:hAnsi="宋体" w:cs="宋体" w:eastAsia="宋体" w:hint="default"/>
          <w:sz w:val="18"/>
          <w:szCs w:val="18"/>
        </w:rPr>
      </w:pPr>
      <w:r>
        <w:rPr>
          <w:rFonts w:ascii="宋体" w:hAnsi="宋体" w:cs="宋体" w:eastAsia="宋体" w:hint="default"/>
          <w:b/>
          <w:bCs/>
          <w:sz w:val="18"/>
          <w:szCs w:val="18"/>
        </w:rPr>
        <w:t>（三）</w:t>
      </w:r>
      <w:r>
        <w:rPr>
          <w:rFonts w:ascii="宋体" w:hAnsi="宋体" w:cs="宋体" w:eastAsia="宋体" w:hint="default"/>
          <w:b/>
          <w:bCs/>
          <w:sz w:val="18"/>
          <w:szCs w:val="18"/>
        </w:rPr>
        <w:t>2018</w:t>
      </w:r>
      <w:r>
        <w:rPr>
          <w:rFonts w:ascii="宋体" w:hAnsi="宋体" w:cs="宋体" w:eastAsia="宋体" w:hint="default"/>
          <w:b/>
          <w:bCs/>
          <w:sz w:val="18"/>
          <w:szCs w:val="18"/>
        </w:rPr>
        <w:t>年度经营计划</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、积极提升外销销售规模，国内市场重点拓展社区医疗业务</w:t>
      </w:r>
    </w:p>
    <w:p>
      <w:pPr>
        <w:pStyle w:val="BodyText"/>
        <w:spacing w:line="316" w:lineRule="auto" w:before="19"/>
        <w:ind w:left="1493" w:right="1015"/>
        <w:jc w:val="left"/>
      </w:pPr>
      <w:r>
        <w:rPr/>
        <w:t>公司将继续保持海外业务营销推广等方面的投入，确保海外业务持续健康稳定增长。 </w:t>
      </w:r>
      <w:r>
        <w:rPr>
          <w:rFonts w:ascii="宋体" w:hAnsi="宋体" w:cs="宋体" w:eastAsia="宋体" w:hint="default"/>
          <w:spacing w:val="-2"/>
        </w:rPr>
        <w:t>2018</w:t>
      </w:r>
      <w:r>
        <w:rPr>
          <w:spacing w:val="-2"/>
        </w:rPr>
        <w:t>年公司聘请在慢病管理、运动瘦身领域拥有丰富经营管理、市场推广方面的副总裁，在其带领下，公司继续在国内</w:t>
      </w:r>
    </w:p>
    <w:p>
      <w:pPr>
        <w:pStyle w:val="BodyText"/>
        <w:spacing w:line="316" w:lineRule="auto" w:before="19"/>
        <w:ind w:left="1494" w:right="1015" w:hanging="360"/>
        <w:jc w:val="left"/>
      </w:pPr>
      <w:r>
        <w:rPr>
          <w:spacing w:val="-4"/>
        </w:rPr>
        <w:t>市场自有品牌销售方面深挖细耕，将重点加大在社区医疗业务的推广和拓展，逐步实现公司业务转型，以确保营收稳健增长。</w:t>
      </w:r>
      <w:r>
        <w:rPr>
          <w:spacing w:val="-44"/>
        </w:rPr>
        <w:t> </w:t>
      </w:r>
      <w:r>
        <w:rPr>
          <w:spacing w:val="-44"/>
        </w:rPr>
      </w:r>
      <w:r>
        <w:rPr>
          <w:rFonts w:ascii="宋体" w:hAnsi="宋体" w:cs="宋体" w:eastAsia="宋体" w:hint="default"/>
        </w:rPr>
        <w:t>2</w:t>
      </w:r>
      <w:r>
        <w:rPr/>
        <w:t>、积极拓展外延式发展</w:t>
      </w:r>
    </w:p>
    <w:p>
      <w:pPr>
        <w:pStyle w:val="BodyText"/>
        <w:spacing w:line="316" w:lineRule="auto" w:before="19"/>
        <w:ind w:left="1133" w:right="1130" w:firstLine="360"/>
        <w:jc w:val="both"/>
      </w:pPr>
      <w:r>
        <w:rPr>
          <w:rFonts w:ascii="宋体" w:hAnsi="宋体" w:cs="宋体" w:eastAsia="宋体" w:hint="default"/>
          <w:spacing w:val="-2"/>
        </w:rPr>
        <w:t>2017</w:t>
      </w:r>
      <w:r>
        <w:rPr>
          <w:spacing w:val="-2"/>
        </w:rPr>
        <w:t>年度，公司对外投资美国创投基金、美国物联网芯片设计公司以及瑞康宏业等；公司与与胡大一和北京瑰柏科技有</w:t>
      </w:r>
      <w:r>
        <w:rPr/>
        <w:t> </w:t>
      </w:r>
      <w:r>
        <w:rPr>
          <w:spacing w:val="-2"/>
        </w:rPr>
        <w:t>限公司签署了《战略合作协议》；公司与专业投资机构共同投资设立医疗产业投资基金等。</w:t>
      </w:r>
      <w:r>
        <w:rPr>
          <w:rFonts w:ascii="宋体" w:hAnsi="宋体" w:cs="宋体" w:eastAsia="宋体" w:hint="default"/>
          <w:spacing w:val="-2"/>
        </w:rPr>
        <w:t>2018</w:t>
      </w:r>
      <w:r>
        <w:rPr>
          <w:spacing w:val="-2"/>
        </w:rPr>
        <w:t>年公司或公司通过医疗产业</w:t>
      </w:r>
      <w:r>
        <w:rPr>
          <w:spacing w:val="-61"/>
        </w:rPr>
        <w:t> </w:t>
      </w:r>
      <w:r>
        <w:rPr>
          <w:spacing w:val="-2"/>
        </w:rPr>
        <w:t>基金继续积极寻求同公司主业相关，可发挥公司优势，实现资源整合，具有协同效应的项目合作，开展包括股权、业务在内</w:t>
      </w:r>
      <w:r>
        <w:rPr>
          <w:spacing w:val="-66"/>
        </w:rPr>
        <w:t> </w:t>
      </w:r>
      <w:r>
        <w:rPr>
          <w:spacing w:val="-66"/>
        </w:rPr>
      </w:r>
      <w:r>
        <w:rPr/>
        <w:t>的深度合作，以提高公司综合竞争力。</w:t>
      </w:r>
    </w:p>
    <w:p>
      <w:pPr>
        <w:pStyle w:val="BodyText"/>
        <w:spacing w:line="240" w:lineRule="auto" w:before="19"/>
        <w:ind w:left="1493" w:right="1015"/>
        <w:jc w:val="left"/>
      </w:pPr>
      <w:r>
        <w:rPr>
          <w:rFonts w:ascii="宋体" w:hAnsi="宋体" w:cs="宋体" w:eastAsia="宋体" w:hint="default"/>
        </w:rPr>
        <w:t>3</w:t>
      </w:r>
      <w:r>
        <w:rPr/>
        <w:t>、持续研发投入，提升公司综合竞争力</w:t>
      </w:r>
    </w:p>
    <w:p>
      <w:pPr>
        <w:pStyle w:val="BodyText"/>
        <w:spacing w:line="319" w:lineRule="auto" w:before="76"/>
        <w:ind w:left="1133" w:right="1132" w:firstLine="360"/>
        <w:jc w:val="both"/>
      </w:pPr>
      <w:r>
        <w:rPr>
          <w:rFonts w:ascii="宋体" w:hAnsi="宋体" w:cs="宋体" w:eastAsia="宋体" w:hint="default"/>
          <w:spacing w:val="-2"/>
        </w:rPr>
        <w:t>2018</w:t>
      </w:r>
      <w:r>
        <w:rPr>
          <w:spacing w:val="-2"/>
        </w:rPr>
        <w:t>年，公司将逐步减少在公司硬件产品本身的研发投入，将重点在慢病管理数据的获取、与第三方健康管理机构数据</w:t>
      </w:r>
      <w:r>
        <w:rPr/>
        <w:t> 的互通如硬件产品与大数据互联，区块链技术在硬件产品运用方面的研发投入，实现产品增值，提升公司综合竞争力。</w:t>
      </w:r>
    </w:p>
    <w:p>
      <w:pPr>
        <w:pStyle w:val="BodyText"/>
        <w:spacing w:line="240" w:lineRule="auto" w:before="17"/>
        <w:ind w:left="1493" w:right="1015"/>
        <w:jc w:val="left"/>
      </w:pPr>
      <w:r>
        <w:rPr>
          <w:rFonts w:ascii="宋体" w:hAnsi="宋体" w:cs="宋体" w:eastAsia="宋体" w:hint="default"/>
        </w:rPr>
        <w:t>4</w:t>
      </w:r>
      <w:r>
        <w:rPr/>
        <w:t>、区块链实验室的设立及投入</w:t>
      </w:r>
    </w:p>
    <w:p>
      <w:pPr>
        <w:pStyle w:val="BodyText"/>
        <w:spacing w:line="316" w:lineRule="auto" w:before="76"/>
        <w:ind w:left="1133" w:right="1130"/>
        <w:jc w:val="both"/>
      </w:pPr>
      <w:r>
        <w:rPr>
          <w:rFonts w:ascii="宋体" w:hAnsi="宋体" w:cs="宋体" w:eastAsia="宋体" w:hint="default"/>
          <w:spacing w:val="-2"/>
        </w:rPr>
        <w:t>2018</w:t>
      </w:r>
      <w:r>
        <w:rPr>
          <w:spacing w:val="-2"/>
        </w:rPr>
        <w:t>年，公司与佰客云（北京）区块链科技有限公司（以下简称“佰客云”）共同设立区块链实验室，加速区块链技术在慢</w:t>
      </w:r>
      <w:r>
        <w:rPr>
          <w:spacing w:val="-63"/>
        </w:rPr>
        <w:t> </w:t>
      </w:r>
      <w:r>
        <w:rPr>
          <w:spacing w:val="-63"/>
        </w:rPr>
      </w:r>
      <w:r>
        <w:rPr>
          <w:spacing w:val="-2"/>
        </w:rPr>
        <w:t>病、运动、健康管理领域的运用。</w:t>
      </w:r>
      <w:r>
        <w:rPr>
          <w:rFonts w:ascii="宋体" w:hAnsi="宋体" w:cs="宋体" w:eastAsia="宋体" w:hint="default"/>
          <w:spacing w:val="-2"/>
        </w:rPr>
        <w:t>2018</w:t>
      </w:r>
      <w:r>
        <w:rPr>
          <w:spacing w:val="-2"/>
        </w:rPr>
        <w:t>年，针对佰客云的客户需求，重点优化智能手环和智能健康秤，解决现有技术问题的</w:t>
      </w:r>
      <w:r>
        <w:rPr>
          <w:spacing w:val="-63"/>
        </w:rPr>
        <w:t> </w:t>
      </w:r>
      <w:r>
        <w:rPr>
          <w:spacing w:val="-63"/>
        </w:rPr>
      </w:r>
      <w:r>
        <w:rPr>
          <w:spacing w:val="-2"/>
        </w:rPr>
        <w:t>同时，加大区块链技术的基础研发。同时，在现有新产品开发路线图的基础上，计划于</w:t>
      </w:r>
      <w:r>
        <w:rPr>
          <w:rFonts w:ascii="宋体" w:hAnsi="宋体" w:cs="宋体" w:eastAsia="宋体" w:hint="default"/>
          <w:spacing w:val="-2"/>
        </w:rPr>
        <w:t>2018</w:t>
      </w:r>
      <w:r>
        <w:rPr>
          <w:spacing w:val="-2"/>
        </w:rPr>
        <w:t>年下半年推出一款基于区块链技</w:t>
      </w:r>
      <w:r>
        <w:rPr>
          <w:spacing w:val="-61"/>
        </w:rPr>
        <w:t> </w:t>
      </w:r>
      <w:r>
        <w:rPr/>
        <w:t>术的高端智能手表，结合</w:t>
      </w:r>
      <w:r>
        <w:rPr>
          <w:rFonts w:ascii="宋体" w:hAnsi="宋体" w:cs="宋体" w:eastAsia="宋体" w:hint="default"/>
        </w:rPr>
        <w:t>GPS,</w:t>
      </w:r>
      <w:r>
        <w:rPr/>
        <w:t>使用区块链技术记录位置信息，尝试整合数字钱包功能，考虑支持不同场景的支付功能。</w:t>
      </w:r>
    </w:p>
    <w:p>
      <w:pPr>
        <w:pStyle w:val="BodyText"/>
        <w:spacing w:line="316" w:lineRule="auto" w:before="19"/>
        <w:ind w:left="1494" w:right="1015"/>
        <w:jc w:val="left"/>
      </w:pPr>
      <w:r>
        <w:rPr>
          <w:rFonts w:ascii="宋体" w:hAnsi="宋体" w:cs="宋体" w:eastAsia="宋体" w:hint="default"/>
        </w:rPr>
        <w:t>5</w:t>
      </w:r>
      <w:r>
        <w:rPr/>
        <w:t>、积极推进募投项目建设 </w:t>
      </w:r>
      <w:r>
        <w:rPr>
          <w:spacing w:val="-2"/>
        </w:rPr>
        <w:t>公司</w:t>
      </w:r>
      <w:r>
        <w:rPr>
          <w:rFonts w:ascii="宋体" w:hAnsi="宋体" w:cs="宋体" w:eastAsia="宋体" w:hint="default"/>
          <w:spacing w:val="-2"/>
        </w:rPr>
        <w:t>IPO</w:t>
      </w:r>
      <w:r>
        <w:rPr>
          <w:spacing w:val="-2"/>
        </w:rPr>
        <w:t>募集资金将投向生产基地建设、研发中心建设、营销网络优化</w:t>
      </w:r>
      <w:r>
        <w:rPr>
          <w:rFonts w:ascii="宋体" w:hAnsi="宋体" w:cs="宋体" w:eastAsia="宋体" w:hint="default"/>
          <w:spacing w:val="-2"/>
        </w:rPr>
        <w:t>3</w:t>
      </w:r>
      <w:r>
        <w:rPr>
          <w:spacing w:val="-2"/>
        </w:rPr>
        <w:t>个募投项目。目前各项工作正在有序进行，公司</w:t>
      </w:r>
    </w:p>
    <w:p>
      <w:pPr>
        <w:pStyle w:val="BodyText"/>
        <w:spacing w:line="316" w:lineRule="auto" w:before="19"/>
        <w:ind w:left="1493" w:right="6073" w:hanging="360"/>
        <w:jc w:val="left"/>
      </w:pPr>
      <w:r>
        <w:rPr/>
        <w:t>将积极推进募投项目尽早建设完成，投产使用。 上述</w:t>
      </w:r>
      <w:r>
        <w:rPr>
          <w:rFonts w:ascii="宋体" w:hAnsi="宋体" w:cs="宋体" w:eastAsia="宋体" w:hint="default"/>
        </w:rPr>
        <w:t>2018</w:t>
      </w:r>
      <w:r>
        <w:rPr/>
        <w:t>年经营计划不构成公司对投资者的业绩承诺。</w:t>
      </w:r>
    </w:p>
    <w:p>
      <w:pPr>
        <w:pStyle w:val="Heading6"/>
        <w:spacing w:line="420" w:lineRule="auto" w:before="19"/>
        <w:ind w:left="1134" w:right="8131"/>
        <w:jc w:val="left"/>
        <w:rPr>
          <w:b w:val="0"/>
          <w:bCs w:val="0"/>
        </w:rPr>
      </w:pPr>
      <w:r>
        <w:rPr/>
        <w:t>（四）可能面临的风险</w:t>
      </w:r>
      <w:r>
        <w:rPr>
          <w:w w:val="99"/>
        </w:rPr>
        <w:t> </w:t>
      </w:r>
      <w:r>
        <w:rPr>
          <w:rFonts w:ascii="宋体" w:hAnsi="宋体" w:cs="宋体" w:eastAsia="宋体" w:hint="default"/>
        </w:rPr>
        <w:t>1</w:t>
      </w:r>
      <w:r>
        <w:rPr/>
        <w:t>、新增投入的产出不达预期风险</w:t>
      </w:r>
      <w:r>
        <w:rPr>
          <w:b w:val="0"/>
          <w:bCs w:val="0"/>
        </w:rPr>
      </w:r>
    </w:p>
    <w:p>
      <w:pPr>
        <w:pStyle w:val="BodyText"/>
        <w:spacing w:line="319" w:lineRule="auto" w:before="41"/>
        <w:ind w:right="1132" w:firstLine="360"/>
        <w:jc w:val="both"/>
      </w:pPr>
      <w:r>
        <w:rPr>
          <w:spacing w:val="-2"/>
        </w:rPr>
        <w:t>为保持公司自有品牌业务的持续竞争力，进一步扩大自有品牌市场份额，公司需要新增大量研发和销售资源投入，包括</w:t>
      </w:r>
      <w:r>
        <w:rPr/>
        <w:t> </w:t>
      </w:r>
      <w:r>
        <w:rPr>
          <w:spacing w:val="-2"/>
        </w:rPr>
        <w:t>渠道建设和品牌提升投入，这些投入对应的产出具有滞后性和不确定性。如果新增投入的产出不能达到预期，将对公司营收</w:t>
      </w:r>
      <w:r>
        <w:rPr>
          <w:spacing w:val="-66"/>
        </w:rPr>
        <w:t> </w:t>
      </w:r>
      <w:r>
        <w:rPr>
          <w:spacing w:val="-66"/>
        </w:rPr>
      </w:r>
      <w:r>
        <w:rPr/>
        <w:t>和净利润产生直接影响。</w:t>
      </w:r>
    </w:p>
    <w:p>
      <w:pPr>
        <w:pStyle w:val="Heading6"/>
        <w:spacing w:line="240" w:lineRule="auto" w:before="116"/>
        <w:ind w:left="1225" w:right="1015"/>
        <w:jc w:val="left"/>
        <w:rPr>
          <w:b w:val="0"/>
          <w:bCs w:val="0"/>
        </w:rPr>
      </w:pPr>
      <w:r>
        <w:rPr>
          <w:rFonts w:ascii="宋体" w:hAnsi="宋体" w:cs="宋体" w:eastAsia="宋体" w:hint="default"/>
        </w:rPr>
        <w:t>2</w:t>
      </w:r>
      <w:r>
        <w:rPr/>
        <w:t>、市场风险</w:t>
      </w:r>
      <w:r>
        <w:rPr>
          <w:b w:val="0"/>
          <w:bCs w:val="0"/>
        </w:rPr>
      </w:r>
    </w:p>
    <w:p>
      <w:pPr>
        <w:pStyle w:val="BodyText"/>
        <w:spacing w:line="412" w:lineRule="exact" w:before="56"/>
        <w:ind w:left="1494" w:right="1122"/>
        <w:jc w:val="left"/>
      </w:pPr>
      <w:r>
        <w:rPr>
          <w:rFonts w:ascii="宋体" w:hAnsi="宋体" w:cs="宋体" w:eastAsia="宋体" w:hint="default"/>
        </w:rPr>
        <w:t>1</w:t>
      </w:r>
      <w:r>
        <w:rPr/>
        <w:t>）国外市场风险 公司的出口业务以</w:t>
      </w:r>
      <w:r>
        <w:rPr>
          <w:rFonts w:ascii="宋体" w:hAnsi="宋体" w:cs="宋体" w:eastAsia="宋体" w:hint="default"/>
        </w:rPr>
        <w:t>ODM</w:t>
      </w:r>
      <w:r>
        <w:rPr/>
        <w:t>模式主要在欧、美、日、韩等经济发达地区展开，并且业务收入占总营收比重比较大。主要进口</w:t>
      </w:r>
    </w:p>
    <w:p>
      <w:pPr>
        <w:pStyle w:val="BodyText"/>
        <w:spacing w:line="319" w:lineRule="auto" w:before="19"/>
        <w:ind w:right="1015"/>
        <w:jc w:val="left"/>
      </w:pPr>
      <w:r>
        <w:rPr>
          <w:spacing w:val="-2"/>
        </w:rPr>
        <w:t>国贸易政策和经济形势等发生重大不利变化、因产品价格或品质以及新产品开发能力等不能满足客户需求，导致新业务开拓</w:t>
      </w:r>
      <w:r>
        <w:rPr>
          <w:spacing w:val="-64"/>
        </w:rPr>
        <w:t> </w:t>
      </w:r>
      <w:r>
        <w:rPr>
          <w:spacing w:val="-64"/>
        </w:rPr>
      </w:r>
      <w:r>
        <w:rPr/>
        <w:t>失败甚至固有客户流失，影响</w:t>
      </w:r>
      <w:r>
        <w:rPr>
          <w:rFonts w:ascii="宋体" w:hAnsi="宋体" w:cs="宋体" w:eastAsia="宋体" w:hint="default"/>
        </w:rPr>
        <w:t>ODM</w:t>
      </w:r>
      <w:r>
        <w:rPr/>
        <w:t>业务健康稳定发展，是公司在海外市场可能面临的主要风险。</w:t>
      </w:r>
    </w:p>
    <w:p>
      <w:pPr>
        <w:spacing w:after="0" w:line="319" w:lineRule="auto"/>
        <w:jc w:val="left"/>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left="1493" w:right="1015"/>
        <w:jc w:val="left"/>
      </w:pPr>
      <w:r>
        <w:rPr>
          <w:rFonts w:ascii="宋体" w:hAnsi="宋体" w:cs="宋体" w:eastAsia="宋体" w:hint="default"/>
        </w:rPr>
        <w:t>2</w:t>
      </w:r>
      <w:r>
        <w:rPr/>
        <w:t>）国内市场风险</w:t>
      </w:r>
    </w:p>
    <w:p>
      <w:pPr>
        <w:spacing w:line="240" w:lineRule="auto" w:before="5"/>
        <w:rPr>
          <w:rFonts w:ascii="宋体" w:hAnsi="宋体" w:cs="宋体" w:eastAsia="宋体" w:hint="default"/>
          <w:sz w:val="13"/>
          <w:szCs w:val="13"/>
        </w:rPr>
      </w:pPr>
    </w:p>
    <w:p>
      <w:pPr>
        <w:pStyle w:val="BodyText"/>
        <w:spacing w:line="319" w:lineRule="auto"/>
        <w:ind w:right="1133" w:firstLine="360"/>
        <w:jc w:val="both"/>
      </w:pPr>
      <w:r>
        <w:rPr>
          <w:spacing w:val="-2"/>
        </w:rPr>
        <w:t>国内智能健康医疗产品创新要求高、更新迭代快，对新产品的推出效率提出了很高的要求。而实现用户对健康管理需求</w:t>
      </w:r>
      <w:r>
        <w:rPr/>
        <w:t> </w:t>
      </w:r>
      <w:r>
        <w:rPr>
          <w:spacing w:val="-2"/>
        </w:rPr>
        <w:t>更重要的环节，则是专业人员对用户健康测量数据的跟踪和干预，即智能产品用户数据的运营管理。目前公司正积极探索这</w:t>
      </w:r>
      <w:r>
        <w:rPr>
          <w:spacing w:val="-66"/>
        </w:rPr>
        <w:t> </w:t>
      </w:r>
      <w:r>
        <w:rPr>
          <w:spacing w:val="-66"/>
        </w:rPr>
      </w:r>
      <w:r>
        <w:rPr/>
        <w:t>些数据运营的商业模式和盈利模式，但结果存在不确定性。</w:t>
      </w:r>
    </w:p>
    <w:p>
      <w:pPr>
        <w:pStyle w:val="BodyText"/>
        <w:spacing w:line="319" w:lineRule="auto" w:before="117"/>
        <w:ind w:left="1133" w:right="1132" w:firstLine="360"/>
        <w:jc w:val="both"/>
      </w:pPr>
      <w:r>
        <w:rPr>
          <w:spacing w:val="-2"/>
        </w:rPr>
        <w:t>公司国内自有品牌业务以智能可穿戴手环为主。国内智能可穿戴设备行业经</w:t>
      </w:r>
      <w:r>
        <w:rPr>
          <w:rFonts w:ascii="宋体" w:hAnsi="宋体" w:cs="宋体" w:eastAsia="宋体" w:hint="default"/>
          <w:spacing w:val="-2"/>
        </w:rPr>
        <w:t>2014</w:t>
      </w:r>
      <w:r>
        <w:rPr>
          <w:spacing w:val="-2"/>
        </w:rPr>
        <w:t>年培育，</w:t>
      </w:r>
      <w:r>
        <w:rPr>
          <w:rFonts w:ascii="宋体" w:hAnsi="宋体" w:cs="宋体" w:eastAsia="宋体" w:hint="default"/>
          <w:spacing w:val="-2"/>
        </w:rPr>
        <w:t>2015</w:t>
      </w:r>
      <w:r>
        <w:rPr>
          <w:spacing w:val="-2"/>
        </w:rPr>
        <w:t>年爆发，</w:t>
      </w:r>
      <w:r>
        <w:rPr>
          <w:rFonts w:ascii="宋体" w:hAnsi="宋体" w:cs="宋体" w:eastAsia="宋体" w:hint="default"/>
          <w:spacing w:val="-2"/>
        </w:rPr>
        <w:t>2016</w:t>
      </w:r>
      <w:r>
        <w:rPr>
          <w:spacing w:val="-2"/>
        </w:rPr>
        <w:t>年继续稳定</w:t>
      </w:r>
      <w:r>
        <w:rPr/>
        <w:t> </w:t>
      </w:r>
      <w:r>
        <w:rPr>
          <w:spacing w:val="-2"/>
        </w:rPr>
        <w:t>增长，虽然行业升级正持续进行，高附加值产品占比增加，但公司产品用户体验是否符合消费者的消费偏好以及行业发展具</w:t>
      </w:r>
      <w:r>
        <w:rPr>
          <w:spacing w:val="-66"/>
        </w:rPr>
        <w:t> </w:t>
      </w:r>
      <w:r>
        <w:rPr>
          <w:spacing w:val="-66"/>
        </w:rPr>
      </w:r>
      <w:r>
        <w:rPr/>
        <w:t>有不确定性，从而形成国内市场风险。</w:t>
      </w:r>
    </w:p>
    <w:p>
      <w:pPr>
        <w:pStyle w:val="Heading6"/>
        <w:spacing w:line="240" w:lineRule="auto" w:before="116"/>
        <w:ind w:left="1133" w:right="1015"/>
        <w:jc w:val="left"/>
        <w:rPr>
          <w:b w:val="0"/>
          <w:bCs w:val="0"/>
        </w:rPr>
      </w:pPr>
      <w:r>
        <w:rPr>
          <w:rFonts w:ascii="宋体" w:hAnsi="宋体" w:cs="宋体" w:eastAsia="宋体" w:hint="default"/>
        </w:rPr>
        <w:t>3</w:t>
      </w:r>
      <w:r>
        <w:rPr/>
        <w:t>、成本与费用增加对公司成本控制带来压力</w:t>
      </w:r>
      <w:r>
        <w:rPr>
          <w:b w:val="0"/>
          <w:bCs w:val="0"/>
        </w:rPr>
      </w:r>
    </w:p>
    <w:p>
      <w:pPr>
        <w:spacing w:line="240" w:lineRule="auto" w:before="5"/>
        <w:rPr>
          <w:rFonts w:ascii="宋体" w:hAnsi="宋体" w:cs="宋体" w:eastAsia="宋体" w:hint="default"/>
          <w:b/>
          <w:bCs/>
          <w:sz w:val="13"/>
          <w:szCs w:val="13"/>
        </w:rPr>
      </w:pPr>
    </w:p>
    <w:p>
      <w:pPr>
        <w:pStyle w:val="BodyText"/>
        <w:spacing w:line="319" w:lineRule="auto"/>
        <w:ind w:left="1133" w:right="1033" w:firstLine="360"/>
        <w:jc w:val="left"/>
      </w:pPr>
      <w:r>
        <w:rPr>
          <w:spacing w:val="-2"/>
        </w:rPr>
        <w:t>基于目前公司软件产品暂时不能单独贡献利润而主要是通过销售硬件盈利的现实，公司的经营成本主要包括原材料、制</w:t>
      </w:r>
      <w:r>
        <w:rPr/>
        <w:t> </w:t>
      </w:r>
      <w:r>
        <w:rPr>
          <w:spacing w:val="-2"/>
        </w:rPr>
        <w:t>造成本、人力成本等，若出现原材料价格、人力成本的大幅上升，将对公司成本控制产生不利影响；以及基于目前国家环保</w:t>
      </w:r>
      <w:r>
        <w:rPr>
          <w:spacing w:val="-66"/>
        </w:rPr>
        <w:t> </w:t>
      </w:r>
      <w:r>
        <w:rPr>
          <w:spacing w:val="-66"/>
        </w:rPr>
      </w:r>
      <w:r>
        <w:rPr/>
        <w:t>核查等政策因素，对上游基础原材料价格将产生影响，从而增加公司成本与费用。若公司不能有效的控制成本和费用支出， 保持公司的综合竞争力，这将会对公司管理层控制成本费用带来压力。</w:t>
      </w:r>
    </w:p>
    <w:p>
      <w:pPr>
        <w:pStyle w:val="Heading6"/>
        <w:spacing w:line="240" w:lineRule="auto" w:before="118"/>
        <w:ind w:left="1133" w:right="1015"/>
        <w:jc w:val="left"/>
        <w:rPr>
          <w:b w:val="0"/>
          <w:bCs w:val="0"/>
        </w:rPr>
      </w:pPr>
      <w:r>
        <w:rPr>
          <w:rFonts w:ascii="宋体" w:hAnsi="宋体" w:cs="宋体" w:eastAsia="宋体" w:hint="default"/>
        </w:rPr>
        <w:t>4</w:t>
      </w:r>
      <w:r>
        <w:rPr/>
        <w:t>、汇率波动风险</w:t>
      </w:r>
      <w:r>
        <w:rPr>
          <w:b w:val="0"/>
          <w:bCs w:val="0"/>
        </w:rPr>
      </w:r>
    </w:p>
    <w:p>
      <w:pPr>
        <w:spacing w:line="240" w:lineRule="auto" w:before="5"/>
        <w:rPr>
          <w:rFonts w:ascii="宋体" w:hAnsi="宋体" w:cs="宋体" w:eastAsia="宋体" w:hint="default"/>
          <w:b/>
          <w:bCs/>
          <w:sz w:val="13"/>
          <w:szCs w:val="13"/>
        </w:rPr>
      </w:pPr>
    </w:p>
    <w:p>
      <w:pPr>
        <w:pStyle w:val="BodyText"/>
        <w:spacing w:line="319" w:lineRule="auto"/>
        <w:ind w:left="1133" w:right="1129" w:firstLine="360"/>
        <w:jc w:val="both"/>
      </w:pPr>
      <w:r>
        <w:rPr>
          <w:spacing w:val="-2"/>
        </w:rPr>
        <w:t>现阶段，公司的出口业务整体规模较大，报告期内，实现出口销售额</w:t>
      </w:r>
      <w:r>
        <w:rPr>
          <w:rFonts w:ascii="宋体" w:hAnsi="宋体" w:cs="宋体" w:eastAsia="宋体" w:hint="default"/>
          <w:spacing w:val="-2"/>
        </w:rPr>
        <w:t>49,345</w:t>
      </w:r>
      <w:r>
        <w:rPr>
          <w:spacing w:val="-2"/>
        </w:rPr>
        <w:t>万元，占主营收的</w:t>
      </w:r>
      <w:r>
        <w:rPr>
          <w:rFonts w:ascii="宋体" w:hAnsi="宋体" w:cs="宋体" w:eastAsia="宋体" w:hint="default"/>
          <w:spacing w:val="-2"/>
        </w:rPr>
        <w:t>56.94%</w:t>
      </w:r>
      <w:r>
        <w:rPr>
          <w:spacing w:val="-2"/>
        </w:rPr>
        <w:t>。未来，公司在大</w:t>
      </w:r>
      <w:r>
        <w:rPr/>
        <w:t> 力发展自有品牌的同时，国际高端品牌</w:t>
      </w:r>
      <w:r>
        <w:rPr>
          <w:rFonts w:ascii="宋体" w:hAnsi="宋体" w:cs="宋体" w:eastAsia="宋体" w:hint="default"/>
        </w:rPr>
        <w:t>ODM</w:t>
      </w:r>
      <w:r>
        <w:rPr/>
        <w:t>贴牌业务规模也继续保持增长，而外汇汇率的波动将影响公司定价和盈利水平，</w:t>
      </w:r>
      <w:r>
        <w:rPr>
          <w:spacing w:val="-83"/>
        </w:rPr>
        <w:t> </w:t>
      </w:r>
      <w:r>
        <w:rPr>
          <w:spacing w:val="-83"/>
        </w:rPr>
      </w:r>
      <w:r>
        <w:rPr>
          <w:spacing w:val="-2"/>
        </w:rPr>
        <w:t>从而影响到公司产品的价格竞争力，为公司带来一定风险。如果未来我国汇率政策发生重大变化，或者未来人民币的汇率出</w:t>
      </w:r>
      <w:r>
        <w:rPr>
          <w:spacing w:val="-66"/>
        </w:rPr>
        <w:t> </w:t>
      </w:r>
      <w:r>
        <w:rPr>
          <w:spacing w:val="-66"/>
        </w:rPr>
      </w:r>
      <w:r>
        <w:rPr/>
        <w:t>现大幅波动，将影响公司汇兑损益，并对净利润产生直接的影响。</w:t>
      </w:r>
    </w:p>
    <w:p>
      <w:pPr>
        <w:spacing w:line="240" w:lineRule="auto" w:before="6"/>
        <w:rPr>
          <w:rFonts w:ascii="宋体" w:hAnsi="宋体" w:cs="宋体" w:eastAsia="宋体" w:hint="default"/>
          <w:sz w:val="20"/>
          <w:szCs w:val="20"/>
        </w:rPr>
      </w:pPr>
    </w:p>
    <w:p>
      <w:pPr>
        <w:pStyle w:val="Heading2"/>
        <w:spacing w:line="240" w:lineRule="auto"/>
        <w:ind w:left="1133" w:right="1015"/>
        <w:jc w:val="left"/>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1015"/>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1015"/>
        <w:jc w:val="left"/>
      </w:pPr>
      <w:r>
        <w:rPr/>
        <w:t>√ 适用 □ 不适用</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103" w:right="181"/>
              <w:jc w:val="left"/>
              <w:rPr>
                <w:rFonts w:ascii="Times New Roman" w:hAnsi="Times New Roman" w:cs="Times New Roman" w:eastAsia="Times New Roman" w:hint="default"/>
                <w:sz w:val="18"/>
                <w:szCs w:val="18"/>
              </w:rPr>
            </w:pPr>
            <w:hyperlink r:id="rId20">
              <w:r>
                <w:rPr>
                  <w:rFonts w:ascii="Times New Roman"/>
                  <w:spacing w:val="-1"/>
                  <w:sz w:val="18"/>
                </w:rPr>
                <w:t>http://www.cninfo.com.cn/finalpage/2</w:t>
              </w:r>
            </w:hyperlink>
            <w:r>
              <w:rPr>
                <w:rFonts w:ascii="Times New Roman"/>
                <w:spacing w:val="-29"/>
                <w:sz w:val="18"/>
              </w:rPr>
              <w:t> </w:t>
            </w:r>
            <w:r>
              <w:rPr>
                <w:rFonts w:ascii="Times New Roman"/>
                <w:spacing w:val="-29"/>
                <w:sz w:val="18"/>
              </w:rPr>
            </w:r>
            <w:r>
              <w:rPr>
                <w:rFonts w:ascii="Times New Roman"/>
                <w:sz w:val="18"/>
              </w:rPr>
              <w:t>017-01-04/1202990529.DOC</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103" w:right="181"/>
              <w:jc w:val="left"/>
              <w:rPr>
                <w:rFonts w:ascii="Times New Roman" w:hAnsi="Times New Roman" w:cs="Times New Roman" w:eastAsia="Times New Roman" w:hint="default"/>
                <w:sz w:val="18"/>
                <w:szCs w:val="18"/>
              </w:rPr>
            </w:pPr>
            <w:hyperlink r:id="rId20">
              <w:r>
                <w:rPr>
                  <w:rFonts w:ascii="Times New Roman"/>
                  <w:spacing w:val="-1"/>
                  <w:sz w:val="18"/>
                </w:rPr>
                <w:t>http://www.cninfo.com.cn/finalpage/2</w:t>
              </w:r>
            </w:hyperlink>
            <w:r>
              <w:rPr>
                <w:rFonts w:ascii="Times New Roman"/>
                <w:spacing w:val="-29"/>
                <w:sz w:val="18"/>
              </w:rPr>
              <w:t> </w:t>
            </w:r>
            <w:r>
              <w:rPr>
                <w:rFonts w:ascii="Times New Roman"/>
                <w:spacing w:val="-29"/>
                <w:sz w:val="18"/>
              </w:rPr>
            </w:r>
            <w:r>
              <w:rPr>
                <w:rFonts w:ascii="Times New Roman"/>
                <w:sz w:val="18"/>
              </w:rPr>
              <w:t>017-03-08/1203141415.DOC</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103" w:right="181"/>
              <w:jc w:val="left"/>
              <w:rPr>
                <w:rFonts w:ascii="Times New Roman" w:hAnsi="Times New Roman" w:cs="Times New Roman" w:eastAsia="Times New Roman" w:hint="default"/>
                <w:sz w:val="18"/>
                <w:szCs w:val="18"/>
              </w:rPr>
            </w:pPr>
            <w:hyperlink r:id="rId20">
              <w:r>
                <w:rPr>
                  <w:rFonts w:ascii="Times New Roman"/>
                  <w:spacing w:val="-1"/>
                  <w:sz w:val="18"/>
                </w:rPr>
                <w:t>http://www.cninfo.com.cn/finalpage/2</w:t>
              </w:r>
            </w:hyperlink>
            <w:r>
              <w:rPr>
                <w:rFonts w:ascii="Times New Roman"/>
                <w:spacing w:val="-29"/>
                <w:sz w:val="18"/>
              </w:rPr>
              <w:t> </w:t>
            </w:r>
            <w:r>
              <w:rPr>
                <w:rFonts w:ascii="Times New Roman"/>
                <w:spacing w:val="-29"/>
                <w:sz w:val="18"/>
              </w:rPr>
            </w:r>
            <w:r>
              <w:rPr>
                <w:rFonts w:ascii="Times New Roman"/>
                <w:sz w:val="18"/>
              </w:rPr>
              <w:t>017-03-08/1203141416.DOC</w:t>
            </w:r>
          </w:p>
        </w:tc>
      </w:tr>
      <w:tr>
        <w:trPr>
          <w:trHeight w:val="1027"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2"/>
              <w:ind w:left="103" w:right="181"/>
              <w:jc w:val="left"/>
              <w:rPr>
                <w:rFonts w:ascii="Times New Roman" w:hAnsi="Times New Roman" w:cs="Times New Roman" w:eastAsia="Times New Roman" w:hint="default"/>
                <w:sz w:val="18"/>
                <w:szCs w:val="18"/>
              </w:rPr>
            </w:pPr>
            <w:hyperlink r:id="rId20">
              <w:r>
                <w:rPr>
                  <w:rFonts w:ascii="Times New Roman"/>
                  <w:spacing w:val="-1"/>
                  <w:sz w:val="18"/>
                </w:rPr>
                <w:t>http://www.cninfo.com.cn/finalpage/2</w:t>
              </w:r>
            </w:hyperlink>
            <w:r>
              <w:rPr>
                <w:rFonts w:ascii="Times New Roman"/>
                <w:spacing w:val="-29"/>
                <w:sz w:val="18"/>
              </w:rPr>
              <w:t> </w:t>
            </w:r>
            <w:r>
              <w:rPr>
                <w:rFonts w:ascii="Times New Roman"/>
                <w:spacing w:val="-29"/>
                <w:sz w:val="18"/>
              </w:rPr>
            </w:r>
            <w:r>
              <w:rPr>
                <w:rFonts w:ascii="Times New Roman"/>
                <w:sz w:val="18"/>
              </w:rPr>
              <w:t>017-03-13/1203154692.DOC</w:t>
            </w:r>
          </w:p>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备注：网上业绩说明会</w:t>
            </w:r>
          </w:p>
        </w:tc>
      </w:tr>
    </w:tbl>
    <w:p>
      <w:pPr>
        <w:spacing w:after="0" w:line="202" w:lineRule="exact"/>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1625"/>
        <w:jc w:val="center"/>
        <w:rPr>
          <w:b w:val="0"/>
          <w:bCs w:val="0"/>
        </w:rPr>
      </w:pPr>
      <w:bookmarkStart w:name="第五节 重要事项" w:id="61"/>
      <w:bookmarkEnd w:id="61"/>
      <w:r>
        <w:rPr>
          <w:b w:val="0"/>
          <w:bCs w:val="0"/>
        </w:rPr>
      </w:r>
      <w:bookmarkStart w:name="_bookmark4" w:id="62"/>
      <w:bookmarkEnd w:id="62"/>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133" w:right="1015"/>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1015"/>
        <w:jc w:val="left"/>
      </w:pPr>
      <w:r>
        <w:rPr/>
        <w:t>报告期内普通股利润分配政策，特别是现金分红政策的制定、执行或调整情况</w:t>
      </w:r>
    </w:p>
    <w:p>
      <w:pPr>
        <w:pStyle w:val="BodyText"/>
        <w:spacing w:line="338" w:lineRule="auto" w:before="117"/>
        <w:ind w:left="1133" w:right="1123"/>
        <w:jc w:val="left"/>
      </w:pPr>
      <w:r>
        <w:rPr/>
        <w:t>√ 适用 □ 不适用 </w:t>
      </w:r>
      <w:r>
        <w:rPr>
          <w:rFonts w:ascii="宋体" w:hAnsi="宋体" w:cs="宋体" w:eastAsia="宋体" w:hint="default"/>
          <w:spacing w:val="-5"/>
        </w:rPr>
        <w:t>2017</w:t>
      </w:r>
      <w:r>
        <w:rPr>
          <w:spacing w:val="-5"/>
        </w:rPr>
        <w:t>年</w:t>
      </w:r>
      <w:r>
        <w:rPr>
          <w:rFonts w:ascii="宋体" w:hAnsi="宋体" w:cs="宋体" w:eastAsia="宋体" w:hint="default"/>
          <w:spacing w:val="-5"/>
        </w:rPr>
        <w:t>3</w:t>
      </w:r>
      <w:r>
        <w:rPr>
          <w:spacing w:val="-5"/>
        </w:rPr>
        <w:t>月</w:t>
      </w:r>
      <w:r>
        <w:rPr>
          <w:rFonts w:ascii="宋体" w:hAnsi="宋体" w:cs="宋体" w:eastAsia="宋体" w:hint="default"/>
          <w:spacing w:val="-5"/>
        </w:rPr>
        <w:t>27</w:t>
      </w:r>
      <w:r>
        <w:rPr>
          <w:spacing w:val="-5"/>
        </w:rPr>
        <w:t>日，公司召开</w:t>
      </w:r>
      <w:r>
        <w:rPr>
          <w:rFonts w:ascii="宋体" w:hAnsi="宋体" w:cs="宋体" w:eastAsia="宋体" w:hint="default"/>
          <w:spacing w:val="-5"/>
        </w:rPr>
        <w:t>2016</w:t>
      </w:r>
      <w:r>
        <w:rPr>
          <w:spacing w:val="-5"/>
        </w:rPr>
        <w:t>年度股东大会并作出决议，以公司股本总数</w:t>
      </w:r>
      <w:r>
        <w:rPr>
          <w:rFonts w:ascii="宋体" w:hAnsi="宋体" w:cs="宋体" w:eastAsia="宋体" w:hint="default"/>
          <w:spacing w:val="-5"/>
        </w:rPr>
        <w:t>5,900</w:t>
      </w:r>
      <w:r>
        <w:rPr>
          <w:spacing w:val="-5"/>
        </w:rPr>
        <w:t>万股为基数，每</w:t>
      </w:r>
      <w:r>
        <w:rPr>
          <w:rFonts w:ascii="宋体" w:hAnsi="宋体" w:cs="宋体" w:eastAsia="宋体" w:hint="default"/>
          <w:spacing w:val="-5"/>
        </w:rPr>
        <w:t>10</w:t>
      </w:r>
      <w:r>
        <w:rPr>
          <w:spacing w:val="-5"/>
        </w:rPr>
        <w:t>股派送现金股利</w:t>
      </w:r>
      <w:r>
        <w:rPr>
          <w:rFonts w:ascii="宋体" w:hAnsi="宋体" w:cs="宋体" w:eastAsia="宋体" w:hint="default"/>
          <w:spacing w:val="-5"/>
        </w:rPr>
        <w:t>2.00</w:t>
      </w:r>
      <w:r>
        <w:rPr>
          <w:spacing w:val="-5"/>
        </w:rPr>
        <w:t>元（含</w:t>
      </w:r>
      <w:r>
        <w:rPr>
          <w:spacing w:val="-27"/>
        </w:rPr>
        <w:t> </w:t>
      </w:r>
      <w:r>
        <w:rPr>
          <w:spacing w:val="-27"/>
        </w:rPr>
      </w:r>
      <w:r>
        <w:rPr/>
        <w:t>税）， </w:t>
      </w:r>
      <w:r>
        <w:rPr>
          <w:rFonts w:ascii="宋体" w:hAnsi="宋体" w:cs="宋体" w:eastAsia="宋体" w:hint="default"/>
        </w:rPr>
        <w:t>2016</w:t>
      </w:r>
      <w:r>
        <w:rPr/>
        <w:t>年度现金股利共计人民币</w:t>
      </w:r>
      <w:r>
        <w:rPr>
          <w:rFonts w:ascii="宋体" w:hAnsi="宋体" w:cs="宋体" w:eastAsia="宋体" w:hint="default"/>
        </w:rPr>
        <w:t>11,800,000.00</w:t>
      </w:r>
      <w:r>
        <w:rPr/>
        <w:t>元。同时，以公司股本</w:t>
      </w:r>
      <w:r>
        <w:rPr>
          <w:rFonts w:ascii="宋体" w:hAnsi="宋体" w:cs="宋体" w:eastAsia="宋体" w:hint="default"/>
        </w:rPr>
        <w:t>5,900</w:t>
      </w:r>
      <w:r>
        <w:rPr/>
        <w:t>万股为基数，每</w:t>
      </w:r>
      <w:r>
        <w:rPr>
          <w:rFonts w:ascii="宋体" w:hAnsi="宋体" w:cs="宋体" w:eastAsia="宋体" w:hint="default"/>
        </w:rPr>
        <w:t>10</w:t>
      </w:r>
      <w:r>
        <w:rPr/>
        <w:t>股转增</w:t>
      </w:r>
      <w:r>
        <w:rPr>
          <w:rFonts w:ascii="宋体" w:hAnsi="宋体" w:cs="宋体" w:eastAsia="宋体" w:hint="default"/>
        </w:rPr>
        <w:t>22</w:t>
      </w:r>
      <w:r>
        <w:rPr/>
        <w:t>股，合计转增</w:t>
      </w:r>
    </w:p>
    <w:p>
      <w:pPr>
        <w:pStyle w:val="BodyText"/>
        <w:spacing w:line="240" w:lineRule="auto" w:before="2"/>
        <w:ind w:left="1133" w:right="1015"/>
        <w:jc w:val="left"/>
        <w:rPr>
          <w:rFonts w:ascii="MS UI Gothic" w:hAnsi="MS UI Gothic" w:cs="MS UI Gothic" w:eastAsia="MS UI Gothic" w:hint="default"/>
        </w:rPr>
      </w:pPr>
      <w:r>
        <w:rPr>
          <w:rFonts w:ascii="宋体" w:hAnsi="宋体" w:cs="宋体" w:eastAsia="宋体" w:hint="default"/>
        </w:rPr>
        <w:t>129,800,000.00</w:t>
      </w:r>
      <w:r>
        <w:rPr/>
        <w:t>股。</w:t>
      </w:r>
      <w:r>
        <w:rPr>
          <w:rFonts w:ascii="宋体" w:hAnsi="宋体" w:cs="宋体" w:eastAsia="宋体" w:hint="default"/>
        </w:rPr>
        <w:t>2016</w:t>
      </w:r>
      <w:r>
        <w:rPr/>
        <w:t>年度权益分配方案于</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18</w:t>
      </w:r>
      <w:r>
        <w:rPr/>
        <w:t>日实施完毕</w:t>
      </w:r>
      <w:r>
        <w:rPr>
          <w:rFonts w:ascii="MS UI Gothic" w:hAnsi="MS UI Gothic" w:cs="MS UI Gothic" w:eastAsia="MS UI Gothic" w:hint="default"/>
        </w:rPr>
        <w:t>｡</w:t>
      </w:r>
    </w:p>
    <w:p>
      <w:pPr>
        <w:spacing w:line="240" w:lineRule="auto" w:before="0"/>
        <w:rPr>
          <w:rFonts w:ascii="MS UI Gothic" w:hAnsi="MS UI Gothic" w:cs="MS UI Gothic" w:eastAsia="MS UI Gothic"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 是否得到了充分保护：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S UI Gothic" w:hAnsi="MS UI Gothic" w:cs="MS UI Gothic" w:eastAsia="MS UI Gothic"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1"/>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 透明：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S UI Gothic" w:hAnsi="MS UI Gothic" w:cs="MS UI Gothic" w:eastAsia="MS UI Gothic"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1015"/>
        <w:jc w:val="left"/>
      </w:pPr>
      <w:r>
        <w:rPr/>
        <w:t>公司报告期利润分配预案及资本公积金转增股本预案与公司章程和分红管理办法等的相关规定一致</w:t>
      </w:r>
    </w:p>
    <w:p>
      <w:pPr>
        <w:pStyle w:val="BodyText"/>
        <w:spacing w:line="360" w:lineRule="auto" w:before="117"/>
        <w:ind w:left="1133" w:right="4273"/>
        <w:jc w:val="left"/>
      </w:pPr>
      <w:r>
        <w:rPr/>
        <w:t>√ 是 □ 否 □ 不适用 公司报告期利润分配预案及资本公积金转增股本预案符合公司章程等的相关规定。 本年度利润分配及资本公积金转增股本预案</w:t>
      </w:r>
    </w:p>
    <w:tbl>
      <w:tblPr>
        <w:tblW w:w="0" w:type="auto"/>
        <w:jc w:val="left"/>
        <w:tblInd w:w="1129" w:type="dxa"/>
        <w:tblLayout w:type="fixed"/>
        <w:tblCellMar>
          <w:top w:w="0" w:type="dxa"/>
          <w:left w:w="0" w:type="dxa"/>
          <w:bottom w:w="0" w:type="dxa"/>
          <w:right w:w="0" w:type="dxa"/>
        </w:tblCellMar>
        <w:tblLook w:val="01E0"/>
      </w:tblPr>
      <w:tblGrid>
        <w:gridCol w:w="3718"/>
        <w:gridCol w:w="5851"/>
      </w:tblGrid>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0.27</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188,800,000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现金分红总额（元）（含税）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5,097,600.00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172,554,517.42</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公司发展阶段属成长期且有重大资金支出安排的，进行利润分配时，现金分红在本次利润分配中所占比例最低应达到</w:t>
            </w:r>
          </w:p>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pStyle w:val="BodyText"/>
        <w:spacing w:line="328" w:lineRule="auto" w:before="65"/>
        <w:ind w:left="1133" w:right="1123"/>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年（包括本报告期）的普通股股利分配方案（预案）、资本公积金转增股本方案（预案）情况 </w:t>
      </w:r>
      <w:r>
        <w:rPr>
          <w:rFonts w:ascii="宋体" w:hAnsi="宋体" w:cs="宋体" w:eastAsia="宋体" w:hint="default"/>
        </w:rPr>
        <w:t>2015</w:t>
      </w:r>
      <w:r>
        <w:rPr/>
        <w:t>年度，以</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4,420</w:t>
      </w:r>
      <w:r>
        <w:rPr/>
        <w:t>万股为基数，每</w:t>
      </w:r>
      <w:r>
        <w:rPr>
          <w:rFonts w:ascii="宋体" w:hAnsi="宋体" w:cs="宋体" w:eastAsia="宋体" w:hint="default"/>
        </w:rPr>
        <w:t>10</w:t>
      </w:r>
      <w:r>
        <w:rPr/>
        <w:t>股派送现金股利</w:t>
      </w:r>
      <w:r>
        <w:rPr>
          <w:rFonts w:ascii="宋体" w:hAnsi="宋体" w:cs="宋体" w:eastAsia="宋体" w:hint="default"/>
        </w:rPr>
        <w:t>1.8737</w:t>
      </w:r>
      <w:r>
        <w:rPr/>
        <w:t>元（含税），合计派发现金股利人 民币</w:t>
      </w:r>
      <w:r>
        <w:rPr>
          <w:rFonts w:ascii="宋体" w:hAnsi="宋体" w:cs="宋体" w:eastAsia="宋体" w:hint="default"/>
        </w:rPr>
        <w:t>828.18</w:t>
      </w:r>
      <w:r>
        <w:rPr/>
        <w:t>万元人民币。</w:t>
      </w:r>
    </w:p>
    <w:p>
      <w:pPr>
        <w:spacing w:after="0" w:line="328" w:lineRule="auto"/>
        <w:jc w:val="left"/>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316" w:lineRule="auto" w:before="44"/>
        <w:ind w:right="1122"/>
        <w:jc w:val="left"/>
      </w:pPr>
      <w:r>
        <w:rPr>
          <w:rFonts w:ascii="宋体" w:hAnsi="宋体" w:cs="宋体" w:eastAsia="宋体" w:hint="default"/>
        </w:rPr>
        <w:t>2016</w:t>
      </w:r>
      <w:r>
        <w:rPr/>
        <w:t>年度，以</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5,900</w:t>
      </w:r>
      <w:r>
        <w:rPr/>
        <w:t>万股为基数，每</w:t>
      </w:r>
      <w:r>
        <w:rPr>
          <w:rFonts w:ascii="宋体" w:hAnsi="宋体" w:cs="宋体" w:eastAsia="宋体" w:hint="default"/>
        </w:rPr>
        <w:t>10</w:t>
      </w:r>
      <w:r>
        <w:rPr/>
        <w:t>股派送现金股利</w:t>
      </w:r>
      <w:r>
        <w:rPr>
          <w:rFonts w:ascii="宋体" w:hAnsi="宋体" w:cs="宋体" w:eastAsia="宋体" w:hint="default"/>
        </w:rPr>
        <w:t>2.00</w:t>
      </w:r>
      <w:r>
        <w:rPr/>
        <w:t>元（含税），合计派发现金股利共计</w:t>
      </w:r>
      <w:r>
        <w:rPr>
          <w:spacing w:val="-84"/>
        </w:rPr>
        <w:t> </w:t>
      </w:r>
      <w:r>
        <w:rPr>
          <w:spacing w:val="-84"/>
        </w:rPr>
      </w:r>
      <w:r>
        <w:rPr/>
        <w:t>人民币</w:t>
      </w:r>
      <w:r>
        <w:rPr>
          <w:rFonts w:ascii="宋体" w:hAnsi="宋体" w:cs="宋体" w:eastAsia="宋体" w:hint="default"/>
        </w:rPr>
        <w:t>1,180</w:t>
      </w:r>
      <w:r>
        <w:rPr/>
        <w:t>万元人民币；资本公积金转增股本，以每</w:t>
      </w:r>
      <w:r>
        <w:rPr>
          <w:rFonts w:ascii="宋体" w:hAnsi="宋体" w:cs="宋体" w:eastAsia="宋体" w:hint="default"/>
        </w:rPr>
        <w:t>10</w:t>
      </w:r>
      <w:r>
        <w:rPr/>
        <w:t>股转增</w:t>
      </w:r>
      <w:r>
        <w:rPr>
          <w:rFonts w:ascii="宋体" w:hAnsi="宋体" w:cs="宋体" w:eastAsia="宋体" w:hint="default"/>
        </w:rPr>
        <w:t>22</w:t>
      </w:r>
      <w:r>
        <w:rPr/>
        <w:t>股，合计转增</w:t>
      </w:r>
      <w:r>
        <w:rPr>
          <w:rFonts w:ascii="宋体" w:hAnsi="宋体" w:cs="宋体" w:eastAsia="宋体" w:hint="default"/>
        </w:rPr>
        <w:t>12,980.00</w:t>
      </w:r>
      <w:r>
        <w:rPr/>
        <w:t>万股。</w:t>
      </w:r>
    </w:p>
    <w:p>
      <w:pPr>
        <w:pStyle w:val="BodyText"/>
        <w:spacing w:line="319" w:lineRule="auto" w:before="57"/>
        <w:ind w:left="1133" w:right="1118"/>
        <w:jc w:val="left"/>
      </w:pPr>
      <w:r>
        <w:rPr>
          <w:rFonts w:ascii="宋体" w:hAnsi="宋体" w:cs="宋体" w:eastAsia="宋体" w:hint="default"/>
        </w:rPr>
        <w:t>2017</w:t>
      </w:r>
      <w:r>
        <w:rPr/>
        <w:t>年度（预案）</w:t>
      </w:r>
      <w:r>
        <w:rPr>
          <w:spacing w:val="5"/>
        </w:rPr>
        <w:t> </w:t>
      </w:r>
      <w:r>
        <w:rPr/>
        <w:t>以</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18,880</w:t>
      </w:r>
      <w:r>
        <w:rPr/>
        <w:t>万股为基数，每</w:t>
      </w:r>
      <w:r>
        <w:rPr>
          <w:rFonts w:ascii="宋体" w:hAnsi="宋体" w:cs="宋体" w:eastAsia="宋体" w:hint="default"/>
        </w:rPr>
        <w:t>10</w:t>
      </w:r>
      <w:r>
        <w:rPr/>
        <w:t>股派送现金股利</w:t>
      </w:r>
      <w:r>
        <w:rPr>
          <w:rFonts w:ascii="宋体" w:hAnsi="宋体" w:cs="宋体" w:eastAsia="宋体" w:hint="default"/>
        </w:rPr>
        <w:t>0.27</w:t>
      </w:r>
      <w:r>
        <w:rPr/>
        <w:t>元（含税），合计派发现金 股利共计人民币</w:t>
      </w:r>
      <w:r>
        <w:rPr>
          <w:rFonts w:ascii="宋体" w:hAnsi="宋体" w:cs="宋体" w:eastAsia="宋体" w:hint="default"/>
        </w:rPr>
        <w:t>509.76</w:t>
      </w:r>
      <w:r>
        <w:rPr/>
        <w:t>万元人民币。</w:t>
      </w:r>
    </w:p>
    <w:p>
      <w:pPr>
        <w:pStyle w:val="BodyText"/>
        <w:spacing w:line="240" w:lineRule="auto" w:before="58"/>
        <w:ind w:left="1133" w:right="1015"/>
        <w:jc w:val="left"/>
      </w:pPr>
      <w:r>
        <w:rPr/>
        <w:t>公司近三年（包括本报告期）普通股现金分红情况表</w:t>
      </w:r>
    </w:p>
    <w:p>
      <w:pPr>
        <w:pStyle w:val="BodyText"/>
        <w:spacing w:line="240" w:lineRule="auto" w:before="116"/>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33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2" w:right="101" w:hanging="509"/>
              <w:jc w:val="left"/>
              <w:rPr>
                <w:rFonts w:ascii="宋体" w:hAnsi="宋体" w:cs="宋体" w:eastAsia="宋体" w:hint="default"/>
                <w:sz w:val="18"/>
                <w:szCs w:val="18"/>
              </w:rPr>
            </w:pPr>
            <w:r>
              <w:rPr>
                <w:rFonts w:ascii="宋体" w:hAnsi="宋体" w:cs="宋体" w:eastAsia="宋体" w:hint="default"/>
                <w:spacing w:val="-8"/>
                <w:sz w:val="18"/>
                <w:szCs w:val="18"/>
              </w:rPr>
              <w:t>现金分红金额（含</w:t>
            </w:r>
            <w:r>
              <w:rPr>
                <w:rFonts w:ascii="宋体" w:hAnsi="宋体" w:cs="宋体" w:eastAsia="宋体" w:hint="default"/>
                <w:sz w:val="18"/>
                <w:szCs w:val="18"/>
              </w:rPr>
              <w:t> 税）</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2" w:right="161" w:hanging="1"/>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1" w:right="161"/>
              <w:jc w:val="center"/>
              <w:rPr>
                <w:rFonts w:ascii="宋体" w:hAnsi="宋体" w:cs="宋体" w:eastAsia="宋体" w:hint="default"/>
                <w:sz w:val="18"/>
                <w:szCs w:val="18"/>
              </w:rPr>
            </w:pPr>
            <w:r>
              <w:rPr>
                <w:rFonts w:ascii="宋体" w:hAnsi="宋体" w:cs="宋体" w:eastAsia="宋体" w:hint="default"/>
                <w:sz w:val="18"/>
                <w:szCs w:val="18"/>
              </w:rPr>
              <w:t>占合并报表中归 属于上市公司普 通股股东的净利 润的比率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2" w:right="160"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1" w:right="161"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分红的比例</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5,097,600.00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17,840,697.18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28.57%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11,800,000.00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80,520,708.66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8,281,800.00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50,188,819.66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16.50%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015"/>
        <w:jc w:val="left"/>
      </w:pPr>
      <w:r>
        <w:rPr/>
        <w:t>公司报告期内盈利且母公司可供普通股股东分配利润为正但未提出普通股现金红利分配预案</w:t>
      </w:r>
    </w:p>
    <w:p>
      <w:pPr>
        <w:pStyle w:val="BodyText"/>
        <w:spacing w:line="240" w:lineRule="auto" w:before="116"/>
        <w:ind w:left="1133" w:right="1015"/>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1015"/>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left="1133" w:right="1015"/>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1015"/>
        <w:jc w:val="left"/>
      </w:pPr>
      <w:r>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1"/>
              <w:jc w:val="right"/>
              <w:rPr>
                <w:rFonts w:ascii="宋体" w:hAnsi="宋体" w:cs="宋体" w:eastAsia="宋体" w:hint="default"/>
                <w:sz w:val="18"/>
                <w:szCs w:val="18"/>
              </w:rPr>
            </w:pPr>
            <w:r>
              <w:rPr>
                <w:rFonts w:ascii="宋体" w:hAnsi="宋体" w:cs="宋体" w:eastAsia="宋体" w:hint="default"/>
                <w:sz w:val="18"/>
                <w:szCs w:val="18"/>
              </w:rPr>
              <w:t>承诺来源</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6"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 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01"/>
              <w:jc w:val="righ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73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103" w:right="201"/>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潘伟潮</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left"/>
              <w:rPr>
                <w:rFonts w:ascii="宋体" w:hAnsi="宋体" w:cs="宋体" w:eastAsia="宋体" w:hint="default"/>
                <w:sz w:val="18"/>
                <w:szCs w:val="18"/>
              </w:rPr>
            </w:pPr>
            <w:r>
              <w:rPr>
                <w:rFonts w:ascii="宋体" w:hAnsi="宋体" w:cs="宋体" w:eastAsia="宋体" w:hint="default"/>
                <w:sz w:val="18"/>
                <w:szCs w:val="18"/>
              </w:rPr>
              <w:t>公司控股股 东、实际控 制人潘伟潮 承诺，自公 司首次公开 发行股票并 在创业板上 市之日起三 十六个月 内，不转让 或者委托他 人管理其持 有的公司股 份，也不由 公司回购其</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103" w:right="272"/>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74"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93"/>
              <w:jc w:val="left"/>
              <w:rPr>
                <w:rFonts w:ascii="宋体" w:hAnsi="宋体" w:cs="宋体" w:eastAsia="宋体" w:hint="default"/>
                <w:sz w:val="18"/>
                <w:szCs w:val="18"/>
              </w:rPr>
            </w:pPr>
            <w:r>
              <w:rPr>
                <w:rFonts w:ascii="宋体" w:hAnsi="宋体" w:cs="宋体" w:eastAsia="宋体" w:hint="default"/>
                <w:sz w:val="18"/>
                <w:szCs w:val="18"/>
              </w:rPr>
              <w:t>持有的股 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4770"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06"/>
              <w:ind w:left="103" w:right="111"/>
              <w:jc w:val="left"/>
              <w:rPr>
                <w:rFonts w:ascii="宋体" w:hAnsi="宋体" w:cs="宋体" w:eastAsia="宋体" w:hint="default"/>
                <w:sz w:val="18"/>
                <w:szCs w:val="18"/>
              </w:rPr>
            </w:pPr>
            <w:r>
              <w:rPr>
                <w:rFonts w:ascii="宋体" w:hAnsi="宋体" w:cs="宋体" w:eastAsia="宋体" w:hint="default"/>
                <w:sz w:val="18"/>
                <w:szCs w:val="18"/>
              </w:rPr>
              <w:t>黄瑜</w:t>
            </w:r>
            <w:r>
              <w:rPr>
                <w:rFonts w:ascii="Times New Roman" w:hAnsi="Times New Roman" w:cs="Times New Roman" w:eastAsia="Times New Roman" w:hint="default"/>
                <w:sz w:val="18"/>
                <w:szCs w:val="18"/>
              </w:rPr>
              <w:t>;</w:t>
            </w:r>
            <w:r>
              <w:rPr>
                <w:rFonts w:ascii="宋体" w:hAnsi="宋体" w:cs="宋体" w:eastAsia="宋体" w:hint="default"/>
                <w:sz w:val="18"/>
                <w:szCs w:val="18"/>
              </w:rPr>
              <w:t>吕宏</w:t>
            </w:r>
            <w:r>
              <w:rPr>
                <w:rFonts w:ascii="Times New Roman" w:hAnsi="Times New Roman" w:cs="Times New Roman" w:eastAsia="Times New Roman" w:hint="default"/>
                <w:sz w:val="18"/>
                <w:szCs w:val="18"/>
              </w:rPr>
              <w:t>; </w:t>
            </w:r>
            <w:r>
              <w:rPr>
                <w:rFonts w:ascii="宋体" w:hAnsi="宋体" w:cs="宋体" w:eastAsia="宋体" w:hint="default"/>
                <w:sz w:val="18"/>
                <w:szCs w:val="18"/>
              </w:rPr>
              <w:t>麦炯章</w:t>
            </w:r>
            <w:r>
              <w:rPr>
                <w:rFonts w:ascii="Times New Roman" w:hAnsi="Times New Roman" w:cs="Times New Roman" w:eastAsia="Times New Roman" w:hint="default"/>
                <w:sz w:val="18"/>
                <w:szCs w:val="18"/>
              </w:rPr>
              <w:t>;</w:t>
            </w:r>
            <w:r>
              <w:rPr>
                <w:rFonts w:ascii="宋体" w:hAnsi="宋体" w:cs="宋体" w:eastAsia="宋体" w:hint="default"/>
                <w:sz w:val="18"/>
                <w:szCs w:val="18"/>
              </w:rPr>
              <w:t>欧 高良</w:t>
            </w:r>
            <w:r>
              <w:rPr>
                <w:rFonts w:ascii="Times New Roman" w:hAnsi="Times New Roman" w:cs="Times New Roman" w:eastAsia="Times New Roman" w:hint="default"/>
                <w:sz w:val="18"/>
                <w:szCs w:val="18"/>
              </w:rPr>
              <w:t>;</w:t>
            </w:r>
            <w:r>
              <w:rPr>
                <w:rFonts w:ascii="宋体" w:hAnsi="宋体" w:cs="宋体" w:eastAsia="宋体" w:hint="default"/>
                <w:sz w:val="18"/>
                <w:szCs w:val="18"/>
              </w:rPr>
              <w:t>沙华 海</w:t>
            </w:r>
            <w:r>
              <w:rPr>
                <w:rFonts w:ascii="Times New Roman" w:hAnsi="Times New Roman" w:cs="Times New Roman" w:eastAsia="Times New Roman" w:hint="default"/>
                <w:sz w:val="18"/>
                <w:szCs w:val="18"/>
              </w:rPr>
              <w:t>;</w:t>
            </w:r>
            <w:r>
              <w:rPr>
                <w:rFonts w:ascii="宋体" w:hAnsi="宋体" w:cs="宋体" w:eastAsia="宋体" w:hint="default"/>
                <w:sz w:val="18"/>
                <w:szCs w:val="18"/>
              </w:rPr>
              <w:t>中山市 汇康股权投 资合伙企业</w:t>
            </w:r>
          </w:p>
          <w:p>
            <w:pPr>
              <w:pStyle w:val="TableParagraph"/>
              <w:spacing w:line="312" w:lineRule="auto" w:before="28"/>
              <w:ind w:left="103" w:right="101"/>
              <w:jc w:val="left"/>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7"/>
                <w:sz w:val="18"/>
                <w:szCs w:val="18"/>
              </w:rPr>
              <w:t>伙）</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中山市</w:t>
            </w:r>
            <w:r>
              <w:rPr>
                <w:rFonts w:ascii="宋体" w:hAnsi="宋体" w:cs="宋体" w:eastAsia="宋体" w:hint="default"/>
                <w:sz w:val="18"/>
                <w:szCs w:val="18"/>
              </w:rPr>
              <w:t> 协润股权投 资合伙企业</w:t>
            </w:r>
          </w:p>
          <w:p>
            <w:pPr>
              <w:pStyle w:val="TableParagraph"/>
              <w:spacing w:line="319" w:lineRule="auto" w:before="22"/>
              <w:ind w:left="103" w:right="240"/>
              <w:jc w:val="left"/>
              <w:rPr>
                <w:rFonts w:ascii="宋体" w:hAnsi="宋体" w:cs="宋体" w:eastAsia="宋体" w:hint="default"/>
                <w:sz w:val="18"/>
                <w:szCs w:val="18"/>
              </w:rPr>
            </w:pP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周康</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left"/>
              <w:rPr>
                <w:rFonts w:ascii="宋体" w:hAnsi="宋体" w:cs="宋体" w:eastAsia="宋体" w:hint="default"/>
                <w:sz w:val="18"/>
                <w:szCs w:val="18"/>
              </w:rPr>
            </w:pPr>
            <w:r>
              <w:rPr>
                <w:rFonts w:ascii="宋体" w:hAnsi="宋体" w:cs="宋体" w:eastAsia="宋体" w:hint="default"/>
                <w:sz w:val="18"/>
                <w:szCs w:val="18"/>
              </w:rPr>
              <w:t>自公司首次 公开发行股 票并在创业 板上市之日 起十二个月 内，不转让 或者委托他 人管理其直 接或间接持 有的公司股 份，也不由 公司回购其 直接或间接 持有的股 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103" w:right="275"/>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816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03" w:right="0"/>
              <w:jc w:val="both"/>
              <w:rPr>
                <w:rFonts w:ascii="宋体" w:hAnsi="宋体" w:cs="宋体" w:eastAsia="宋体" w:hint="default"/>
                <w:sz w:val="18"/>
                <w:szCs w:val="18"/>
              </w:rPr>
            </w:pPr>
            <w:r>
              <w:rPr>
                <w:rFonts w:ascii="宋体" w:hAnsi="宋体" w:cs="宋体" w:eastAsia="宋体" w:hint="default"/>
                <w:sz w:val="18"/>
                <w:szCs w:val="18"/>
              </w:rPr>
              <w:t>高榕资本</w:t>
            </w:r>
          </w:p>
          <w:p>
            <w:pPr>
              <w:pStyle w:val="TableParagraph"/>
              <w:spacing w:line="319" w:lineRule="auto" w:before="76"/>
              <w:ind w:left="103" w:right="111"/>
              <w:jc w:val="both"/>
              <w:rPr>
                <w:rFonts w:ascii="宋体" w:hAnsi="宋体" w:cs="宋体" w:eastAsia="宋体" w:hint="default"/>
                <w:sz w:val="18"/>
                <w:szCs w:val="18"/>
              </w:rPr>
            </w:pPr>
            <w:r>
              <w:rPr>
                <w:rFonts w:ascii="宋体" w:hAnsi="宋体" w:cs="宋体" w:eastAsia="宋体" w:hint="default"/>
                <w:sz w:val="18"/>
                <w:szCs w:val="18"/>
              </w:rPr>
              <w:t>（深圳）投 资中心（有 限合伙）</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103" w:right="11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自取得的公 司股份完成 工商变更登 记之日</w:t>
            </w:r>
          </w:p>
          <w:p>
            <w:pPr>
              <w:pStyle w:val="TableParagraph"/>
              <w:spacing w:line="240" w:lineRule="auto" w:before="1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1"/>
                <w:sz w:val="18"/>
                <w:szCs w:val="18"/>
              </w:rPr>
              <w:t>）</w:t>
            </w:r>
            <w:r>
              <w:rPr>
                <w:rFonts w:ascii="宋体" w:hAnsi="宋体" w:cs="宋体" w:eastAsia="宋体" w:hint="default"/>
                <w:sz w:val="18"/>
                <w:szCs w:val="18"/>
              </w:rPr>
              <w:t>起</w:t>
            </w:r>
          </w:p>
          <w:p>
            <w:pPr>
              <w:pStyle w:val="TableParagraph"/>
              <w:spacing w:line="316" w:lineRule="auto" w:before="63"/>
              <w:ind w:left="103"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不转让或者 委托他人管 理其持有的 公司股份， 也不由公司 回购其持有 的股份；自 公司首次公 开发行股票 并在创业板 上市之日起 十二个月 内，不转让 或者委托他 人管理其持 有的公司股 份，也不由 公司回购其 持有的股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103" w:right="275"/>
              <w:jc w:val="left"/>
              <w:rPr>
                <w:rFonts w:ascii="宋体" w:hAnsi="宋体" w:cs="宋体" w:eastAsia="宋体" w:hint="default"/>
                <w:sz w:val="18"/>
                <w:szCs w:val="18"/>
              </w:rPr>
            </w:pPr>
            <w:r>
              <w:rPr>
                <w:rFonts w:ascii="宋体" w:hAnsi="宋体" w:cs="宋体" w:eastAsia="宋体" w:hint="default"/>
                <w:sz w:val="18"/>
                <w:szCs w:val="18"/>
              </w:rPr>
              <w:t>已履行完 毕</w:t>
            </w:r>
          </w:p>
        </w:tc>
      </w:tr>
    </w:tbl>
    <w:p>
      <w:pPr>
        <w:spacing w:after="0" w:line="319"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6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潘伟潮</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left"/>
              <w:rPr>
                <w:rFonts w:ascii="宋体" w:hAnsi="宋体" w:cs="宋体" w:eastAsia="宋体" w:hint="default"/>
                <w:sz w:val="18"/>
                <w:szCs w:val="18"/>
              </w:rPr>
            </w:pPr>
            <w:r>
              <w:rPr>
                <w:rFonts w:ascii="宋体" w:hAnsi="宋体" w:cs="宋体" w:eastAsia="宋体" w:hint="default"/>
                <w:sz w:val="18"/>
                <w:szCs w:val="18"/>
              </w:rPr>
              <w:t>本人持有的 本次发行前 的公司股份 在承诺的锁 定期届满 后，在满足 以下条件的 前提下，方 可进行减 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103" w:right="275"/>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83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103" w:right="101"/>
              <w:jc w:val="left"/>
              <w:rPr>
                <w:rFonts w:ascii="宋体" w:hAnsi="宋体" w:cs="宋体" w:eastAsia="宋体" w:hint="default"/>
                <w:sz w:val="18"/>
                <w:szCs w:val="18"/>
              </w:rPr>
            </w:pPr>
            <w:r>
              <w:rPr>
                <w:rFonts w:ascii="宋体" w:hAnsi="宋体" w:cs="宋体" w:eastAsia="宋体" w:hint="default"/>
                <w:sz w:val="18"/>
                <w:szCs w:val="18"/>
              </w:rPr>
              <w:t>麦炯章</w:t>
            </w:r>
            <w:r>
              <w:rPr>
                <w:rFonts w:ascii="Times New Roman" w:hAnsi="Times New Roman" w:cs="Times New Roman" w:eastAsia="Times New Roman" w:hint="default"/>
                <w:sz w:val="18"/>
                <w:szCs w:val="18"/>
              </w:rPr>
              <w:t>;</w:t>
            </w:r>
            <w:r>
              <w:rPr>
                <w:rFonts w:ascii="宋体" w:hAnsi="宋体" w:cs="宋体" w:eastAsia="宋体" w:hint="default"/>
                <w:sz w:val="18"/>
                <w:szCs w:val="18"/>
              </w:rPr>
              <w:t>沙 华海</w:t>
            </w:r>
            <w:r>
              <w:rPr>
                <w:rFonts w:ascii="Times New Roman" w:hAnsi="Times New Roman" w:cs="Times New Roman" w:eastAsia="Times New Roman" w:hint="default"/>
                <w:sz w:val="18"/>
                <w:szCs w:val="18"/>
              </w:rPr>
              <w:t>;</w:t>
            </w:r>
            <w:r>
              <w:rPr>
                <w:rFonts w:ascii="宋体" w:hAnsi="宋体" w:cs="宋体" w:eastAsia="宋体" w:hint="default"/>
                <w:sz w:val="18"/>
                <w:szCs w:val="18"/>
              </w:rPr>
              <w:t>中山 市汇康股权 投资合伙企 业（有限合 </w:t>
            </w:r>
            <w:r>
              <w:rPr>
                <w:rFonts w:ascii="宋体" w:hAnsi="宋体" w:cs="宋体" w:eastAsia="宋体" w:hint="default"/>
                <w:spacing w:val="-7"/>
                <w:sz w:val="18"/>
                <w:szCs w:val="18"/>
              </w:rPr>
              <w:t>伙）</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中山市</w:t>
            </w:r>
            <w:r>
              <w:rPr>
                <w:rFonts w:ascii="宋体" w:hAnsi="宋体" w:cs="宋体" w:eastAsia="宋体" w:hint="default"/>
                <w:sz w:val="18"/>
                <w:szCs w:val="18"/>
              </w:rPr>
              <w:t> 协润股权投 资合伙企业</w:t>
            </w:r>
          </w:p>
          <w:p>
            <w:pPr>
              <w:pStyle w:val="TableParagraph"/>
              <w:spacing w:line="319" w:lineRule="auto" w:before="24"/>
              <w:ind w:left="103" w:right="291"/>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本合 伙企业直 接、间接持 有的本次发 行前的公司 股份在承诺 的锁定期届 满后，在满 足以下条件 的前提下， 方可进行减 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103" w:right="275"/>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629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45"/>
              <w:ind w:left="103" w:right="190"/>
              <w:jc w:val="both"/>
              <w:rPr>
                <w:rFonts w:ascii="宋体" w:hAnsi="宋体" w:cs="宋体" w:eastAsia="宋体" w:hint="default"/>
                <w:sz w:val="18"/>
                <w:szCs w:val="18"/>
              </w:rPr>
            </w:pPr>
            <w:r>
              <w:rPr>
                <w:rFonts w:ascii="宋体" w:hAnsi="宋体" w:cs="宋体" w:eastAsia="宋体" w:hint="default"/>
                <w:sz w:val="18"/>
                <w:szCs w:val="18"/>
              </w:rPr>
              <w:t>黄瑜</w:t>
            </w:r>
            <w:r>
              <w:rPr>
                <w:rFonts w:ascii="Times New Roman" w:hAnsi="Times New Roman" w:cs="Times New Roman" w:eastAsia="Times New Roman" w:hint="default"/>
                <w:sz w:val="18"/>
                <w:szCs w:val="18"/>
              </w:rPr>
              <w:t>;</w:t>
            </w:r>
            <w:r>
              <w:rPr>
                <w:rFonts w:ascii="宋体" w:hAnsi="宋体" w:cs="宋体" w:eastAsia="宋体" w:hint="default"/>
                <w:sz w:val="18"/>
                <w:szCs w:val="18"/>
              </w:rPr>
              <w:t>梁启 光</w:t>
            </w:r>
            <w:r>
              <w:rPr>
                <w:rFonts w:ascii="Times New Roman" w:hAnsi="Times New Roman" w:cs="Times New Roman" w:eastAsia="Times New Roman" w:hint="default"/>
                <w:sz w:val="18"/>
                <w:szCs w:val="18"/>
              </w:rPr>
              <w:t>;</w:t>
            </w:r>
            <w:r>
              <w:rPr>
                <w:rFonts w:ascii="宋体" w:hAnsi="宋体" w:cs="宋体" w:eastAsia="宋体" w:hint="default"/>
                <w:sz w:val="18"/>
                <w:szCs w:val="18"/>
              </w:rPr>
              <w:t>麦炯章</w:t>
            </w:r>
            <w:r>
              <w:rPr>
                <w:rFonts w:ascii="Times New Roman" w:hAnsi="Times New Roman" w:cs="Times New Roman" w:eastAsia="Times New Roman" w:hint="default"/>
                <w:sz w:val="18"/>
                <w:szCs w:val="18"/>
              </w:rPr>
              <w:t>; </w:t>
            </w:r>
            <w:r>
              <w:rPr>
                <w:rFonts w:ascii="宋体" w:hAnsi="宋体" w:cs="宋体" w:eastAsia="宋体" w:hint="default"/>
                <w:sz w:val="18"/>
                <w:szCs w:val="18"/>
              </w:rPr>
              <w:t>潘农菲</w:t>
            </w:r>
            <w:r>
              <w:rPr>
                <w:rFonts w:ascii="Times New Roman" w:hAnsi="Times New Roman" w:cs="Times New Roman" w:eastAsia="Times New Roman" w:hint="default"/>
                <w:sz w:val="18"/>
                <w:szCs w:val="18"/>
              </w:rPr>
              <w:t>;</w:t>
            </w:r>
            <w:r>
              <w:rPr>
                <w:rFonts w:ascii="宋体" w:hAnsi="宋体" w:cs="宋体" w:eastAsia="宋体" w:hint="default"/>
                <w:sz w:val="18"/>
                <w:szCs w:val="18"/>
              </w:rPr>
              <w:t>潘 伟潮</w:t>
            </w:r>
            <w:r>
              <w:rPr>
                <w:rFonts w:ascii="Times New Roman" w:hAnsi="Times New Roman" w:cs="Times New Roman" w:eastAsia="Times New Roman" w:hint="default"/>
                <w:sz w:val="18"/>
                <w:szCs w:val="18"/>
              </w:rPr>
              <w:t>;</w:t>
            </w:r>
            <w:r>
              <w:rPr>
                <w:rFonts w:ascii="宋体" w:hAnsi="宋体" w:cs="宋体" w:eastAsia="宋体" w:hint="default"/>
                <w:sz w:val="18"/>
                <w:szCs w:val="18"/>
              </w:rPr>
              <w:t>沙华 海</w:t>
            </w:r>
            <w:r>
              <w:rPr>
                <w:rFonts w:ascii="Times New Roman" w:hAnsi="Times New Roman" w:cs="Times New Roman" w:eastAsia="Times New Roman" w:hint="default"/>
                <w:sz w:val="18"/>
                <w:szCs w:val="18"/>
              </w:rPr>
              <w:t>;</w:t>
            </w:r>
            <w:r>
              <w:rPr>
                <w:rFonts w:ascii="宋体" w:hAnsi="宋体" w:cs="宋体" w:eastAsia="宋体" w:hint="default"/>
                <w:sz w:val="18"/>
                <w:szCs w:val="18"/>
              </w:rPr>
              <w:t>万卫东</w:t>
            </w:r>
            <w:r>
              <w:rPr>
                <w:rFonts w:ascii="Times New Roman" w:hAnsi="Times New Roman" w:cs="Times New Roman" w:eastAsia="Times New Roman" w:hint="default"/>
                <w:sz w:val="18"/>
                <w:szCs w:val="18"/>
              </w:rPr>
              <w:t>; </w:t>
            </w:r>
            <w:r>
              <w:rPr>
                <w:rFonts w:ascii="宋体" w:hAnsi="宋体" w:cs="宋体" w:eastAsia="宋体" w:hint="default"/>
                <w:sz w:val="18"/>
                <w:szCs w:val="18"/>
              </w:rPr>
              <w:t>许迎丰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48"/>
              <w:ind w:left="103"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稳定股 价承诺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
              <w:jc w:val="left"/>
              <w:rPr>
                <w:rFonts w:ascii="宋体" w:hAnsi="宋体" w:cs="宋体" w:eastAsia="宋体" w:hint="default"/>
                <w:sz w:val="18"/>
                <w:szCs w:val="18"/>
              </w:rPr>
            </w:pPr>
            <w:r>
              <w:rPr>
                <w:rFonts w:ascii="宋体" w:hAnsi="宋体" w:cs="宋体" w:eastAsia="宋体" w:hint="default"/>
                <w:sz w:val="18"/>
                <w:szCs w:val="18"/>
              </w:rPr>
              <w:t>公司控股股 东、实际控 制人潘伟潮 及董事、高 级管理人员 麦炯章、沙 华海、万卫 </w:t>
            </w:r>
            <w:r>
              <w:rPr>
                <w:rFonts w:ascii="宋体" w:hAnsi="宋体" w:cs="宋体" w:eastAsia="宋体" w:hint="default"/>
                <w:spacing w:val="-14"/>
                <w:sz w:val="18"/>
                <w:szCs w:val="18"/>
              </w:rPr>
              <w:t>东、梁启光、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许迎丰、黄 瑜、潘农菲 承诺，其直 接或间接所 持公司股票 在锁定期满 后两年内减 持的，减持 价格不低于 发行价。公 司股票上市 后六个月内</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103" w:right="275"/>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753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3"/>
              <w:jc w:val="left"/>
              <w:rPr>
                <w:rFonts w:ascii="宋体" w:hAnsi="宋体" w:cs="宋体" w:eastAsia="宋体" w:hint="default"/>
                <w:sz w:val="18"/>
                <w:szCs w:val="18"/>
              </w:rPr>
            </w:pPr>
            <w:r>
              <w:rPr>
                <w:rFonts w:ascii="宋体" w:hAnsi="宋体" w:cs="宋体" w:eastAsia="宋体" w:hint="default"/>
                <w:sz w:val="18"/>
                <w:szCs w:val="18"/>
              </w:rPr>
              <w:t>如公司股票 连续二十个 交易日的收 盘价均低于 发行价，或 者上市后六 个月期末收 盘价低于发 行价，其所 持有公司股 票的锁定期 限自动延长 六个月。若 公司股票在 此期间发生 除权、除息 的，发行价 格将作相应 调整，其不 因职务变 更、离职等 原因而放弃 履行上述承 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29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42"/>
              <w:ind w:left="103" w:right="111"/>
              <w:jc w:val="left"/>
              <w:rPr>
                <w:rFonts w:ascii="宋体" w:hAnsi="宋体" w:cs="宋体" w:eastAsia="宋体" w:hint="default"/>
                <w:sz w:val="18"/>
                <w:szCs w:val="18"/>
              </w:rPr>
            </w:pPr>
            <w:r>
              <w:rPr>
                <w:rFonts w:ascii="宋体" w:hAnsi="宋体" w:cs="宋体" w:eastAsia="宋体" w:hint="default"/>
                <w:sz w:val="18"/>
                <w:szCs w:val="18"/>
              </w:rPr>
              <w:t>广东乐心医 疗电子股份 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黄瑜</w:t>
            </w:r>
            <w:r>
              <w:rPr>
                <w:rFonts w:ascii="Times New Roman" w:hAnsi="Times New Roman" w:cs="Times New Roman" w:eastAsia="Times New Roman" w:hint="default"/>
                <w:sz w:val="18"/>
                <w:szCs w:val="18"/>
              </w:rPr>
              <w:t>;</w:t>
            </w:r>
            <w:r>
              <w:rPr>
                <w:rFonts w:ascii="宋体" w:hAnsi="宋体" w:cs="宋体" w:eastAsia="宋体" w:hint="default"/>
                <w:sz w:val="18"/>
                <w:szCs w:val="18"/>
              </w:rPr>
              <w:t>李延 兵</w:t>
            </w:r>
            <w:r>
              <w:rPr>
                <w:rFonts w:ascii="Times New Roman" w:hAnsi="Times New Roman" w:cs="Times New Roman" w:eastAsia="Times New Roman" w:hint="default"/>
                <w:sz w:val="18"/>
                <w:szCs w:val="18"/>
              </w:rPr>
              <w:t>;</w:t>
            </w:r>
            <w:r>
              <w:rPr>
                <w:rFonts w:ascii="宋体" w:hAnsi="宋体" w:cs="宋体" w:eastAsia="宋体" w:hint="default"/>
                <w:sz w:val="18"/>
                <w:szCs w:val="18"/>
              </w:rPr>
              <w:t>梁启光</w:t>
            </w:r>
            <w:r>
              <w:rPr>
                <w:rFonts w:ascii="Times New Roman" w:hAnsi="Times New Roman" w:cs="Times New Roman" w:eastAsia="Times New Roman" w:hint="default"/>
                <w:sz w:val="18"/>
                <w:szCs w:val="18"/>
              </w:rPr>
              <w:t>; </w:t>
            </w:r>
            <w:r>
              <w:rPr>
                <w:rFonts w:ascii="宋体" w:hAnsi="宋体" w:cs="宋体" w:eastAsia="宋体" w:hint="default"/>
                <w:sz w:val="18"/>
                <w:szCs w:val="18"/>
              </w:rPr>
              <w:t>麦炯章</w:t>
            </w:r>
            <w:r>
              <w:rPr>
                <w:rFonts w:ascii="Times New Roman" w:hAnsi="Times New Roman" w:cs="Times New Roman" w:eastAsia="Times New Roman" w:hint="default"/>
                <w:sz w:val="18"/>
                <w:szCs w:val="18"/>
              </w:rPr>
              <w:t>;</w:t>
            </w:r>
            <w:r>
              <w:rPr>
                <w:rFonts w:ascii="宋体" w:hAnsi="宋体" w:cs="宋体" w:eastAsia="宋体" w:hint="default"/>
                <w:sz w:val="18"/>
                <w:szCs w:val="18"/>
              </w:rPr>
              <w:t>潘 农菲</w:t>
            </w:r>
            <w:r>
              <w:rPr>
                <w:rFonts w:ascii="Times New Roman" w:hAnsi="Times New Roman" w:cs="Times New Roman" w:eastAsia="Times New Roman" w:hint="default"/>
                <w:sz w:val="18"/>
                <w:szCs w:val="18"/>
              </w:rPr>
              <w:t>;</w:t>
            </w:r>
            <w:r>
              <w:rPr>
                <w:rFonts w:ascii="宋体" w:hAnsi="宋体" w:cs="宋体" w:eastAsia="宋体" w:hint="default"/>
                <w:sz w:val="18"/>
                <w:szCs w:val="18"/>
              </w:rPr>
              <w:t>潘伟 潮</w:t>
            </w:r>
            <w:r>
              <w:rPr>
                <w:rFonts w:ascii="Times New Roman" w:hAnsi="Times New Roman" w:cs="Times New Roman" w:eastAsia="Times New Roman" w:hint="default"/>
                <w:sz w:val="18"/>
                <w:szCs w:val="18"/>
              </w:rPr>
              <w:t>;</w:t>
            </w:r>
            <w:r>
              <w:rPr>
                <w:rFonts w:ascii="宋体" w:hAnsi="宋体" w:cs="宋体" w:eastAsia="宋体" w:hint="default"/>
                <w:sz w:val="18"/>
                <w:szCs w:val="18"/>
              </w:rPr>
              <w:t>沙华海</w:t>
            </w:r>
            <w:r>
              <w:rPr>
                <w:rFonts w:ascii="Times New Roman" w:hAnsi="Times New Roman" w:cs="Times New Roman" w:eastAsia="Times New Roman" w:hint="default"/>
                <w:sz w:val="18"/>
                <w:szCs w:val="18"/>
              </w:rPr>
              <w:t>; </w:t>
            </w:r>
            <w:r>
              <w:rPr>
                <w:rFonts w:ascii="宋体" w:hAnsi="宋体" w:cs="宋体" w:eastAsia="宋体" w:hint="default"/>
                <w:sz w:val="18"/>
                <w:szCs w:val="18"/>
              </w:rPr>
              <w:t>万卫东</w:t>
            </w:r>
            <w:r>
              <w:rPr>
                <w:rFonts w:ascii="Times New Roman" w:hAnsi="Times New Roman" w:cs="Times New Roman" w:eastAsia="Times New Roman" w:hint="default"/>
                <w:sz w:val="18"/>
                <w:szCs w:val="18"/>
              </w:rPr>
              <w:t>;</w:t>
            </w:r>
            <w:r>
              <w:rPr>
                <w:rFonts w:ascii="宋体" w:hAnsi="宋体" w:cs="宋体" w:eastAsia="宋体" w:hint="default"/>
                <w:sz w:val="18"/>
                <w:szCs w:val="18"/>
              </w:rPr>
              <w:t>许 迎丰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48"/>
              <w:ind w:left="103"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稳定股 价承诺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left"/>
              <w:rPr>
                <w:rFonts w:ascii="宋体" w:hAnsi="宋体" w:cs="宋体" w:eastAsia="宋体" w:hint="default"/>
                <w:sz w:val="18"/>
                <w:szCs w:val="18"/>
              </w:rPr>
            </w:pPr>
            <w:r>
              <w:rPr>
                <w:rFonts w:ascii="宋体" w:hAnsi="宋体" w:cs="宋体" w:eastAsia="宋体" w:hint="default"/>
                <w:sz w:val="18"/>
                <w:szCs w:val="18"/>
              </w:rPr>
              <w:t>为维护公众 投资者的利 益，公司及 其控股股 东、实际控 制人，董事 及高级管理 人员承诺， 如果首次公 开发行上市 后三年内公 司股价（指 收盘价）出 现低于上一 年度末经审 计的每股净 资产（若因 除权除息等 事项致使上 述股票收盘</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103" w:right="275"/>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价与公司上</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一会计年度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末经审计的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每股净资产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不具可比性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的，上述每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股净资产应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做相应调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整，下同）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的情况时，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其将依据法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律、法规及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公司章程的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规定，在不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影响公司上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市条件的前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提下将启动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稳定股价的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措施，具体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如下</w:t>
            </w:r>
            <w:r>
              <w:rPr>
                <w:rFonts w:ascii="宋体" w:hAnsi="宋体" w:cs="宋体" w:eastAsia="宋体" w:hint="default"/>
                <w:spacing w:val="-80"/>
                <w:sz w:val="18"/>
                <w:szCs w:val="18"/>
              </w:rPr>
              <w:t>：</w:t>
            </w:r>
            <w:r>
              <w:rPr>
                <w:rFonts w:ascii="宋体" w:hAnsi="宋体" w:cs="宋体" w:eastAsia="宋体" w:hint="default"/>
                <w:sz w:val="18"/>
                <w:szCs w:val="18"/>
              </w:rPr>
              <w:t>（一）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启动稳定股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价措施的具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体条件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预警条件一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旦出现公司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个交易日的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收盘价低于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上一年度末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经审计的每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股净资产的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120%</w:t>
            </w:r>
            <w:r>
              <w:rPr>
                <w:rFonts w:ascii="宋体" w:hAnsi="宋体" w:cs="宋体" w:eastAsia="宋体" w:hint="default"/>
                <w:spacing w:val="-8"/>
                <w:sz w:val="18"/>
                <w:szCs w:val="18"/>
              </w:rPr>
              <w:t>时，在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日内召开情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况说明会，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与投资者就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上市公司经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营状况、财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务指标、发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展战略进行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深入沟通。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81"/>
                <w:sz w:val="18"/>
                <w:szCs w:val="18"/>
              </w:rPr>
              <w:t>、</w:t>
            </w:r>
            <w:r>
              <w:rPr>
                <w:rFonts w:ascii="宋体" w:hAnsi="宋体" w:cs="宋体" w:eastAsia="宋体" w:hint="default"/>
                <w:sz w:val="18"/>
                <w:szCs w:val="18"/>
              </w:rPr>
              <w:t>启动条件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一旦出现公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司股票连续</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日的收盘价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低于上一年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度末经审计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的每股净资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产时，应当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开始实施相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关稳定股价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的方案，并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应提前公告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具体实施方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4"/>
                <w:sz w:val="18"/>
                <w:szCs w:val="18"/>
              </w:rPr>
              <w:t>案。</w:t>
            </w: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、停止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条件在上述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股价具体方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案的实施期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间内或实施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前，如公司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个交易日收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盘价高于上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一年度末经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审计的每股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净资产时，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将停止实施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稳定股价措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施。上述第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项稳定股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价具体方案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实施完毕或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停止实施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后，如再次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发生上述第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项的启动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条件，则再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次启动稳定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股价措施。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股价的具体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措施当上述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启动稳定股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价措施的条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件成就时，</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将依次开展</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增持</w:t>
            </w:r>
            <w:r>
              <w:rPr>
                <w:rFonts w:ascii="宋体" w:hAnsi="宋体" w:cs="宋体" w:eastAsia="宋体" w:hint="default"/>
                <w:spacing w:val="-81"/>
                <w:sz w:val="18"/>
                <w:szCs w:val="18"/>
              </w:rPr>
              <w:t>，</w:t>
            </w:r>
            <w:r>
              <w:rPr>
                <w:rFonts w:ascii="宋体" w:hAnsi="宋体" w:cs="宋体" w:eastAsia="宋体" w:hint="default"/>
                <w:sz w:val="18"/>
                <w:szCs w:val="18"/>
              </w:rPr>
              <w:t>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员增持等工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作以稳定公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司股价，回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购或增持价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格不超过公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司上一年度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末经审计的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每股净资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产，控股股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东、实际控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制人及董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事、高级管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理人员在公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司出现需稳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定股价的情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形时，必须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履行所承诺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的增持义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务，在履行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完强制增持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义务后，可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选择自愿增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持。如该等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方案、措施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需要提交董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事会、股东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大会审议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的，则控股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股东、实际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控制人以及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其他担任董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事、监事、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员的股东应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予以支持。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81"/>
                <w:sz w:val="18"/>
                <w:szCs w:val="18"/>
              </w:rPr>
              <w:t>、</w:t>
            </w:r>
            <w:r>
              <w:rPr>
                <w:rFonts w:ascii="宋体" w:hAnsi="宋体" w:cs="宋体" w:eastAsia="宋体" w:hint="default"/>
                <w:sz w:val="18"/>
                <w:szCs w:val="18"/>
              </w:rPr>
              <w:t>由公司回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购股票  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公司出现连</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易日的收盘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价低于上一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年度未经审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计的净资产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时，公司可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自愿采取回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购股票的措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施以稳定公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司股价</w:t>
            </w:r>
            <w:r>
              <w:rPr>
                <w:rFonts w:ascii="宋体" w:hAnsi="宋体" w:cs="宋体" w:eastAsia="宋体" w:hint="default"/>
                <w:spacing w:val="-171"/>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公司为稳定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股价之目的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回购股份，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应符合《上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市公司回购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社会公众股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份管理办法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（试行）》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及《关于上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市公司以集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中竞价交易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方式回购股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份的补充规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定》等相关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的规定，且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不应导致公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司股权分布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不符合上市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条件；（</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公司股东大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会对回购股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份做出决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议，须经出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席会议的股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东所持表决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权的三分之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二以上通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8"/>
                <w:sz w:val="18"/>
                <w:szCs w:val="18"/>
              </w:rPr>
              <w:t>过；（</w:t>
            </w:r>
            <w:r>
              <w:rPr>
                <w:rFonts w:ascii="Times New Roman" w:hAnsi="Times New Roman" w:cs="Times New Roman" w:eastAsia="Times New Roman" w:hint="default"/>
                <w:spacing w:val="-18"/>
                <w:sz w:val="18"/>
                <w:szCs w:val="18"/>
              </w:rPr>
              <w:t>3</w:t>
            </w:r>
            <w:r>
              <w:rPr>
                <w:rFonts w:ascii="宋体" w:hAnsi="宋体" w:cs="宋体" w:eastAsia="宋体" w:hint="default"/>
                <w:spacing w:val="-18"/>
                <w:sz w:val="18"/>
                <w:szCs w:val="18"/>
              </w:rPr>
              <w:t>）公</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司为稳定股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价之目的进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行股份回购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的，除应符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合相关法律</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法规之要求</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之外，还应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符合下列各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项：①公司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单次用于回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购股份数量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最大限额为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公司股本总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②</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公司回购股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份数量最大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限额为公司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股本总额的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；③公司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董事会公告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回购股份预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案后，公司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股票若连续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的收盘价超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过公司上一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财务年度未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经审计的除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权后每股净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资产值，公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司董事会应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做出决议终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止本次回购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股份事宜，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且在未来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个月内不再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启动股份回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购事宜。</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增持在公司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回购股票措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施完成后，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如仍未达到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易日的收盘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价均高于上</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一年度末经</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审计的每股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则启动公司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增持股票：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81"/>
                <w:sz w:val="18"/>
                <w:szCs w:val="18"/>
              </w:rPr>
              <w:t>）</w:t>
            </w:r>
            <w:r>
              <w:rPr>
                <w:rFonts w:ascii="宋体" w:hAnsi="宋体" w:cs="宋体" w:eastAsia="宋体" w:hint="default"/>
                <w:sz w:val="18"/>
                <w:szCs w:val="18"/>
              </w:rPr>
              <w:t>公司控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股股东、实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际控制人应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在符合《上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市公司收购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管理办法》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及《创业板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信息披露业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务备忘录第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及其一致行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动人增持股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份业务管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理》等法律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法规的条件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和要求的前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提下，对公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司股票进行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增持；（</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控股股东或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单次增持股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份的金额不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低于上一年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度获得的公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司现金分红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金额的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增持股份的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金额不高于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上一年度获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得的公司现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金分红金额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董事、高级</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管理人员增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持在公司回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购股票措施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完成，且公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东、实际控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制人单次增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持股份数量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达到最大限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额之日后，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如仍未达到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易日的收盘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价均高于上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一年度末经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审计的每股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则启动董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事、高级管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理人员增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8"/>
                <w:sz w:val="18"/>
                <w:szCs w:val="18"/>
              </w:rPr>
              <w:t>持：（</w:t>
            </w:r>
            <w:r>
              <w:rPr>
                <w:rFonts w:ascii="Times New Roman" w:hAnsi="Times New Roman" w:cs="Times New Roman" w:eastAsia="Times New Roman" w:hint="default"/>
                <w:spacing w:val="-18"/>
                <w:sz w:val="18"/>
                <w:szCs w:val="18"/>
              </w:rPr>
              <w:t>1</w:t>
            </w:r>
            <w:r>
              <w:rPr>
                <w:rFonts w:ascii="宋体" w:hAnsi="宋体" w:cs="宋体" w:eastAsia="宋体" w:hint="default"/>
                <w:spacing w:val="-18"/>
                <w:sz w:val="18"/>
                <w:szCs w:val="18"/>
              </w:rPr>
              <w:t>）在</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公司任职并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领取薪酬的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（不包括独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立董事）、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员应在符合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收购管理办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法》及《上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市公司董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事、监事和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员所持本公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司股份及其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变动管理规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则》等法律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法规的条件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和要求的前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提下，对公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司股票进行</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增持；（</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公司上市后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若公司新聘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任董事（不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包括独立董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事）、高级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的，公司将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要求该等新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聘任的董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事、高级管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理人员履行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本公司上市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时董事、高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已作出的相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股价措施的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启动程序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81"/>
                <w:sz w:val="18"/>
                <w:szCs w:val="18"/>
              </w:rPr>
              <w:t>、</w:t>
            </w:r>
            <w:r>
              <w:rPr>
                <w:rFonts w:ascii="宋体" w:hAnsi="宋体" w:cs="宋体" w:eastAsia="宋体" w:hint="default"/>
                <w:sz w:val="18"/>
                <w:szCs w:val="18"/>
              </w:rPr>
              <w:t>公司回购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81"/>
                <w:sz w:val="18"/>
                <w:szCs w:val="18"/>
              </w:rPr>
              <w:t>）</w:t>
            </w:r>
            <w:r>
              <w:rPr>
                <w:rFonts w:ascii="宋体" w:hAnsi="宋体" w:cs="宋体" w:eastAsia="宋体" w:hint="default"/>
                <w:sz w:val="18"/>
                <w:szCs w:val="18"/>
              </w:rPr>
              <w:t>公司董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事会应在上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述公司回购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启动条件触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发之日起的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日内做出是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否回购股份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的决议</w:t>
            </w:r>
            <w:r>
              <w:rPr>
                <w:rFonts w:ascii="宋体" w:hAnsi="宋体" w:cs="宋体" w:eastAsia="宋体" w:hint="default"/>
                <w:spacing w:val="-171"/>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公司董事会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应当在做出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是否回购股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份决议后的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内公告董事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会决议，如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不回购需公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告理由，如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回购还需公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告回购股份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预案，并发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布召开股东</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大会的通</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8"/>
                <w:sz w:val="18"/>
                <w:szCs w:val="18"/>
              </w:rPr>
              <w:t>知；（</w:t>
            </w:r>
            <w:r>
              <w:rPr>
                <w:rFonts w:ascii="Times New Roman" w:hAnsi="Times New Roman" w:cs="Times New Roman" w:eastAsia="Times New Roman" w:hint="default"/>
                <w:spacing w:val="-18"/>
                <w:sz w:val="18"/>
                <w:szCs w:val="18"/>
              </w:rPr>
              <w:t>3</w:t>
            </w:r>
            <w:r>
              <w:rPr>
                <w:rFonts w:ascii="宋体" w:hAnsi="宋体" w:cs="宋体" w:eastAsia="宋体" w:hint="default"/>
                <w:spacing w:val="-18"/>
                <w:sz w:val="18"/>
                <w:szCs w:val="18"/>
              </w:rPr>
              <w:t>）公</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司回购应在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会决议做出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之日起次一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交易日开始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启动回购，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并应在履行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相关法定手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7"/>
                <w:sz w:val="18"/>
                <w:szCs w:val="18"/>
              </w:rPr>
              <w:t>续后，</w:t>
            </w:r>
            <w:r>
              <w:rPr>
                <w:rFonts w:ascii="Times New Roman" w:hAnsi="Times New Roman" w:cs="Times New Roman" w:eastAsia="Times New Roman" w:hint="default"/>
                <w:spacing w:val="-7"/>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交易日内实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施完毕</w:t>
            </w:r>
            <w:r>
              <w:rPr>
                <w:rFonts w:ascii="宋体" w:hAnsi="宋体" w:cs="宋体" w:eastAsia="宋体" w:hint="default"/>
                <w:spacing w:val="-171"/>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公司回购方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案实施完毕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后，应在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个工作日内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公告公司股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份变动报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告，并在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日内依法注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销所回购的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股份，办理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工商变更登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记手续。</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控股股东及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管理人员增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4"/>
                <w:sz w:val="18"/>
                <w:szCs w:val="18"/>
              </w:rPr>
              <w:t>持（</w:t>
            </w: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董事会应在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控股股东及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管理人员增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持启动条件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触发之日起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内做出增持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公告；（</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控股股东及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管理人员应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在增持公告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做出之日起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次一交易日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2235"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103" w:right="113"/>
              <w:jc w:val="left"/>
              <w:rPr>
                <w:rFonts w:ascii="宋体" w:hAnsi="宋体" w:cs="宋体" w:eastAsia="宋体" w:hint="default"/>
                <w:sz w:val="18"/>
                <w:szCs w:val="18"/>
              </w:rPr>
            </w:pPr>
            <w:r>
              <w:rPr>
                <w:rFonts w:ascii="宋体" w:hAnsi="宋体" w:cs="宋体" w:eastAsia="宋体" w:hint="default"/>
                <w:sz w:val="18"/>
                <w:szCs w:val="18"/>
              </w:rPr>
              <w:t>开始启动增 持，并应在 履行相关法 定手续后的 </w:t>
            </w:r>
            <w:r>
              <w:rPr>
                <w:rFonts w:ascii="Times New Roman" w:hAnsi="Times New Roman" w:cs="Times New Roman" w:eastAsia="Times New Roman" w:hint="default"/>
                <w:sz w:val="18"/>
                <w:szCs w:val="18"/>
              </w:rPr>
              <w:t>30 </w:t>
            </w:r>
            <w:r>
              <w:rPr>
                <w:rFonts w:ascii="宋体" w:hAnsi="宋体" w:cs="宋体" w:eastAsia="宋体" w:hint="default"/>
                <w:sz w:val="18"/>
                <w:szCs w:val="18"/>
              </w:rPr>
              <w:t>个交易 日内实施完 毕。</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如承诺超期未履行完毕的，应当详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细说明未完成履行的具体原因及 下一步的工作计划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3"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1015"/>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5"/>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1015"/>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4992"/>
        <w:jc w:val="left"/>
      </w:pPr>
      <w:r>
        <w:rPr/>
        <w:t>□ 适用 √ 不适用 公司报告期不存在控股股东及其关联方对上市公司的非经营性占用资金。</w:t>
      </w:r>
    </w:p>
    <w:p>
      <w:pPr>
        <w:spacing w:line="240" w:lineRule="auto" w:before="1"/>
        <w:rPr>
          <w:rFonts w:ascii="宋体" w:hAnsi="宋体" w:cs="宋体" w:eastAsia="宋体" w:hint="default"/>
          <w:sz w:val="18"/>
          <w:szCs w:val="18"/>
        </w:rPr>
      </w:pPr>
    </w:p>
    <w:p>
      <w:pPr>
        <w:pStyle w:val="Heading2"/>
        <w:spacing w:line="240" w:lineRule="auto"/>
        <w:ind w:left="1133" w:right="1015"/>
        <w:jc w:val="left"/>
        <w:rPr>
          <w:b w:val="0"/>
          <w:bCs w:val="0"/>
        </w:rPr>
      </w:pPr>
      <w:bookmarkStart w:name="四、董事会对最近一期“非标准审计报告”相关情况的说明" w:id="68"/>
      <w:bookmarkEnd w:id="68"/>
      <w:r>
        <w:rPr>
          <w:b w:val="0"/>
          <w:bCs w:val="0"/>
        </w:rPr>
      </w:r>
      <w:r>
        <w:rPr/>
        <w:t>四、董事会对最近一期“非标准审计报告”相关情况的说明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1015"/>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1574"/>
        <w:jc w:val="left"/>
        <w:rPr>
          <w:b w:val="0"/>
          <w:bCs w:val="0"/>
        </w:rPr>
      </w:pPr>
      <w:bookmarkStart w:name="五、董事会、监事会、独立董事（如有）对会计师事务所本报告期“非标准审计报告”的说" w:id="69"/>
      <w:bookmarkEnd w:id="69"/>
      <w:r>
        <w:rPr>
          <w:b w:val="0"/>
          <w:bCs w:val="0"/>
        </w:rPr>
      </w:r>
      <w:r>
        <w:rPr>
          <w:w w:val="95"/>
        </w:rPr>
        <w:t>五、董事会、监事会、独立董事（如有）对会计师事务所本报告期“非标准审计报告”的说  </w:t>
      </w:r>
      <w:r>
        <w:rPr>
          <w:spacing w:val="99"/>
          <w:w w:val="95"/>
        </w:rPr>
        <w:t> </w:t>
      </w:r>
      <w:r>
        <w:rPr/>
        <w:t>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5"/>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1015"/>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1122"/>
        <w:jc w:val="left"/>
      </w:pPr>
      <w:r>
        <w:rPr/>
        <w:t>√ 适用 □ 不适用 </w:t>
      </w:r>
      <w:r>
        <w:rPr>
          <w:rFonts w:ascii="宋体" w:hAnsi="宋体" w:cs="宋体" w:eastAsia="宋体" w:hint="default"/>
        </w:rPr>
        <w:t>1</w:t>
      </w:r>
      <w:r>
        <w:rPr/>
        <w:t>、财政部于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10</w:t>
      </w:r>
      <w:r>
        <w:rPr/>
        <w:t>日发布了财会</w:t>
      </w:r>
      <w:r>
        <w:rPr>
          <w:rFonts w:ascii="宋体" w:hAnsi="宋体" w:cs="宋体" w:eastAsia="宋体" w:hint="default"/>
        </w:rPr>
        <w:t>[2017]15</w:t>
      </w:r>
      <w:r>
        <w:rPr/>
        <w:t>号关于印发修订《企业会计准则第</w:t>
      </w:r>
      <w:r>
        <w:rPr>
          <w:rFonts w:ascii="宋体" w:hAnsi="宋体" w:cs="宋体" w:eastAsia="宋体" w:hint="default"/>
        </w:rPr>
        <w:t>16</w:t>
      </w:r>
      <w:r>
        <w:rPr/>
        <w:t>号—政府补助》的通知，自</w:t>
      </w:r>
      <w:r>
        <w:rPr>
          <w:rFonts w:ascii="宋体" w:hAnsi="宋体" w:cs="宋体" w:eastAsia="宋体" w:hint="default"/>
        </w:rPr>
        <w:t>2017</w:t>
      </w:r>
      <w:r>
        <w:rPr/>
        <w:t>年</w:t>
      </w:r>
      <w:r>
        <w:rPr>
          <w:rFonts w:ascii="宋体" w:hAnsi="宋体" w:cs="宋体" w:eastAsia="宋体" w:hint="default"/>
        </w:rPr>
        <w:t>6</w:t>
      </w:r>
      <w:r>
        <w:rPr/>
        <w:t>月</w:t>
      </w:r>
    </w:p>
    <w:p>
      <w:pPr>
        <w:pStyle w:val="BodyText"/>
        <w:spacing w:line="224" w:lineRule="exact"/>
        <w:ind w:left="1133" w:right="1015"/>
        <w:jc w:val="left"/>
      </w:pPr>
      <w:r>
        <w:rPr>
          <w:rFonts w:ascii="宋体" w:hAnsi="宋体" w:cs="宋体" w:eastAsia="宋体" w:hint="default"/>
        </w:rPr>
        <w:t>12</w:t>
      </w:r>
      <w:r>
        <w:rPr/>
        <w:t>日起执行。</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日至新规则执行之日新增的政府补助根据新规则进行调整。</w:t>
      </w:r>
    </w:p>
    <w:p>
      <w:pPr>
        <w:pStyle w:val="BodyText"/>
        <w:spacing w:line="316" w:lineRule="auto" w:before="77"/>
        <w:ind w:left="1133" w:right="1123"/>
        <w:jc w:val="left"/>
      </w:pPr>
      <w:r>
        <w:rPr>
          <w:rFonts w:ascii="宋体" w:hAnsi="宋体" w:cs="宋体" w:eastAsia="宋体" w:hint="default"/>
        </w:rPr>
        <w:t>2</w:t>
      </w:r>
      <w:r>
        <w:rPr/>
        <w:t>、财政部于</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28</w:t>
      </w:r>
      <w:r>
        <w:rPr/>
        <w:t>日发布了《企业会计准则第</w:t>
      </w:r>
      <w:r>
        <w:rPr>
          <w:rFonts w:ascii="宋体" w:hAnsi="宋体" w:cs="宋体" w:eastAsia="宋体" w:hint="default"/>
        </w:rPr>
        <w:t>42</w:t>
      </w:r>
      <w:r>
        <w:rPr/>
        <w:t>号——持有待售的非流动资产、处置组和终止经营》的通知（财会</w:t>
      </w:r>
      <w:r>
        <w:rPr>
          <w:spacing w:val="-7"/>
        </w:rPr>
        <w:t> </w:t>
      </w:r>
      <w:r>
        <w:rPr>
          <w:spacing w:val="-7"/>
        </w:rPr>
      </w:r>
      <w:r>
        <w:rPr>
          <w:rFonts w:ascii="宋体" w:hAnsi="宋体" w:cs="宋体" w:eastAsia="宋体" w:hint="default"/>
        </w:rPr>
        <w:t>[2017]13</w:t>
      </w:r>
      <w:r>
        <w:rPr/>
        <w:t>号），自</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28</w:t>
      </w:r>
      <w:r>
        <w:rPr/>
        <w:t>日执行。 </w:t>
      </w:r>
      <w:r>
        <w:rPr>
          <w:rFonts w:ascii="宋体" w:hAnsi="宋体" w:cs="宋体" w:eastAsia="宋体" w:hint="default"/>
        </w:rPr>
        <w:t>3</w:t>
      </w:r>
      <w:r>
        <w:rPr/>
        <w:t>、财政部于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25</w:t>
      </w:r>
      <w:r>
        <w:rPr/>
        <w:t>日修订并发布了《财政部关于修订印发一般企业财务报表格式的通知》（财会</w:t>
      </w:r>
      <w:r>
        <w:rPr>
          <w:rFonts w:ascii="宋体" w:hAnsi="宋体" w:cs="宋体" w:eastAsia="宋体" w:hint="default"/>
        </w:rPr>
        <w:t>[2017]30</w:t>
      </w:r>
      <w:r>
        <w:rPr/>
        <w:t>号），适</w:t>
      </w:r>
      <w:r>
        <w:rPr>
          <w:spacing w:val="-83"/>
        </w:rPr>
        <w:t> </w:t>
      </w:r>
      <w:r>
        <w:rPr/>
        <w:t>用于</w:t>
      </w:r>
      <w:r>
        <w:rPr>
          <w:rFonts w:ascii="宋体" w:hAnsi="宋体" w:cs="宋体" w:eastAsia="宋体" w:hint="default"/>
        </w:rPr>
        <w:t>2017</w:t>
      </w:r>
      <w:r>
        <w:rPr/>
        <w:t>年度及以后期间的财务报表。</w:t>
      </w:r>
    </w:p>
    <w:p>
      <w:pPr>
        <w:spacing w:after="0" w:line="316" w:lineRule="auto"/>
        <w:jc w:val="left"/>
        <w:sectPr>
          <w:pgSz w:w="11910" w:h="16840"/>
          <w:pgMar w:header="907" w:footer="1019" w:top="1100" w:bottom="1200" w:left="0" w:right="0"/>
        </w:sectPr>
      </w:pPr>
    </w:p>
    <w:p>
      <w:pPr>
        <w:spacing w:line="240" w:lineRule="auto" w:before="9"/>
        <w:rPr>
          <w:rFonts w:ascii="宋体" w:hAnsi="宋体" w:cs="宋体" w:eastAsia="宋体" w:hint="default"/>
          <w:sz w:val="20"/>
          <w:szCs w:val="20"/>
        </w:rPr>
      </w:pPr>
    </w:p>
    <w:p>
      <w:pPr>
        <w:pStyle w:val="Heading2"/>
        <w:spacing w:line="240" w:lineRule="auto" w:before="26"/>
        <w:ind w:left="1133" w:right="0"/>
        <w:jc w:val="both"/>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both"/>
      </w:pPr>
      <w:r>
        <w:rPr/>
        <w:t>√ 适用 □ 不适用</w:t>
      </w:r>
    </w:p>
    <w:p>
      <w:pPr>
        <w:pStyle w:val="Heading6"/>
        <w:spacing w:line="240" w:lineRule="auto" w:before="115"/>
        <w:ind w:left="1134" w:right="0"/>
        <w:jc w:val="both"/>
        <w:rPr>
          <w:b w:val="0"/>
          <w:bCs w:val="0"/>
        </w:rPr>
      </w:pPr>
      <w:r>
        <w:rPr>
          <w:rFonts w:ascii="Times New Roman" w:hAnsi="Times New Roman" w:cs="Times New Roman" w:eastAsia="Times New Roman" w:hint="default"/>
        </w:rPr>
        <w:t>1</w:t>
      </w:r>
      <w:r>
        <w:rPr/>
        <w:t>、本期通过设立或投资等方式取得的子公司</w:t>
      </w:r>
      <w:r>
        <w:rPr>
          <w:b w:val="0"/>
          <w:bCs w:val="0"/>
        </w:rPr>
      </w:r>
    </w:p>
    <w:p>
      <w:pPr>
        <w:spacing w:line="240" w:lineRule="auto" w:before="1"/>
        <w:rPr>
          <w:rFonts w:ascii="宋体" w:hAnsi="宋体" w:cs="宋体" w:eastAsia="宋体" w:hint="default"/>
          <w:b/>
          <w:bCs/>
          <w:sz w:val="6"/>
          <w:szCs w:val="6"/>
        </w:rPr>
      </w:pPr>
    </w:p>
    <w:p>
      <w:pPr>
        <w:spacing w:line="6489" w:lineRule="exact"/>
        <w:ind w:left="1134" w:right="0" w:firstLine="0"/>
        <w:rPr>
          <w:rFonts w:ascii="宋体" w:hAnsi="宋体" w:cs="宋体" w:eastAsia="宋体" w:hint="default"/>
          <w:sz w:val="20"/>
          <w:szCs w:val="20"/>
        </w:rPr>
      </w:pPr>
      <w:r>
        <w:rPr>
          <w:rFonts w:ascii="宋体" w:hAnsi="宋体" w:cs="宋体" w:eastAsia="宋体" w:hint="default"/>
          <w:position w:val="-129"/>
          <w:sz w:val="20"/>
          <w:szCs w:val="20"/>
        </w:rPr>
        <w:drawing>
          <wp:inline distT="0" distB="0" distL="0" distR="0">
            <wp:extent cx="6109518" cy="4120800"/>
            <wp:effectExtent l="0" t="0" r="0" b="0"/>
            <wp:docPr id="17" name="image10.png" descr=""/>
            <wp:cNvGraphicFramePr>
              <a:graphicFrameLocks noChangeAspect="1"/>
            </wp:cNvGraphicFramePr>
            <a:graphic>
              <a:graphicData uri="http://schemas.openxmlformats.org/drawingml/2006/picture">
                <pic:pic>
                  <pic:nvPicPr>
                    <pic:cNvPr id="18" name="image10.png"/>
                    <pic:cNvPicPr/>
                  </pic:nvPicPr>
                  <pic:blipFill>
                    <a:blip r:embed="rId21" cstate="print"/>
                    <a:stretch>
                      <a:fillRect/>
                    </a:stretch>
                  </pic:blipFill>
                  <pic:spPr>
                    <a:xfrm>
                      <a:off x="0" y="0"/>
                      <a:ext cx="6109518" cy="4120800"/>
                    </a:xfrm>
                    <a:prstGeom prst="rect">
                      <a:avLst/>
                    </a:prstGeom>
                  </pic:spPr>
                </pic:pic>
              </a:graphicData>
            </a:graphic>
          </wp:inline>
        </w:drawing>
      </w:r>
      <w:r>
        <w:rPr>
          <w:rFonts w:ascii="宋体" w:hAnsi="宋体" w:cs="宋体" w:eastAsia="宋体" w:hint="default"/>
          <w:position w:val="-129"/>
          <w:sz w:val="20"/>
          <w:szCs w:val="20"/>
        </w:rPr>
      </w:r>
    </w:p>
    <w:p>
      <w:pPr>
        <w:pStyle w:val="BodyText"/>
        <w:spacing w:line="240" w:lineRule="auto" w:before="88"/>
        <w:ind w:right="0"/>
        <w:jc w:val="both"/>
      </w:pPr>
      <w:r>
        <w:rPr/>
        <w:t>说明：福州乐医成信息技术服务有限公司，于</w:t>
      </w:r>
      <w:r>
        <w:rPr>
          <w:spacing w:val="-44"/>
        </w:rPr>
        <w:t> </w:t>
      </w:r>
      <w:r>
        <w:rPr>
          <w:rFonts w:ascii="宋体" w:hAnsi="宋体" w:cs="宋体" w:eastAsia="宋体" w:hint="default"/>
        </w:rPr>
        <w:t>2017</w:t>
      </w:r>
      <w:r>
        <w:rPr>
          <w:rFonts w:ascii="宋体" w:hAnsi="宋体" w:cs="宋体" w:eastAsia="宋体" w:hint="default"/>
          <w:spacing w:val="-44"/>
        </w:rPr>
        <w:t> </w:t>
      </w:r>
      <w:r>
        <w:rPr/>
        <w:t>年</w:t>
      </w:r>
      <w:r>
        <w:rPr>
          <w:spacing w:val="-45"/>
        </w:rPr>
        <w:t> </w:t>
      </w:r>
      <w:r>
        <w:rPr>
          <w:rFonts w:ascii="宋体" w:hAnsi="宋体" w:cs="宋体" w:eastAsia="宋体" w:hint="default"/>
        </w:rPr>
        <w:t>03</w:t>
      </w:r>
      <w:r>
        <w:rPr>
          <w:rFonts w:ascii="宋体" w:hAnsi="宋体" w:cs="宋体" w:eastAsia="宋体" w:hint="default"/>
          <w:spacing w:val="-45"/>
        </w:rPr>
        <w:t> </w:t>
      </w:r>
      <w:r>
        <w:rPr/>
        <w:t>月</w:t>
      </w:r>
      <w:r>
        <w:rPr>
          <w:spacing w:val="-45"/>
        </w:rPr>
        <w:t> </w:t>
      </w:r>
      <w:r>
        <w:rPr>
          <w:rFonts w:ascii="宋体" w:hAnsi="宋体" w:cs="宋体" w:eastAsia="宋体" w:hint="default"/>
        </w:rPr>
        <w:t>16</w:t>
      </w:r>
      <w:r>
        <w:rPr>
          <w:rFonts w:ascii="宋体" w:hAnsi="宋体" w:cs="宋体" w:eastAsia="宋体" w:hint="default"/>
          <w:spacing w:val="-45"/>
        </w:rPr>
        <w:t> </w:t>
      </w:r>
      <w:r>
        <w:rPr/>
        <w:t>日经福州市鼓楼区市场监督管理局批准成立的公司，注册资</w:t>
      </w:r>
    </w:p>
    <w:p>
      <w:pPr>
        <w:pStyle w:val="BodyText"/>
        <w:spacing w:line="240" w:lineRule="auto" w:before="76"/>
        <w:ind w:right="0"/>
        <w:jc w:val="both"/>
        <w:rPr>
          <w:rFonts w:ascii="宋体" w:hAnsi="宋体" w:cs="宋体" w:eastAsia="宋体" w:hint="default"/>
        </w:rPr>
      </w:pPr>
      <w:r>
        <w:rPr/>
        <w:t>本为人民币</w:t>
      </w:r>
      <w:r>
        <w:rPr>
          <w:spacing w:val="-43"/>
        </w:rPr>
        <w:t> </w:t>
      </w:r>
      <w:r>
        <w:rPr>
          <w:rFonts w:ascii="宋体" w:hAnsi="宋体" w:cs="宋体" w:eastAsia="宋体" w:hint="default"/>
        </w:rPr>
        <w:t>100</w:t>
      </w:r>
      <w:r>
        <w:rPr>
          <w:rFonts w:ascii="宋体" w:hAnsi="宋体" w:cs="宋体" w:eastAsia="宋体" w:hint="default"/>
          <w:spacing w:val="-44"/>
        </w:rPr>
        <w:t> </w:t>
      </w:r>
      <w:r>
        <w:rPr/>
        <w:t>万元，统一社会信用代码</w:t>
      </w:r>
      <w:r>
        <w:rPr>
          <w:spacing w:val="-44"/>
        </w:rPr>
        <w:t> </w:t>
      </w:r>
      <w:r>
        <w:rPr>
          <w:rFonts w:ascii="宋体" w:hAnsi="宋体" w:cs="宋体" w:eastAsia="宋体" w:hint="default"/>
        </w:rPr>
        <w:t>91350102MA2Y2XMN0A</w:t>
      </w:r>
      <w:r>
        <w:rPr/>
        <w:t>。公司股权结构为：深圳市乐心医疗电子有限公司，投资</w:t>
      </w:r>
      <w:r>
        <w:rPr>
          <w:spacing w:val="-43"/>
        </w:rPr>
        <w:t> </w:t>
      </w:r>
      <w:r>
        <w:rPr>
          <w:rFonts w:ascii="宋体" w:hAnsi="宋体" w:cs="宋体" w:eastAsia="宋体" w:hint="default"/>
        </w:rPr>
        <w:t>51</w:t>
      </w:r>
    </w:p>
    <w:p>
      <w:pPr>
        <w:pStyle w:val="BodyText"/>
        <w:spacing w:line="240" w:lineRule="auto" w:before="76"/>
        <w:ind w:right="0"/>
        <w:jc w:val="both"/>
      </w:pPr>
      <w:r>
        <w:rPr/>
        <w:t>万元，占注册资本的</w:t>
      </w:r>
      <w:r>
        <w:rPr>
          <w:spacing w:val="-44"/>
        </w:rPr>
        <w:t> </w:t>
      </w:r>
      <w:r>
        <w:rPr>
          <w:rFonts w:ascii="宋体" w:hAnsi="宋体" w:cs="宋体" w:eastAsia="宋体" w:hint="default"/>
        </w:rPr>
        <w:t>51%</w:t>
      </w:r>
      <w:r>
        <w:rPr/>
        <w:t>，福州康众城信息技术服务有限公司投资</w:t>
      </w:r>
      <w:r>
        <w:rPr>
          <w:spacing w:val="-44"/>
        </w:rPr>
        <w:t> </w:t>
      </w:r>
      <w:r>
        <w:rPr>
          <w:rFonts w:ascii="宋体" w:hAnsi="宋体" w:cs="宋体" w:eastAsia="宋体" w:hint="default"/>
        </w:rPr>
        <w:t>49</w:t>
      </w:r>
      <w:r>
        <w:rPr>
          <w:rFonts w:ascii="宋体" w:hAnsi="宋体" w:cs="宋体" w:eastAsia="宋体" w:hint="default"/>
          <w:spacing w:val="-45"/>
        </w:rPr>
        <w:t> </w:t>
      </w:r>
      <w:r>
        <w:rPr/>
        <w:t>万元，占注册资本的</w:t>
      </w:r>
      <w:r>
        <w:rPr>
          <w:spacing w:val="-44"/>
        </w:rPr>
        <w:t> </w:t>
      </w:r>
      <w:r>
        <w:rPr>
          <w:rFonts w:ascii="宋体" w:hAnsi="宋体" w:cs="宋体" w:eastAsia="宋体" w:hint="default"/>
        </w:rPr>
        <w:t>49%</w:t>
      </w:r>
      <w:r>
        <w:rPr/>
        <w:t>。截止</w:t>
      </w:r>
      <w:r>
        <w:rPr>
          <w:spacing w:val="-45"/>
        </w:rPr>
        <w:t> </w:t>
      </w:r>
      <w:r>
        <w:rPr>
          <w:rFonts w:ascii="宋体" w:hAnsi="宋体" w:cs="宋体" w:eastAsia="宋体" w:hint="default"/>
        </w:rPr>
        <w:t>2017</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4"/>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日实</w:t>
      </w:r>
    </w:p>
    <w:p>
      <w:pPr>
        <w:pStyle w:val="BodyText"/>
        <w:spacing w:line="240" w:lineRule="auto" w:before="77"/>
        <w:ind w:left="1133" w:right="0"/>
        <w:jc w:val="both"/>
      </w:pPr>
      <w:r>
        <w:rPr/>
        <w:t>收资本</w:t>
      </w:r>
      <w:r>
        <w:rPr>
          <w:spacing w:val="-46"/>
        </w:rPr>
        <w:t> </w:t>
      </w:r>
      <w:r>
        <w:rPr>
          <w:rFonts w:ascii="宋体" w:hAnsi="宋体" w:cs="宋体" w:eastAsia="宋体" w:hint="default"/>
        </w:rPr>
        <w:t>75.5</w:t>
      </w:r>
      <w:r>
        <w:rPr>
          <w:rFonts w:ascii="宋体" w:hAnsi="宋体" w:cs="宋体" w:eastAsia="宋体" w:hint="default"/>
          <w:spacing w:val="-46"/>
        </w:rPr>
        <w:t> </w:t>
      </w:r>
      <w:r>
        <w:rPr/>
        <w:t>万元。</w:t>
      </w:r>
    </w:p>
    <w:p>
      <w:pPr>
        <w:pStyle w:val="BodyText"/>
        <w:spacing w:line="319" w:lineRule="auto" w:before="115"/>
        <w:ind w:left="1133" w:right="1132"/>
        <w:jc w:val="both"/>
      </w:pPr>
      <w:r>
        <w:rPr>
          <w:rFonts w:ascii="宋体" w:hAnsi="宋体" w:cs="宋体" w:eastAsia="宋体" w:hint="default"/>
        </w:rPr>
        <w:t>FutureIOT</w:t>
      </w:r>
      <w:r>
        <w:rPr>
          <w:rFonts w:ascii="宋体" w:hAnsi="宋体" w:cs="宋体" w:eastAsia="宋体" w:hint="default"/>
          <w:spacing w:val="-44"/>
        </w:rPr>
        <w:t> </w:t>
      </w:r>
      <w:r>
        <w:rPr>
          <w:rFonts w:ascii="宋体" w:hAnsi="宋体" w:cs="宋体" w:eastAsia="宋体" w:hint="default"/>
        </w:rPr>
        <w:t>Labs</w:t>
      </w:r>
      <w:r>
        <w:rPr>
          <w:rFonts w:ascii="宋体" w:hAnsi="宋体" w:cs="宋体" w:eastAsia="宋体" w:hint="default"/>
          <w:spacing w:val="-45"/>
        </w:rPr>
        <w:t> </w:t>
      </w:r>
      <w:r>
        <w:rPr>
          <w:rFonts w:ascii="宋体" w:hAnsi="宋体" w:cs="宋体" w:eastAsia="宋体" w:hint="default"/>
        </w:rPr>
        <w:t>LLC</w:t>
      </w:r>
      <w:r>
        <w:rPr>
          <w:rFonts w:ascii="宋体" w:hAnsi="宋体" w:cs="宋体" w:eastAsia="宋体" w:hint="default"/>
          <w:spacing w:val="-54"/>
        </w:rPr>
        <w:t> </w:t>
      </w:r>
      <w:r>
        <w:rPr/>
        <w:t>是</w:t>
      </w:r>
      <w:r>
        <w:rPr>
          <w:spacing w:val="3"/>
        </w:rPr>
        <w:t> </w:t>
      </w:r>
      <w:r>
        <w:rPr>
          <w:rFonts w:ascii="宋体" w:hAnsi="宋体" w:cs="宋体" w:eastAsia="宋体" w:hint="default"/>
          <w:spacing w:val="-1"/>
        </w:rPr>
        <w:t>Lifesense</w:t>
      </w:r>
      <w:r>
        <w:rPr>
          <w:rFonts w:ascii="宋体" w:hAnsi="宋体" w:cs="宋体" w:eastAsia="宋体" w:hint="default"/>
          <w:spacing w:val="-44"/>
        </w:rPr>
        <w:t> </w:t>
      </w:r>
      <w:r>
        <w:rPr>
          <w:rFonts w:ascii="宋体" w:hAnsi="宋体" w:cs="宋体" w:eastAsia="宋体" w:hint="default"/>
          <w:spacing w:val="-1"/>
        </w:rPr>
        <w:t>HealthInc.</w:t>
      </w:r>
      <w:r>
        <w:rPr>
          <w:spacing w:val="-1"/>
        </w:rPr>
        <w:t>于</w:t>
      </w:r>
      <w:r>
        <w:rPr>
          <w:spacing w:val="-54"/>
        </w:rPr>
        <w:t> </w:t>
      </w:r>
      <w:r>
        <w:rPr>
          <w:rFonts w:ascii="宋体" w:hAnsi="宋体" w:cs="宋体" w:eastAsia="宋体" w:hint="default"/>
        </w:rPr>
        <w:t>2017</w:t>
      </w:r>
      <w:r>
        <w:rPr>
          <w:rFonts w:ascii="宋体" w:hAnsi="宋体" w:cs="宋体" w:eastAsia="宋体" w:hint="default"/>
          <w:spacing w:val="-55"/>
        </w:rPr>
        <w:t> </w:t>
      </w:r>
      <w:r>
        <w:rPr/>
        <w:t>年</w:t>
      </w:r>
      <w:r>
        <w:rPr>
          <w:spacing w:val="-55"/>
        </w:rPr>
        <w:t> </w:t>
      </w:r>
      <w:r>
        <w:rPr>
          <w:rFonts w:ascii="宋体" w:hAnsi="宋体" w:cs="宋体" w:eastAsia="宋体" w:hint="default"/>
        </w:rPr>
        <w:t>3</w:t>
      </w:r>
      <w:r>
        <w:rPr>
          <w:rFonts w:ascii="宋体" w:hAnsi="宋体" w:cs="宋体" w:eastAsia="宋体" w:hint="default"/>
          <w:spacing w:val="-55"/>
        </w:rPr>
        <w:t> </w:t>
      </w:r>
      <w:r>
        <w:rPr/>
        <w:t>月</w:t>
      </w:r>
      <w:r>
        <w:rPr>
          <w:spacing w:val="-55"/>
        </w:rPr>
        <w:t> </w:t>
      </w:r>
      <w:r>
        <w:rPr>
          <w:rFonts w:ascii="宋体" w:hAnsi="宋体" w:cs="宋体" w:eastAsia="宋体" w:hint="default"/>
        </w:rPr>
        <w:t>13</w:t>
      </w:r>
      <w:r>
        <w:rPr>
          <w:rFonts w:ascii="宋体" w:hAnsi="宋体" w:cs="宋体" w:eastAsia="宋体" w:hint="default"/>
          <w:spacing w:val="-55"/>
        </w:rPr>
        <w:t> </w:t>
      </w:r>
      <w:r>
        <w:rPr>
          <w:spacing w:val="-5"/>
        </w:rPr>
        <w:t>日在美国设立的全资子公司，注册地址为</w:t>
      </w:r>
      <w:r>
        <w:rPr>
          <w:spacing w:val="-54"/>
        </w:rPr>
        <w:t> </w:t>
      </w:r>
      <w:r>
        <w:rPr>
          <w:rFonts w:ascii="宋体" w:hAnsi="宋体" w:cs="宋体" w:eastAsia="宋体" w:hint="default"/>
        </w:rPr>
        <w:t>Corporation</w:t>
      </w:r>
      <w:r>
        <w:rPr>
          <w:rFonts w:ascii="宋体" w:hAnsi="宋体" w:cs="宋体" w:eastAsia="宋体" w:hint="default"/>
          <w:spacing w:val="-44"/>
        </w:rPr>
        <w:t> </w:t>
      </w:r>
      <w:r>
        <w:rPr>
          <w:rFonts w:ascii="宋体" w:hAnsi="宋体" w:cs="宋体" w:eastAsia="宋体" w:hint="default"/>
          <w:spacing w:val="-1"/>
        </w:rPr>
        <w:t>Trust</w:t>
      </w:r>
      <w:r>
        <w:rPr>
          <w:rFonts w:ascii="宋体" w:hAnsi="宋体" w:cs="宋体" w:eastAsia="宋体" w:hint="default"/>
        </w:rPr>
        <w:t> Center,</w:t>
      </w:r>
      <w:r>
        <w:rPr>
          <w:rFonts w:ascii="宋体" w:hAnsi="宋体" w:cs="宋体" w:eastAsia="宋体" w:hint="default"/>
          <w:spacing w:val="-22"/>
        </w:rPr>
        <w:t> </w:t>
      </w:r>
      <w:r>
        <w:rPr>
          <w:rFonts w:ascii="宋体" w:hAnsi="宋体" w:cs="宋体" w:eastAsia="宋体" w:hint="default"/>
        </w:rPr>
        <w:t>1209</w:t>
      </w:r>
      <w:r>
        <w:rPr>
          <w:rFonts w:ascii="宋体" w:hAnsi="宋体" w:cs="宋体" w:eastAsia="宋体" w:hint="default"/>
          <w:spacing w:val="-22"/>
        </w:rPr>
        <w:t> </w:t>
      </w:r>
      <w:r>
        <w:rPr>
          <w:rFonts w:ascii="宋体" w:hAnsi="宋体" w:cs="宋体" w:eastAsia="宋体" w:hint="default"/>
        </w:rPr>
        <w:t>Orange</w:t>
      </w:r>
      <w:r>
        <w:rPr>
          <w:rFonts w:ascii="宋体" w:hAnsi="宋体" w:cs="宋体" w:eastAsia="宋体" w:hint="default"/>
          <w:spacing w:val="-22"/>
        </w:rPr>
        <w:t> </w:t>
      </w:r>
      <w:r>
        <w:rPr>
          <w:rFonts w:ascii="宋体" w:hAnsi="宋体" w:cs="宋体" w:eastAsia="宋体" w:hint="default"/>
        </w:rPr>
        <w:t>Street,City</w:t>
      </w:r>
      <w:r>
        <w:rPr>
          <w:rFonts w:ascii="宋体" w:hAnsi="宋体" w:cs="宋体" w:eastAsia="宋体" w:hint="default"/>
          <w:spacing w:val="-22"/>
        </w:rPr>
        <w:t> </w:t>
      </w:r>
      <w:r>
        <w:rPr>
          <w:rFonts w:ascii="宋体" w:hAnsi="宋体" w:cs="宋体" w:eastAsia="宋体" w:hint="default"/>
        </w:rPr>
        <w:t>of</w:t>
      </w:r>
      <w:r>
        <w:rPr>
          <w:rFonts w:ascii="宋体" w:hAnsi="宋体" w:cs="宋体" w:eastAsia="宋体" w:hint="default"/>
          <w:spacing w:val="-22"/>
        </w:rPr>
        <w:t> </w:t>
      </w:r>
      <w:r>
        <w:rPr>
          <w:rFonts w:ascii="宋体" w:hAnsi="宋体" w:cs="宋体" w:eastAsia="宋体" w:hint="default"/>
        </w:rPr>
        <w:t>Willington,Delaware</w:t>
      </w:r>
      <w:r>
        <w:rPr>
          <w:rFonts w:ascii="宋体" w:hAnsi="宋体" w:cs="宋体" w:eastAsia="宋体" w:hint="default"/>
          <w:spacing w:val="-22"/>
        </w:rPr>
        <w:t> </w:t>
      </w:r>
      <w:r>
        <w:rPr>
          <w:rFonts w:ascii="宋体" w:hAnsi="宋体" w:cs="宋体" w:eastAsia="宋体" w:hint="default"/>
        </w:rPr>
        <w:t>19801</w:t>
      </w:r>
      <w:r>
        <w:rPr/>
        <w:t>，</w:t>
      </w:r>
      <w:r>
        <w:rPr>
          <w:rFonts w:ascii="宋体" w:hAnsi="宋体" w:cs="宋体" w:eastAsia="宋体" w:hint="default"/>
        </w:rPr>
        <w:t>2017</w:t>
      </w:r>
      <w:r>
        <w:rPr>
          <w:rFonts w:ascii="宋体" w:hAnsi="宋体" w:cs="宋体" w:eastAsia="宋体" w:hint="default"/>
          <w:spacing w:val="-45"/>
        </w:rPr>
        <w:t> </w:t>
      </w:r>
      <w:r>
        <w:rPr/>
        <w:t>年</w:t>
      </w:r>
      <w:r>
        <w:rPr>
          <w:spacing w:val="-46"/>
        </w:rPr>
        <w:t> </w:t>
      </w:r>
      <w:r>
        <w:rPr>
          <w:rFonts w:ascii="宋体" w:hAnsi="宋体" w:cs="宋体" w:eastAsia="宋体" w:hint="default"/>
        </w:rPr>
        <w:t>7</w:t>
      </w:r>
      <w:r>
        <w:rPr>
          <w:rFonts w:ascii="宋体" w:hAnsi="宋体" w:cs="宋体" w:eastAsia="宋体" w:hint="default"/>
          <w:spacing w:val="-46"/>
        </w:rPr>
        <w:t> </w:t>
      </w:r>
      <w:r>
        <w:rPr/>
        <w:t>月美国子公司已将持有</w:t>
      </w:r>
      <w:r>
        <w:rPr>
          <w:spacing w:val="-46"/>
        </w:rPr>
        <w:t> </w:t>
      </w:r>
      <w:r>
        <w:rPr>
          <w:rFonts w:ascii="宋体" w:hAnsi="宋体" w:cs="宋体" w:eastAsia="宋体" w:hint="default"/>
        </w:rPr>
        <w:t>FutureIOT</w:t>
      </w:r>
      <w:r>
        <w:rPr>
          <w:rFonts w:ascii="宋体" w:hAnsi="宋体" w:cs="宋体" w:eastAsia="宋体" w:hint="default"/>
          <w:spacing w:val="-22"/>
        </w:rPr>
        <w:t> </w:t>
      </w:r>
      <w:r>
        <w:rPr>
          <w:rFonts w:ascii="宋体" w:hAnsi="宋体" w:cs="宋体" w:eastAsia="宋体" w:hint="default"/>
        </w:rPr>
        <w:t>Labs</w:t>
      </w:r>
      <w:r>
        <w:rPr>
          <w:rFonts w:ascii="宋体" w:hAnsi="宋体" w:cs="宋体" w:eastAsia="宋体" w:hint="default"/>
          <w:spacing w:val="-22"/>
        </w:rPr>
        <w:t> </w:t>
      </w:r>
      <w:r>
        <w:rPr>
          <w:rFonts w:ascii="宋体" w:hAnsi="宋体" w:cs="宋体" w:eastAsia="宋体" w:hint="default"/>
        </w:rPr>
        <w:t>LLC</w:t>
      </w:r>
      <w:r>
        <w:rPr>
          <w:rFonts w:ascii="宋体" w:hAnsi="宋体" w:cs="宋体" w:eastAsia="宋体" w:hint="default"/>
        </w:rPr>
        <w:t> </w:t>
      </w:r>
      <w:r>
        <w:rPr/>
        <w:t>的股份转让至新加坡子公司。</w:t>
      </w:r>
    </w:p>
    <w:p>
      <w:pPr>
        <w:pStyle w:val="BodyText"/>
        <w:spacing w:line="319" w:lineRule="auto" w:before="55"/>
        <w:ind w:left="1133" w:right="1126"/>
        <w:jc w:val="left"/>
      </w:pPr>
      <w:r>
        <w:rPr>
          <w:rFonts w:ascii="宋体" w:hAnsi="宋体" w:cs="宋体" w:eastAsia="宋体" w:hint="default"/>
        </w:rPr>
        <w:t>Lifesense</w:t>
      </w:r>
      <w:r>
        <w:rPr>
          <w:rFonts w:ascii="宋体" w:hAnsi="宋体" w:cs="宋体" w:eastAsia="宋体" w:hint="default"/>
          <w:spacing w:val="-1"/>
        </w:rPr>
        <w:t> </w:t>
      </w:r>
      <w:r>
        <w:rPr>
          <w:rFonts w:ascii="宋体" w:hAnsi="宋体" w:cs="宋体" w:eastAsia="宋体" w:hint="default"/>
        </w:rPr>
        <w:t>Singapore</w:t>
      </w:r>
      <w:r>
        <w:rPr>
          <w:rFonts w:ascii="宋体" w:hAnsi="宋体" w:cs="宋体" w:eastAsia="宋体" w:hint="default"/>
          <w:spacing w:val="-1"/>
        </w:rPr>
        <w:t> </w:t>
      </w:r>
      <w:r>
        <w:rPr>
          <w:rFonts w:ascii="宋体" w:hAnsi="宋体" w:cs="宋体" w:eastAsia="宋体" w:hint="default"/>
        </w:rPr>
        <w:t>Pte.</w:t>
      </w:r>
      <w:r>
        <w:rPr>
          <w:rFonts w:ascii="宋体" w:hAnsi="宋体" w:cs="宋体" w:eastAsia="宋体" w:hint="default"/>
          <w:spacing w:val="-1"/>
        </w:rPr>
        <w:t> </w:t>
      </w:r>
      <w:r>
        <w:rPr>
          <w:rFonts w:ascii="宋体" w:hAnsi="宋体" w:cs="宋体" w:eastAsia="宋体" w:hint="default"/>
        </w:rPr>
        <w:t>Ltd.</w:t>
      </w:r>
      <w:r>
        <w:rPr/>
        <w:t>是广东乐心医疗电子股份有限公司于</w:t>
      </w:r>
      <w:r>
        <w:rPr>
          <w:spacing w:val="-44"/>
        </w:rPr>
        <w:t> </w:t>
      </w:r>
      <w:r>
        <w:rPr>
          <w:rFonts w:ascii="宋体" w:hAnsi="宋体" w:cs="宋体" w:eastAsia="宋体" w:hint="default"/>
        </w:rPr>
        <w:t>2017</w:t>
      </w:r>
      <w:r>
        <w:rPr>
          <w:rFonts w:ascii="宋体" w:hAnsi="宋体" w:cs="宋体" w:eastAsia="宋体" w:hint="default"/>
          <w:spacing w:val="-45"/>
        </w:rPr>
        <w:t> </w:t>
      </w:r>
      <w:r>
        <w:rPr/>
        <w:t>年</w:t>
      </w:r>
      <w:r>
        <w:rPr>
          <w:spacing w:val="-45"/>
        </w:rPr>
        <w:t> </w:t>
      </w:r>
      <w:r>
        <w:rPr>
          <w:rFonts w:ascii="宋体" w:hAnsi="宋体" w:cs="宋体" w:eastAsia="宋体" w:hint="default"/>
        </w:rPr>
        <w:t>6</w:t>
      </w:r>
      <w:r>
        <w:rPr>
          <w:rFonts w:ascii="宋体" w:hAnsi="宋体" w:cs="宋体" w:eastAsia="宋体" w:hint="default"/>
          <w:spacing w:val="-46"/>
        </w:rPr>
        <w:t> </w:t>
      </w:r>
      <w:r>
        <w:rPr/>
        <w:t>月</w:t>
      </w:r>
      <w:r>
        <w:rPr>
          <w:spacing w:val="-45"/>
        </w:rPr>
        <w:t> </w:t>
      </w:r>
      <w:r>
        <w:rPr>
          <w:rFonts w:ascii="宋体" w:hAnsi="宋体" w:cs="宋体" w:eastAsia="宋体" w:hint="default"/>
        </w:rPr>
        <w:t>16</w:t>
      </w:r>
      <w:r>
        <w:rPr>
          <w:rFonts w:ascii="宋体" w:hAnsi="宋体" w:cs="宋体" w:eastAsia="宋体" w:hint="default"/>
          <w:spacing w:val="-45"/>
        </w:rPr>
        <w:t> </w:t>
      </w:r>
      <w:r>
        <w:rPr/>
        <w:t>日在新加坡设立的全资子公司，并取 得了广东省商务厅核发的企业境外投资证书（境外投资证第</w:t>
      </w:r>
      <w:r>
        <w:rPr>
          <w:spacing w:val="-45"/>
        </w:rPr>
        <w:t> </w:t>
      </w:r>
      <w:r>
        <w:rPr>
          <w:rFonts w:ascii="宋体" w:hAnsi="宋体" w:cs="宋体" w:eastAsia="宋体" w:hint="default"/>
        </w:rPr>
        <w:t>N4400201700253</w:t>
      </w:r>
      <w:r>
        <w:rPr/>
        <w:t>）。</w:t>
      </w:r>
    </w:p>
    <w:p>
      <w:pPr>
        <w:pStyle w:val="BodyText"/>
        <w:spacing w:line="319" w:lineRule="auto" w:before="56"/>
        <w:ind w:right="1117"/>
        <w:jc w:val="left"/>
      </w:pPr>
      <w:r>
        <w:rPr/>
        <w:t>中山市乐恒电子有限公司，于</w:t>
      </w:r>
      <w:r>
        <w:rPr>
          <w:spacing w:val="-51"/>
        </w:rPr>
        <w:t> </w:t>
      </w:r>
      <w:r>
        <w:rPr>
          <w:rFonts w:ascii="宋体" w:hAnsi="宋体" w:cs="宋体" w:eastAsia="宋体" w:hint="default"/>
        </w:rPr>
        <w:t>2017</w:t>
      </w:r>
      <w:r>
        <w:rPr>
          <w:rFonts w:ascii="宋体" w:hAnsi="宋体" w:cs="宋体" w:eastAsia="宋体" w:hint="default"/>
          <w:spacing w:val="-51"/>
        </w:rPr>
        <w:t> </w:t>
      </w:r>
      <w:r>
        <w:rPr/>
        <w:t>年</w:t>
      </w:r>
      <w:r>
        <w:rPr>
          <w:spacing w:val="-51"/>
        </w:rPr>
        <w:t> </w:t>
      </w:r>
      <w:r>
        <w:rPr>
          <w:rFonts w:ascii="宋体" w:hAnsi="宋体" w:cs="宋体" w:eastAsia="宋体" w:hint="default"/>
        </w:rPr>
        <w:t>12</w:t>
      </w:r>
      <w:r>
        <w:rPr>
          <w:rFonts w:ascii="宋体" w:hAnsi="宋体" w:cs="宋体" w:eastAsia="宋体" w:hint="default"/>
          <w:spacing w:val="-50"/>
        </w:rPr>
        <w:t> </w:t>
      </w:r>
      <w:r>
        <w:rPr/>
        <w:t>月</w:t>
      </w:r>
      <w:r>
        <w:rPr>
          <w:spacing w:val="-51"/>
        </w:rPr>
        <w:t> </w:t>
      </w:r>
      <w:r>
        <w:rPr>
          <w:rFonts w:ascii="宋体" w:hAnsi="宋体" w:cs="宋体" w:eastAsia="宋体" w:hint="default"/>
        </w:rPr>
        <w:t>20</w:t>
      </w:r>
      <w:r>
        <w:rPr>
          <w:rFonts w:ascii="宋体" w:hAnsi="宋体" w:cs="宋体" w:eastAsia="宋体" w:hint="default"/>
          <w:spacing w:val="-51"/>
        </w:rPr>
        <w:t> </w:t>
      </w:r>
      <w:r>
        <w:rPr/>
        <w:t>日经广东省中山市工商行政管理局批准成立的公司，注册资本为人民币</w:t>
      </w:r>
      <w:r>
        <w:rPr>
          <w:spacing w:val="-50"/>
        </w:rPr>
        <w:t> </w:t>
      </w:r>
      <w:r>
        <w:rPr>
          <w:rFonts w:ascii="宋体" w:hAnsi="宋体" w:cs="宋体" w:eastAsia="宋体" w:hint="default"/>
        </w:rPr>
        <w:t>1000 </w:t>
      </w:r>
      <w:r>
        <w:rPr/>
        <w:t>万元，统一社会信用代码</w:t>
      </w:r>
      <w:r>
        <w:rPr>
          <w:spacing w:val="-46"/>
        </w:rPr>
        <w:t> </w:t>
      </w:r>
      <w:r>
        <w:rPr>
          <w:rFonts w:ascii="宋体" w:hAnsi="宋体" w:cs="宋体" w:eastAsia="宋体" w:hint="default"/>
        </w:rPr>
        <w:t>91442000MA515L5J9E</w:t>
      </w:r>
      <w:r>
        <w:rPr/>
        <w:t>。</w:t>
      </w:r>
    </w:p>
    <w:p>
      <w:pPr>
        <w:pStyle w:val="Heading6"/>
        <w:spacing w:line="240" w:lineRule="auto" w:before="55"/>
        <w:ind w:left="1134" w:right="0"/>
        <w:jc w:val="both"/>
        <w:rPr>
          <w:b w:val="0"/>
          <w:bCs w:val="0"/>
        </w:rPr>
      </w:pPr>
      <w:r>
        <w:rPr>
          <w:rFonts w:ascii="Times New Roman" w:hAnsi="Times New Roman" w:cs="Times New Roman" w:eastAsia="Times New Roman" w:hint="default"/>
        </w:rPr>
        <w:t>2</w:t>
      </w:r>
      <w:r>
        <w:rPr/>
        <w:t>、非同一控制下企业合并</w:t>
      </w:r>
      <w:r>
        <w:rPr>
          <w:b w:val="0"/>
          <w:bCs w:val="0"/>
        </w:rPr>
      </w:r>
    </w:p>
    <w:p>
      <w:pPr>
        <w:pStyle w:val="Heading6"/>
        <w:spacing w:line="240" w:lineRule="auto" w:before="63"/>
        <w:ind w:left="1133" w:right="0"/>
        <w:jc w:val="both"/>
        <w:rPr>
          <w:b w:val="0"/>
          <w:bCs w:val="0"/>
        </w:rPr>
      </w:pPr>
      <w:r>
        <w:rPr/>
        <w:t>（</w:t>
      </w:r>
      <w:r>
        <w:rPr>
          <w:rFonts w:ascii="宋体" w:hAnsi="宋体" w:cs="宋体" w:eastAsia="宋体" w:hint="default"/>
        </w:rPr>
        <w:t>1</w:t>
      </w:r>
      <w:r>
        <w:rPr/>
        <w:t>）本期发生的非同一控制下企业合并的情况</w:t>
      </w:r>
      <w:r>
        <w:rPr>
          <w:b w:val="0"/>
          <w:bCs w:val="0"/>
        </w:rPr>
      </w:r>
    </w:p>
    <w:p>
      <w:pPr>
        <w:spacing w:line="240" w:lineRule="auto" w:before="0"/>
        <w:rPr>
          <w:rFonts w:ascii="宋体" w:hAnsi="宋体" w:cs="宋体" w:eastAsia="宋体" w:hint="default"/>
          <w:b/>
          <w:bCs/>
          <w:sz w:val="5"/>
          <w:szCs w:val="5"/>
        </w:rPr>
      </w:pPr>
    </w:p>
    <w:tbl>
      <w:tblPr>
        <w:tblW w:w="0" w:type="auto"/>
        <w:jc w:val="left"/>
        <w:tblInd w:w="1192" w:type="dxa"/>
        <w:tblLayout w:type="fixed"/>
        <w:tblCellMar>
          <w:top w:w="0" w:type="dxa"/>
          <w:left w:w="0" w:type="dxa"/>
          <w:bottom w:w="0" w:type="dxa"/>
          <w:right w:w="0" w:type="dxa"/>
        </w:tblCellMar>
        <w:tblLook w:val="01E0"/>
      </w:tblPr>
      <w:tblGrid>
        <w:gridCol w:w="2640"/>
        <w:gridCol w:w="1695"/>
        <w:gridCol w:w="1410"/>
        <w:gridCol w:w="1590"/>
        <w:gridCol w:w="1486"/>
      </w:tblGrid>
      <w:tr>
        <w:trPr>
          <w:trHeight w:val="656" w:hRule="exact"/>
        </w:trPr>
        <w:tc>
          <w:tcPr>
            <w:tcW w:w="2640" w:type="dxa"/>
            <w:tcBorders>
              <w:top w:val="single" w:sz="2" w:space="0" w:color="000000"/>
              <w:left w:val="single" w:sz="2" w:space="0" w:color="000000"/>
              <w:bottom w:val="single" w:sz="2" w:space="0" w:color="000000"/>
              <w:right w:val="single" w:sz="2" w:space="0" w:color="000000"/>
            </w:tcBorders>
            <w:shd w:val="clear" w:color="auto" w:fill="D6D6D6"/>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3"/>
              <w:ind w:left="867" w:right="0"/>
              <w:jc w:val="left"/>
              <w:rPr>
                <w:rFonts w:ascii="宋体" w:hAnsi="宋体" w:cs="宋体" w:eastAsia="宋体" w:hint="default"/>
                <w:sz w:val="15"/>
                <w:szCs w:val="15"/>
              </w:rPr>
            </w:pPr>
            <w:r>
              <w:rPr>
                <w:rFonts w:ascii="宋体" w:hAnsi="宋体" w:cs="宋体" w:eastAsia="宋体" w:hint="default"/>
                <w:sz w:val="15"/>
                <w:szCs w:val="15"/>
              </w:rPr>
              <w:t>被购买方名称</w:t>
            </w:r>
          </w:p>
        </w:tc>
        <w:tc>
          <w:tcPr>
            <w:tcW w:w="1695" w:type="dxa"/>
            <w:tcBorders>
              <w:top w:val="single" w:sz="2" w:space="0" w:color="000000"/>
              <w:left w:val="single" w:sz="2" w:space="0" w:color="000000"/>
              <w:bottom w:val="single" w:sz="2" w:space="0" w:color="000000"/>
              <w:right w:val="single" w:sz="2" w:space="0" w:color="000000"/>
            </w:tcBorders>
            <w:shd w:val="clear" w:color="auto" w:fill="D6D6D6"/>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3"/>
              <w:ind w:right="1"/>
              <w:jc w:val="center"/>
              <w:rPr>
                <w:rFonts w:ascii="宋体" w:hAnsi="宋体" w:cs="宋体" w:eastAsia="宋体" w:hint="default"/>
                <w:sz w:val="15"/>
                <w:szCs w:val="15"/>
              </w:rPr>
            </w:pPr>
            <w:r>
              <w:rPr>
                <w:rFonts w:ascii="宋体" w:hAnsi="宋体" w:cs="宋体" w:eastAsia="宋体" w:hint="default"/>
                <w:sz w:val="15"/>
                <w:szCs w:val="15"/>
              </w:rPr>
              <w:t>第一次股权取得时点</w:t>
            </w:r>
          </w:p>
        </w:tc>
        <w:tc>
          <w:tcPr>
            <w:tcW w:w="1410" w:type="dxa"/>
            <w:tcBorders>
              <w:top w:val="single" w:sz="2" w:space="0" w:color="000000"/>
              <w:left w:val="single" w:sz="2" w:space="0" w:color="000000"/>
              <w:bottom w:val="single" w:sz="2" w:space="0" w:color="000000"/>
              <w:right w:val="single" w:sz="2" w:space="0" w:color="000000"/>
            </w:tcBorders>
            <w:shd w:val="clear" w:color="auto" w:fill="D6D6D6"/>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3"/>
              <w:ind w:left="252" w:right="0"/>
              <w:jc w:val="left"/>
              <w:rPr>
                <w:rFonts w:ascii="宋体" w:hAnsi="宋体" w:cs="宋体" w:eastAsia="宋体" w:hint="default"/>
                <w:sz w:val="15"/>
                <w:szCs w:val="15"/>
              </w:rPr>
            </w:pPr>
            <w:r>
              <w:rPr>
                <w:rFonts w:ascii="宋体" w:hAnsi="宋体" w:cs="宋体" w:eastAsia="宋体" w:hint="default"/>
                <w:sz w:val="15"/>
                <w:szCs w:val="15"/>
              </w:rPr>
              <w:t>股权取得成本</w:t>
            </w:r>
          </w:p>
        </w:tc>
        <w:tc>
          <w:tcPr>
            <w:tcW w:w="1590" w:type="dxa"/>
            <w:tcBorders>
              <w:top w:val="single" w:sz="2" w:space="0" w:color="000000"/>
              <w:left w:val="single" w:sz="2" w:space="0" w:color="000000"/>
              <w:bottom w:val="single" w:sz="2" w:space="0" w:color="000000"/>
              <w:right w:val="single" w:sz="2" w:space="0" w:color="000000"/>
            </w:tcBorders>
            <w:shd w:val="clear" w:color="auto" w:fill="D6D6D6"/>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股权取得比例（</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1486" w:type="dxa"/>
            <w:tcBorders>
              <w:top w:val="single" w:sz="2" w:space="0" w:color="000000"/>
              <w:left w:val="single" w:sz="2" w:space="0" w:color="000000"/>
              <w:bottom w:val="single" w:sz="2" w:space="0" w:color="000000"/>
              <w:right w:val="single" w:sz="2" w:space="0" w:color="000000"/>
            </w:tcBorders>
            <w:shd w:val="clear" w:color="auto" w:fill="D6D6D6"/>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3"/>
              <w:ind w:right="0"/>
              <w:jc w:val="center"/>
              <w:rPr>
                <w:rFonts w:ascii="宋体" w:hAnsi="宋体" w:cs="宋体" w:eastAsia="宋体" w:hint="default"/>
                <w:sz w:val="15"/>
                <w:szCs w:val="15"/>
              </w:rPr>
            </w:pPr>
            <w:r>
              <w:rPr>
                <w:rFonts w:ascii="宋体" w:hAnsi="宋体" w:cs="宋体" w:eastAsia="宋体" w:hint="default"/>
                <w:sz w:val="15"/>
                <w:szCs w:val="15"/>
              </w:rPr>
              <w:t>股权取得方式</w:t>
            </w:r>
          </w:p>
        </w:tc>
      </w:tr>
      <w:tr>
        <w:trPr>
          <w:trHeight w:val="614" w:hRule="exact"/>
        </w:trPr>
        <w:tc>
          <w:tcPr>
            <w:tcW w:w="26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2"/>
              <w:ind w:left="105" w:right="0"/>
              <w:jc w:val="left"/>
              <w:rPr>
                <w:rFonts w:ascii="宋体" w:hAnsi="宋体" w:cs="宋体" w:eastAsia="宋体" w:hint="default"/>
                <w:sz w:val="15"/>
                <w:szCs w:val="15"/>
              </w:rPr>
            </w:pPr>
            <w:r>
              <w:rPr>
                <w:rFonts w:ascii="宋体" w:hAnsi="宋体" w:cs="宋体" w:eastAsia="宋体" w:hint="default"/>
                <w:sz w:val="15"/>
                <w:szCs w:val="15"/>
              </w:rPr>
              <w:t>深圳市瑞康宏业科技开发有限公司</w:t>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2017 </w:t>
            </w:r>
            <w:r>
              <w:rPr>
                <w:rFonts w:ascii="宋体" w:hAnsi="宋体" w:cs="宋体" w:eastAsia="宋体" w:hint="default"/>
                <w:sz w:val="15"/>
                <w:szCs w:val="15"/>
              </w:rPr>
              <w:t>年 </w:t>
            </w:r>
            <w:r>
              <w:rPr>
                <w:rFonts w:ascii="Times New Roman" w:hAnsi="Times New Roman" w:cs="Times New Roman" w:eastAsia="Times New Roman" w:hint="default"/>
                <w:sz w:val="15"/>
                <w:szCs w:val="15"/>
              </w:rPr>
              <w:t>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月</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271" w:right="0"/>
              <w:jc w:val="left"/>
              <w:rPr>
                <w:rFonts w:ascii="Times New Roman" w:hAnsi="Times New Roman" w:cs="Times New Roman" w:eastAsia="Times New Roman" w:hint="default"/>
                <w:sz w:val="15"/>
                <w:szCs w:val="15"/>
              </w:rPr>
            </w:pPr>
            <w:r>
              <w:rPr>
                <w:rFonts w:ascii="Times New Roman"/>
                <w:sz w:val="15"/>
              </w:rPr>
              <w:t>17,000,000.00</w:t>
            </w: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45%</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2"/>
              <w:ind w:right="0"/>
              <w:jc w:val="center"/>
              <w:rPr>
                <w:rFonts w:ascii="宋体" w:hAnsi="宋体" w:cs="宋体" w:eastAsia="宋体" w:hint="default"/>
                <w:sz w:val="15"/>
                <w:szCs w:val="15"/>
              </w:rPr>
            </w:pPr>
            <w:r>
              <w:rPr>
                <w:rFonts w:ascii="宋体" w:hAnsi="宋体" w:cs="宋体" w:eastAsia="宋体" w:hint="default"/>
                <w:sz w:val="15"/>
                <w:szCs w:val="15"/>
              </w:rPr>
              <w:t>现金收购</w:t>
            </w:r>
          </w:p>
        </w:tc>
      </w:tr>
    </w:tbl>
    <w:p>
      <w:pPr>
        <w:spacing w:after="0" w:line="240" w:lineRule="auto"/>
        <w:jc w:val="center"/>
        <w:rPr>
          <w:rFonts w:ascii="宋体" w:hAnsi="宋体" w:cs="宋体" w:eastAsia="宋体" w:hint="default"/>
          <w:sz w:val="15"/>
          <w:szCs w:val="15"/>
        </w:rPr>
        <w:sectPr>
          <w:pgSz w:w="11910" w:h="16840"/>
          <w:pgMar w:header="907" w:footer="1019" w:top="1100" w:bottom="1200" w:left="0" w:right="0"/>
        </w:sectPr>
      </w:pPr>
    </w:p>
    <w:p>
      <w:pPr>
        <w:spacing w:line="240" w:lineRule="auto" w:before="8"/>
        <w:rPr>
          <w:rFonts w:ascii="宋体" w:hAnsi="宋体" w:cs="宋体" w:eastAsia="宋体" w:hint="default"/>
          <w:b/>
          <w:bCs/>
          <w:sz w:val="21"/>
          <w:szCs w:val="21"/>
        </w:rPr>
      </w:pPr>
    </w:p>
    <w:p>
      <w:pPr>
        <w:pStyle w:val="Heading4"/>
        <w:spacing w:line="240" w:lineRule="auto"/>
        <w:ind w:left="1764" w:right="1015"/>
        <w:jc w:val="left"/>
      </w:pPr>
      <w:r>
        <w:rPr/>
        <w:t>续上表</w:t>
      </w:r>
    </w:p>
    <w:p>
      <w:pPr>
        <w:spacing w:line="240" w:lineRule="auto" w:before="13"/>
        <w:rPr>
          <w:rFonts w:ascii="宋体" w:hAnsi="宋体" w:cs="宋体" w:eastAsia="宋体" w:hint="default"/>
          <w:sz w:val="3"/>
          <w:szCs w:val="3"/>
        </w:rPr>
      </w:pPr>
    </w:p>
    <w:tbl>
      <w:tblPr>
        <w:tblW w:w="0" w:type="auto"/>
        <w:jc w:val="left"/>
        <w:tblInd w:w="1192" w:type="dxa"/>
        <w:tblLayout w:type="fixed"/>
        <w:tblCellMar>
          <w:top w:w="0" w:type="dxa"/>
          <w:left w:w="0" w:type="dxa"/>
          <w:bottom w:w="0" w:type="dxa"/>
          <w:right w:w="0" w:type="dxa"/>
        </w:tblCellMar>
        <w:tblLook w:val="01E0"/>
      </w:tblPr>
      <w:tblGrid>
        <w:gridCol w:w="1185"/>
        <w:gridCol w:w="1230"/>
        <w:gridCol w:w="1050"/>
        <w:gridCol w:w="960"/>
        <w:gridCol w:w="960"/>
        <w:gridCol w:w="1006"/>
        <w:gridCol w:w="1215"/>
        <w:gridCol w:w="1096"/>
      </w:tblGrid>
      <w:tr>
        <w:trPr>
          <w:trHeight w:val="1685" w:hRule="exact"/>
        </w:trPr>
        <w:tc>
          <w:tcPr>
            <w:tcW w:w="1185" w:type="dxa"/>
            <w:tcBorders>
              <w:top w:val="single" w:sz="2" w:space="0" w:color="000000"/>
              <w:left w:val="single" w:sz="2" w:space="0" w:color="000000"/>
              <w:bottom w:val="single" w:sz="2" w:space="0" w:color="000000"/>
              <w:right w:val="single" w:sz="2" w:space="0" w:color="000000"/>
            </w:tcBorders>
            <w:shd w:val="clear" w:color="auto" w:fill="D6D6D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408" w:lineRule="auto"/>
              <w:ind w:left="229" w:right="138" w:hanging="90"/>
              <w:jc w:val="left"/>
              <w:rPr>
                <w:rFonts w:ascii="宋体" w:hAnsi="宋体" w:cs="宋体" w:eastAsia="宋体" w:hint="default"/>
                <w:sz w:val="18"/>
                <w:szCs w:val="18"/>
              </w:rPr>
            </w:pPr>
            <w:r>
              <w:rPr>
                <w:rFonts w:ascii="宋体" w:hAnsi="宋体" w:cs="宋体" w:eastAsia="宋体" w:hint="default"/>
                <w:sz w:val="18"/>
                <w:szCs w:val="18"/>
              </w:rPr>
              <w:t>第二次股权 取得时点</w:t>
            </w:r>
          </w:p>
        </w:tc>
        <w:tc>
          <w:tcPr>
            <w:tcW w:w="1230" w:type="dxa"/>
            <w:tcBorders>
              <w:top w:val="single" w:sz="2" w:space="0" w:color="000000"/>
              <w:left w:val="single" w:sz="2" w:space="0" w:color="000000"/>
              <w:bottom w:val="single" w:sz="2" w:space="0" w:color="000000"/>
              <w:right w:val="single" w:sz="2" w:space="0" w:color="000000"/>
            </w:tcBorders>
            <w:shd w:val="clear" w:color="auto" w:fill="D6D6D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408" w:lineRule="auto"/>
              <w:ind w:left="521" w:right="161"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50" w:type="dxa"/>
            <w:tcBorders>
              <w:top w:val="single" w:sz="2" w:space="0" w:color="000000"/>
              <w:left w:val="single" w:sz="2" w:space="0" w:color="000000"/>
              <w:bottom w:val="single" w:sz="2" w:space="0" w:color="000000"/>
              <w:right w:val="single" w:sz="2" w:space="0" w:color="000000"/>
            </w:tcBorders>
            <w:shd w:val="clear" w:color="auto" w:fill="D6D6D6"/>
          </w:tcPr>
          <w:p>
            <w:pPr>
              <w:pStyle w:val="TableParagraph"/>
              <w:spacing w:line="240" w:lineRule="auto"/>
              <w:ind w:right="0"/>
              <w:jc w:val="left"/>
              <w:rPr>
                <w:rFonts w:ascii="宋体" w:hAnsi="宋体" w:cs="宋体" w:eastAsia="宋体" w:hint="default"/>
                <w:sz w:val="18"/>
                <w:szCs w:val="18"/>
              </w:rPr>
            </w:pPr>
          </w:p>
          <w:p>
            <w:pPr>
              <w:pStyle w:val="TableParagraph"/>
              <w:spacing w:line="408" w:lineRule="auto" w:before="141"/>
              <w:ind w:left="161" w:right="161"/>
              <w:jc w:val="both"/>
              <w:rPr>
                <w:rFonts w:ascii="宋体" w:hAnsi="宋体" w:cs="宋体" w:eastAsia="宋体" w:hint="default"/>
                <w:sz w:val="18"/>
                <w:szCs w:val="18"/>
              </w:rPr>
            </w:pPr>
            <w:r>
              <w:rPr>
                <w:rFonts w:ascii="宋体" w:hAnsi="宋体" w:cs="宋体" w:eastAsia="宋体" w:hint="default"/>
                <w:sz w:val="18"/>
                <w:szCs w:val="18"/>
              </w:rPr>
              <w:t>两次共取 得股权比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60" w:type="dxa"/>
            <w:tcBorders>
              <w:top w:val="single" w:sz="2" w:space="0" w:color="000000"/>
              <w:left w:val="single" w:sz="2" w:space="0" w:color="000000"/>
              <w:bottom w:val="single" w:sz="2" w:space="0" w:color="000000"/>
              <w:right w:val="single" w:sz="2" w:space="0" w:color="000000"/>
            </w:tcBorders>
            <w:shd w:val="clear" w:color="auto" w:fill="D6D6D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408" w:lineRule="auto"/>
              <w:ind w:left="298" w:right="117" w:hanging="181"/>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960" w:type="dxa"/>
            <w:tcBorders>
              <w:top w:val="single" w:sz="2" w:space="0" w:color="000000"/>
              <w:left w:val="single" w:sz="2" w:space="0" w:color="000000"/>
              <w:bottom w:val="single" w:sz="2" w:space="0" w:color="000000"/>
              <w:right w:val="single" w:sz="2" w:space="0" w:color="000000"/>
            </w:tcBorders>
            <w:shd w:val="clear" w:color="auto" w:fill="D6D6D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06" w:type="dxa"/>
            <w:tcBorders>
              <w:top w:val="single" w:sz="2" w:space="0" w:color="000000"/>
              <w:left w:val="single" w:sz="2" w:space="0" w:color="000000"/>
              <w:bottom w:val="single" w:sz="2" w:space="0" w:color="000000"/>
              <w:right w:val="single" w:sz="2" w:space="0" w:color="000000"/>
            </w:tcBorders>
            <w:shd w:val="clear" w:color="auto" w:fill="D6D6D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408" w:lineRule="auto"/>
              <w:ind w:left="139" w:right="139"/>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215" w:type="dxa"/>
            <w:tcBorders>
              <w:top w:val="single" w:sz="2" w:space="0" w:color="000000"/>
              <w:left w:val="single" w:sz="2" w:space="0" w:color="000000"/>
              <w:bottom w:val="single" w:sz="2" w:space="0" w:color="000000"/>
              <w:right w:val="single" w:sz="2" w:space="0" w:color="000000"/>
            </w:tcBorders>
            <w:shd w:val="clear" w:color="auto" w:fill="D6D6D6"/>
          </w:tcPr>
          <w:p>
            <w:pPr>
              <w:pStyle w:val="TableParagraph"/>
              <w:spacing w:line="240" w:lineRule="auto"/>
              <w:ind w:right="0"/>
              <w:jc w:val="left"/>
              <w:rPr>
                <w:rFonts w:ascii="宋体" w:hAnsi="宋体" w:cs="宋体" w:eastAsia="宋体" w:hint="default"/>
                <w:sz w:val="18"/>
                <w:szCs w:val="18"/>
              </w:rPr>
            </w:pPr>
          </w:p>
          <w:p>
            <w:pPr>
              <w:pStyle w:val="TableParagraph"/>
              <w:spacing w:line="408" w:lineRule="auto" w:before="141"/>
              <w:ind w:left="154" w:right="153"/>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96" w:type="dxa"/>
            <w:tcBorders>
              <w:top w:val="single" w:sz="2" w:space="0" w:color="000000"/>
              <w:left w:val="single" w:sz="2" w:space="0" w:color="000000"/>
              <w:bottom w:val="single" w:sz="2" w:space="0" w:color="000000"/>
              <w:right w:val="single" w:sz="2" w:space="0" w:color="000000"/>
            </w:tcBorders>
            <w:shd w:val="clear" w:color="auto" w:fill="D6D6D6"/>
          </w:tcPr>
          <w:p>
            <w:pPr>
              <w:pStyle w:val="TableParagraph"/>
              <w:spacing w:line="240" w:lineRule="auto" w:before="6"/>
              <w:ind w:right="0"/>
              <w:jc w:val="left"/>
              <w:rPr>
                <w:rFonts w:ascii="宋体" w:hAnsi="宋体" w:cs="宋体" w:eastAsia="宋体" w:hint="default"/>
                <w:sz w:val="13"/>
                <w:szCs w:val="13"/>
              </w:rPr>
            </w:pPr>
          </w:p>
          <w:p>
            <w:pPr>
              <w:pStyle w:val="TableParagraph"/>
              <w:spacing w:line="408" w:lineRule="auto"/>
              <w:ind w:left="184" w:right="185"/>
              <w:jc w:val="center"/>
              <w:rPr>
                <w:rFonts w:ascii="宋体" w:hAnsi="宋体" w:cs="宋体" w:eastAsia="宋体" w:hint="default"/>
                <w:sz w:val="18"/>
                <w:szCs w:val="18"/>
              </w:rPr>
            </w:pPr>
            <w:r>
              <w:rPr>
                <w:rFonts w:ascii="宋体" w:hAnsi="宋体" w:cs="宋体" w:eastAsia="宋体" w:hint="default"/>
                <w:sz w:val="18"/>
                <w:szCs w:val="18"/>
              </w:rPr>
              <w:t>购买日至 期末被购 买方的净</w:t>
            </w:r>
          </w:p>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利润</w:t>
            </w:r>
          </w:p>
        </w:tc>
      </w:tr>
      <w:tr>
        <w:trPr>
          <w:trHeight w:val="1285" w:hRule="exact"/>
        </w:trPr>
        <w:tc>
          <w:tcPr>
            <w:tcW w:w="11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p>
          <w:p>
            <w:pPr>
              <w:pStyle w:val="TableParagraph"/>
              <w:spacing w:line="240" w:lineRule="auto" w:before="1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105" w:right="0"/>
              <w:jc w:val="left"/>
              <w:rPr>
                <w:rFonts w:ascii="Times New Roman" w:hAnsi="Times New Roman" w:cs="Times New Roman" w:eastAsia="Times New Roman" w:hint="default"/>
                <w:sz w:val="18"/>
                <w:szCs w:val="18"/>
              </w:rPr>
            </w:pPr>
            <w:r>
              <w:rPr>
                <w:rFonts w:ascii="Times New Roman"/>
                <w:sz w:val="18"/>
              </w:rPr>
              <w:t>6,000,000.00</w:t>
            </w:r>
          </w:p>
        </w:tc>
        <w:tc>
          <w:tcPr>
            <w:tcW w:w="10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105" w:right="0"/>
              <w:jc w:val="left"/>
              <w:rPr>
                <w:rFonts w:ascii="Times New Roman" w:hAnsi="Times New Roman" w:cs="Times New Roman" w:eastAsia="Times New Roman" w:hint="default"/>
                <w:sz w:val="18"/>
                <w:szCs w:val="18"/>
              </w:rPr>
            </w:pPr>
            <w:r>
              <w:rPr>
                <w:rFonts w:ascii="Times New Roman"/>
                <w:sz w:val="18"/>
              </w:rPr>
              <w:t>49.65%</w:t>
            </w:r>
          </w:p>
        </w:tc>
        <w:tc>
          <w:tcPr>
            <w:tcW w:w="9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408" w:lineRule="auto" w:before="141"/>
              <w:ind w:left="105" w:right="94"/>
              <w:jc w:val="left"/>
              <w:rPr>
                <w:rFonts w:ascii="宋体" w:hAnsi="宋体" w:cs="宋体" w:eastAsia="宋体" w:hint="default"/>
                <w:sz w:val="18"/>
                <w:szCs w:val="18"/>
              </w:rPr>
            </w:pPr>
            <w:r>
              <w:rPr>
                <w:rFonts w:ascii="宋体" w:hAnsi="宋体" w:cs="宋体" w:eastAsia="宋体" w:hint="default"/>
                <w:spacing w:val="8"/>
                <w:sz w:val="18"/>
                <w:szCs w:val="18"/>
              </w:rPr>
              <w:t>现金增资 </w:t>
            </w:r>
            <w:r>
              <w:rPr>
                <w:rFonts w:ascii="宋体" w:hAnsi="宋体" w:cs="宋体" w:eastAsia="宋体" w:hint="default"/>
                <w:sz w:val="18"/>
                <w:szCs w:val="18"/>
              </w:rPr>
              <w:t>扩股</w:t>
            </w:r>
          </w:p>
        </w:tc>
        <w:tc>
          <w:tcPr>
            <w:tcW w:w="9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tabs>
                <w:tab w:pos="669" w:val="left" w:leader="none"/>
              </w:tabs>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tab/>
            </w:r>
            <w:r>
              <w:rPr>
                <w:rFonts w:ascii="宋体" w:hAnsi="宋体" w:cs="宋体" w:eastAsia="宋体" w:hint="default"/>
                <w:sz w:val="18"/>
                <w:szCs w:val="18"/>
              </w:rPr>
              <w:t>年</w:t>
            </w:r>
          </w:p>
          <w:p>
            <w:pPr>
              <w:pStyle w:val="TableParagraph"/>
              <w:spacing w:line="240" w:lineRule="auto" w:before="151"/>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31</w:t>
            </w:r>
          </w:p>
          <w:p>
            <w:pPr>
              <w:pStyle w:val="TableParagraph"/>
              <w:spacing w:line="240" w:lineRule="auto" w:before="150"/>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408" w:lineRule="auto" w:before="141"/>
              <w:ind w:left="105" w:right="83"/>
              <w:jc w:val="left"/>
              <w:rPr>
                <w:rFonts w:ascii="宋体" w:hAnsi="宋体" w:cs="宋体" w:eastAsia="宋体" w:hint="default"/>
                <w:sz w:val="18"/>
                <w:szCs w:val="18"/>
              </w:rPr>
            </w:pPr>
            <w:r>
              <w:rPr>
                <w:rFonts w:ascii="宋体" w:hAnsi="宋体" w:cs="宋体" w:eastAsia="宋体" w:hint="default"/>
                <w:spacing w:val="16"/>
                <w:sz w:val="18"/>
                <w:szCs w:val="18"/>
              </w:rPr>
              <w:t>取得实际</w:t>
            </w:r>
            <w:r>
              <w:rPr>
                <w:rFonts w:ascii="宋体" w:hAnsi="宋体" w:cs="宋体" w:eastAsia="宋体" w:hint="default"/>
                <w:spacing w:val="-68"/>
                <w:sz w:val="18"/>
                <w:szCs w:val="18"/>
              </w:rPr>
              <w:t> </w:t>
            </w:r>
            <w:r>
              <w:rPr>
                <w:rFonts w:ascii="宋体" w:hAnsi="宋体" w:cs="宋体" w:eastAsia="宋体" w:hint="default"/>
                <w:sz w:val="18"/>
                <w:szCs w:val="18"/>
              </w:rPr>
              <w:t>控制权</w:t>
            </w:r>
          </w:p>
        </w:tc>
        <w:tc>
          <w:tcPr>
            <w:tcW w:w="12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105" w:right="0"/>
              <w:jc w:val="left"/>
              <w:rPr>
                <w:rFonts w:ascii="Times New Roman" w:hAnsi="Times New Roman" w:cs="Times New Roman" w:eastAsia="Times New Roman" w:hint="default"/>
                <w:sz w:val="18"/>
                <w:szCs w:val="18"/>
              </w:rPr>
            </w:pPr>
            <w:r>
              <w:rPr>
                <w:rFonts w:ascii="Times New Roman"/>
                <w:sz w:val="18"/>
              </w:rPr>
              <w:t>1,045,892.79</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105" w:right="0"/>
              <w:jc w:val="left"/>
              <w:rPr>
                <w:rFonts w:ascii="Times New Roman" w:hAnsi="Times New Roman" w:cs="Times New Roman" w:eastAsia="Times New Roman" w:hint="default"/>
                <w:sz w:val="18"/>
                <w:szCs w:val="18"/>
              </w:rPr>
            </w:pPr>
            <w:r>
              <w:rPr>
                <w:rFonts w:ascii="Times New Roman"/>
                <w:sz w:val="18"/>
              </w:rPr>
              <w:t>-346,280.01</w:t>
            </w:r>
          </w:p>
        </w:tc>
      </w:tr>
    </w:tbl>
    <w:p>
      <w:pPr>
        <w:spacing w:line="240" w:lineRule="auto" w:before="3"/>
        <w:rPr>
          <w:rFonts w:ascii="宋体" w:hAnsi="宋体" w:cs="宋体" w:eastAsia="宋体" w:hint="default"/>
          <w:sz w:val="21"/>
          <w:szCs w:val="21"/>
        </w:rPr>
      </w:pPr>
    </w:p>
    <w:p>
      <w:pPr>
        <w:pStyle w:val="Heading6"/>
        <w:spacing w:line="240" w:lineRule="auto" w:before="44"/>
        <w:ind w:left="1134" w:right="1015"/>
        <w:jc w:val="left"/>
        <w:rPr>
          <w:b w:val="0"/>
          <w:bCs w:val="0"/>
        </w:rPr>
      </w:pPr>
      <w:r>
        <w:rPr/>
        <w:t>（</w:t>
      </w:r>
      <w:r>
        <w:rPr>
          <w:rFonts w:ascii="宋体" w:hAnsi="宋体" w:cs="宋体" w:eastAsia="宋体" w:hint="default"/>
        </w:rPr>
        <w:t>2</w:t>
      </w:r>
      <w:r>
        <w:rPr/>
        <w:t>）合并成本及商誉</w:t>
      </w:r>
      <w:r>
        <w:rPr>
          <w:b w:val="0"/>
          <w:bCs w:val="0"/>
        </w:rPr>
      </w:r>
    </w:p>
    <w:p>
      <w:pPr>
        <w:spacing w:line="240" w:lineRule="auto" w:before="0"/>
        <w:rPr>
          <w:rFonts w:ascii="宋体" w:hAnsi="宋体" w:cs="宋体" w:eastAsia="宋体" w:hint="default"/>
          <w:b/>
          <w:bCs/>
          <w:sz w:val="5"/>
          <w:szCs w:val="5"/>
        </w:rPr>
      </w:pPr>
    </w:p>
    <w:tbl>
      <w:tblPr>
        <w:tblW w:w="0" w:type="auto"/>
        <w:jc w:val="left"/>
        <w:tblInd w:w="1192" w:type="dxa"/>
        <w:tblLayout w:type="fixed"/>
        <w:tblCellMar>
          <w:top w:w="0" w:type="dxa"/>
          <w:left w:w="0" w:type="dxa"/>
          <w:bottom w:w="0" w:type="dxa"/>
          <w:right w:w="0" w:type="dxa"/>
        </w:tblCellMar>
        <w:tblLook w:val="01E0"/>
      </w:tblPr>
      <w:tblGrid>
        <w:gridCol w:w="5161"/>
        <w:gridCol w:w="3850"/>
      </w:tblGrid>
      <w:tr>
        <w:trPr>
          <w:trHeight w:val="550" w:hRule="exact"/>
        </w:trPr>
        <w:tc>
          <w:tcPr>
            <w:tcW w:w="5161" w:type="dxa"/>
            <w:tcBorders>
              <w:top w:val="single" w:sz="2" w:space="0" w:color="000000"/>
              <w:left w:val="single" w:sz="2" w:space="0" w:color="000000"/>
              <w:bottom w:val="single" w:sz="2" w:space="0" w:color="000000"/>
              <w:right w:val="single" w:sz="2" w:space="0" w:color="000000"/>
            </w:tcBorders>
            <w:shd w:val="clear" w:color="auto" w:fill="D6D6D6"/>
          </w:tcPr>
          <w:p>
            <w:pPr/>
          </w:p>
        </w:tc>
        <w:tc>
          <w:tcPr>
            <w:tcW w:w="3850" w:type="dxa"/>
            <w:tcBorders>
              <w:top w:val="single" w:sz="2" w:space="0" w:color="000000"/>
              <w:left w:val="single" w:sz="2" w:space="0" w:color="000000"/>
              <w:bottom w:val="single" w:sz="2" w:space="0" w:color="000000"/>
              <w:right w:val="single" w:sz="2" w:space="0" w:color="000000"/>
            </w:tcBorders>
            <w:shd w:val="clear" w:color="auto" w:fill="D6D6D6"/>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深圳市瑞康宏业科技开发有限公司</w:t>
            </w:r>
          </w:p>
        </w:tc>
      </w:tr>
      <w:tr>
        <w:trPr>
          <w:trHeight w:val="486" w:hRule="exact"/>
        </w:trPr>
        <w:tc>
          <w:tcPr>
            <w:tcW w:w="51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3850" w:type="dxa"/>
            <w:tcBorders>
              <w:top w:val="single" w:sz="2" w:space="0" w:color="000000"/>
              <w:left w:val="single" w:sz="2" w:space="0" w:color="000000"/>
              <w:bottom w:val="single" w:sz="2" w:space="0" w:color="000000"/>
              <w:right w:val="single" w:sz="2" w:space="0" w:color="000000"/>
            </w:tcBorders>
          </w:tcPr>
          <w:p>
            <w:pPr/>
          </w:p>
        </w:tc>
      </w:tr>
      <w:tr>
        <w:trPr>
          <w:trHeight w:val="485" w:hRule="exact"/>
        </w:trPr>
        <w:tc>
          <w:tcPr>
            <w:tcW w:w="51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6,000,000.00</w:t>
            </w:r>
          </w:p>
        </w:tc>
      </w:tr>
      <w:tr>
        <w:trPr>
          <w:trHeight w:val="485" w:hRule="exact"/>
        </w:trPr>
        <w:tc>
          <w:tcPr>
            <w:tcW w:w="51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—购买日之前持有的股权于购买日的公允价值</w:t>
            </w:r>
          </w:p>
        </w:tc>
        <w:tc>
          <w:tcPr>
            <w:tcW w:w="3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16,985,469.32</w:t>
            </w:r>
          </w:p>
        </w:tc>
      </w:tr>
      <w:tr>
        <w:trPr>
          <w:trHeight w:val="485" w:hRule="exact"/>
        </w:trPr>
        <w:tc>
          <w:tcPr>
            <w:tcW w:w="51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22,985,469.32</w:t>
            </w:r>
          </w:p>
        </w:tc>
      </w:tr>
      <w:tr>
        <w:trPr>
          <w:trHeight w:val="485" w:hRule="exact"/>
        </w:trPr>
        <w:tc>
          <w:tcPr>
            <w:tcW w:w="51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2,304,303.87</w:t>
            </w:r>
          </w:p>
        </w:tc>
      </w:tr>
      <w:tr>
        <w:trPr>
          <w:trHeight w:val="486" w:hRule="exact"/>
        </w:trPr>
        <w:tc>
          <w:tcPr>
            <w:tcW w:w="51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合并成本小于取得的可辨认净资产公允价值份额的金额</w:t>
            </w:r>
          </w:p>
        </w:tc>
        <w:tc>
          <w:tcPr>
            <w:tcW w:w="3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20,681,165.45</w:t>
            </w:r>
          </w:p>
        </w:tc>
      </w:tr>
    </w:tbl>
    <w:p>
      <w:pPr>
        <w:pStyle w:val="BodyText"/>
        <w:spacing w:line="316" w:lineRule="auto" w:before="10"/>
        <w:ind w:left="1133" w:right="1123"/>
        <w:jc w:val="left"/>
      </w:pPr>
      <w:r>
        <w:rPr/>
        <w:t>说明：合并成本公允价值的确定方法、或有对价及其变动的说明： </w:t>
      </w:r>
      <w:r>
        <w:rPr>
          <w:rFonts w:ascii="宋体" w:hAnsi="宋体" w:cs="宋体" w:eastAsia="宋体" w:hint="default"/>
        </w:rPr>
        <w:t>1</w:t>
      </w:r>
      <w:r>
        <w:rPr/>
        <w:t>、公司对深圳市瑞康宏业科技开发有限公司增资支付的现金对价</w:t>
      </w:r>
      <w:r>
        <w:rPr>
          <w:rFonts w:ascii="宋体" w:hAnsi="宋体" w:cs="宋体" w:eastAsia="宋体" w:hint="default"/>
        </w:rPr>
        <w:t>6,000,000.00</w:t>
      </w:r>
      <w:r>
        <w:rPr/>
        <w:t>元；购买日之前持有的股权于购买日的公允</w:t>
      </w:r>
      <w:r>
        <w:rPr>
          <w:spacing w:val="-82"/>
        </w:rPr>
        <w:t> </w:t>
      </w:r>
      <w:r>
        <w:rPr>
          <w:spacing w:val="-82"/>
        </w:rPr>
      </w:r>
      <w:r>
        <w:rPr/>
        <w:t>价值</w:t>
      </w:r>
      <w:r>
        <w:rPr>
          <w:rFonts w:ascii="宋体" w:hAnsi="宋体" w:cs="宋体" w:eastAsia="宋体" w:hint="default"/>
        </w:rPr>
        <w:t>16,985,469.32</w:t>
      </w:r>
      <w:r>
        <w:rPr/>
        <w:t>元，两次合并成本合计</w:t>
      </w:r>
      <w:r>
        <w:rPr>
          <w:rFonts w:ascii="宋体" w:hAnsi="宋体" w:cs="宋体" w:eastAsia="宋体" w:hint="default"/>
        </w:rPr>
        <w:t>22,985,469.32</w:t>
      </w:r>
      <w:r>
        <w:rPr/>
        <w:t>元。 </w:t>
      </w:r>
      <w:r>
        <w:rPr>
          <w:rFonts w:ascii="宋体" w:hAnsi="宋体" w:cs="宋体" w:eastAsia="宋体" w:hint="default"/>
        </w:rPr>
        <w:t>2</w:t>
      </w:r>
      <w:r>
        <w:rPr/>
        <w:t>、大额商誉形成的主要原因：是由收购总成本与被购买方购买日可辨认净资产的公允价值差额确定的。</w:t>
      </w:r>
    </w:p>
    <w:p>
      <w:pPr>
        <w:pStyle w:val="Heading3"/>
        <w:spacing w:line="268" w:lineRule="exact"/>
        <w:ind w:left="1133" w:right="1015"/>
        <w:jc w:val="left"/>
        <w:rPr>
          <w:b w:val="0"/>
          <w:bCs w:val="0"/>
        </w:rPr>
      </w:pPr>
      <w:r>
        <w:rPr>
          <w:rFonts w:ascii="宋体" w:hAnsi="宋体" w:cs="宋体" w:eastAsia="宋体" w:hint="default"/>
        </w:rPr>
        <w:t>3</w:t>
      </w:r>
      <w:r>
        <w:rPr/>
        <w:t>、被购买方于购买日可辨认资产、负债</w:t>
      </w:r>
      <w:r>
        <w:rPr>
          <w:b w:val="0"/>
          <w:bCs w:val="0"/>
        </w:rPr>
      </w:r>
    </w:p>
    <w:p>
      <w:pPr>
        <w:spacing w:after="0" w:line="268" w:lineRule="exact"/>
        <w:jc w:val="left"/>
        <w:sectPr>
          <w:pgSz w:w="11910" w:h="16840"/>
          <w:pgMar w:header="907" w:footer="1019" w:top="1100" w:bottom="120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spacing w:line="6330" w:lineRule="exact"/>
        <w:ind w:left="1134" w:right="0" w:firstLine="0"/>
        <w:rPr>
          <w:rFonts w:ascii="宋体" w:hAnsi="宋体" w:cs="宋体" w:eastAsia="宋体" w:hint="default"/>
          <w:sz w:val="20"/>
          <w:szCs w:val="20"/>
        </w:rPr>
      </w:pPr>
      <w:r>
        <w:rPr>
          <w:rFonts w:ascii="宋体" w:hAnsi="宋体" w:cs="宋体" w:eastAsia="宋体" w:hint="default"/>
          <w:position w:val="-126"/>
          <w:sz w:val="20"/>
          <w:szCs w:val="20"/>
        </w:rPr>
        <w:drawing>
          <wp:inline distT="0" distB="0" distL="0" distR="0">
            <wp:extent cx="5925787" cy="4019550"/>
            <wp:effectExtent l="0" t="0" r="0" b="0"/>
            <wp:docPr id="19" name="image11.png" descr=""/>
            <wp:cNvGraphicFramePr>
              <a:graphicFrameLocks noChangeAspect="1"/>
            </wp:cNvGraphicFramePr>
            <a:graphic>
              <a:graphicData uri="http://schemas.openxmlformats.org/drawingml/2006/picture">
                <pic:pic>
                  <pic:nvPicPr>
                    <pic:cNvPr id="20" name="image11.png"/>
                    <pic:cNvPicPr/>
                  </pic:nvPicPr>
                  <pic:blipFill>
                    <a:blip r:embed="rId22" cstate="print"/>
                    <a:stretch>
                      <a:fillRect/>
                    </a:stretch>
                  </pic:blipFill>
                  <pic:spPr>
                    <a:xfrm>
                      <a:off x="0" y="0"/>
                      <a:ext cx="5925787" cy="4019550"/>
                    </a:xfrm>
                    <a:prstGeom prst="rect">
                      <a:avLst/>
                    </a:prstGeom>
                  </pic:spPr>
                </pic:pic>
              </a:graphicData>
            </a:graphic>
          </wp:inline>
        </w:drawing>
      </w:r>
      <w:r>
        <w:rPr>
          <w:rFonts w:ascii="宋体" w:hAnsi="宋体" w:cs="宋体" w:eastAsia="宋体" w:hint="default"/>
          <w:position w:val="-126"/>
          <w:sz w:val="20"/>
          <w:szCs w:val="20"/>
        </w:rPr>
      </w:r>
    </w:p>
    <w:p>
      <w:pPr>
        <w:spacing w:line="240" w:lineRule="auto" w:before="11"/>
        <w:rPr>
          <w:rFonts w:ascii="宋体" w:hAnsi="宋体" w:cs="宋体" w:eastAsia="宋体" w:hint="default"/>
          <w:b/>
          <w:bCs/>
          <w:sz w:val="5"/>
          <w:szCs w:val="5"/>
        </w:rPr>
      </w:pPr>
    </w:p>
    <w:p>
      <w:pPr>
        <w:spacing w:line="319" w:lineRule="auto" w:before="44"/>
        <w:ind w:left="1134" w:right="1015" w:firstLine="0"/>
        <w:jc w:val="left"/>
        <w:rPr>
          <w:rFonts w:ascii="宋体" w:hAnsi="宋体" w:cs="宋体" w:eastAsia="宋体" w:hint="default"/>
          <w:sz w:val="18"/>
          <w:szCs w:val="18"/>
        </w:rPr>
      </w:pPr>
      <w:r>
        <w:rPr>
          <w:rFonts w:ascii="宋体" w:hAnsi="宋体" w:cs="宋体" w:eastAsia="宋体" w:hint="default"/>
          <w:spacing w:val="-2"/>
          <w:sz w:val="18"/>
          <w:szCs w:val="18"/>
        </w:rPr>
        <w:t>可辨认资产、负债公允价值的确定方法：深圳市瑞康宏业科技开发有限公司无房产土地等实物资产，其他资产、负债规模较</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小，购买日可辨认资产、负债公允价值以购买日账面价值确认。 </w:t>
      </w:r>
      <w:r>
        <w:rPr>
          <w:rFonts w:ascii="宋体" w:hAnsi="宋体" w:cs="宋体" w:eastAsia="宋体" w:hint="default"/>
          <w:b/>
          <w:bCs/>
          <w:sz w:val="18"/>
          <w:szCs w:val="18"/>
        </w:rPr>
        <w:t>4</w:t>
      </w:r>
      <w:r>
        <w:rPr>
          <w:rFonts w:ascii="宋体" w:hAnsi="宋体" w:cs="宋体" w:eastAsia="宋体" w:hint="default"/>
          <w:b/>
          <w:bCs/>
          <w:sz w:val="18"/>
          <w:szCs w:val="18"/>
        </w:rPr>
        <w:t>、购买日之前持有的股权按照公允价值重新计量产生的利得或损失</w:t>
      </w:r>
      <w:r>
        <w:rPr>
          <w:rFonts w:ascii="宋体" w:hAnsi="宋体" w:cs="宋体" w:eastAsia="宋体" w:hint="default"/>
          <w:sz w:val="18"/>
          <w:szCs w:val="18"/>
        </w:rPr>
      </w:r>
    </w:p>
    <w:tbl>
      <w:tblPr>
        <w:tblW w:w="0" w:type="auto"/>
        <w:jc w:val="left"/>
        <w:tblInd w:w="1192" w:type="dxa"/>
        <w:tblLayout w:type="fixed"/>
        <w:tblCellMar>
          <w:top w:w="0" w:type="dxa"/>
          <w:left w:w="0" w:type="dxa"/>
          <w:bottom w:w="0" w:type="dxa"/>
          <w:right w:w="0" w:type="dxa"/>
        </w:tblCellMar>
        <w:tblLook w:val="01E0"/>
      </w:tblPr>
      <w:tblGrid>
        <w:gridCol w:w="1500"/>
        <w:gridCol w:w="1304"/>
        <w:gridCol w:w="1440"/>
        <w:gridCol w:w="1590"/>
        <w:gridCol w:w="1666"/>
        <w:gridCol w:w="1514"/>
      </w:tblGrid>
      <w:tr>
        <w:trPr>
          <w:trHeight w:val="2084" w:hRule="exact"/>
        </w:trPr>
        <w:tc>
          <w:tcPr>
            <w:tcW w:w="1500" w:type="dxa"/>
            <w:tcBorders>
              <w:top w:val="single" w:sz="2" w:space="0" w:color="000000"/>
              <w:left w:val="single" w:sz="2" w:space="0" w:color="000000"/>
              <w:bottom w:val="single" w:sz="2" w:space="0" w:color="000000"/>
              <w:right w:val="single" w:sz="2" w:space="0" w:color="000000"/>
            </w:tcBorders>
            <w:shd w:val="clear" w:color="auto" w:fill="D6D6D6"/>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304" w:type="dxa"/>
            <w:tcBorders>
              <w:top w:val="single" w:sz="2" w:space="0" w:color="000000"/>
              <w:left w:val="single" w:sz="2" w:space="0" w:color="000000"/>
              <w:bottom w:val="single" w:sz="2" w:space="0" w:color="000000"/>
              <w:right w:val="single" w:sz="2" w:space="0" w:color="000000"/>
            </w:tcBorders>
            <w:shd w:val="clear" w:color="auto" w:fill="D6D6D6"/>
          </w:tcPr>
          <w:p>
            <w:pPr>
              <w:pStyle w:val="TableParagraph"/>
              <w:spacing w:line="240" w:lineRule="auto"/>
              <w:ind w:right="0"/>
              <w:jc w:val="left"/>
              <w:rPr>
                <w:rFonts w:ascii="宋体" w:hAnsi="宋体" w:cs="宋体" w:eastAsia="宋体" w:hint="default"/>
                <w:b/>
                <w:bCs/>
                <w:sz w:val="18"/>
                <w:szCs w:val="18"/>
              </w:rPr>
            </w:pPr>
          </w:p>
          <w:p>
            <w:pPr>
              <w:pStyle w:val="TableParagraph"/>
              <w:spacing w:line="408" w:lineRule="auto" w:before="141"/>
              <w:ind w:left="109" w:right="108"/>
              <w:jc w:val="center"/>
              <w:rPr>
                <w:rFonts w:ascii="宋体" w:hAnsi="宋体" w:cs="宋体" w:eastAsia="宋体" w:hint="default"/>
                <w:sz w:val="18"/>
                <w:szCs w:val="18"/>
              </w:rPr>
            </w:pPr>
            <w:r>
              <w:rPr>
                <w:rFonts w:ascii="宋体" w:hAnsi="宋体" w:cs="宋体" w:eastAsia="宋体" w:hint="default"/>
                <w:sz w:val="18"/>
                <w:szCs w:val="18"/>
              </w:rPr>
              <w:t>购买日之前原 持有股权在购 买日的账面价 值</w:t>
            </w:r>
          </w:p>
        </w:tc>
        <w:tc>
          <w:tcPr>
            <w:tcW w:w="1440" w:type="dxa"/>
            <w:tcBorders>
              <w:top w:val="single" w:sz="2" w:space="0" w:color="000000"/>
              <w:left w:val="single" w:sz="2" w:space="0" w:color="000000"/>
              <w:bottom w:val="single" w:sz="2" w:space="0" w:color="000000"/>
              <w:right w:val="single" w:sz="2" w:space="0" w:color="000000"/>
            </w:tcBorders>
            <w:shd w:val="clear" w:color="auto" w:fill="D6D6D6"/>
          </w:tcPr>
          <w:p>
            <w:pPr>
              <w:pStyle w:val="TableParagraph"/>
              <w:spacing w:line="240" w:lineRule="auto"/>
              <w:ind w:right="0"/>
              <w:jc w:val="left"/>
              <w:rPr>
                <w:rFonts w:ascii="宋体" w:hAnsi="宋体" w:cs="宋体" w:eastAsia="宋体" w:hint="default"/>
                <w:b/>
                <w:bCs/>
                <w:sz w:val="18"/>
                <w:szCs w:val="18"/>
              </w:rPr>
            </w:pPr>
          </w:p>
          <w:p>
            <w:pPr>
              <w:pStyle w:val="TableParagraph"/>
              <w:spacing w:line="408" w:lineRule="auto" w:before="141"/>
              <w:ind w:left="177" w:right="177"/>
              <w:jc w:val="center"/>
              <w:rPr>
                <w:rFonts w:ascii="宋体" w:hAnsi="宋体" w:cs="宋体" w:eastAsia="宋体" w:hint="default"/>
                <w:sz w:val="18"/>
                <w:szCs w:val="18"/>
              </w:rPr>
            </w:pPr>
            <w:r>
              <w:rPr>
                <w:rFonts w:ascii="宋体" w:hAnsi="宋体" w:cs="宋体" w:eastAsia="宋体" w:hint="default"/>
                <w:sz w:val="18"/>
                <w:szCs w:val="18"/>
              </w:rPr>
              <w:t>购买日之前原 持有股权在购 买日的公允价 值</w:t>
            </w:r>
          </w:p>
        </w:tc>
        <w:tc>
          <w:tcPr>
            <w:tcW w:w="1590" w:type="dxa"/>
            <w:tcBorders>
              <w:top w:val="single" w:sz="2" w:space="0" w:color="000000"/>
              <w:left w:val="single" w:sz="2" w:space="0" w:color="000000"/>
              <w:bottom w:val="single" w:sz="2" w:space="0" w:color="000000"/>
              <w:right w:val="single" w:sz="2" w:space="0" w:color="000000"/>
            </w:tcBorders>
            <w:shd w:val="clear" w:color="auto" w:fill="D6D6D6"/>
          </w:tcPr>
          <w:p>
            <w:pPr>
              <w:pStyle w:val="TableParagraph"/>
              <w:spacing w:line="240" w:lineRule="auto"/>
              <w:ind w:right="0"/>
              <w:jc w:val="left"/>
              <w:rPr>
                <w:rFonts w:ascii="宋体" w:hAnsi="宋体" w:cs="宋体" w:eastAsia="宋体" w:hint="default"/>
                <w:b/>
                <w:bCs/>
                <w:sz w:val="18"/>
                <w:szCs w:val="18"/>
              </w:rPr>
            </w:pPr>
          </w:p>
          <w:p>
            <w:pPr>
              <w:pStyle w:val="TableParagraph"/>
              <w:spacing w:line="408" w:lineRule="auto" w:before="141"/>
              <w:ind w:left="162" w:right="161"/>
              <w:jc w:val="both"/>
              <w:rPr>
                <w:rFonts w:ascii="宋体" w:hAnsi="宋体" w:cs="宋体" w:eastAsia="宋体" w:hint="default"/>
                <w:sz w:val="18"/>
                <w:szCs w:val="18"/>
              </w:rPr>
            </w:pPr>
            <w:r>
              <w:rPr>
                <w:rFonts w:ascii="宋体" w:hAnsi="宋体" w:cs="宋体" w:eastAsia="宋体" w:hint="default"/>
                <w:sz w:val="18"/>
                <w:szCs w:val="18"/>
              </w:rPr>
              <w:t>购买日之前原持 有股权按照公允 价值重新计量产 生的利得或损失</w:t>
            </w:r>
          </w:p>
        </w:tc>
        <w:tc>
          <w:tcPr>
            <w:tcW w:w="1666" w:type="dxa"/>
            <w:tcBorders>
              <w:top w:val="single" w:sz="2" w:space="0" w:color="000000"/>
              <w:left w:val="single" w:sz="2" w:space="0" w:color="000000"/>
              <w:bottom w:val="single" w:sz="2" w:space="0" w:color="000000"/>
              <w:right w:val="single" w:sz="2" w:space="0" w:color="000000"/>
            </w:tcBorders>
            <w:shd w:val="clear" w:color="auto" w:fill="D6D6D6"/>
          </w:tcPr>
          <w:p>
            <w:pPr>
              <w:pStyle w:val="TableParagraph"/>
              <w:spacing w:line="240" w:lineRule="auto"/>
              <w:ind w:right="0"/>
              <w:jc w:val="left"/>
              <w:rPr>
                <w:rFonts w:ascii="宋体" w:hAnsi="宋体" w:cs="宋体" w:eastAsia="宋体" w:hint="default"/>
                <w:b/>
                <w:bCs/>
                <w:sz w:val="18"/>
                <w:szCs w:val="18"/>
              </w:rPr>
            </w:pPr>
          </w:p>
          <w:p>
            <w:pPr>
              <w:pStyle w:val="TableParagraph"/>
              <w:spacing w:line="408" w:lineRule="auto" w:before="141"/>
              <w:ind w:left="109" w:right="111"/>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股权在购买日的公 允价值的确定方法 及主要假设</w:t>
            </w:r>
          </w:p>
        </w:tc>
        <w:tc>
          <w:tcPr>
            <w:tcW w:w="1514" w:type="dxa"/>
            <w:tcBorders>
              <w:top w:val="single" w:sz="2" w:space="0" w:color="000000"/>
              <w:left w:val="single" w:sz="2" w:space="0" w:color="000000"/>
              <w:bottom w:val="single" w:sz="2" w:space="0" w:color="000000"/>
              <w:right w:val="single" w:sz="2" w:space="0" w:color="000000"/>
            </w:tcBorders>
            <w:shd w:val="clear" w:color="auto" w:fill="D6D6D6"/>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408" w:lineRule="auto"/>
              <w:ind w:left="124" w:right="122"/>
              <w:jc w:val="center"/>
              <w:rPr>
                <w:rFonts w:ascii="宋体" w:hAnsi="宋体" w:cs="宋体" w:eastAsia="宋体" w:hint="default"/>
                <w:sz w:val="18"/>
                <w:szCs w:val="18"/>
              </w:rPr>
            </w:pPr>
            <w:r>
              <w:rPr>
                <w:rFonts w:ascii="宋体" w:hAnsi="宋体" w:cs="宋体" w:eastAsia="宋体" w:hint="default"/>
                <w:sz w:val="18"/>
                <w:szCs w:val="18"/>
              </w:rPr>
              <w:t>购买日之前与原 持有股权相关的 其他综合收益转 入投资收益的金</w:t>
            </w:r>
          </w:p>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1285" w:hRule="exact"/>
        </w:trPr>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408" w:lineRule="auto"/>
              <w:ind w:left="105" w:right="104"/>
              <w:jc w:val="left"/>
              <w:rPr>
                <w:rFonts w:ascii="宋体" w:hAnsi="宋体" w:cs="宋体" w:eastAsia="宋体" w:hint="default"/>
                <w:sz w:val="18"/>
                <w:szCs w:val="18"/>
              </w:rPr>
            </w:pPr>
            <w:r>
              <w:rPr>
                <w:rFonts w:ascii="宋体" w:hAnsi="宋体" w:cs="宋体" w:eastAsia="宋体" w:hint="default"/>
                <w:spacing w:val="2"/>
                <w:sz w:val="18"/>
                <w:szCs w:val="18"/>
              </w:rPr>
              <w:t>深圳市瑞康宏业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科技开发有限公</w:t>
            </w:r>
          </w:p>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9"/>
              <w:ind w:left="105" w:right="0"/>
              <w:jc w:val="left"/>
              <w:rPr>
                <w:rFonts w:ascii="Times New Roman" w:hAnsi="Times New Roman" w:cs="Times New Roman" w:eastAsia="Times New Roman" w:hint="default"/>
                <w:sz w:val="18"/>
                <w:szCs w:val="18"/>
              </w:rPr>
            </w:pPr>
            <w:r>
              <w:rPr>
                <w:rFonts w:ascii="Times New Roman"/>
                <w:sz w:val="18"/>
              </w:rPr>
              <w:t>19,585,469.32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9"/>
              <w:ind w:left="105" w:right="0"/>
              <w:jc w:val="left"/>
              <w:rPr>
                <w:rFonts w:ascii="Times New Roman" w:hAnsi="Times New Roman" w:cs="Times New Roman" w:eastAsia="Times New Roman" w:hint="default"/>
                <w:sz w:val="18"/>
                <w:szCs w:val="18"/>
              </w:rPr>
            </w:pPr>
            <w:r>
              <w:rPr>
                <w:rFonts w:ascii="Times New Roman"/>
                <w:sz w:val="18"/>
              </w:rPr>
              <w:t>19,585,469.32</w:t>
            </w:r>
          </w:p>
        </w:tc>
        <w:tc>
          <w:tcPr>
            <w:tcW w:w="1590" w:type="dxa"/>
            <w:tcBorders>
              <w:top w:val="single" w:sz="2" w:space="0" w:color="000000"/>
              <w:left w:val="single" w:sz="2" w:space="0" w:color="000000"/>
              <w:bottom w:val="single" w:sz="2" w:space="0" w:color="000000"/>
              <w:right w:val="single" w:sz="2" w:space="0" w:color="000000"/>
            </w:tcBorders>
          </w:tcPr>
          <w:p>
            <w:pP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按账面价值确认</w:t>
            </w:r>
          </w:p>
        </w:tc>
        <w:tc>
          <w:tcPr>
            <w:tcW w:w="1514" w:type="dxa"/>
            <w:tcBorders>
              <w:top w:val="single" w:sz="2" w:space="0" w:color="000000"/>
              <w:left w:val="single" w:sz="2" w:space="0" w:color="000000"/>
              <w:bottom w:val="single" w:sz="2" w:space="0" w:color="000000"/>
              <w:right w:val="single" w:sz="2" w:space="0" w:color="000000"/>
            </w:tcBorders>
          </w:tcPr>
          <w:p>
            <w:pPr/>
          </w:p>
        </w:tc>
      </w:tr>
    </w:tbl>
    <w:p>
      <w:pPr>
        <w:pStyle w:val="BodyText"/>
        <w:spacing w:line="240" w:lineRule="auto" w:before="17"/>
        <w:ind w:right="1015"/>
        <w:jc w:val="left"/>
      </w:pPr>
      <w:r>
        <w:rPr/>
        <w:t>说明：由于两次股权获取时间间隔较短，购买日之前原持有股权在购买日的公允价值按原账面价值确认。</w:t>
      </w:r>
    </w:p>
    <w:p>
      <w:pPr>
        <w:spacing w:line="240" w:lineRule="auto" w:before="2"/>
        <w:rPr>
          <w:rFonts w:ascii="宋体" w:hAnsi="宋体" w:cs="宋体" w:eastAsia="宋体" w:hint="default"/>
          <w:sz w:val="25"/>
          <w:szCs w:val="25"/>
        </w:rPr>
      </w:pPr>
    </w:p>
    <w:p>
      <w:pPr>
        <w:pStyle w:val="Heading2"/>
        <w:spacing w:line="240" w:lineRule="auto"/>
        <w:ind w:left="1133" w:right="1015"/>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1015"/>
        <w:jc w:val="left"/>
      </w:pPr>
      <w:r>
        <w:rPr/>
        <w:t>现聘任的会计事务所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6</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梁谦海、陈清松</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梁谦海已连续服务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年，陈清松连续服务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right="1015"/>
        <w:jc w:val="left"/>
      </w:pPr>
      <w:r>
        <w:rPr/>
        <w:t>是否改聘会计师事务所</w:t>
      </w:r>
    </w:p>
    <w:p>
      <w:pPr>
        <w:pStyle w:val="BodyText"/>
        <w:spacing w:line="357" w:lineRule="auto" w:before="117"/>
        <w:ind w:left="1133" w:right="6253"/>
        <w:jc w:val="left"/>
      </w:pPr>
      <w:r>
        <w:rPr/>
        <w:t>□ 是 √ 否 聘请内部控制审计会计师事务所、财务顾问或保荐人情况</w:t>
      </w:r>
    </w:p>
    <w:p>
      <w:pPr>
        <w:pStyle w:val="BodyText"/>
        <w:spacing w:line="240" w:lineRule="auto" w:before="29"/>
        <w:ind w:right="1015"/>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1015"/>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1015"/>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1015"/>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 适用 √ 不适用 公司报告期未发生破产重整相关事项。</w:t>
      </w:r>
    </w:p>
    <w:p>
      <w:pPr>
        <w:spacing w:line="240" w:lineRule="auto" w:before="3"/>
        <w:rPr>
          <w:rFonts w:ascii="宋体" w:hAnsi="宋体" w:cs="宋体" w:eastAsia="宋体" w:hint="default"/>
          <w:sz w:val="18"/>
          <w:szCs w:val="18"/>
        </w:rPr>
      </w:pPr>
    </w:p>
    <w:p>
      <w:pPr>
        <w:pStyle w:val="Heading2"/>
        <w:spacing w:line="240" w:lineRule="auto"/>
        <w:ind w:right="1015"/>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7872"/>
        <w:jc w:val="left"/>
      </w:pPr>
      <w:r>
        <w:rPr/>
        <w:t>□ 适用 √ 不适用 本年度公司无重大诉讼、仲裁事项。</w:t>
      </w:r>
    </w:p>
    <w:p>
      <w:pPr>
        <w:spacing w:line="240" w:lineRule="auto" w:before="2"/>
        <w:rPr>
          <w:rFonts w:ascii="宋体" w:hAnsi="宋体" w:cs="宋体" w:eastAsia="宋体" w:hint="default"/>
          <w:sz w:val="18"/>
          <w:szCs w:val="18"/>
        </w:rPr>
      </w:pPr>
    </w:p>
    <w:p>
      <w:pPr>
        <w:pStyle w:val="Heading2"/>
        <w:spacing w:line="240" w:lineRule="auto"/>
        <w:ind w:right="1015"/>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872"/>
        <w:jc w:val="left"/>
      </w:pPr>
      <w:r>
        <w:rPr/>
        <w:t>□ 适用 √ 不适用 公司报告期不存在处罚及整改情况。</w:t>
      </w:r>
    </w:p>
    <w:p>
      <w:pPr>
        <w:spacing w:line="240" w:lineRule="auto" w:before="3"/>
        <w:rPr>
          <w:rFonts w:ascii="宋体" w:hAnsi="宋体" w:cs="宋体" w:eastAsia="宋体" w:hint="default"/>
          <w:sz w:val="18"/>
          <w:szCs w:val="18"/>
        </w:rPr>
      </w:pPr>
    </w:p>
    <w:p>
      <w:pPr>
        <w:pStyle w:val="Heading2"/>
        <w:spacing w:line="240" w:lineRule="auto"/>
        <w:ind w:right="1015"/>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1015"/>
        <w:jc w:val="left"/>
      </w:pPr>
      <w:r>
        <w:rPr/>
        <w:t>√ 适用 □ 不适用 </w:t>
      </w:r>
      <w:r>
        <w:rPr>
          <w:spacing w:val="-2"/>
        </w:rPr>
        <w:t>报告期内，公司及控股股东、实际控制人均不存在作为一方当事人的重大诉讼或仲裁事项，不存在未履行法院生效判决、所</w:t>
      </w:r>
      <w:r>
        <w:rPr>
          <w:spacing w:val="-66"/>
        </w:rPr>
        <w:t> </w:t>
      </w:r>
      <w:r>
        <w:rPr>
          <w:spacing w:val="-66"/>
        </w:rPr>
      </w:r>
      <w:r>
        <w:rPr/>
        <w:t>属数额较大的债务到期未清偿，不存在重大违法行为等情况。</w:t>
      </w:r>
    </w:p>
    <w:p>
      <w:pPr>
        <w:spacing w:line="240" w:lineRule="auto" w:before="7"/>
        <w:rPr>
          <w:rFonts w:ascii="宋体" w:hAnsi="宋体" w:cs="宋体" w:eastAsia="宋体" w:hint="default"/>
          <w:sz w:val="19"/>
          <w:szCs w:val="19"/>
        </w:rPr>
      </w:pPr>
    </w:p>
    <w:p>
      <w:pPr>
        <w:pStyle w:val="Heading2"/>
        <w:spacing w:line="240" w:lineRule="auto"/>
        <w:ind w:right="1015"/>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4452"/>
        <w:jc w:val="left"/>
      </w:pPr>
      <w:r>
        <w:rPr/>
        <w:t>□ 适用 √ 不适用 公司报告期无股权激励计划、员工持股计划或其他员工激励措施及其实施情况。</w:t>
      </w:r>
    </w:p>
    <w:p>
      <w:pPr>
        <w:spacing w:line="240" w:lineRule="auto" w:before="1"/>
        <w:rPr>
          <w:rFonts w:ascii="宋体" w:hAnsi="宋体" w:cs="宋体" w:eastAsia="宋体" w:hint="default"/>
          <w:sz w:val="18"/>
          <w:szCs w:val="18"/>
        </w:rPr>
      </w:pPr>
    </w:p>
    <w:p>
      <w:pPr>
        <w:pStyle w:val="Heading2"/>
        <w:spacing w:line="240" w:lineRule="auto"/>
        <w:ind w:left="1133" w:right="1015"/>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1015"/>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972"/>
        <w:jc w:val="left"/>
      </w:pPr>
      <w:r>
        <w:rPr/>
        <w:t>□ 适用 √ 不适用 公司报告期未发生与日常经营相关的关联交易。</w:t>
      </w:r>
    </w:p>
    <w:p>
      <w:pPr>
        <w:spacing w:after="0" w:line="357"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left="1133" w:right="1015"/>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432"/>
        <w:jc w:val="left"/>
      </w:pPr>
      <w:r>
        <w:rPr/>
        <w:t>□ 适用 √ 不适用 公司报告期未发生资产或股权收购、出售的关联交易。</w:t>
      </w:r>
    </w:p>
    <w:p>
      <w:pPr>
        <w:spacing w:line="240" w:lineRule="auto" w:before="1"/>
        <w:rPr>
          <w:rFonts w:ascii="宋体" w:hAnsi="宋体" w:cs="宋体" w:eastAsia="宋体" w:hint="default"/>
          <w:sz w:val="20"/>
          <w:szCs w:val="20"/>
        </w:rPr>
      </w:pPr>
    </w:p>
    <w:p>
      <w:pPr>
        <w:pStyle w:val="Heading3"/>
        <w:spacing w:line="240" w:lineRule="auto"/>
        <w:ind w:right="1015"/>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152"/>
        <w:jc w:val="left"/>
      </w:pPr>
      <w:r>
        <w:rPr/>
        <w:t>□ 适用 √ 不适用 公司报告期未发生共同对外投资的关联交易。</w:t>
      </w:r>
    </w:p>
    <w:p>
      <w:pPr>
        <w:spacing w:line="240" w:lineRule="auto" w:before="11"/>
        <w:rPr>
          <w:rFonts w:ascii="宋体" w:hAnsi="宋体" w:cs="宋体" w:eastAsia="宋体" w:hint="default"/>
          <w:sz w:val="19"/>
          <w:szCs w:val="19"/>
        </w:rPr>
      </w:pPr>
    </w:p>
    <w:p>
      <w:pPr>
        <w:pStyle w:val="Heading3"/>
        <w:spacing w:line="240" w:lineRule="auto"/>
        <w:ind w:right="1015"/>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 适用 √ 不适用 公司报告期不存在关联债权债务往来。</w:t>
      </w:r>
    </w:p>
    <w:p>
      <w:pPr>
        <w:spacing w:line="240" w:lineRule="auto" w:before="1"/>
        <w:rPr>
          <w:rFonts w:ascii="宋体" w:hAnsi="宋体" w:cs="宋体" w:eastAsia="宋体" w:hint="default"/>
          <w:sz w:val="20"/>
          <w:szCs w:val="20"/>
        </w:rPr>
      </w:pPr>
    </w:p>
    <w:p>
      <w:pPr>
        <w:pStyle w:val="Heading3"/>
        <w:spacing w:line="240" w:lineRule="auto"/>
        <w:ind w:right="1015"/>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133" w:right="1015"/>
        <w:jc w:val="left"/>
      </w:pPr>
      <w:r>
        <w:rPr/>
        <w:t>√ 适用 □ 不适用 </w:t>
      </w:r>
      <w:r>
        <w:rPr>
          <w:spacing w:val="-2"/>
        </w:rPr>
        <w:t>本公司作为被担保方：</w:t>
      </w:r>
      <w:r>
        <w:rPr>
          <w:rFonts w:ascii="宋体" w:hAnsi="宋体" w:cs="宋体" w:eastAsia="宋体" w:hint="default"/>
          <w:spacing w:val="-2"/>
        </w:rPr>
        <w:t>2013</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22</w:t>
      </w:r>
      <w:r>
        <w:rPr>
          <w:spacing w:val="-2"/>
        </w:rPr>
        <w:t>日，潘伟潮与建设银行中山市分行签订了合同编号为</w:t>
      </w:r>
      <w:r>
        <w:rPr>
          <w:rFonts w:ascii="宋体" w:hAnsi="宋体" w:cs="宋体" w:eastAsia="宋体" w:hint="default"/>
          <w:spacing w:val="-2"/>
        </w:rPr>
        <w:t>2013</w:t>
      </w:r>
      <w:r>
        <w:rPr>
          <w:spacing w:val="-2"/>
        </w:rPr>
        <w:t>年保字第</w:t>
      </w:r>
      <w:r>
        <w:rPr>
          <w:rFonts w:ascii="宋体" w:hAnsi="宋体" w:cs="宋体" w:eastAsia="宋体" w:hint="default"/>
          <w:spacing w:val="-2"/>
        </w:rPr>
        <w:t>54</w:t>
      </w:r>
      <w:r>
        <w:rPr>
          <w:spacing w:val="-2"/>
        </w:rPr>
        <w:t>号最高额担保合同，</w:t>
      </w:r>
      <w:r>
        <w:rPr>
          <w:spacing w:val="-50"/>
        </w:rPr>
        <w:t> </w:t>
      </w:r>
      <w:r>
        <w:rPr/>
        <w:t>为本公司与建设银行中山市分行在</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1</w:t>
      </w:r>
      <w:r>
        <w:rPr/>
        <w:t>日至</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1</w:t>
      </w:r>
      <w:r>
        <w:rPr/>
        <w:t>日期间内签订的主合同项下的一系列债务，提供最高额为</w:t>
      </w:r>
    </w:p>
    <w:p>
      <w:pPr>
        <w:pStyle w:val="BodyText"/>
        <w:spacing w:line="240" w:lineRule="auto" w:before="4"/>
        <w:ind w:right="1015"/>
        <w:jc w:val="left"/>
      </w:pPr>
      <w:r>
        <w:rPr>
          <w:rFonts w:ascii="宋体" w:hAnsi="宋体" w:cs="宋体" w:eastAsia="宋体" w:hint="default"/>
        </w:rPr>
        <w:t>3,300</w:t>
      </w:r>
      <w:r>
        <w:rPr/>
        <w:t>万元的连带责任保证。</w:t>
      </w:r>
    </w:p>
    <w:p>
      <w:pPr>
        <w:pStyle w:val="BodyText"/>
        <w:spacing w:line="319" w:lineRule="auto" w:before="115"/>
        <w:ind w:left="1133" w:right="1139"/>
        <w:jc w:val="both"/>
      </w:pPr>
      <w:r>
        <w:rPr>
          <w:rFonts w:ascii="宋体" w:hAnsi="宋体" w:cs="宋体" w:eastAsia="宋体" w:hint="default"/>
        </w:rPr>
        <w:t>2013</w:t>
      </w:r>
      <w:r>
        <w:rPr/>
        <w:t>年</w:t>
      </w:r>
      <w:r>
        <w:rPr>
          <w:rFonts w:ascii="宋体" w:hAnsi="宋体" w:cs="宋体" w:eastAsia="宋体" w:hint="default"/>
        </w:rPr>
        <w:t>5</w:t>
      </w:r>
      <w:r>
        <w:rPr/>
        <w:t>月</w:t>
      </w:r>
      <w:r>
        <w:rPr>
          <w:rFonts w:ascii="宋体" w:hAnsi="宋体" w:cs="宋体" w:eastAsia="宋体" w:hint="default"/>
        </w:rPr>
        <w:t>22</w:t>
      </w:r>
      <w:r>
        <w:rPr/>
        <w:t>日，麦炯章与建设银行中山市分行签订了合同编号为</w:t>
      </w:r>
      <w:r>
        <w:rPr>
          <w:rFonts w:ascii="宋体" w:hAnsi="宋体" w:cs="宋体" w:eastAsia="宋体" w:hint="default"/>
        </w:rPr>
        <w:t>2013</w:t>
      </w:r>
      <w:r>
        <w:rPr/>
        <w:t>年保字第</w:t>
      </w:r>
      <w:r>
        <w:rPr>
          <w:rFonts w:ascii="宋体" w:hAnsi="宋体" w:cs="宋体" w:eastAsia="宋体" w:hint="default"/>
        </w:rPr>
        <w:t>53</w:t>
      </w:r>
      <w:r>
        <w:rPr/>
        <w:t>号最高额担保合同，为本公司与建设银行 中山市分行在</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1</w:t>
      </w:r>
      <w:r>
        <w:rPr/>
        <w:t>日至</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1</w:t>
      </w:r>
      <w:r>
        <w:rPr/>
        <w:t>日期间内签订的主合同项下的一系列债务，提供最高额为</w:t>
      </w:r>
      <w:r>
        <w:rPr>
          <w:rFonts w:ascii="宋体" w:hAnsi="宋体" w:cs="宋体" w:eastAsia="宋体" w:hint="default"/>
        </w:rPr>
        <w:t>3,300</w:t>
      </w:r>
      <w:r>
        <w:rPr/>
        <w:t>万元的连带责任保 证。</w:t>
      </w:r>
    </w:p>
    <w:p>
      <w:pPr>
        <w:pStyle w:val="BodyText"/>
        <w:spacing w:line="240" w:lineRule="auto" w:before="56"/>
        <w:ind w:right="1015"/>
        <w:jc w:val="left"/>
      </w:pPr>
      <w:r>
        <w:rPr/>
        <w:t>截止本报告披露日，上述担保已履行完毕。</w:t>
      </w:r>
    </w:p>
    <w:p>
      <w:pPr>
        <w:spacing w:line="240" w:lineRule="auto" w:before="1"/>
        <w:rPr>
          <w:rFonts w:ascii="宋体" w:hAnsi="宋体" w:cs="宋体" w:eastAsia="宋体" w:hint="default"/>
          <w:sz w:val="25"/>
          <w:szCs w:val="25"/>
        </w:rPr>
      </w:pPr>
    </w:p>
    <w:p>
      <w:pPr>
        <w:pStyle w:val="Heading2"/>
        <w:spacing w:line="240" w:lineRule="auto"/>
        <w:ind w:right="1015"/>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 适用 √ 不适用 公司报告期不存在托管情况。</w:t>
      </w:r>
    </w:p>
    <w:p>
      <w:pPr>
        <w:spacing w:line="240" w:lineRule="auto" w:before="13"/>
        <w:rPr>
          <w:rFonts w:ascii="宋体" w:hAnsi="宋体" w:cs="宋体" w:eastAsia="宋体" w:hint="default"/>
          <w:sz w:val="19"/>
          <w:szCs w:val="19"/>
        </w:rPr>
      </w:pPr>
    </w:p>
    <w:p>
      <w:pPr>
        <w:pStyle w:val="Heading3"/>
        <w:spacing w:line="240" w:lineRule="auto"/>
        <w:ind w:right="1015"/>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 适用 √ 不适用 公司报告期不存在承包情况。</w:t>
      </w:r>
    </w:p>
    <w:p>
      <w:pPr>
        <w:spacing w:line="240" w:lineRule="auto" w:before="1"/>
        <w:rPr>
          <w:rFonts w:ascii="宋体" w:hAnsi="宋体" w:cs="宋体" w:eastAsia="宋体" w:hint="default"/>
          <w:sz w:val="20"/>
          <w:szCs w:val="20"/>
        </w:rPr>
      </w:pPr>
    </w:p>
    <w:p>
      <w:pPr>
        <w:pStyle w:val="Heading3"/>
        <w:spacing w:line="240" w:lineRule="auto"/>
        <w:ind w:right="1015"/>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9222"/>
        <w:jc w:val="left"/>
      </w:pPr>
      <w:r>
        <w:rPr/>
        <w:t>√ 适用 □ 不适用 租赁情况说明</w:t>
      </w:r>
    </w:p>
    <w:p>
      <w:pPr>
        <w:spacing w:after="0" w:line="360" w:lineRule="auto"/>
        <w:jc w:val="left"/>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357" w:lineRule="auto" w:before="44"/>
        <w:ind w:left="1133" w:right="6059"/>
        <w:jc w:val="left"/>
      </w:pPr>
      <w:r>
        <w:rPr/>
        <w:t>公司作为承租方，主要租赁房屋用作办公场所。 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6"/>
        <w:ind w:left="1133" w:right="1015"/>
        <w:jc w:val="left"/>
      </w:pPr>
      <w:r>
        <w:rPr/>
        <w:t>□ 适用 √ 不适用</w:t>
      </w:r>
    </w:p>
    <w:p>
      <w:pPr>
        <w:pStyle w:val="BodyText"/>
        <w:spacing w:line="240" w:lineRule="auto" w:before="116"/>
        <w:ind w:right="1015"/>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3"/>
        <w:spacing w:line="240" w:lineRule="auto"/>
        <w:ind w:left="1133" w:right="1015"/>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1015"/>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015"/>
        <w:jc w:val="left"/>
        <w:rPr>
          <w:b w:val="0"/>
          <w:bCs w:val="0"/>
        </w:rPr>
      </w:pPr>
      <w:bookmarkStart w:name="（1）担保情况" w:id="91"/>
      <w:bookmarkEnd w:id="91"/>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09"/>
        <w:gridCol w:w="923"/>
        <w:gridCol w:w="922"/>
        <w:gridCol w:w="1302"/>
        <w:gridCol w:w="1057"/>
        <w:gridCol w:w="1041"/>
        <w:gridCol w:w="1048"/>
        <w:gridCol w:w="790"/>
        <w:gridCol w:w="783"/>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9" w:right="183"/>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71" w:right="178"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69" w:right="191"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6" w:right="158"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14"/>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17" w:right="11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86" w:right="185"/>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67" w:right="183"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69" w:right="191"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6" w:right="158"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9" w:right="118"/>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17" w:right="11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中山乐心电子有限 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7,000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9"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中山乐心电子有限 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8,000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z w:val="18"/>
              </w:rPr>
              <w:t>5,000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9"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中山乐心电子有限 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4,000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z w:val="18"/>
              </w:rPr>
              <w:t>1,000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9"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w:t>
            </w:r>
          </w:p>
        </w:tc>
        <w:tc>
          <w:tcPr>
            <w:tcW w:w="79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77"/>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2"/>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6,000</w:t>
            </w:r>
          </w:p>
        </w:tc>
      </w:tr>
      <w:tr>
        <w:trPr>
          <w:trHeight w:val="719"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77"/>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82"/>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6,000</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82" w:right="189"/>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355" w:right="195"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60" w:right="199"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337" w:right="169"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15" w:right="123"/>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12" w:right="119"/>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bl>
    <w:p>
      <w:pPr>
        <w:spacing w:after="0" w:line="316" w:lineRule="auto"/>
        <w:jc w:val="both"/>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632"/>
        <w:gridCol w:w="2224"/>
        <w:gridCol w:w="2098"/>
        <w:gridCol w:w="2621"/>
      </w:tblGrid>
      <w:tr>
        <w:trPr>
          <w:trHeight w:val="397" w:hRule="exact"/>
        </w:trPr>
        <w:tc>
          <w:tcPr>
            <w:tcW w:w="957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19,000</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03" w:right="182"/>
              <w:jc w:val="left"/>
              <w:rPr>
                <w:rFonts w:ascii="宋体" w:hAnsi="宋体" w:cs="宋体" w:eastAsia="宋体" w:hint="default"/>
                <w:sz w:val="18"/>
                <w:szCs w:val="18"/>
              </w:rPr>
            </w:pPr>
            <w:r>
              <w:rPr>
                <w:rFonts w:ascii="宋体" w:hAnsi="宋体" w:cs="宋体" w:eastAsia="宋体" w:hint="default"/>
                <w:sz w:val="18"/>
                <w:szCs w:val="18"/>
              </w:rPr>
              <w:t>报告期内担保实际发生 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6,000</w:t>
            </w:r>
          </w:p>
        </w:tc>
      </w:tr>
      <w:tr>
        <w:trPr>
          <w:trHeight w:val="714" w:hRule="exact"/>
        </w:trPr>
        <w:tc>
          <w:tcPr>
            <w:tcW w:w="2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19,000</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2"/>
              <w:jc w:val="left"/>
              <w:rPr>
                <w:rFonts w:ascii="宋体" w:hAnsi="宋体" w:cs="宋体" w:eastAsia="宋体" w:hint="default"/>
                <w:sz w:val="18"/>
                <w:szCs w:val="18"/>
              </w:rPr>
            </w:pPr>
            <w:r>
              <w:rPr>
                <w:rFonts w:ascii="宋体" w:hAnsi="宋体" w:cs="宋体" w:eastAsia="宋体" w:hint="default"/>
                <w:sz w:val="18"/>
                <w:szCs w:val="18"/>
              </w:rPr>
              <w:t>报告期末实际担保余额 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6,000</w:t>
            </w:r>
          </w:p>
        </w:tc>
      </w:tr>
      <w:tr>
        <w:trPr>
          <w:trHeight w:val="407"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11.72%</w:t>
            </w:r>
          </w:p>
        </w:tc>
      </w:tr>
      <w:tr>
        <w:trPr>
          <w:trHeight w:val="392" w:hRule="exact"/>
        </w:trPr>
        <w:tc>
          <w:tcPr>
            <w:tcW w:w="957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w:t>
            </w:r>
          </w:p>
        </w:tc>
      </w:tr>
      <w:tr>
        <w:trPr>
          <w:trHeight w:val="402"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6,000</w:t>
            </w:r>
          </w:p>
        </w:tc>
      </w:tr>
      <w:tr>
        <w:trPr>
          <w:trHeight w:val="714"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2"/>
                <w:sz w:val="18"/>
                <w:szCs w:val="18"/>
              </w:rPr>
              <w:t>对未到期担保，报告期内已发生担保责任或可能承担连带清</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偿责任的情况说明（如有）</w:t>
            </w:r>
          </w:p>
        </w:tc>
        <w:tc>
          <w:tcPr>
            <w:tcW w:w="4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60" w:lineRule="auto" w:before="51"/>
        <w:ind w:right="8052"/>
        <w:jc w:val="left"/>
      </w:pPr>
      <w:r>
        <w:rPr/>
        <w:t>采用复合方式担保的具体情况说明 不适用。</w:t>
      </w:r>
    </w:p>
    <w:p>
      <w:pPr>
        <w:spacing w:line="240" w:lineRule="auto" w:before="11"/>
        <w:rPr>
          <w:rFonts w:ascii="宋体" w:hAnsi="宋体" w:cs="宋体" w:eastAsia="宋体" w:hint="default"/>
          <w:sz w:val="19"/>
          <w:szCs w:val="19"/>
        </w:rPr>
      </w:pPr>
    </w:p>
    <w:p>
      <w:pPr>
        <w:pStyle w:val="Heading3"/>
        <w:spacing w:line="240" w:lineRule="auto"/>
        <w:ind w:right="1015"/>
        <w:jc w:val="left"/>
        <w:rPr>
          <w:b w:val="0"/>
          <w:bCs w:val="0"/>
        </w:rPr>
      </w:pPr>
      <w:bookmarkStart w:name="（2）违规对外担保情况" w:id="92"/>
      <w:bookmarkEnd w:id="92"/>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3"/>
        <w:jc w:val="left"/>
      </w:pPr>
      <w:r>
        <w:rPr/>
        <w:t>□ 适用 √ 不适用 公司报告期无违规对外担保情况。</w:t>
      </w:r>
    </w:p>
    <w:p>
      <w:pPr>
        <w:spacing w:line="240" w:lineRule="auto" w:before="1"/>
        <w:rPr>
          <w:rFonts w:ascii="宋体" w:hAnsi="宋体" w:cs="宋体" w:eastAsia="宋体" w:hint="default"/>
          <w:sz w:val="20"/>
          <w:szCs w:val="20"/>
        </w:rPr>
      </w:pPr>
    </w:p>
    <w:p>
      <w:pPr>
        <w:pStyle w:val="Heading3"/>
        <w:spacing w:line="240" w:lineRule="auto"/>
        <w:ind w:right="1015"/>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0" w:right="0"/>
        </w:sectPr>
      </w:pPr>
    </w:p>
    <w:p>
      <w:pPr>
        <w:pStyle w:val="BodyText"/>
        <w:spacing w:line="357" w:lineRule="auto" w:before="44"/>
        <w:ind w:right="-20"/>
        <w:jc w:val="left"/>
      </w:pPr>
      <w:r>
        <w:rPr/>
        <w:t>√ 适用 □ 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单位：万元</w:t>
      </w:r>
    </w:p>
    <w:p>
      <w:pPr>
        <w:spacing w:after="0" w:line="240" w:lineRule="auto"/>
        <w:jc w:val="center"/>
        <w:sectPr>
          <w:type w:val="continuous"/>
          <w:pgSz w:w="11910" w:h="16840"/>
          <w:pgMar w:top="1100" w:bottom="1200" w:left="0" w:right="0"/>
          <w:cols w:num="2" w:equalWidth="0">
            <w:col w:w="2935" w:space="5805"/>
            <w:col w:w="317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22,900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闲置自有资金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240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23,140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1015"/>
        <w:jc w:val="left"/>
      </w:pPr>
      <w:r>
        <w:rPr/>
        <w:t>单项金额重大或安全性较低、流动性较差、不保本的高风险委托理财具体情况</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8"/>
      </w:tblGrid>
      <w:tr>
        <w:trPr>
          <w:trHeight w:val="986"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0" w:right="189"/>
              <w:jc w:val="both"/>
              <w:rPr>
                <w:rFonts w:ascii="宋体" w:hAnsi="宋体" w:cs="宋体" w:eastAsia="宋体" w:hint="default"/>
                <w:sz w:val="18"/>
                <w:szCs w:val="18"/>
              </w:rPr>
            </w:pPr>
            <w:r>
              <w:rPr>
                <w:rFonts w:ascii="宋体" w:hAnsi="宋体" w:cs="宋体" w:eastAsia="宋体" w:hint="default"/>
                <w:sz w:val="18"/>
                <w:szCs w:val="18"/>
              </w:rPr>
              <w:t>受 托 机</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 w:right="108"/>
              <w:jc w:val="left"/>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240" w:lineRule="auto" w:before="17"/>
              <w:ind w:left="110" w:right="0"/>
              <w:jc w:val="left"/>
              <w:rPr>
                <w:rFonts w:ascii="宋体" w:hAnsi="宋体" w:cs="宋体" w:eastAsia="宋体" w:hint="default"/>
                <w:sz w:val="18"/>
                <w:szCs w:val="18"/>
              </w:rPr>
            </w:pPr>
            <w:r>
              <w:rPr>
                <w:rFonts w:ascii="宋体" w:hAnsi="宋体" w:cs="宋体" w:eastAsia="宋体" w:hint="default"/>
                <w:sz w:val="18"/>
                <w:szCs w:val="18"/>
              </w:rPr>
              <w:t>（或</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117" w:right="116"/>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191" w:right="191"/>
              <w:jc w:val="center"/>
              <w:rPr>
                <w:rFonts w:ascii="宋体" w:hAnsi="宋体" w:cs="宋体" w:eastAsia="宋体" w:hint="default"/>
                <w:sz w:val="18"/>
                <w:szCs w:val="18"/>
              </w:rPr>
            </w:pPr>
            <w:r>
              <w:rPr>
                <w:rFonts w:ascii="宋体" w:hAnsi="宋体" w:cs="宋体" w:eastAsia="宋体" w:hint="default"/>
                <w:sz w:val="18"/>
                <w:szCs w:val="18"/>
              </w:rPr>
              <w:t>金 额</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6" w:right="182"/>
              <w:jc w:val="both"/>
              <w:rPr>
                <w:rFonts w:ascii="宋体" w:hAnsi="宋体" w:cs="宋体" w:eastAsia="宋体" w:hint="default"/>
                <w:sz w:val="18"/>
                <w:szCs w:val="18"/>
              </w:rPr>
            </w:pPr>
            <w:r>
              <w:rPr>
                <w:rFonts w:ascii="宋体" w:hAnsi="宋体" w:cs="宋体" w:eastAsia="宋体" w:hint="default"/>
                <w:sz w:val="18"/>
                <w:szCs w:val="18"/>
              </w:rPr>
              <w:t>资 金 来</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5" w:right="185"/>
              <w:jc w:val="both"/>
              <w:rPr>
                <w:rFonts w:ascii="宋体" w:hAnsi="宋体" w:cs="宋体" w:eastAsia="宋体" w:hint="default"/>
                <w:sz w:val="18"/>
                <w:szCs w:val="18"/>
              </w:rPr>
            </w:pPr>
            <w:r>
              <w:rPr>
                <w:rFonts w:ascii="宋体" w:hAnsi="宋体" w:cs="宋体" w:eastAsia="宋体" w:hint="default"/>
                <w:sz w:val="18"/>
                <w:szCs w:val="18"/>
              </w:rPr>
              <w:t>起 始 日</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5" w:right="183"/>
              <w:jc w:val="both"/>
              <w:rPr>
                <w:rFonts w:ascii="宋体" w:hAnsi="宋体" w:cs="宋体" w:eastAsia="宋体" w:hint="default"/>
                <w:sz w:val="18"/>
                <w:szCs w:val="18"/>
              </w:rPr>
            </w:pPr>
            <w:r>
              <w:rPr>
                <w:rFonts w:ascii="宋体" w:hAnsi="宋体" w:cs="宋体" w:eastAsia="宋体" w:hint="default"/>
                <w:sz w:val="18"/>
                <w:szCs w:val="18"/>
              </w:rPr>
              <w:t>终 止 日</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5" w:right="185"/>
              <w:jc w:val="both"/>
              <w:rPr>
                <w:rFonts w:ascii="宋体" w:hAnsi="宋体" w:cs="宋体" w:eastAsia="宋体" w:hint="default"/>
                <w:sz w:val="18"/>
                <w:szCs w:val="18"/>
              </w:rPr>
            </w:pPr>
            <w:r>
              <w:rPr>
                <w:rFonts w:ascii="宋体" w:hAnsi="宋体" w:cs="宋体" w:eastAsia="宋体" w:hint="default"/>
                <w:sz w:val="18"/>
                <w:szCs w:val="18"/>
              </w:rPr>
              <w:t>资 金 投</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6" w:right="182"/>
              <w:jc w:val="both"/>
              <w:rPr>
                <w:rFonts w:ascii="宋体" w:hAnsi="宋体" w:cs="宋体" w:eastAsia="宋体" w:hint="default"/>
                <w:sz w:val="18"/>
                <w:szCs w:val="18"/>
              </w:rPr>
            </w:pPr>
            <w:r>
              <w:rPr>
                <w:rFonts w:ascii="宋体" w:hAnsi="宋体" w:cs="宋体" w:eastAsia="宋体" w:hint="default"/>
                <w:sz w:val="18"/>
                <w:szCs w:val="18"/>
              </w:rPr>
              <w:t>报 酬 确</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6" w:right="185"/>
              <w:jc w:val="both"/>
              <w:rPr>
                <w:rFonts w:ascii="宋体" w:hAnsi="宋体" w:cs="宋体" w:eastAsia="宋体" w:hint="default"/>
                <w:sz w:val="18"/>
                <w:szCs w:val="18"/>
              </w:rPr>
            </w:pPr>
            <w:r>
              <w:rPr>
                <w:rFonts w:ascii="宋体" w:hAnsi="宋体" w:cs="宋体" w:eastAsia="宋体" w:hint="default"/>
                <w:sz w:val="18"/>
                <w:szCs w:val="18"/>
              </w:rPr>
              <w:t>参 考 年</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5" w:right="182"/>
              <w:jc w:val="both"/>
              <w:rPr>
                <w:rFonts w:ascii="宋体" w:hAnsi="宋体" w:cs="宋体" w:eastAsia="宋体" w:hint="default"/>
                <w:sz w:val="18"/>
                <w:szCs w:val="18"/>
              </w:rPr>
            </w:pPr>
            <w:r>
              <w:rPr>
                <w:rFonts w:ascii="宋体" w:hAnsi="宋体" w:cs="宋体" w:eastAsia="宋体" w:hint="default"/>
                <w:sz w:val="18"/>
                <w:szCs w:val="18"/>
              </w:rPr>
              <w:t>预 期 收</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6" w:right="185"/>
              <w:jc w:val="both"/>
              <w:rPr>
                <w:rFonts w:ascii="宋体" w:hAnsi="宋体" w:cs="宋体" w:eastAsia="宋体" w:hint="default"/>
                <w:sz w:val="18"/>
                <w:szCs w:val="18"/>
              </w:rPr>
            </w:pPr>
            <w:r>
              <w:rPr>
                <w:rFonts w:ascii="宋体" w:hAnsi="宋体" w:cs="宋体" w:eastAsia="宋体" w:hint="default"/>
                <w:sz w:val="18"/>
                <w:szCs w:val="18"/>
              </w:rPr>
              <w:t>报 告 期</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6" w:right="182"/>
              <w:jc w:val="both"/>
              <w:rPr>
                <w:rFonts w:ascii="宋体" w:hAnsi="宋体" w:cs="宋体" w:eastAsia="宋体" w:hint="default"/>
                <w:sz w:val="18"/>
                <w:szCs w:val="18"/>
              </w:rPr>
            </w:pPr>
            <w:r>
              <w:rPr>
                <w:rFonts w:ascii="宋体" w:hAnsi="宋体" w:cs="宋体" w:eastAsia="宋体" w:hint="default"/>
                <w:sz w:val="18"/>
                <w:szCs w:val="18"/>
              </w:rPr>
              <w:t>报 告 期</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8" w:right="179"/>
              <w:jc w:val="both"/>
              <w:rPr>
                <w:rFonts w:ascii="宋体" w:hAnsi="宋体" w:cs="宋体" w:eastAsia="宋体" w:hint="default"/>
                <w:sz w:val="18"/>
                <w:szCs w:val="18"/>
              </w:rPr>
            </w:pPr>
            <w:r>
              <w:rPr>
                <w:rFonts w:ascii="宋体" w:hAnsi="宋体" w:cs="宋体" w:eastAsia="宋体" w:hint="default"/>
                <w:sz w:val="18"/>
                <w:szCs w:val="18"/>
              </w:rPr>
              <w:t>计 提 减</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8" w:right="176"/>
              <w:jc w:val="both"/>
              <w:rPr>
                <w:rFonts w:ascii="宋体" w:hAnsi="宋体" w:cs="宋体" w:eastAsia="宋体" w:hint="default"/>
                <w:sz w:val="18"/>
                <w:szCs w:val="18"/>
              </w:rPr>
            </w:pPr>
            <w:r>
              <w:rPr>
                <w:rFonts w:ascii="宋体" w:hAnsi="宋体" w:cs="宋体" w:eastAsia="宋体" w:hint="default"/>
                <w:sz w:val="18"/>
                <w:szCs w:val="18"/>
              </w:rPr>
              <w:t>是 否 经</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7" w:right="176"/>
              <w:jc w:val="both"/>
              <w:rPr>
                <w:rFonts w:ascii="宋体" w:hAnsi="宋体" w:cs="宋体" w:eastAsia="宋体" w:hint="default"/>
                <w:sz w:val="18"/>
                <w:szCs w:val="18"/>
              </w:rPr>
            </w:pPr>
            <w:r>
              <w:rPr>
                <w:rFonts w:ascii="宋体" w:hAnsi="宋体" w:cs="宋体" w:eastAsia="宋体" w:hint="default"/>
                <w:sz w:val="18"/>
                <w:szCs w:val="18"/>
              </w:rPr>
              <w:t>未 来 是</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3" w:right="172"/>
              <w:jc w:val="both"/>
              <w:rPr>
                <w:rFonts w:ascii="宋体" w:hAnsi="宋体" w:cs="宋体" w:eastAsia="宋体" w:hint="default"/>
                <w:sz w:val="18"/>
                <w:szCs w:val="18"/>
              </w:rPr>
            </w:pPr>
            <w:r>
              <w:rPr>
                <w:rFonts w:ascii="宋体" w:hAnsi="宋体" w:cs="宋体" w:eastAsia="宋体" w:hint="default"/>
                <w:sz w:val="18"/>
                <w:szCs w:val="18"/>
              </w:rPr>
              <w:t>事 项 概</w:t>
            </w:r>
          </w:p>
        </w:tc>
      </w:tr>
    </w:tbl>
    <w:p>
      <w:pPr>
        <w:spacing w:after="0" w:line="316" w:lineRule="auto"/>
        <w:jc w:val="both"/>
        <w:rPr>
          <w:rFonts w:ascii="宋体" w:hAnsi="宋体" w:cs="宋体" w:eastAsia="宋体" w:hint="default"/>
          <w:sz w:val="18"/>
          <w:szCs w:val="18"/>
        </w:rPr>
        <w:sectPr>
          <w:type w:val="continuous"/>
          <w:pgSz w:w="11910" w:h="16840"/>
          <w:pgMar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3483"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90" w:right="189"/>
              <w:jc w:val="both"/>
              <w:rPr>
                <w:rFonts w:ascii="宋体" w:hAnsi="宋体" w:cs="宋体" w:eastAsia="宋体" w:hint="default"/>
                <w:sz w:val="18"/>
                <w:szCs w:val="18"/>
              </w:rPr>
            </w:pPr>
            <w:r>
              <w:rPr>
                <w:rFonts w:ascii="宋体" w:hAnsi="宋体" w:cs="宋体" w:eastAsia="宋体" w:hint="default"/>
                <w:sz w:val="18"/>
                <w:szCs w:val="18"/>
              </w:rPr>
              <w:t>构 名 称</w:t>
            </w:r>
          </w:p>
          <w:p>
            <w:pPr>
              <w:pStyle w:val="TableParagraph"/>
              <w:spacing w:line="316" w:lineRule="auto" w:before="19"/>
              <w:ind w:left="190" w:right="189"/>
              <w:jc w:val="both"/>
              <w:rPr>
                <w:rFonts w:ascii="宋体" w:hAnsi="宋体" w:cs="宋体" w:eastAsia="宋体" w:hint="default"/>
                <w:sz w:val="18"/>
                <w:szCs w:val="18"/>
              </w:rPr>
            </w:pPr>
            <w:r>
              <w:rPr>
                <w:rFonts w:ascii="宋体" w:hAnsi="宋体" w:cs="宋体" w:eastAsia="宋体" w:hint="default"/>
                <w:sz w:val="18"/>
                <w:szCs w:val="18"/>
              </w:rPr>
              <w:t>（ 或 受 托 人 姓</w:t>
            </w:r>
          </w:p>
          <w:p>
            <w:pPr>
              <w:pStyle w:val="TableParagraph"/>
              <w:spacing w:line="240" w:lineRule="auto" w:before="20"/>
              <w:ind w:left="103" w:right="0"/>
              <w:jc w:val="both"/>
              <w:rPr>
                <w:rFonts w:ascii="宋体" w:hAnsi="宋体" w:cs="宋体" w:eastAsia="宋体" w:hint="default"/>
                <w:sz w:val="18"/>
                <w:szCs w:val="18"/>
              </w:rPr>
            </w:pPr>
            <w:r>
              <w:rPr>
                <w:rFonts w:ascii="宋体" w:hAnsi="宋体" w:cs="宋体" w:eastAsia="宋体" w:hint="default"/>
                <w:sz w:val="18"/>
                <w:szCs w:val="18"/>
              </w:rPr>
              <w:t>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0" w:right="108"/>
              <w:jc w:val="both"/>
              <w:rPr>
                <w:rFonts w:ascii="宋体" w:hAnsi="宋体" w:cs="宋体" w:eastAsia="宋体" w:hint="default"/>
                <w:sz w:val="18"/>
                <w:szCs w:val="18"/>
              </w:rPr>
            </w:pPr>
            <w:r>
              <w:rPr>
                <w:rFonts w:ascii="宋体" w:hAnsi="宋体" w:cs="宋体" w:eastAsia="宋体" w:hint="default"/>
                <w:sz w:val="18"/>
                <w:szCs w:val="18"/>
              </w:rPr>
              <w:t>受托 人） 类型</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源</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向</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6" w:right="182"/>
              <w:jc w:val="both"/>
              <w:rPr>
                <w:rFonts w:ascii="宋体" w:hAnsi="宋体" w:cs="宋体" w:eastAsia="宋体" w:hint="default"/>
                <w:sz w:val="18"/>
                <w:szCs w:val="18"/>
              </w:rPr>
            </w:pPr>
            <w:r>
              <w:rPr>
                <w:rFonts w:ascii="宋体" w:hAnsi="宋体" w:cs="宋体" w:eastAsia="宋体" w:hint="default"/>
                <w:sz w:val="18"/>
                <w:szCs w:val="18"/>
              </w:rPr>
              <w:t>定 方 式</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6" w:right="185"/>
              <w:jc w:val="both"/>
              <w:rPr>
                <w:rFonts w:ascii="宋体" w:hAnsi="宋体" w:cs="宋体" w:eastAsia="宋体" w:hint="default"/>
                <w:sz w:val="18"/>
                <w:szCs w:val="18"/>
              </w:rPr>
            </w:pPr>
            <w:r>
              <w:rPr>
                <w:rFonts w:ascii="宋体" w:hAnsi="宋体" w:cs="宋体" w:eastAsia="宋体" w:hint="default"/>
                <w:sz w:val="18"/>
                <w:szCs w:val="18"/>
              </w:rPr>
              <w:t>化 收 益 率</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益</w:t>
            </w:r>
          </w:p>
          <w:p>
            <w:pPr>
              <w:pStyle w:val="TableParagraph"/>
              <w:spacing w:line="319" w:lineRule="auto" w:before="76"/>
              <w:ind w:left="185" w:right="182"/>
              <w:jc w:val="both"/>
              <w:rPr>
                <w:rFonts w:ascii="宋体" w:hAnsi="宋体" w:cs="宋体" w:eastAsia="宋体" w:hint="default"/>
                <w:sz w:val="18"/>
                <w:szCs w:val="18"/>
              </w:rPr>
            </w:pPr>
            <w:r>
              <w:rPr>
                <w:rFonts w:ascii="宋体" w:hAnsi="宋体" w:cs="宋体" w:eastAsia="宋体" w:hint="default"/>
                <w:sz w:val="18"/>
                <w:szCs w:val="18"/>
              </w:rPr>
              <w:t>（ 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6" w:right="185"/>
              <w:jc w:val="both"/>
              <w:rPr>
                <w:rFonts w:ascii="宋体" w:hAnsi="宋体" w:cs="宋体" w:eastAsia="宋体" w:hint="default"/>
                <w:sz w:val="18"/>
                <w:szCs w:val="18"/>
              </w:rPr>
            </w:pPr>
            <w:r>
              <w:rPr>
                <w:rFonts w:ascii="宋体" w:hAnsi="宋体" w:cs="宋体" w:eastAsia="宋体" w:hint="default"/>
                <w:sz w:val="18"/>
                <w:szCs w:val="18"/>
              </w:rPr>
              <w:t>实 际 损 益 金 额</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6" w:right="182"/>
              <w:jc w:val="both"/>
              <w:rPr>
                <w:rFonts w:ascii="宋体" w:hAnsi="宋体" w:cs="宋体" w:eastAsia="宋体" w:hint="default"/>
                <w:sz w:val="18"/>
                <w:szCs w:val="18"/>
              </w:rPr>
            </w:pPr>
            <w:r>
              <w:rPr>
                <w:rFonts w:ascii="宋体" w:hAnsi="宋体" w:cs="宋体" w:eastAsia="宋体" w:hint="default"/>
                <w:sz w:val="18"/>
                <w:szCs w:val="18"/>
              </w:rPr>
              <w:t>损 益 实 际 收 回 情 况</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78" w:right="179"/>
              <w:jc w:val="both"/>
              <w:rPr>
                <w:rFonts w:ascii="宋体" w:hAnsi="宋体" w:cs="宋体" w:eastAsia="宋体" w:hint="default"/>
                <w:sz w:val="18"/>
                <w:szCs w:val="18"/>
              </w:rPr>
            </w:pPr>
            <w:r>
              <w:rPr>
                <w:rFonts w:ascii="宋体" w:hAnsi="宋体" w:cs="宋体" w:eastAsia="宋体" w:hint="default"/>
                <w:sz w:val="18"/>
                <w:szCs w:val="18"/>
              </w:rPr>
              <w:t>值 准 备 金 额</w:t>
            </w:r>
          </w:p>
          <w:p>
            <w:pPr>
              <w:pStyle w:val="TableParagraph"/>
              <w:spacing w:line="319" w:lineRule="auto" w:before="17"/>
              <w:ind w:left="103" w:right="74" w:firstLine="75"/>
              <w:jc w:val="both"/>
              <w:rPr>
                <w:rFonts w:ascii="宋体" w:hAnsi="宋体" w:cs="宋体" w:eastAsia="宋体" w:hint="default"/>
                <w:sz w:val="18"/>
                <w:szCs w:val="18"/>
              </w:rPr>
            </w:pPr>
            <w:r>
              <w:rPr>
                <w:rFonts w:ascii="宋体" w:hAnsi="宋体" w:cs="宋体" w:eastAsia="宋体" w:hint="default"/>
                <w:sz w:val="18"/>
                <w:szCs w:val="18"/>
              </w:rPr>
              <w:t>（ 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78" w:right="176"/>
              <w:jc w:val="both"/>
              <w:rPr>
                <w:rFonts w:ascii="宋体" w:hAnsi="宋体" w:cs="宋体" w:eastAsia="宋体" w:hint="default"/>
                <w:sz w:val="18"/>
                <w:szCs w:val="18"/>
              </w:rPr>
            </w:pPr>
            <w:r>
              <w:rPr>
                <w:rFonts w:ascii="宋体" w:hAnsi="宋体" w:cs="宋体" w:eastAsia="宋体" w:hint="default"/>
                <w:sz w:val="18"/>
                <w:szCs w:val="18"/>
              </w:rPr>
              <w:t>过 法 定 程 序</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77" w:right="176"/>
              <w:jc w:val="both"/>
              <w:rPr>
                <w:rFonts w:ascii="宋体" w:hAnsi="宋体" w:cs="宋体" w:eastAsia="宋体" w:hint="default"/>
                <w:sz w:val="18"/>
                <w:szCs w:val="18"/>
              </w:rPr>
            </w:pPr>
            <w:r>
              <w:rPr>
                <w:rFonts w:ascii="宋体" w:hAnsi="宋体" w:cs="宋体" w:eastAsia="宋体" w:hint="default"/>
                <w:sz w:val="18"/>
                <w:szCs w:val="18"/>
              </w:rPr>
              <w:t>否 还 有 委 托 理 财 计 划</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73" w:right="173"/>
              <w:jc w:val="both"/>
              <w:rPr>
                <w:rFonts w:ascii="宋体" w:hAnsi="宋体" w:cs="宋体" w:eastAsia="宋体" w:hint="default"/>
                <w:sz w:val="18"/>
                <w:szCs w:val="18"/>
              </w:rPr>
            </w:pPr>
            <w:r>
              <w:rPr>
                <w:rFonts w:ascii="宋体" w:hAnsi="宋体" w:cs="宋体" w:eastAsia="宋体" w:hint="default"/>
                <w:sz w:val="18"/>
                <w:szCs w:val="18"/>
              </w:rPr>
              <w:t>述 及 相 关 查 询 索 引</w:t>
            </w:r>
          </w:p>
          <w:p>
            <w:pPr>
              <w:pStyle w:val="TableParagraph"/>
              <w:spacing w:line="319" w:lineRule="auto" w:before="19"/>
              <w:ind w:left="103" w:right="65" w:firstLine="70"/>
              <w:jc w:val="both"/>
              <w:rPr>
                <w:rFonts w:ascii="宋体" w:hAnsi="宋体" w:cs="宋体" w:eastAsia="宋体" w:hint="default"/>
                <w:sz w:val="18"/>
                <w:szCs w:val="18"/>
              </w:rPr>
            </w:pPr>
            <w:r>
              <w:rPr>
                <w:rFonts w:ascii="宋体" w:hAnsi="宋体" w:cs="宋体" w:eastAsia="宋体" w:hint="default"/>
                <w:sz w:val="18"/>
                <w:szCs w:val="18"/>
              </w:rPr>
              <w:t>（ 如 有）</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6"/>
              <w:jc w:val="both"/>
              <w:rPr>
                <w:rFonts w:ascii="宋体" w:hAnsi="宋体" w:cs="宋体" w:eastAsia="宋体" w:hint="default"/>
                <w:sz w:val="18"/>
                <w:szCs w:val="18"/>
              </w:rPr>
            </w:pPr>
            <w:r>
              <w:rPr>
                <w:rFonts w:ascii="宋体" w:hAnsi="宋体" w:cs="宋体" w:eastAsia="宋体" w:hint="default"/>
                <w:sz w:val="18"/>
                <w:szCs w:val="18"/>
              </w:rPr>
              <w:t>中 信 银 行 中 山 分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2"/>
              <w:jc w:val="center"/>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1" w:right="132"/>
              <w:jc w:val="both"/>
              <w:rPr>
                <w:rFonts w:ascii="宋体" w:hAnsi="宋体" w:cs="宋体" w:eastAsia="宋体" w:hint="default"/>
                <w:sz w:val="18"/>
                <w:szCs w:val="18"/>
              </w:rPr>
            </w:pPr>
            <w:r>
              <w:rPr>
                <w:rFonts w:ascii="宋体" w:hAnsi="宋体" w:cs="宋体" w:eastAsia="宋体" w:hint="default"/>
                <w:sz w:val="18"/>
                <w:szCs w:val="18"/>
              </w:rPr>
              <w:t>保本 浮动 收益 型， 开放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1,20</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65"/>
              <w:jc w:val="both"/>
              <w:rPr>
                <w:rFonts w:ascii="宋体" w:hAnsi="宋体" w:cs="宋体" w:eastAsia="宋体" w:hint="default"/>
                <w:sz w:val="18"/>
                <w:szCs w:val="18"/>
              </w:rPr>
            </w:pPr>
            <w:r>
              <w:rPr>
                <w:rFonts w:ascii="宋体" w:hAnsi="宋体" w:cs="宋体" w:eastAsia="宋体" w:hint="default"/>
                <w:sz w:val="18"/>
                <w:szCs w:val="18"/>
              </w:rPr>
              <w:t>闲 置 募 集 资 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01</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22</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999</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31</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103" w:right="266"/>
              <w:jc w:val="left"/>
              <w:rPr>
                <w:rFonts w:ascii="宋体" w:hAnsi="宋体" w:cs="宋体" w:eastAsia="宋体" w:hint="default"/>
                <w:sz w:val="18"/>
                <w:szCs w:val="18"/>
              </w:rPr>
            </w:pPr>
            <w:r>
              <w:rPr>
                <w:rFonts w:ascii="宋体" w:hAnsi="宋体" w:cs="宋体" w:eastAsia="宋体" w:hint="default"/>
                <w:sz w:val="18"/>
                <w:szCs w:val="18"/>
              </w:rPr>
              <w:t>投 资</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265"/>
              <w:jc w:val="both"/>
              <w:rPr>
                <w:rFonts w:ascii="宋体" w:hAnsi="宋体" w:cs="宋体" w:eastAsia="宋体" w:hint="default"/>
                <w:sz w:val="18"/>
                <w:szCs w:val="18"/>
              </w:rPr>
            </w:pPr>
            <w:r>
              <w:rPr>
                <w:rFonts w:ascii="宋体" w:hAnsi="宋体" w:cs="宋体" w:eastAsia="宋体" w:hint="default"/>
                <w:sz w:val="18"/>
                <w:szCs w:val="18"/>
              </w:rPr>
              <w:t>年 化 收 益 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2.30</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16.6</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16.6</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16.6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2" w:right="252"/>
              <w:jc w:val="both"/>
              <w:rPr>
                <w:rFonts w:ascii="宋体" w:hAnsi="宋体" w:cs="宋体" w:eastAsia="宋体" w:hint="default"/>
                <w:sz w:val="18"/>
                <w:szCs w:val="18"/>
              </w:rPr>
            </w:pPr>
            <w:r>
              <w:rPr>
                <w:rFonts w:ascii="宋体" w:hAnsi="宋体" w:cs="宋体" w:eastAsia="宋体" w:hint="default"/>
                <w:sz w:val="18"/>
                <w:szCs w:val="18"/>
              </w:rPr>
              <w:t>不 适 用</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both"/>
              <w:rPr>
                <w:rFonts w:ascii="Times New Roman" w:hAnsi="Times New Roman" w:cs="Times New Roman" w:eastAsia="Times New Roman" w:hint="default"/>
                <w:sz w:val="18"/>
                <w:szCs w:val="18"/>
              </w:rPr>
            </w:pPr>
            <w:r>
              <w:rPr>
                <w:rFonts w:ascii="Times New Roman"/>
                <w:sz w:val="18"/>
              </w:rPr>
              <w:t>http</w:t>
            </w:r>
          </w:p>
          <w:p>
            <w:pPr>
              <w:pStyle w:val="TableParagraph"/>
              <w:spacing w:line="362" w:lineRule="auto" w:before="104"/>
              <w:ind w:left="103" w:right="113"/>
              <w:jc w:val="both"/>
              <w:rPr>
                <w:rFonts w:ascii="Times New Roman" w:hAnsi="Times New Roman" w:cs="Times New Roman" w:eastAsia="Times New Roman" w:hint="default"/>
                <w:sz w:val="18"/>
                <w:szCs w:val="18"/>
              </w:rPr>
            </w:pPr>
            <w:r>
              <w:rPr>
                <w:rFonts w:ascii="Times New Roman"/>
                <w:sz w:val="18"/>
              </w:rPr>
              <w:t>://w</w:t>
            </w:r>
            <w:r>
              <w:rPr>
                <w:rFonts w:ascii="Times New Roman"/>
                <w:w w:val="99"/>
                <w:sz w:val="18"/>
              </w:rPr>
              <w:t> </w:t>
            </w:r>
            <w:r>
              <w:rPr>
                <w:rFonts w:ascii="Times New Roman"/>
                <w:spacing w:val="-5"/>
                <w:sz w:val="18"/>
              </w:rPr>
              <w:t>ww.</w:t>
            </w:r>
            <w:r>
              <w:rPr>
                <w:rFonts w:ascii="Times New Roman"/>
                <w:sz w:val="18"/>
              </w:rPr>
              <w:t> cnin fo.c om. cn/</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6"/>
              <w:jc w:val="both"/>
              <w:rPr>
                <w:rFonts w:ascii="宋体" w:hAnsi="宋体" w:cs="宋体" w:eastAsia="宋体" w:hint="default"/>
                <w:sz w:val="18"/>
                <w:szCs w:val="18"/>
              </w:rPr>
            </w:pPr>
            <w:r>
              <w:rPr>
                <w:rFonts w:ascii="宋体" w:hAnsi="宋体" w:cs="宋体" w:eastAsia="宋体" w:hint="default"/>
                <w:sz w:val="18"/>
                <w:szCs w:val="18"/>
              </w:rPr>
              <w:t>中 信 银 行 中 山 分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2"/>
              <w:jc w:val="center"/>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101" w:right="132"/>
              <w:jc w:val="both"/>
              <w:rPr>
                <w:rFonts w:ascii="宋体" w:hAnsi="宋体" w:cs="宋体" w:eastAsia="宋体" w:hint="default"/>
                <w:sz w:val="18"/>
                <w:szCs w:val="18"/>
              </w:rPr>
            </w:pPr>
            <w:r>
              <w:rPr>
                <w:rFonts w:ascii="宋体" w:hAnsi="宋体" w:cs="宋体" w:eastAsia="宋体" w:hint="default"/>
                <w:sz w:val="18"/>
                <w:szCs w:val="18"/>
              </w:rPr>
              <w:t>保本 浮动 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65"/>
              <w:jc w:val="both"/>
              <w:rPr>
                <w:rFonts w:ascii="宋体" w:hAnsi="宋体" w:cs="宋体" w:eastAsia="宋体" w:hint="default"/>
                <w:sz w:val="18"/>
                <w:szCs w:val="18"/>
              </w:rPr>
            </w:pPr>
            <w:r>
              <w:rPr>
                <w:rFonts w:ascii="宋体" w:hAnsi="宋体" w:cs="宋体" w:eastAsia="宋体" w:hint="default"/>
                <w:sz w:val="18"/>
                <w:szCs w:val="18"/>
              </w:rPr>
              <w:t>闲 置 募 集 资 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01</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22</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04</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22</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103" w:right="266"/>
              <w:jc w:val="left"/>
              <w:rPr>
                <w:rFonts w:ascii="宋体" w:hAnsi="宋体" w:cs="宋体" w:eastAsia="宋体" w:hint="default"/>
                <w:sz w:val="18"/>
                <w:szCs w:val="18"/>
              </w:rPr>
            </w:pPr>
            <w:r>
              <w:rPr>
                <w:rFonts w:ascii="宋体" w:hAnsi="宋体" w:cs="宋体" w:eastAsia="宋体" w:hint="default"/>
                <w:sz w:val="18"/>
                <w:szCs w:val="18"/>
              </w:rPr>
              <w:t>投 资</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265"/>
              <w:jc w:val="both"/>
              <w:rPr>
                <w:rFonts w:ascii="宋体" w:hAnsi="宋体" w:cs="宋体" w:eastAsia="宋体" w:hint="default"/>
                <w:sz w:val="18"/>
                <w:szCs w:val="18"/>
              </w:rPr>
            </w:pPr>
            <w:r>
              <w:rPr>
                <w:rFonts w:ascii="宋体" w:hAnsi="宋体" w:cs="宋体" w:eastAsia="宋体" w:hint="default"/>
                <w:sz w:val="18"/>
                <w:szCs w:val="18"/>
              </w:rPr>
              <w:t>年 化 收 益 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3.65</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34" w:right="0"/>
              <w:jc w:val="left"/>
              <w:rPr>
                <w:rFonts w:ascii="Times New Roman" w:hAnsi="Times New Roman" w:cs="Times New Roman" w:eastAsia="Times New Roman" w:hint="default"/>
                <w:sz w:val="18"/>
                <w:szCs w:val="18"/>
              </w:rPr>
            </w:pPr>
            <w:r>
              <w:rPr>
                <w:rFonts w:ascii="Times New Roman"/>
                <w:sz w:val="18"/>
              </w:rPr>
              <w:t>27.3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z w:val="18"/>
              </w:rPr>
              <w:t>27.3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27.3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102" w:right="252"/>
              <w:jc w:val="both"/>
              <w:rPr>
                <w:rFonts w:ascii="宋体" w:hAnsi="宋体" w:cs="宋体" w:eastAsia="宋体" w:hint="default"/>
                <w:sz w:val="18"/>
                <w:szCs w:val="18"/>
              </w:rPr>
            </w:pPr>
            <w:r>
              <w:rPr>
                <w:rFonts w:ascii="宋体" w:hAnsi="宋体" w:cs="宋体" w:eastAsia="宋体" w:hint="default"/>
                <w:sz w:val="18"/>
                <w:szCs w:val="18"/>
              </w:rPr>
              <w:t>不 适 用</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both"/>
              <w:rPr>
                <w:rFonts w:ascii="Times New Roman" w:hAnsi="Times New Roman" w:cs="Times New Roman" w:eastAsia="Times New Roman" w:hint="default"/>
                <w:sz w:val="18"/>
                <w:szCs w:val="18"/>
              </w:rPr>
            </w:pPr>
            <w:r>
              <w:rPr>
                <w:rFonts w:ascii="Times New Roman"/>
                <w:sz w:val="18"/>
              </w:rPr>
              <w:t>http</w:t>
            </w:r>
          </w:p>
          <w:p>
            <w:pPr>
              <w:pStyle w:val="TableParagraph"/>
              <w:spacing w:line="362" w:lineRule="auto" w:before="104"/>
              <w:ind w:left="103" w:right="113"/>
              <w:jc w:val="both"/>
              <w:rPr>
                <w:rFonts w:ascii="Times New Roman" w:hAnsi="Times New Roman" w:cs="Times New Roman" w:eastAsia="Times New Roman" w:hint="default"/>
                <w:sz w:val="18"/>
                <w:szCs w:val="18"/>
              </w:rPr>
            </w:pPr>
            <w:r>
              <w:rPr>
                <w:rFonts w:ascii="Times New Roman"/>
                <w:sz w:val="18"/>
              </w:rPr>
              <w:t>://w</w:t>
            </w:r>
            <w:r>
              <w:rPr>
                <w:rFonts w:ascii="Times New Roman"/>
                <w:w w:val="99"/>
                <w:sz w:val="18"/>
              </w:rPr>
              <w:t> </w:t>
            </w:r>
            <w:r>
              <w:rPr>
                <w:rFonts w:ascii="Times New Roman"/>
                <w:spacing w:val="-5"/>
                <w:sz w:val="18"/>
              </w:rPr>
              <w:t>ww.</w:t>
            </w:r>
            <w:r>
              <w:rPr>
                <w:rFonts w:ascii="Times New Roman"/>
                <w:sz w:val="18"/>
              </w:rPr>
              <w:t> cnin fo.c om. cn/</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6"/>
              <w:jc w:val="both"/>
              <w:rPr>
                <w:rFonts w:ascii="宋体" w:hAnsi="宋体" w:cs="宋体" w:eastAsia="宋体" w:hint="default"/>
                <w:sz w:val="18"/>
                <w:szCs w:val="18"/>
              </w:rPr>
            </w:pPr>
            <w:r>
              <w:rPr>
                <w:rFonts w:ascii="宋体" w:hAnsi="宋体" w:cs="宋体" w:eastAsia="宋体" w:hint="default"/>
                <w:sz w:val="18"/>
                <w:szCs w:val="18"/>
              </w:rPr>
              <w:t>中 信 银 行 中 山 分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2"/>
              <w:jc w:val="center"/>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01" w:right="132"/>
              <w:jc w:val="both"/>
              <w:rPr>
                <w:rFonts w:ascii="宋体" w:hAnsi="宋体" w:cs="宋体" w:eastAsia="宋体" w:hint="default"/>
                <w:sz w:val="18"/>
                <w:szCs w:val="18"/>
              </w:rPr>
            </w:pPr>
            <w:r>
              <w:rPr>
                <w:rFonts w:ascii="宋体" w:hAnsi="宋体" w:cs="宋体" w:eastAsia="宋体" w:hint="default"/>
                <w:sz w:val="18"/>
                <w:szCs w:val="18"/>
              </w:rPr>
              <w:t>保本 浮动 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65"/>
              <w:jc w:val="both"/>
              <w:rPr>
                <w:rFonts w:ascii="宋体" w:hAnsi="宋体" w:cs="宋体" w:eastAsia="宋体" w:hint="default"/>
                <w:sz w:val="18"/>
                <w:szCs w:val="18"/>
              </w:rPr>
            </w:pPr>
            <w:r>
              <w:rPr>
                <w:rFonts w:ascii="宋体" w:hAnsi="宋体" w:cs="宋体" w:eastAsia="宋体" w:hint="default"/>
                <w:sz w:val="18"/>
                <w:szCs w:val="18"/>
              </w:rPr>
              <w:t>闲 置 募 集 资 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01</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22</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103" w:right="266"/>
              <w:jc w:val="left"/>
              <w:rPr>
                <w:rFonts w:ascii="宋体" w:hAnsi="宋体" w:cs="宋体" w:eastAsia="宋体" w:hint="default"/>
                <w:sz w:val="18"/>
                <w:szCs w:val="18"/>
              </w:rPr>
            </w:pPr>
            <w:r>
              <w:rPr>
                <w:rFonts w:ascii="宋体" w:hAnsi="宋体" w:cs="宋体" w:eastAsia="宋体" w:hint="default"/>
                <w:sz w:val="18"/>
                <w:szCs w:val="18"/>
              </w:rPr>
              <w:t>投 资</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265"/>
              <w:jc w:val="both"/>
              <w:rPr>
                <w:rFonts w:ascii="宋体" w:hAnsi="宋体" w:cs="宋体" w:eastAsia="宋体" w:hint="default"/>
                <w:sz w:val="18"/>
                <w:szCs w:val="18"/>
              </w:rPr>
            </w:pPr>
            <w:r>
              <w:rPr>
                <w:rFonts w:ascii="宋体" w:hAnsi="宋体" w:cs="宋体" w:eastAsia="宋体" w:hint="default"/>
                <w:sz w:val="18"/>
                <w:szCs w:val="18"/>
              </w:rPr>
              <w:t>年 化 收 益 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3.30</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248.</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81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03" w:right="0"/>
              <w:jc w:val="left"/>
              <w:rPr>
                <w:rFonts w:ascii="Times New Roman" w:hAnsi="Times New Roman" w:cs="Times New Roman" w:eastAsia="Times New Roman" w:hint="default"/>
                <w:sz w:val="18"/>
                <w:szCs w:val="18"/>
              </w:rPr>
            </w:pPr>
            <w:r>
              <w:rPr>
                <w:rFonts w:ascii="Times New Roman"/>
                <w:sz w:val="18"/>
              </w:rPr>
              <w:t>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2" w:right="252"/>
              <w:jc w:val="both"/>
              <w:rPr>
                <w:rFonts w:ascii="宋体" w:hAnsi="宋体" w:cs="宋体" w:eastAsia="宋体" w:hint="default"/>
                <w:sz w:val="18"/>
                <w:szCs w:val="18"/>
              </w:rPr>
            </w:pPr>
            <w:r>
              <w:rPr>
                <w:rFonts w:ascii="宋体" w:hAnsi="宋体" w:cs="宋体" w:eastAsia="宋体" w:hint="default"/>
                <w:sz w:val="18"/>
                <w:szCs w:val="18"/>
              </w:rPr>
              <w:t>不 适 用</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both"/>
              <w:rPr>
                <w:rFonts w:ascii="Times New Roman" w:hAnsi="Times New Roman" w:cs="Times New Roman" w:eastAsia="Times New Roman" w:hint="default"/>
                <w:sz w:val="18"/>
                <w:szCs w:val="18"/>
              </w:rPr>
            </w:pPr>
            <w:r>
              <w:rPr>
                <w:rFonts w:ascii="Times New Roman"/>
                <w:sz w:val="18"/>
              </w:rPr>
              <w:t>http</w:t>
            </w:r>
          </w:p>
          <w:p>
            <w:pPr>
              <w:pStyle w:val="TableParagraph"/>
              <w:spacing w:line="362" w:lineRule="auto" w:before="104"/>
              <w:ind w:left="103" w:right="113"/>
              <w:jc w:val="both"/>
              <w:rPr>
                <w:rFonts w:ascii="Times New Roman" w:hAnsi="Times New Roman" w:cs="Times New Roman" w:eastAsia="Times New Roman" w:hint="default"/>
                <w:sz w:val="18"/>
                <w:szCs w:val="18"/>
              </w:rPr>
            </w:pPr>
            <w:r>
              <w:rPr>
                <w:rFonts w:ascii="Times New Roman"/>
                <w:sz w:val="18"/>
              </w:rPr>
              <w:t>://w</w:t>
            </w:r>
            <w:r>
              <w:rPr>
                <w:rFonts w:ascii="Times New Roman"/>
                <w:w w:val="99"/>
                <w:sz w:val="18"/>
              </w:rPr>
              <w:t> </w:t>
            </w:r>
            <w:r>
              <w:rPr>
                <w:rFonts w:ascii="Times New Roman"/>
                <w:spacing w:val="-5"/>
                <w:sz w:val="18"/>
              </w:rPr>
              <w:t>ww.</w:t>
            </w:r>
            <w:r>
              <w:rPr>
                <w:rFonts w:ascii="Times New Roman"/>
                <w:sz w:val="18"/>
              </w:rPr>
              <w:t> cnin fo.c om. cn/</w:t>
            </w:r>
          </w:p>
        </w:tc>
      </w:tr>
      <w:tr>
        <w:trPr>
          <w:trHeight w:val="254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6"/>
              <w:jc w:val="both"/>
              <w:rPr>
                <w:rFonts w:ascii="宋体" w:hAnsi="宋体" w:cs="宋体" w:eastAsia="宋体" w:hint="default"/>
                <w:sz w:val="18"/>
                <w:szCs w:val="18"/>
              </w:rPr>
            </w:pPr>
            <w:r>
              <w:rPr>
                <w:rFonts w:ascii="宋体" w:hAnsi="宋体" w:cs="宋体" w:eastAsia="宋体" w:hint="default"/>
                <w:sz w:val="18"/>
                <w:szCs w:val="18"/>
              </w:rPr>
              <w:t>中 国 银 行 股 份 有 限</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101" w:right="132"/>
              <w:jc w:val="both"/>
              <w:rPr>
                <w:rFonts w:ascii="宋体" w:hAnsi="宋体" w:cs="宋体" w:eastAsia="宋体" w:hint="default"/>
                <w:sz w:val="18"/>
                <w:szCs w:val="18"/>
              </w:rPr>
            </w:pPr>
            <w:r>
              <w:rPr>
                <w:rFonts w:ascii="宋体" w:hAnsi="宋体" w:cs="宋体" w:eastAsia="宋体" w:hint="default"/>
                <w:sz w:val="18"/>
                <w:szCs w:val="18"/>
              </w:rPr>
              <w:t>保本 保证 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103" w:right="265"/>
              <w:jc w:val="both"/>
              <w:rPr>
                <w:rFonts w:ascii="宋体" w:hAnsi="宋体" w:cs="宋体" w:eastAsia="宋体" w:hint="default"/>
                <w:sz w:val="18"/>
                <w:szCs w:val="18"/>
              </w:rPr>
            </w:pPr>
            <w:r>
              <w:rPr>
                <w:rFonts w:ascii="宋体" w:hAnsi="宋体" w:cs="宋体" w:eastAsia="宋体" w:hint="default"/>
                <w:sz w:val="18"/>
                <w:szCs w:val="18"/>
              </w:rPr>
              <w:t>闲 置 募 集 资 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01</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22</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103" w:right="266"/>
              <w:jc w:val="left"/>
              <w:rPr>
                <w:rFonts w:ascii="宋体" w:hAnsi="宋体" w:cs="宋体" w:eastAsia="宋体" w:hint="default"/>
                <w:sz w:val="18"/>
                <w:szCs w:val="18"/>
              </w:rPr>
            </w:pPr>
            <w:r>
              <w:rPr>
                <w:rFonts w:ascii="宋体" w:hAnsi="宋体" w:cs="宋体" w:eastAsia="宋体" w:hint="default"/>
                <w:sz w:val="18"/>
                <w:szCs w:val="18"/>
              </w:rPr>
              <w:t>投 资</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103" w:right="265"/>
              <w:jc w:val="both"/>
              <w:rPr>
                <w:rFonts w:ascii="宋体" w:hAnsi="宋体" w:cs="宋体" w:eastAsia="宋体" w:hint="default"/>
                <w:sz w:val="18"/>
                <w:szCs w:val="18"/>
              </w:rPr>
            </w:pPr>
            <w:r>
              <w:rPr>
                <w:rFonts w:ascii="宋体" w:hAnsi="宋体" w:cs="宋体" w:eastAsia="宋体" w:hint="default"/>
                <w:sz w:val="18"/>
                <w:szCs w:val="18"/>
              </w:rPr>
              <w:t>年 化 收 益 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3.30</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86.7</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86.7</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86.7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102" w:right="252"/>
              <w:jc w:val="both"/>
              <w:rPr>
                <w:rFonts w:ascii="宋体" w:hAnsi="宋体" w:cs="宋体" w:eastAsia="宋体" w:hint="default"/>
                <w:sz w:val="18"/>
                <w:szCs w:val="18"/>
              </w:rPr>
            </w:pPr>
            <w:r>
              <w:rPr>
                <w:rFonts w:ascii="宋体" w:hAnsi="宋体" w:cs="宋体" w:eastAsia="宋体" w:hint="default"/>
                <w:sz w:val="18"/>
                <w:szCs w:val="18"/>
              </w:rPr>
              <w:t>不 适 用</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3" w:right="0"/>
              <w:jc w:val="both"/>
              <w:rPr>
                <w:rFonts w:ascii="Times New Roman" w:hAnsi="Times New Roman" w:cs="Times New Roman" w:eastAsia="Times New Roman" w:hint="default"/>
                <w:sz w:val="18"/>
                <w:szCs w:val="18"/>
              </w:rPr>
            </w:pPr>
            <w:r>
              <w:rPr>
                <w:rFonts w:ascii="Times New Roman"/>
                <w:sz w:val="18"/>
              </w:rPr>
              <w:t>http</w:t>
            </w:r>
          </w:p>
          <w:p>
            <w:pPr>
              <w:pStyle w:val="TableParagraph"/>
              <w:spacing w:line="362" w:lineRule="auto" w:before="105"/>
              <w:ind w:left="103" w:right="113"/>
              <w:jc w:val="both"/>
              <w:rPr>
                <w:rFonts w:ascii="Times New Roman" w:hAnsi="Times New Roman" w:cs="Times New Roman" w:eastAsia="Times New Roman" w:hint="default"/>
                <w:sz w:val="18"/>
                <w:szCs w:val="18"/>
              </w:rPr>
            </w:pPr>
            <w:r>
              <w:rPr>
                <w:rFonts w:ascii="Times New Roman"/>
                <w:sz w:val="18"/>
              </w:rPr>
              <w:t>://w</w:t>
            </w:r>
            <w:r>
              <w:rPr>
                <w:rFonts w:ascii="Times New Roman"/>
                <w:w w:val="99"/>
                <w:sz w:val="18"/>
              </w:rPr>
              <w:t> </w:t>
            </w:r>
            <w:r>
              <w:rPr>
                <w:rFonts w:ascii="Times New Roman"/>
                <w:spacing w:val="-5"/>
                <w:sz w:val="18"/>
              </w:rPr>
              <w:t>ww.</w:t>
            </w:r>
            <w:r>
              <w:rPr>
                <w:rFonts w:ascii="Times New Roman"/>
                <w:sz w:val="18"/>
              </w:rPr>
              <w:t> cnin fo.c om. cn/</w:t>
            </w:r>
          </w:p>
        </w:tc>
      </w:tr>
    </w:tbl>
    <w:p>
      <w:pPr>
        <w:spacing w:after="0" w:line="362" w:lineRule="auto"/>
        <w:jc w:val="both"/>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348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76"/>
              <w:jc w:val="both"/>
              <w:rPr>
                <w:rFonts w:ascii="宋体" w:hAnsi="宋体" w:cs="宋体" w:eastAsia="宋体" w:hint="default"/>
                <w:sz w:val="18"/>
                <w:szCs w:val="18"/>
              </w:rPr>
            </w:pPr>
            <w:r>
              <w:rPr>
                <w:rFonts w:ascii="宋体" w:hAnsi="宋体" w:cs="宋体" w:eastAsia="宋体" w:hint="default"/>
                <w:sz w:val="18"/>
                <w:szCs w:val="18"/>
              </w:rPr>
              <w:t>公 司 中 山 火 炬 开 发 区 支 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601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6"/>
              <w:jc w:val="both"/>
              <w:rPr>
                <w:rFonts w:ascii="宋体" w:hAnsi="宋体" w:cs="宋体" w:eastAsia="宋体" w:hint="default"/>
                <w:sz w:val="18"/>
                <w:szCs w:val="18"/>
              </w:rPr>
            </w:pPr>
            <w:r>
              <w:rPr>
                <w:rFonts w:ascii="宋体" w:hAnsi="宋体" w:cs="宋体" w:eastAsia="宋体" w:hint="default"/>
                <w:sz w:val="18"/>
                <w:szCs w:val="18"/>
              </w:rPr>
              <w:t>中 国 银 行 股 份 有 限 公 司 中 山 火 炬 开 发 区 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4"/>
              <w:ind w:left="101" w:right="132"/>
              <w:jc w:val="both"/>
              <w:rPr>
                <w:rFonts w:ascii="宋体" w:hAnsi="宋体" w:cs="宋体" w:eastAsia="宋体" w:hint="default"/>
                <w:sz w:val="18"/>
                <w:szCs w:val="18"/>
              </w:rPr>
            </w:pPr>
            <w:r>
              <w:rPr>
                <w:rFonts w:ascii="宋体" w:hAnsi="宋体" w:cs="宋体" w:eastAsia="宋体" w:hint="default"/>
                <w:sz w:val="18"/>
                <w:szCs w:val="18"/>
              </w:rPr>
              <w:t>保本 保证 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2,00</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103" w:right="265"/>
              <w:jc w:val="both"/>
              <w:rPr>
                <w:rFonts w:ascii="宋体" w:hAnsi="宋体" w:cs="宋体" w:eastAsia="宋体" w:hint="default"/>
                <w:sz w:val="18"/>
                <w:szCs w:val="18"/>
              </w:rPr>
            </w:pPr>
            <w:r>
              <w:rPr>
                <w:rFonts w:ascii="宋体" w:hAnsi="宋体" w:cs="宋体" w:eastAsia="宋体" w:hint="default"/>
                <w:sz w:val="18"/>
                <w:szCs w:val="18"/>
              </w:rPr>
              <w:t>闲 置 募 集 资 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01</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22</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07</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24</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103" w:right="266"/>
              <w:jc w:val="left"/>
              <w:rPr>
                <w:rFonts w:ascii="宋体" w:hAnsi="宋体" w:cs="宋体" w:eastAsia="宋体" w:hint="default"/>
                <w:sz w:val="18"/>
                <w:szCs w:val="18"/>
              </w:rPr>
            </w:pPr>
            <w:r>
              <w:rPr>
                <w:rFonts w:ascii="宋体" w:hAnsi="宋体" w:cs="宋体" w:eastAsia="宋体" w:hint="default"/>
                <w:sz w:val="18"/>
                <w:szCs w:val="18"/>
              </w:rPr>
              <w:t>投 资</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103" w:right="265"/>
              <w:jc w:val="both"/>
              <w:rPr>
                <w:rFonts w:ascii="宋体" w:hAnsi="宋体" w:cs="宋体" w:eastAsia="宋体" w:hint="default"/>
                <w:sz w:val="18"/>
                <w:szCs w:val="18"/>
              </w:rPr>
            </w:pPr>
            <w:r>
              <w:rPr>
                <w:rFonts w:ascii="宋体" w:hAnsi="宋体" w:cs="宋体" w:eastAsia="宋体" w:hint="default"/>
                <w:sz w:val="18"/>
                <w:szCs w:val="18"/>
              </w:rPr>
              <w:t>年 化 收 益 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3.20</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32.0</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32.0</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32.0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102" w:right="252"/>
              <w:jc w:val="both"/>
              <w:rPr>
                <w:rFonts w:ascii="宋体" w:hAnsi="宋体" w:cs="宋体" w:eastAsia="宋体" w:hint="default"/>
                <w:sz w:val="18"/>
                <w:szCs w:val="18"/>
              </w:rPr>
            </w:pPr>
            <w:r>
              <w:rPr>
                <w:rFonts w:ascii="宋体" w:hAnsi="宋体" w:cs="宋体" w:eastAsia="宋体" w:hint="default"/>
                <w:sz w:val="18"/>
                <w:szCs w:val="18"/>
              </w:rPr>
              <w:t>不 适 用</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both"/>
              <w:rPr>
                <w:rFonts w:ascii="Times New Roman" w:hAnsi="Times New Roman" w:cs="Times New Roman" w:eastAsia="Times New Roman" w:hint="default"/>
                <w:sz w:val="18"/>
                <w:szCs w:val="18"/>
              </w:rPr>
            </w:pPr>
            <w:r>
              <w:rPr>
                <w:rFonts w:ascii="Times New Roman"/>
                <w:sz w:val="18"/>
              </w:rPr>
              <w:t>http</w:t>
            </w:r>
          </w:p>
          <w:p>
            <w:pPr>
              <w:pStyle w:val="TableParagraph"/>
              <w:spacing w:line="362" w:lineRule="auto" w:before="104"/>
              <w:ind w:left="103" w:right="113"/>
              <w:jc w:val="both"/>
              <w:rPr>
                <w:rFonts w:ascii="Times New Roman" w:hAnsi="Times New Roman" w:cs="Times New Roman" w:eastAsia="Times New Roman" w:hint="default"/>
                <w:sz w:val="18"/>
                <w:szCs w:val="18"/>
              </w:rPr>
            </w:pPr>
            <w:r>
              <w:rPr>
                <w:rFonts w:ascii="Times New Roman"/>
                <w:sz w:val="18"/>
              </w:rPr>
              <w:t>://w</w:t>
            </w:r>
            <w:r>
              <w:rPr>
                <w:rFonts w:ascii="Times New Roman"/>
                <w:w w:val="99"/>
                <w:sz w:val="18"/>
              </w:rPr>
              <w:t> </w:t>
            </w:r>
            <w:r>
              <w:rPr>
                <w:rFonts w:ascii="Times New Roman"/>
                <w:spacing w:val="-5"/>
                <w:sz w:val="18"/>
              </w:rPr>
              <w:t>ww.</w:t>
            </w:r>
            <w:r>
              <w:rPr>
                <w:rFonts w:ascii="Times New Roman"/>
                <w:sz w:val="18"/>
              </w:rPr>
              <w:t> cnin fo.c om. cn/</w:t>
            </w:r>
          </w:p>
        </w:tc>
      </w:tr>
      <w:tr>
        <w:trPr>
          <w:trHeight w:val="414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6"/>
              <w:jc w:val="both"/>
              <w:rPr>
                <w:rFonts w:ascii="宋体" w:hAnsi="宋体" w:cs="宋体" w:eastAsia="宋体" w:hint="default"/>
                <w:sz w:val="18"/>
                <w:szCs w:val="18"/>
              </w:rPr>
            </w:pPr>
            <w:r>
              <w:rPr>
                <w:rFonts w:ascii="宋体" w:hAnsi="宋体" w:cs="宋体" w:eastAsia="宋体" w:hint="default"/>
                <w:sz w:val="18"/>
                <w:szCs w:val="18"/>
              </w:rPr>
              <w:t>中 国 建 设 银 行 中 山 市 民 众 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1" w:right="132"/>
              <w:jc w:val="both"/>
              <w:rPr>
                <w:rFonts w:ascii="宋体" w:hAnsi="宋体" w:cs="宋体" w:eastAsia="宋体" w:hint="default"/>
                <w:sz w:val="18"/>
                <w:szCs w:val="18"/>
              </w:rPr>
            </w:pPr>
            <w:r>
              <w:rPr>
                <w:rFonts w:ascii="宋体" w:hAnsi="宋体" w:cs="宋体" w:eastAsia="宋体" w:hint="default"/>
                <w:sz w:val="18"/>
                <w:szCs w:val="18"/>
              </w:rPr>
              <w:t>保本 浮动 收益 型， 开放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240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3" w:right="265"/>
              <w:jc w:val="both"/>
              <w:rPr>
                <w:rFonts w:ascii="宋体" w:hAnsi="宋体" w:cs="宋体" w:eastAsia="宋体" w:hint="default"/>
                <w:sz w:val="18"/>
                <w:szCs w:val="18"/>
              </w:rPr>
            </w:pPr>
            <w:r>
              <w:rPr>
                <w:rFonts w:ascii="宋体" w:hAnsi="宋体" w:cs="宋体" w:eastAsia="宋体" w:hint="default"/>
                <w:sz w:val="18"/>
                <w:szCs w:val="18"/>
              </w:rPr>
              <w:t>闲 置 自 有 资 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01</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06</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03</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22</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103" w:right="266"/>
              <w:jc w:val="left"/>
              <w:rPr>
                <w:rFonts w:ascii="宋体" w:hAnsi="宋体" w:cs="宋体" w:eastAsia="宋体" w:hint="default"/>
                <w:sz w:val="18"/>
                <w:szCs w:val="18"/>
              </w:rPr>
            </w:pPr>
            <w:r>
              <w:rPr>
                <w:rFonts w:ascii="宋体" w:hAnsi="宋体" w:cs="宋体" w:eastAsia="宋体" w:hint="default"/>
                <w:sz w:val="18"/>
                <w:szCs w:val="18"/>
              </w:rPr>
              <w:t>投 资</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103" w:right="265"/>
              <w:jc w:val="both"/>
              <w:rPr>
                <w:rFonts w:ascii="宋体" w:hAnsi="宋体" w:cs="宋体" w:eastAsia="宋体" w:hint="default"/>
                <w:sz w:val="18"/>
                <w:szCs w:val="18"/>
              </w:rPr>
            </w:pPr>
            <w:r>
              <w:rPr>
                <w:rFonts w:ascii="宋体" w:hAnsi="宋体" w:cs="宋体" w:eastAsia="宋体" w:hint="default"/>
                <w:sz w:val="18"/>
                <w:szCs w:val="18"/>
              </w:rPr>
              <w:t>年 化 收 益 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32" w:right="0"/>
              <w:jc w:val="center"/>
              <w:rPr>
                <w:rFonts w:ascii="Times New Roman" w:hAnsi="Times New Roman" w:cs="Times New Roman" w:eastAsia="Times New Roman" w:hint="default"/>
                <w:sz w:val="18"/>
                <w:szCs w:val="18"/>
              </w:rPr>
            </w:pPr>
            <w:r>
              <w:rPr>
                <w:rFonts w:ascii="Times New Roman"/>
                <w:sz w:val="18"/>
              </w:rPr>
              <w:t>2.14</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1.07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1.07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1.07</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102" w:right="252"/>
              <w:jc w:val="both"/>
              <w:rPr>
                <w:rFonts w:ascii="宋体" w:hAnsi="宋体" w:cs="宋体" w:eastAsia="宋体" w:hint="default"/>
                <w:sz w:val="18"/>
                <w:szCs w:val="18"/>
              </w:rPr>
            </w:pPr>
            <w:r>
              <w:rPr>
                <w:rFonts w:ascii="宋体" w:hAnsi="宋体" w:cs="宋体" w:eastAsia="宋体" w:hint="default"/>
                <w:sz w:val="18"/>
                <w:szCs w:val="18"/>
              </w:rPr>
              <w:t>不 适 用</w:t>
            </w:r>
          </w:p>
        </w:tc>
        <w:tc>
          <w:tcPr>
            <w:tcW w:w="5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445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76"/>
              <w:jc w:val="both"/>
              <w:rPr>
                <w:rFonts w:ascii="宋体" w:hAnsi="宋体" w:cs="宋体" w:eastAsia="宋体" w:hint="default"/>
                <w:sz w:val="18"/>
                <w:szCs w:val="18"/>
              </w:rPr>
            </w:pPr>
            <w:r>
              <w:rPr>
                <w:rFonts w:ascii="宋体" w:hAnsi="宋体" w:cs="宋体" w:eastAsia="宋体" w:hint="default"/>
                <w:sz w:val="18"/>
                <w:szCs w:val="18"/>
              </w:rPr>
              <w:t>招 商 银 行 股 份 有 限 公 司 中 山 分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2"/>
              <w:ind w:left="101" w:right="132"/>
              <w:jc w:val="both"/>
              <w:rPr>
                <w:rFonts w:ascii="宋体" w:hAnsi="宋体" w:cs="宋体" w:eastAsia="宋体" w:hint="default"/>
                <w:sz w:val="18"/>
                <w:szCs w:val="18"/>
              </w:rPr>
            </w:pPr>
            <w:r>
              <w:rPr>
                <w:rFonts w:ascii="宋体" w:hAnsi="宋体" w:cs="宋体" w:eastAsia="宋体" w:hint="default"/>
                <w:sz w:val="18"/>
                <w:szCs w:val="18"/>
              </w:rPr>
              <w:t>高收 益存 款</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2,70</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9" w:lineRule="auto"/>
              <w:ind w:left="103" w:right="265"/>
              <w:jc w:val="both"/>
              <w:rPr>
                <w:rFonts w:ascii="宋体" w:hAnsi="宋体" w:cs="宋体" w:eastAsia="宋体" w:hint="default"/>
                <w:sz w:val="18"/>
                <w:szCs w:val="18"/>
              </w:rPr>
            </w:pPr>
            <w:r>
              <w:rPr>
                <w:rFonts w:ascii="宋体" w:hAnsi="宋体" w:cs="宋体" w:eastAsia="宋体" w:hint="default"/>
                <w:sz w:val="18"/>
                <w:szCs w:val="18"/>
              </w:rPr>
              <w:t>闲 置 募 集 资 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9" w:lineRule="auto"/>
              <w:ind w:left="103" w:right="266"/>
              <w:jc w:val="left"/>
              <w:rPr>
                <w:rFonts w:ascii="宋体" w:hAnsi="宋体" w:cs="宋体" w:eastAsia="宋体" w:hint="default"/>
                <w:sz w:val="18"/>
                <w:szCs w:val="18"/>
              </w:rPr>
            </w:pPr>
            <w:r>
              <w:rPr>
                <w:rFonts w:ascii="宋体" w:hAnsi="宋体" w:cs="宋体" w:eastAsia="宋体" w:hint="default"/>
                <w:sz w:val="18"/>
                <w:szCs w:val="18"/>
              </w:rPr>
              <w:t>投 资</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9" w:lineRule="auto"/>
              <w:ind w:left="103" w:right="265"/>
              <w:jc w:val="both"/>
              <w:rPr>
                <w:rFonts w:ascii="宋体" w:hAnsi="宋体" w:cs="宋体" w:eastAsia="宋体" w:hint="default"/>
                <w:sz w:val="18"/>
                <w:szCs w:val="18"/>
              </w:rPr>
            </w:pPr>
            <w:r>
              <w:rPr>
                <w:rFonts w:ascii="宋体" w:hAnsi="宋体" w:cs="宋体" w:eastAsia="宋体" w:hint="default"/>
                <w:sz w:val="18"/>
                <w:szCs w:val="18"/>
              </w:rPr>
              <w:t>年 化 收 益 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4.10</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27.9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27.9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27.9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2"/>
              <w:ind w:left="102" w:right="252"/>
              <w:jc w:val="both"/>
              <w:rPr>
                <w:rFonts w:ascii="宋体" w:hAnsi="宋体" w:cs="宋体" w:eastAsia="宋体" w:hint="default"/>
                <w:sz w:val="18"/>
                <w:szCs w:val="18"/>
              </w:rPr>
            </w:pPr>
            <w:r>
              <w:rPr>
                <w:rFonts w:ascii="宋体" w:hAnsi="宋体" w:cs="宋体" w:eastAsia="宋体" w:hint="default"/>
                <w:sz w:val="18"/>
                <w:szCs w:val="18"/>
              </w:rPr>
              <w:t>不 适 用</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03" w:right="0"/>
              <w:jc w:val="both"/>
              <w:rPr>
                <w:rFonts w:ascii="Times New Roman" w:hAnsi="Times New Roman" w:cs="Times New Roman" w:eastAsia="Times New Roman" w:hint="default"/>
                <w:sz w:val="18"/>
                <w:szCs w:val="18"/>
              </w:rPr>
            </w:pPr>
            <w:r>
              <w:rPr>
                <w:rFonts w:ascii="Times New Roman"/>
                <w:sz w:val="18"/>
              </w:rPr>
              <w:t>http</w:t>
            </w:r>
          </w:p>
          <w:p>
            <w:pPr>
              <w:pStyle w:val="TableParagraph"/>
              <w:spacing w:line="362" w:lineRule="auto" w:before="105"/>
              <w:ind w:left="103" w:right="113"/>
              <w:jc w:val="both"/>
              <w:rPr>
                <w:rFonts w:ascii="Times New Roman" w:hAnsi="Times New Roman" w:cs="Times New Roman" w:eastAsia="Times New Roman" w:hint="default"/>
                <w:sz w:val="18"/>
                <w:szCs w:val="18"/>
              </w:rPr>
            </w:pPr>
            <w:r>
              <w:rPr>
                <w:rFonts w:ascii="Times New Roman"/>
                <w:sz w:val="18"/>
              </w:rPr>
              <w:t>://w</w:t>
            </w:r>
            <w:r>
              <w:rPr>
                <w:rFonts w:ascii="Times New Roman"/>
                <w:w w:val="99"/>
                <w:sz w:val="18"/>
              </w:rPr>
              <w:t> </w:t>
            </w:r>
            <w:r>
              <w:rPr>
                <w:rFonts w:ascii="Times New Roman"/>
                <w:spacing w:val="-5"/>
                <w:sz w:val="18"/>
              </w:rPr>
              <w:t>ww.</w:t>
            </w:r>
            <w:r>
              <w:rPr>
                <w:rFonts w:ascii="Times New Roman"/>
                <w:sz w:val="18"/>
              </w:rPr>
              <w:t> cnin fo.c om. cn/</w:t>
            </w:r>
          </w:p>
        </w:tc>
      </w:tr>
      <w:tr>
        <w:trPr>
          <w:trHeight w:val="570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6"/>
              <w:jc w:val="both"/>
              <w:rPr>
                <w:rFonts w:ascii="宋体" w:hAnsi="宋体" w:cs="宋体" w:eastAsia="宋体" w:hint="default"/>
                <w:sz w:val="18"/>
                <w:szCs w:val="18"/>
              </w:rPr>
            </w:pPr>
            <w:r>
              <w:rPr>
                <w:rFonts w:ascii="宋体" w:hAnsi="宋体" w:cs="宋体" w:eastAsia="宋体" w:hint="default"/>
                <w:sz w:val="18"/>
                <w:szCs w:val="18"/>
              </w:rPr>
              <w:t>中 国 工 商 银 行 股 份 有 限 公 司 中 山 民 众 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101" w:right="132"/>
              <w:jc w:val="both"/>
              <w:rPr>
                <w:rFonts w:ascii="宋体" w:hAnsi="宋体" w:cs="宋体" w:eastAsia="宋体" w:hint="default"/>
                <w:sz w:val="18"/>
                <w:szCs w:val="18"/>
              </w:rPr>
            </w:pPr>
            <w:r>
              <w:rPr>
                <w:rFonts w:ascii="宋体" w:hAnsi="宋体" w:cs="宋体" w:eastAsia="宋体" w:hint="default"/>
                <w:sz w:val="18"/>
                <w:szCs w:val="18"/>
              </w:rPr>
              <w:t>保本 浮动 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46" w:right="0"/>
              <w:jc w:val="left"/>
              <w:rPr>
                <w:rFonts w:ascii="Times New Roman" w:hAnsi="Times New Roman" w:cs="Times New Roman" w:eastAsia="Times New Roman" w:hint="default"/>
                <w:sz w:val="18"/>
                <w:szCs w:val="18"/>
              </w:rPr>
            </w:pPr>
            <w:r>
              <w:rPr>
                <w:rFonts w:ascii="Times New Roman"/>
                <w:sz w:val="18"/>
              </w:rPr>
              <w:t>2,50</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9" w:lineRule="auto"/>
              <w:ind w:left="103" w:right="265"/>
              <w:jc w:val="both"/>
              <w:rPr>
                <w:rFonts w:ascii="宋体" w:hAnsi="宋体" w:cs="宋体" w:eastAsia="宋体" w:hint="default"/>
                <w:sz w:val="18"/>
                <w:szCs w:val="18"/>
              </w:rPr>
            </w:pPr>
            <w:r>
              <w:rPr>
                <w:rFonts w:ascii="宋体" w:hAnsi="宋体" w:cs="宋体" w:eastAsia="宋体" w:hint="default"/>
                <w:sz w:val="18"/>
                <w:szCs w:val="18"/>
              </w:rPr>
              <w:t>闲 置 募 集 资 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9" w:lineRule="auto"/>
              <w:ind w:left="103" w:right="266"/>
              <w:jc w:val="left"/>
              <w:rPr>
                <w:rFonts w:ascii="宋体" w:hAnsi="宋体" w:cs="宋体" w:eastAsia="宋体" w:hint="default"/>
                <w:sz w:val="18"/>
                <w:szCs w:val="18"/>
              </w:rPr>
            </w:pPr>
            <w:r>
              <w:rPr>
                <w:rFonts w:ascii="宋体" w:hAnsi="宋体" w:cs="宋体" w:eastAsia="宋体" w:hint="default"/>
                <w:sz w:val="18"/>
                <w:szCs w:val="18"/>
              </w:rPr>
              <w:t>投 资</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9" w:lineRule="auto"/>
              <w:ind w:left="103" w:right="265"/>
              <w:jc w:val="both"/>
              <w:rPr>
                <w:rFonts w:ascii="宋体" w:hAnsi="宋体" w:cs="宋体" w:eastAsia="宋体" w:hint="default"/>
                <w:sz w:val="18"/>
                <w:szCs w:val="18"/>
              </w:rPr>
            </w:pPr>
            <w:r>
              <w:rPr>
                <w:rFonts w:ascii="宋体" w:hAnsi="宋体" w:cs="宋体" w:eastAsia="宋体" w:hint="default"/>
                <w:sz w:val="18"/>
                <w:szCs w:val="18"/>
              </w:rPr>
              <w:t>年 化 收 益 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32" w:right="0"/>
              <w:jc w:val="center"/>
              <w:rPr>
                <w:rFonts w:ascii="Times New Roman" w:hAnsi="Times New Roman" w:cs="Times New Roman" w:eastAsia="Times New Roman" w:hint="default"/>
                <w:sz w:val="18"/>
                <w:szCs w:val="18"/>
              </w:rPr>
            </w:pPr>
            <w:r>
              <w:rPr>
                <w:rFonts w:ascii="Times New Roman"/>
                <w:sz w:val="18"/>
              </w:rPr>
              <w:t>4.60</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34" w:right="0"/>
              <w:jc w:val="left"/>
              <w:rPr>
                <w:rFonts w:ascii="Times New Roman" w:hAnsi="Times New Roman" w:cs="Times New Roman" w:eastAsia="Times New Roman" w:hint="default"/>
                <w:sz w:val="18"/>
                <w:szCs w:val="18"/>
              </w:rPr>
            </w:pPr>
            <w:r>
              <w:rPr>
                <w:rFonts w:ascii="Times New Roman"/>
                <w:sz w:val="18"/>
              </w:rPr>
              <w:t>28.6</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34" w:right="0"/>
              <w:jc w:val="left"/>
              <w:rPr>
                <w:rFonts w:ascii="Times New Roman" w:hAnsi="Times New Roman" w:cs="Times New Roman" w:eastAsia="Times New Roman" w:hint="default"/>
                <w:sz w:val="18"/>
                <w:szCs w:val="18"/>
              </w:rPr>
            </w:pPr>
            <w:r>
              <w:rPr>
                <w:rFonts w:ascii="Times New Roman"/>
                <w:sz w:val="18"/>
              </w:rPr>
              <w:t>28.6</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28.6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102" w:right="252"/>
              <w:jc w:val="both"/>
              <w:rPr>
                <w:rFonts w:ascii="宋体" w:hAnsi="宋体" w:cs="宋体" w:eastAsia="宋体" w:hint="default"/>
                <w:sz w:val="18"/>
                <w:szCs w:val="18"/>
              </w:rPr>
            </w:pPr>
            <w:r>
              <w:rPr>
                <w:rFonts w:ascii="宋体" w:hAnsi="宋体" w:cs="宋体" w:eastAsia="宋体" w:hint="default"/>
                <w:sz w:val="18"/>
                <w:szCs w:val="18"/>
              </w:rPr>
              <w:t>不 适 用</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03" w:right="0"/>
              <w:jc w:val="both"/>
              <w:rPr>
                <w:rFonts w:ascii="Times New Roman" w:hAnsi="Times New Roman" w:cs="Times New Roman" w:eastAsia="Times New Roman" w:hint="default"/>
                <w:sz w:val="18"/>
                <w:szCs w:val="18"/>
              </w:rPr>
            </w:pPr>
            <w:r>
              <w:rPr>
                <w:rFonts w:ascii="Times New Roman"/>
                <w:sz w:val="18"/>
              </w:rPr>
              <w:t>http</w:t>
            </w:r>
          </w:p>
          <w:p>
            <w:pPr>
              <w:pStyle w:val="TableParagraph"/>
              <w:spacing w:line="362" w:lineRule="auto" w:before="105"/>
              <w:ind w:left="103" w:right="113"/>
              <w:jc w:val="both"/>
              <w:rPr>
                <w:rFonts w:ascii="Times New Roman" w:hAnsi="Times New Roman" w:cs="Times New Roman" w:eastAsia="Times New Roman" w:hint="default"/>
                <w:sz w:val="18"/>
                <w:szCs w:val="18"/>
              </w:rPr>
            </w:pPr>
            <w:r>
              <w:rPr>
                <w:rFonts w:ascii="Times New Roman"/>
                <w:sz w:val="18"/>
              </w:rPr>
              <w:t>://w</w:t>
            </w:r>
            <w:r>
              <w:rPr>
                <w:rFonts w:ascii="Times New Roman"/>
                <w:w w:val="99"/>
                <w:sz w:val="18"/>
              </w:rPr>
              <w:t> </w:t>
            </w:r>
            <w:r>
              <w:rPr>
                <w:rFonts w:ascii="Times New Roman"/>
                <w:spacing w:val="-5"/>
                <w:sz w:val="18"/>
              </w:rPr>
              <w:t>ww.</w:t>
            </w:r>
            <w:r>
              <w:rPr>
                <w:rFonts w:ascii="Times New Roman"/>
                <w:sz w:val="18"/>
              </w:rPr>
              <w:t> cnin fo.c om. cn/</w:t>
            </w:r>
          </w:p>
        </w:tc>
      </w:tr>
      <w:tr>
        <w:trPr>
          <w:trHeight w:val="348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6"/>
              <w:jc w:val="both"/>
              <w:rPr>
                <w:rFonts w:ascii="宋体" w:hAnsi="宋体" w:cs="宋体" w:eastAsia="宋体" w:hint="default"/>
                <w:sz w:val="18"/>
                <w:szCs w:val="18"/>
              </w:rPr>
            </w:pPr>
            <w:r>
              <w:rPr>
                <w:rFonts w:ascii="宋体" w:hAnsi="宋体" w:cs="宋体" w:eastAsia="宋体" w:hint="default"/>
                <w:sz w:val="18"/>
                <w:szCs w:val="18"/>
              </w:rPr>
              <w:t>中 国 工 商 银 行 股 份 有 限 公</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12"/>
              <w:jc w:val="center"/>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101" w:right="132"/>
              <w:jc w:val="both"/>
              <w:rPr>
                <w:rFonts w:ascii="宋体" w:hAnsi="宋体" w:cs="宋体" w:eastAsia="宋体" w:hint="default"/>
                <w:sz w:val="18"/>
                <w:szCs w:val="18"/>
              </w:rPr>
            </w:pPr>
            <w:r>
              <w:rPr>
                <w:rFonts w:ascii="宋体" w:hAnsi="宋体" w:cs="宋体" w:eastAsia="宋体" w:hint="default"/>
                <w:sz w:val="18"/>
                <w:szCs w:val="18"/>
              </w:rPr>
              <w:t>保本 浮动 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16" w:lineRule="auto"/>
              <w:ind w:left="103" w:right="265"/>
              <w:jc w:val="both"/>
              <w:rPr>
                <w:rFonts w:ascii="宋体" w:hAnsi="宋体" w:cs="宋体" w:eastAsia="宋体" w:hint="default"/>
                <w:sz w:val="18"/>
                <w:szCs w:val="18"/>
              </w:rPr>
            </w:pPr>
            <w:r>
              <w:rPr>
                <w:rFonts w:ascii="宋体" w:hAnsi="宋体" w:cs="宋体" w:eastAsia="宋体" w:hint="default"/>
                <w:sz w:val="18"/>
                <w:szCs w:val="18"/>
              </w:rPr>
              <w:t>闲 置 募 集 资 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67"/>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67"/>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16" w:lineRule="auto"/>
              <w:ind w:left="103" w:right="266"/>
              <w:jc w:val="left"/>
              <w:rPr>
                <w:rFonts w:ascii="宋体" w:hAnsi="宋体" w:cs="宋体" w:eastAsia="宋体" w:hint="default"/>
                <w:sz w:val="18"/>
                <w:szCs w:val="18"/>
              </w:rPr>
            </w:pPr>
            <w:r>
              <w:rPr>
                <w:rFonts w:ascii="宋体" w:hAnsi="宋体" w:cs="宋体" w:eastAsia="宋体" w:hint="default"/>
                <w:sz w:val="18"/>
                <w:szCs w:val="18"/>
              </w:rPr>
              <w:t>投 资</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0"/>
              <w:ind w:left="103" w:right="265"/>
              <w:jc w:val="both"/>
              <w:rPr>
                <w:rFonts w:ascii="宋体" w:hAnsi="宋体" w:cs="宋体" w:eastAsia="宋体" w:hint="default"/>
                <w:sz w:val="18"/>
                <w:szCs w:val="18"/>
              </w:rPr>
            </w:pPr>
            <w:r>
              <w:rPr>
                <w:rFonts w:ascii="宋体" w:hAnsi="宋体" w:cs="宋体" w:eastAsia="宋体" w:hint="default"/>
                <w:sz w:val="18"/>
                <w:szCs w:val="18"/>
              </w:rPr>
              <w:t>年 化 收 益 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4.60</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5.73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5.73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5.73</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6" w:lineRule="auto"/>
              <w:ind w:left="102" w:right="252"/>
              <w:jc w:val="both"/>
              <w:rPr>
                <w:rFonts w:ascii="宋体" w:hAnsi="宋体" w:cs="宋体" w:eastAsia="宋体" w:hint="default"/>
                <w:sz w:val="18"/>
                <w:szCs w:val="18"/>
              </w:rPr>
            </w:pPr>
            <w:r>
              <w:rPr>
                <w:rFonts w:ascii="宋体" w:hAnsi="宋体" w:cs="宋体" w:eastAsia="宋体" w:hint="default"/>
                <w:sz w:val="18"/>
                <w:szCs w:val="18"/>
              </w:rPr>
              <w:t>不 适 用</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both"/>
              <w:rPr>
                <w:rFonts w:ascii="Times New Roman" w:hAnsi="Times New Roman" w:cs="Times New Roman" w:eastAsia="Times New Roman" w:hint="default"/>
                <w:sz w:val="18"/>
                <w:szCs w:val="18"/>
              </w:rPr>
            </w:pPr>
            <w:r>
              <w:rPr>
                <w:rFonts w:ascii="Times New Roman"/>
                <w:sz w:val="18"/>
              </w:rPr>
              <w:t>http</w:t>
            </w:r>
          </w:p>
          <w:p>
            <w:pPr>
              <w:pStyle w:val="TableParagraph"/>
              <w:spacing w:line="362" w:lineRule="auto" w:before="104"/>
              <w:ind w:left="103" w:right="113"/>
              <w:jc w:val="both"/>
              <w:rPr>
                <w:rFonts w:ascii="Times New Roman" w:hAnsi="Times New Roman" w:cs="Times New Roman" w:eastAsia="Times New Roman" w:hint="default"/>
                <w:sz w:val="18"/>
                <w:szCs w:val="18"/>
              </w:rPr>
            </w:pPr>
            <w:r>
              <w:rPr>
                <w:rFonts w:ascii="Times New Roman"/>
                <w:sz w:val="18"/>
              </w:rPr>
              <w:t>://w</w:t>
            </w:r>
            <w:r>
              <w:rPr>
                <w:rFonts w:ascii="Times New Roman"/>
                <w:w w:val="99"/>
                <w:sz w:val="18"/>
              </w:rPr>
              <w:t> </w:t>
            </w:r>
            <w:r>
              <w:rPr>
                <w:rFonts w:ascii="Times New Roman"/>
                <w:spacing w:val="-5"/>
                <w:sz w:val="18"/>
              </w:rPr>
              <w:t>ww.</w:t>
            </w:r>
            <w:r>
              <w:rPr>
                <w:rFonts w:ascii="Times New Roman"/>
                <w:sz w:val="18"/>
              </w:rPr>
              <w:t> cnin fo.c om. cn/</w:t>
            </w:r>
          </w:p>
        </w:tc>
      </w:tr>
    </w:tbl>
    <w:p>
      <w:pPr>
        <w:spacing w:after="0" w:line="362" w:lineRule="auto"/>
        <w:jc w:val="both"/>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223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76"/>
              <w:jc w:val="both"/>
              <w:rPr>
                <w:rFonts w:ascii="宋体" w:hAnsi="宋体" w:cs="宋体" w:eastAsia="宋体" w:hint="default"/>
                <w:sz w:val="18"/>
                <w:szCs w:val="18"/>
              </w:rPr>
            </w:pPr>
            <w:r>
              <w:rPr>
                <w:rFonts w:ascii="宋体" w:hAnsi="宋体" w:cs="宋体" w:eastAsia="宋体" w:hint="default"/>
                <w:sz w:val="18"/>
                <w:szCs w:val="18"/>
              </w:rPr>
              <w:t>司 中 山 民 众 支 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23,1</w:t>
            </w:r>
          </w:p>
          <w:p>
            <w:pPr>
              <w:pStyle w:val="TableParagraph"/>
              <w:spacing w:line="240" w:lineRule="auto" w:before="105"/>
              <w:ind w:left="176" w:right="0"/>
              <w:jc w:val="center"/>
              <w:rPr>
                <w:rFonts w:ascii="Times New Roman" w:hAnsi="Times New Roman" w:cs="Times New Roman" w:eastAsia="Times New Roman" w:hint="default"/>
                <w:sz w:val="18"/>
                <w:szCs w:val="18"/>
              </w:rPr>
            </w:pPr>
            <w:r>
              <w:rPr>
                <w:rFonts w:ascii="Times New Roman"/>
                <w:sz w:val="18"/>
              </w:rPr>
              <w:t>40</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474.</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98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226.</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17</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15"/>
        <w:jc w:val="left"/>
      </w:pPr>
      <w:r>
        <w:rPr/>
        <w:t>委托理财出现预期无法收回本金或存在其他可能导致减值的情形</w:t>
      </w:r>
    </w:p>
    <w:p>
      <w:pPr>
        <w:pStyle w:val="BodyText"/>
        <w:spacing w:line="240" w:lineRule="auto" w:before="117"/>
        <w:ind w:right="1015"/>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015"/>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 适用 √ 不适用 公司报告期不存在委托贷款。</w:t>
      </w:r>
    </w:p>
    <w:p>
      <w:pPr>
        <w:spacing w:line="240" w:lineRule="auto" w:before="13"/>
        <w:rPr>
          <w:rFonts w:ascii="宋体" w:hAnsi="宋体" w:cs="宋体" w:eastAsia="宋体" w:hint="default"/>
          <w:sz w:val="19"/>
          <w:szCs w:val="19"/>
        </w:rPr>
      </w:pPr>
    </w:p>
    <w:p>
      <w:pPr>
        <w:pStyle w:val="Heading3"/>
        <w:spacing w:line="240" w:lineRule="auto"/>
        <w:ind w:right="1015"/>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15"/>
        <w:jc w:val="left"/>
      </w:pPr>
      <w:r>
        <w:rPr/>
        <w:t>√ 适用 □ 不适用</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3210"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33" w:right="131"/>
              <w:jc w:val="both"/>
              <w:rPr>
                <w:rFonts w:ascii="宋体" w:hAnsi="宋体" w:cs="宋体" w:eastAsia="宋体" w:hint="default"/>
                <w:sz w:val="18"/>
                <w:szCs w:val="18"/>
              </w:rPr>
            </w:pPr>
            <w:r>
              <w:rPr>
                <w:rFonts w:ascii="宋体" w:hAnsi="宋体" w:cs="宋体" w:eastAsia="宋体" w:hint="default"/>
                <w:sz w:val="18"/>
                <w:szCs w:val="18"/>
              </w:rPr>
              <w:t>合同 订立 公司 方名 称</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34" w:right="133"/>
              <w:jc w:val="both"/>
              <w:rPr>
                <w:rFonts w:ascii="宋体" w:hAnsi="宋体" w:cs="宋体" w:eastAsia="宋体" w:hint="default"/>
                <w:sz w:val="18"/>
                <w:szCs w:val="18"/>
              </w:rPr>
            </w:pPr>
            <w:r>
              <w:rPr>
                <w:rFonts w:ascii="宋体" w:hAnsi="宋体" w:cs="宋体" w:eastAsia="宋体" w:hint="default"/>
                <w:sz w:val="18"/>
                <w:szCs w:val="18"/>
              </w:rPr>
              <w:t>合同 订立 对方 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33" w:right="133"/>
              <w:jc w:val="left"/>
              <w:rPr>
                <w:rFonts w:ascii="宋体" w:hAnsi="宋体" w:cs="宋体" w:eastAsia="宋体" w:hint="default"/>
                <w:sz w:val="18"/>
                <w:szCs w:val="18"/>
              </w:rPr>
            </w:pPr>
            <w:r>
              <w:rPr>
                <w:rFonts w:ascii="宋体" w:hAnsi="宋体" w:cs="宋体" w:eastAsia="宋体" w:hint="default"/>
                <w:sz w:val="18"/>
                <w:szCs w:val="18"/>
              </w:rPr>
              <w:t>合同 标的</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34" w:right="133"/>
              <w:jc w:val="both"/>
              <w:rPr>
                <w:rFonts w:ascii="宋体" w:hAnsi="宋体" w:cs="宋体" w:eastAsia="宋体" w:hint="default"/>
                <w:sz w:val="18"/>
                <w:szCs w:val="18"/>
              </w:rPr>
            </w:pPr>
            <w:r>
              <w:rPr>
                <w:rFonts w:ascii="宋体" w:hAnsi="宋体" w:cs="宋体" w:eastAsia="宋体" w:hint="default"/>
                <w:sz w:val="18"/>
                <w:szCs w:val="18"/>
              </w:rPr>
              <w:t>合同 签订 日期</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4" w:right="133"/>
              <w:jc w:val="both"/>
              <w:rPr>
                <w:rFonts w:ascii="宋体" w:hAnsi="宋体" w:cs="宋体" w:eastAsia="宋体" w:hint="default"/>
                <w:sz w:val="18"/>
                <w:szCs w:val="18"/>
              </w:rPr>
            </w:pPr>
            <w:r>
              <w:rPr>
                <w:rFonts w:ascii="宋体" w:hAnsi="宋体" w:cs="宋体" w:eastAsia="宋体" w:hint="default"/>
                <w:sz w:val="18"/>
                <w:szCs w:val="18"/>
              </w:rPr>
              <w:t>合同 涉及 资产 的账 面价 值</w:t>
            </w:r>
          </w:p>
          <w:p>
            <w:pPr>
              <w:pStyle w:val="TableParagraph"/>
              <w:spacing w:line="316" w:lineRule="auto" w:before="19"/>
              <w:ind w:left="134" w:right="133"/>
              <w:jc w:val="both"/>
              <w:rPr>
                <w:rFonts w:ascii="宋体" w:hAnsi="宋体" w:cs="宋体" w:eastAsia="宋体" w:hint="default"/>
                <w:sz w:val="18"/>
                <w:szCs w:val="18"/>
              </w:rPr>
            </w:pPr>
            <w:r>
              <w:rPr>
                <w:rFonts w:ascii="宋体" w:hAnsi="宋体" w:cs="宋体" w:eastAsia="宋体" w:hint="default"/>
                <w:sz w:val="18"/>
                <w:szCs w:val="18"/>
              </w:rPr>
              <w:t>（万 元）</w:t>
            </w:r>
          </w:p>
          <w:p>
            <w:pPr>
              <w:pStyle w:val="TableParagraph"/>
              <w:spacing w:line="319" w:lineRule="auto" w:before="19"/>
              <w:ind w:left="134" w:right="133"/>
              <w:jc w:val="both"/>
              <w:rPr>
                <w:rFonts w:ascii="宋体" w:hAnsi="宋体" w:cs="宋体" w:eastAsia="宋体" w:hint="default"/>
                <w:sz w:val="18"/>
                <w:szCs w:val="18"/>
              </w:rPr>
            </w:pPr>
            <w:r>
              <w:rPr>
                <w:rFonts w:ascii="宋体" w:hAnsi="宋体" w:cs="宋体" w:eastAsia="宋体" w:hint="default"/>
                <w:sz w:val="18"/>
                <w:szCs w:val="18"/>
              </w:rPr>
              <w:t>（如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4" w:right="132"/>
              <w:jc w:val="both"/>
              <w:rPr>
                <w:rFonts w:ascii="宋体" w:hAnsi="宋体" w:cs="宋体" w:eastAsia="宋体" w:hint="default"/>
                <w:sz w:val="18"/>
                <w:szCs w:val="18"/>
              </w:rPr>
            </w:pPr>
            <w:r>
              <w:rPr>
                <w:rFonts w:ascii="宋体" w:hAnsi="宋体" w:cs="宋体" w:eastAsia="宋体" w:hint="default"/>
                <w:sz w:val="18"/>
                <w:szCs w:val="18"/>
              </w:rPr>
              <w:t>合同 涉及 资产 的评 估价 值</w:t>
            </w:r>
          </w:p>
          <w:p>
            <w:pPr>
              <w:pStyle w:val="TableParagraph"/>
              <w:spacing w:line="316" w:lineRule="auto" w:before="19"/>
              <w:ind w:left="134" w:right="132"/>
              <w:jc w:val="both"/>
              <w:rPr>
                <w:rFonts w:ascii="宋体" w:hAnsi="宋体" w:cs="宋体" w:eastAsia="宋体" w:hint="default"/>
                <w:sz w:val="18"/>
                <w:szCs w:val="18"/>
              </w:rPr>
            </w:pPr>
            <w:r>
              <w:rPr>
                <w:rFonts w:ascii="宋体" w:hAnsi="宋体" w:cs="宋体" w:eastAsia="宋体" w:hint="default"/>
                <w:sz w:val="18"/>
                <w:szCs w:val="18"/>
              </w:rPr>
              <w:t>（万 元）</w:t>
            </w:r>
          </w:p>
          <w:p>
            <w:pPr>
              <w:pStyle w:val="TableParagraph"/>
              <w:spacing w:line="319" w:lineRule="auto" w:before="19"/>
              <w:ind w:left="134" w:right="132"/>
              <w:jc w:val="both"/>
              <w:rPr>
                <w:rFonts w:ascii="宋体" w:hAnsi="宋体" w:cs="宋体" w:eastAsia="宋体" w:hint="default"/>
                <w:sz w:val="18"/>
                <w:szCs w:val="18"/>
              </w:rPr>
            </w:pPr>
            <w:r>
              <w:rPr>
                <w:rFonts w:ascii="宋体" w:hAnsi="宋体" w:cs="宋体" w:eastAsia="宋体" w:hint="default"/>
                <w:sz w:val="18"/>
                <w:szCs w:val="18"/>
              </w:rPr>
              <w:t>（如 有）</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34" w:right="133"/>
              <w:jc w:val="both"/>
              <w:rPr>
                <w:rFonts w:ascii="宋体" w:hAnsi="宋体" w:cs="宋体" w:eastAsia="宋体" w:hint="default"/>
                <w:sz w:val="18"/>
                <w:szCs w:val="18"/>
              </w:rPr>
            </w:pPr>
            <w:r>
              <w:rPr>
                <w:rFonts w:ascii="宋体" w:hAnsi="宋体" w:cs="宋体" w:eastAsia="宋体" w:hint="default"/>
                <w:sz w:val="18"/>
                <w:szCs w:val="18"/>
              </w:rPr>
              <w:t>评估 机构 名称</w:t>
            </w:r>
          </w:p>
          <w:p>
            <w:pPr>
              <w:pStyle w:val="TableParagraph"/>
              <w:spacing w:line="319" w:lineRule="auto" w:before="19"/>
              <w:ind w:left="134" w:right="133"/>
              <w:jc w:val="both"/>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34" w:right="132"/>
              <w:jc w:val="both"/>
              <w:rPr>
                <w:rFonts w:ascii="宋体" w:hAnsi="宋体" w:cs="宋体" w:eastAsia="宋体" w:hint="default"/>
                <w:sz w:val="18"/>
                <w:szCs w:val="18"/>
              </w:rPr>
            </w:pPr>
            <w:r>
              <w:rPr>
                <w:rFonts w:ascii="宋体" w:hAnsi="宋体" w:cs="宋体" w:eastAsia="宋体" w:hint="default"/>
                <w:sz w:val="18"/>
                <w:szCs w:val="18"/>
              </w:rPr>
              <w:t>评估 基准 日</w:t>
            </w:r>
          </w:p>
          <w:p>
            <w:pPr>
              <w:pStyle w:val="TableParagraph"/>
              <w:spacing w:line="319" w:lineRule="auto" w:before="19"/>
              <w:ind w:left="134" w:right="132"/>
              <w:jc w:val="both"/>
              <w:rPr>
                <w:rFonts w:ascii="宋体" w:hAnsi="宋体" w:cs="宋体" w:eastAsia="宋体" w:hint="default"/>
                <w:sz w:val="18"/>
                <w:szCs w:val="18"/>
              </w:rPr>
            </w:pPr>
            <w:r>
              <w:rPr>
                <w:rFonts w:ascii="宋体" w:hAnsi="宋体" w:cs="宋体" w:eastAsia="宋体" w:hint="default"/>
                <w:sz w:val="18"/>
                <w:szCs w:val="18"/>
              </w:rPr>
              <w:t>（如 有）</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33" w:right="132"/>
              <w:jc w:val="left"/>
              <w:rPr>
                <w:rFonts w:ascii="宋体" w:hAnsi="宋体" w:cs="宋体" w:eastAsia="宋体" w:hint="default"/>
                <w:sz w:val="18"/>
                <w:szCs w:val="18"/>
              </w:rPr>
            </w:pPr>
            <w:r>
              <w:rPr>
                <w:rFonts w:ascii="宋体" w:hAnsi="宋体" w:cs="宋体" w:eastAsia="宋体" w:hint="default"/>
                <w:sz w:val="18"/>
                <w:szCs w:val="18"/>
              </w:rPr>
              <w:t>定价 原则</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34" w:right="132"/>
              <w:jc w:val="left"/>
              <w:rPr>
                <w:rFonts w:ascii="宋体" w:hAnsi="宋体" w:cs="宋体" w:eastAsia="宋体" w:hint="default"/>
                <w:sz w:val="18"/>
                <w:szCs w:val="18"/>
              </w:rPr>
            </w:pPr>
            <w:r>
              <w:rPr>
                <w:rFonts w:ascii="宋体" w:hAnsi="宋体" w:cs="宋体" w:eastAsia="宋体" w:hint="default"/>
                <w:sz w:val="18"/>
                <w:szCs w:val="18"/>
              </w:rPr>
              <w:t>交易 价格</w:t>
            </w:r>
          </w:p>
          <w:p>
            <w:pPr>
              <w:pStyle w:val="TableParagraph"/>
              <w:spacing w:line="319" w:lineRule="auto" w:before="19"/>
              <w:ind w:left="134" w:right="132"/>
              <w:jc w:val="left"/>
              <w:rPr>
                <w:rFonts w:ascii="宋体" w:hAnsi="宋体" w:cs="宋体" w:eastAsia="宋体" w:hint="default"/>
                <w:sz w:val="18"/>
                <w:szCs w:val="18"/>
              </w:rPr>
            </w:pPr>
            <w:r>
              <w:rPr>
                <w:rFonts w:ascii="宋体" w:hAnsi="宋体" w:cs="宋体" w:eastAsia="宋体" w:hint="default"/>
                <w:sz w:val="18"/>
                <w:szCs w:val="18"/>
              </w:rPr>
              <w:t>（万 元）</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34" w:right="132"/>
              <w:jc w:val="both"/>
              <w:rPr>
                <w:rFonts w:ascii="宋体" w:hAnsi="宋体" w:cs="宋体" w:eastAsia="宋体" w:hint="default"/>
                <w:sz w:val="18"/>
                <w:szCs w:val="18"/>
              </w:rPr>
            </w:pPr>
            <w:r>
              <w:rPr>
                <w:rFonts w:ascii="宋体" w:hAnsi="宋体" w:cs="宋体" w:eastAsia="宋体" w:hint="default"/>
                <w:sz w:val="18"/>
                <w:szCs w:val="18"/>
              </w:rPr>
              <w:t>是否 关联 交易</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33" w:right="132"/>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34" w:right="132"/>
              <w:jc w:val="both"/>
              <w:rPr>
                <w:rFonts w:ascii="宋体" w:hAnsi="宋体" w:cs="宋体" w:eastAsia="宋体" w:hint="default"/>
                <w:sz w:val="18"/>
                <w:szCs w:val="18"/>
              </w:rPr>
            </w:pPr>
            <w:r>
              <w:rPr>
                <w:rFonts w:ascii="宋体" w:hAnsi="宋体" w:cs="宋体" w:eastAsia="宋体" w:hint="default"/>
                <w:sz w:val="18"/>
                <w:szCs w:val="18"/>
              </w:rPr>
              <w:t>截至 报告 期末 的执 行情 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34" w:right="132"/>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32" w:right="132"/>
              <w:jc w:val="left"/>
              <w:rPr>
                <w:rFonts w:ascii="宋体" w:hAnsi="宋体" w:cs="宋体" w:eastAsia="宋体" w:hint="default"/>
                <w:sz w:val="18"/>
                <w:szCs w:val="18"/>
              </w:rPr>
            </w:pPr>
            <w:r>
              <w:rPr>
                <w:rFonts w:ascii="宋体" w:hAnsi="宋体" w:cs="宋体" w:eastAsia="宋体" w:hint="default"/>
                <w:sz w:val="18"/>
                <w:szCs w:val="18"/>
              </w:rPr>
              <w:t>披露 索引</w:t>
            </w:r>
          </w:p>
        </w:tc>
      </w:tr>
      <w:tr>
        <w:trPr>
          <w:trHeight w:val="4107"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6" w:lineRule="auto"/>
              <w:ind w:left="103" w:right="161"/>
              <w:jc w:val="both"/>
              <w:rPr>
                <w:rFonts w:ascii="宋体" w:hAnsi="宋体" w:cs="宋体" w:eastAsia="宋体" w:hint="default"/>
                <w:sz w:val="18"/>
                <w:szCs w:val="18"/>
              </w:rPr>
            </w:pPr>
            <w:r>
              <w:rPr>
                <w:rFonts w:ascii="宋体" w:hAnsi="宋体" w:cs="宋体" w:eastAsia="宋体" w:hint="default"/>
                <w:sz w:val="18"/>
                <w:szCs w:val="18"/>
              </w:rPr>
              <w:t>广东 乐心 医疗 电子 股份 有限 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6" w:lineRule="auto"/>
              <w:ind w:left="103" w:right="164"/>
              <w:jc w:val="both"/>
              <w:rPr>
                <w:rFonts w:ascii="宋体" w:hAnsi="宋体" w:cs="宋体" w:eastAsia="宋体" w:hint="default"/>
                <w:sz w:val="18"/>
                <w:szCs w:val="18"/>
              </w:rPr>
            </w:pPr>
            <w:r>
              <w:rPr>
                <w:rFonts w:ascii="宋体" w:hAnsi="宋体" w:cs="宋体" w:eastAsia="宋体" w:hint="default"/>
                <w:sz w:val="18"/>
                <w:szCs w:val="18"/>
              </w:rPr>
              <w:t>库珀 有氧 大健 康产 业有 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6" w:lineRule="auto"/>
              <w:ind w:left="101" w:right="164"/>
              <w:jc w:val="both"/>
              <w:rPr>
                <w:rFonts w:ascii="宋体" w:hAnsi="宋体" w:cs="宋体" w:eastAsia="宋体" w:hint="default"/>
                <w:sz w:val="18"/>
                <w:szCs w:val="18"/>
              </w:rPr>
            </w:pPr>
            <w:r>
              <w:rPr>
                <w:rFonts w:ascii="宋体" w:hAnsi="宋体" w:cs="宋体" w:eastAsia="宋体" w:hint="default"/>
                <w:sz w:val="18"/>
                <w:szCs w:val="18"/>
              </w:rPr>
              <w:t>品牌 授权 及战 略合 作</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16" w:lineRule="auto"/>
              <w:ind w:left="103" w:right="164"/>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101" w:right="163"/>
              <w:jc w:val="both"/>
              <w:rPr>
                <w:rFonts w:ascii="宋体" w:hAnsi="宋体" w:cs="宋体" w:eastAsia="宋体" w:hint="default"/>
                <w:sz w:val="18"/>
                <w:szCs w:val="18"/>
              </w:rPr>
            </w:pPr>
            <w:r>
              <w:rPr>
                <w:rFonts w:ascii="宋体" w:hAnsi="宋体" w:cs="宋体" w:eastAsia="宋体" w:hint="default"/>
                <w:sz w:val="18"/>
                <w:szCs w:val="18"/>
              </w:rPr>
              <w:t>市场 价格 确定</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16" w:lineRule="auto"/>
              <w:ind w:left="101" w:right="163"/>
              <w:jc w:val="left"/>
              <w:rPr>
                <w:rFonts w:ascii="宋体" w:hAnsi="宋体" w:cs="宋体" w:eastAsia="宋体" w:hint="default"/>
                <w:sz w:val="18"/>
                <w:szCs w:val="18"/>
              </w:rPr>
            </w:pPr>
            <w:r>
              <w:rPr>
                <w:rFonts w:ascii="宋体" w:hAnsi="宋体" w:cs="宋体" w:eastAsia="宋体" w:hint="default"/>
                <w:sz w:val="18"/>
                <w:szCs w:val="18"/>
              </w:rPr>
              <w:t>不存 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16" w:lineRule="auto"/>
              <w:ind w:left="103" w:right="163"/>
              <w:jc w:val="left"/>
              <w:rPr>
                <w:rFonts w:ascii="宋体" w:hAnsi="宋体" w:cs="宋体" w:eastAsia="宋体" w:hint="default"/>
                <w:sz w:val="18"/>
                <w:szCs w:val="18"/>
              </w:rPr>
            </w:pPr>
            <w:r>
              <w:rPr>
                <w:rFonts w:ascii="宋体" w:hAnsi="宋体" w:cs="宋体" w:eastAsia="宋体" w:hint="default"/>
                <w:sz w:val="18"/>
                <w:szCs w:val="18"/>
              </w:rPr>
              <w:t>正在 履行</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http:/</w:t>
            </w:r>
          </w:p>
          <w:p>
            <w:pPr>
              <w:pStyle w:val="TableParagraph"/>
              <w:spacing w:line="362" w:lineRule="auto" w:before="104"/>
              <w:ind w:left="102" w:right="112"/>
              <w:jc w:val="left"/>
              <w:rPr>
                <w:rFonts w:ascii="Times New Roman" w:hAnsi="Times New Roman" w:cs="Times New Roman" w:eastAsia="Times New Roman" w:hint="default"/>
                <w:sz w:val="18"/>
                <w:szCs w:val="18"/>
              </w:rPr>
            </w:pPr>
            <w:r>
              <w:rPr>
                <w:rFonts w:ascii="Times New Roman"/>
                <w:sz w:val="18"/>
              </w:rPr>
              <w:t>/ww</w:t>
            </w:r>
            <w:r>
              <w:rPr>
                <w:rFonts w:ascii="Times New Roman"/>
                <w:w w:val="99"/>
                <w:sz w:val="18"/>
              </w:rPr>
              <w:t> </w:t>
            </w:r>
            <w:r>
              <w:rPr>
                <w:rFonts w:ascii="Times New Roman"/>
                <w:spacing w:val="-3"/>
                <w:sz w:val="18"/>
              </w:rPr>
              <w:t>w.cni</w:t>
            </w:r>
            <w:r>
              <w:rPr>
                <w:rFonts w:ascii="Times New Roman"/>
                <w:sz w:val="18"/>
              </w:rPr>
              <w:t> nfo.c om.c n/cni nfo-n ew/di sclos</w:t>
            </w:r>
            <w:r>
              <w:rPr>
                <w:rFonts w:ascii="Times New Roman"/>
                <w:w w:val="99"/>
                <w:sz w:val="18"/>
              </w:rPr>
              <w:t> </w:t>
            </w:r>
            <w:r>
              <w:rPr>
                <w:rFonts w:ascii="Times New Roman"/>
                <w:sz w:val="18"/>
              </w:rPr>
              <w:t>ure/s</w:t>
            </w:r>
            <w:r>
              <w:rPr>
                <w:rFonts w:ascii="Times New Roman"/>
                <w:w w:val="99"/>
                <w:sz w:val="18"/>
              </w:rPr>
              <w:t> </w:t>
            </w:r>
            <w:r>
              <w:rPr>
                <w:rFonts w:ascii="Times New Roman"/>
                <w:sz w:val="18"/>
              </w:rPr>
              <w:t>zse_g</w:t>
            </w:r>
            <w:r>
              <w:rPr>
                <w:rFonts w:ascii="Times New Roman"/>
                <w:sz w:val="18"/>
              </w:rPr>
              <w:t> em/b ulleti</w:t>
            </w:r>
          </w:p>
        </w:tc>
      </w:tr>
    </w:tbl>
    <w:p>
      <w:pPr>
        <w:spacing w:after="0" w:line="362"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3795" w:hRule="exact"/>
        </w:trPr>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102" w:right="121"/>
              <w:jc w:val="left"/>
              <w:rPr>
                <w:rFonts w:ascii="Times New Roman" w:hAnsi="Times New Roman" w:cs="Times New Roman" w:eastAsia="Times New Roman" w:hint="default"/>
                <w:sz w:val="18"/>
                <w:szCs w:val="18"/>
              </w:rPr>
            </w:pPr>
            <w:r>
              <w:rPr>
                <w:rFonts w:ascii="Times New Roman"/>
                <w:sz w:val="18"/>
              </w:rPr>
              <w:t>n_det ail/tr ue/12 0402</w:t>
            </w:r>
          </w:p>
          <w:p>
            <w:pPr>
              <w:pStyle w:val="TableParagraph"/>
              <w:spacing w:line="240" w:lineRule="auto" w:before="3"/>
              <w:ind w:left="102" w:right="0"/>
              <w:jc w:val="left"/>
              <w:rPr>
                <w:rFonts w:ascii="Times New Roman" w:hAnsi="Times New Roman" w:cs="Times New Roman" w:eastAsia="Times New Roman" w:hint="default"/>
                <w:sz w:val="18"/>
                <w:szCs w:val="18"/>
              </w:rPr>
            </w:pPr>
            <w:r>
              <w:rPr>
                <w:rFonts w:ascii="Times New Roman"/>
                <w:sz w:val="18"/>
              </w:rPr>
              <w:t>4268</w:t>
            </w:r>
          </w:p>
          <w:p>
            <w:pPr>
              <w:pStyle w:val="TableParagraph"/>
              <w:spacing w:line="362" w:lineRule="auto" w:before="105"/>
              <w:ind w:left="102" w:right="102"/>
              <w:jc w:val="both"/>
              <w:rPr>
                <w:rFonts w:ascii="Times New Roman" w:hAnsi="Times New Roman" w:cs="Times New Roman" w:eastAsia="Times New Roman" w:hint="default"/>
                <w:sz w:val="18"/>
                <w:szCs w:val="18"/>
              </w:rPr>
            </w:pPr>
            <w:r>
              <w:rPr>
                <w:rFonts w:ascii="Times New Roman"/>
                <w:sz w:val="18"/>
              </w:rPr>
              <w:t>?ann ounc eTim e=20 17-10</w:t>
            </w:r>
          </w:p>
          <w:p>
            <w:pPr>
              <w:pStyle w:val="TableParagraph"/>
              <w:spacing w:line="240" w:lineRule="auto" w:before="3"/>
              <w:ind w:left="102"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6"/>
              <w:ind w:left="102" w:right="0"/>
              <w:jc w:val="left"/>
              <w:rPr>
                <w:rFonts w:ascii="Times New Roman" w:hAnsi="Times New Roman" w:cs="Times New Roman" w:eastAsia="Times New Roman" w:hint="default"/>
                <w:sz w:val="18"/>
                <w:szCs w:val="18"/>
              </w:rPr>
            </w:pPr>
            <w:r>
              <w:rPr>
                <w:rFonts w:ascii="Times New Roman"/>
                <w:sz w:val="18"/>
              </w:rPr>
              <w:t>16:48</w:t>
            </w:r>
          </w:p>
        </w:tc>
      </w:tr>
      <w:tr>
        <w:trPr>
          <w:trHeight w:val="789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103" w:right="161"/>
              <w:jc w:val="both"/>
              <w:rPr>
                <w:rFonts w:ascii="宋体" w:hAnsi="宋体" w:cs="宋体" w:eastAsia="宋体" w:hint="default"/>
                <w:sz w:val="18"/>
                <w:szCs w:val="18"/>
              </w:rPr>
            </w:pPr>
            <w:r>
              <w:rPr>
                <w:rFonts w:ascii="宋体" w:hAnsi="宋体" w:cs="宋体" w:eastAsia="宋体" w:hint="default"/>
                <w:sz w:val="18"/>
                <w:szCs w:val="18"/>
              </w:rPr>
              <w:t>广东 乐心 医疗 电子 股份 有限 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103" w:right="164"/>
              <w:jc w:val="both"/>
              <w:rPr>
                <w:rFonts w:ascii="宋体" w:hAnsi="宋体" w:cs="宋体" w:eastAsia="宋体" w:hint="default"/>
                <w:sz w:val="18"/>
                <w:szCs w:val="18"/>
              </w:rPr>
            </w:pPr>
            <w:r>
              <w:rPr>
                <w:rFonts w:ascii="宋体" w:hAnsi="宋体" w:cs="宋体" w:eastAsia="宋体" w:hint="default"/>
                <w:sz w:val="18"/>
                <w:szCs w:val="18"/>
              </w:rPr>
              <w:t>胡大 一、 北京 瑰柏 科技 有限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101" w:right="164"/>
              <w:jc w:val="left"/>
              <w:rPr>
                <w:rFonts w:ascii="宋体" w:hAnsi="宋体" w:cs="宋体" w:eastAsia="宋体" w:hint="default"/>
                <w:sz w:val="18"/>
                <w:szCs w:val="18"/>
              </w:rPr>
            </w:pPr>
            <w:r>
              <w:rPr>
                <w:rFonts w:ascii="宋体" w:hAnsi="宋体" w:cs="宋体" w:eastAsia="宋体" w:hint="default"/>
                <w:sz w:val="18"/>
                <w:szCs w:val="18"/>
              </w:rPr>
              <w:t>战略 合作</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103" w:right="164"/>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6" w:lineRule="auto"/>
              <w:ind w:left="101" w:right="163"/>
              <w:jc w:val="both"/>
              <w:rPr>
                <w:rFonts w:ascii="宋体" w:hAnsi="宋体" w:cs="宋体" w:eastAsia="宋体" w:hint="default"/>
                <w:sz w:val="18"/>
                <w:szCs w:val="18"/>
              </w:rPr>
            </w:pPr>
            <w:r>
              <w:rPr>
                <w:rFonts w:ascii="宋体" w:hAnsi="宋体" w:cs="宋体" w:eastAsia="宋体" w:hint="default"/>
                <w:sz w:val="18"/>
                <w:szCs w:val="18"/>
              </w:rPr>
              <w:t>市场 价格 确定</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101" w:right="163"/>
              <w:jc w:val="left"/>
              <w:rPr>
                <w:rFonts w:ascii="宋体" w:hAnsi="宋体" w:cs="宋体" w:eastAsia="宋体" w:hint="default"/>
                <w:sz w:val="18"/>
                <w:szCs w:val="18"/>
              </w:rPr>
            </w:pPr>
            <w:r>
              <w:rPr>
                <w:rFonts w:ascii="宋体" w:hAnsi="宋体" w:cs="宋体" w:eastAsia="宋体" w:hint="default"/>
                <w:sz w:val="18"/>
                <w:szCs w:val="18"/>
              </w:rPr>
              <w:t>不存 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103" w:right="163"/>
              <w:jc w:val="left"/>
              <w:rPr>
                <w:rFonts w:ascii="宋体" w:hAnsi="宋体" w:cs="宋体" w:eastAsia="宋体" w:hint="default"/>
                <w:sz w:val="18"/>
                <w:szCs w:val="18"/>
              </w:rPr>
            </w:pPr>
            <w:r>
              <w:rPr>
                <w:rFonts w:ascii="宋体" w:hAnsi="宋体" w:cs="宋体" w:eastAsia="宋体" w:hint="default"/>
                <w:sz w:val="18"/>
                <w:szCs w:val="18"/>
              </w:rPr>
              <w:t>正在 履行</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http:/</w:t>
            </w:r>
          </w:p>
          <w:p>
            <w:pPr>
              <w:pStyle w:val="TableParagraph"/>
              <w:spacing w:line="362" w:lineRule="auto" w:before="104"/>
              <w:ind w:left="102" w:right="112"/>
              <w:jc w:val="left"/>
              <w:rPr>
                <w:rFonts w:ascii="Times New Roman" w:hAnsi="Times New Roman" w:cs="Times New Roman" w:eastAsia="Times New Roman" w:hint="default"/>
                <w:sz w:val="18"/>
                <w:szCs w:val="18"/>
              </w:rPr>
            </w:pPr>
            <w:r>
              <w:rPr>
                <w:rFonts w:ascii="Times New Roman"/>
                <w:sz w:val="18"/>
              </w:rPr>
              <w:t>/ww</w:t>
            </w:r>
            <w:r>
              <w:rPr>
                <w:rFonts w:ascii="Times New Roman"/>
                <w:w w:val="99"/>
                <w:sz w:val="18"/>
              </w:rPr>
              <w:t> </w:t>
            </w:r>
            <w:r>
              <w:rPr>
                <w:rFonts w:ascii="Times New Roman"/>
                <w:spacing w:val="-3"/>
                <w:sz w:val="18"/>
              </w:rPr>
              <w:t>w.cni</w:t>
            </w:r>
            <w:r>
              <w:rPr>
                <w:rFonts w:ascii="Times New Roman"/>
                <w:sz w:val="18"/>
              </w:rPr>
              <w:t> nfo.c om.c n/cni nfo-n ew/di sclos</w:t>
            </w:r>
            <w:r>
              <w:rPr>
                <w:rFonts w:ascii="Times New Roman"/>
                <w:w w:val="99"/>
                <w:sz w:val="18"/>
              </w:rPr>
              <w:t> </w:t>
            </w:r>
            <w:r>
              <w:rPr>
                <w:rFonts w:ascii="Times New Roman"/>
                <w:sz w:val="18"/>
              </w:rPr>
              <w:t>ure/s</w:t>
            </w:r>
            <w:r>
              <w:rPr>
                <w:rFonts w:ascii="Times New Roman"/>
                <w:w w:val="99"/>
                <w:sz w:val="18"/>
              </w:rPr>
              <w:t> </w:t>
            </w:r>
            <w:r>
              <w:rPr>
                <w:rFonts w:ascii="Times New Roman"/>
                <w:sz w:val="18"/>
              </w:rPr>
              <w:t>zse_g</w:t>
            </w:r>
            <w:r>
              <w:rPr>
                <w:rFonts w:ascii="Times New Roman"/>
                <w:sz w:val="18"/>
              </w:rPr>
              <w:t> em/b ulleti n_det ail/tr ue/12 0421</w:t>
            </w:r>
          </w:p>
          <w:p>
            <w:pPr>
              <w:pStyle w:val="TableParagraph"/>
              <w:spacing w:line="240" w:lineRule="auto" w:before="3"/>
              <w:ind w:left="102" w:right="0"/>
              <w:jc w:val="left"/>
              <w:rPr>
                <w:rFonts w:ascii="Times New Roman" w:hAnsi="Times New Roman" w:cs="Times New Roman" w:eastAsia="Times New Roman" w:hint="default"/>
                <w:sz w:val="18"/>
                <w:szCs w:val="18"/>
              </w:rPr>
            </w:pPr>
            <w:r>
              <w:rPr>
                <w:rFonts w:ascii="Times New Roman"/>
                <w:sz w:val="18"/>
              </w:rPr>
              <w:t>9625</w:t>
            </w:r>
          </w:p>
          <w:p>
            <w:pPr>
              <w:pStyle w:val="TableParagraph"/>
              <w:spacing w:line="362" w:lineRule="auto" w:before="105"/>
              <w:ind w:left="102" w:right="102"/>
              <w:jc w:val="both"/>
              <w:rPr>
                <w:rFonts w:ascii="Times New Roman" w:hAnsi="Times New Roman" w:cs="Times New Roman" w:eastAsia="Times New Roman" w:hint="default"/>
                <w:sz w:val="18"/>
                <w:szCs w:val="18"/>
              </w:rPr>
            </w:pPr>
            <w:r>
              <w:rPr>
                <w:rFonts w:ascii="Times New Roman"/>
                <w:sz w:val="18"/>
              </w:rPr>
              <w:t>?ann ounc eTim e=20 17-12</w:t>
            </w:r>
          </w:p>
          <w:p>
            <w:pPr>
              <w:pStyle w:val="TableParagraph"/>
              <w:spacing w:line="240" w:lineRule="auto" w:before="3"/>
              <w:ind w:left="102" w:right="0"/>
              <w:jc w:val="left"/>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106"/>
              <w:ind w:left="102" w:right="0"/>
              <w:jc w:val="left"/>
              <w:rPr>
                <w:rFonts w:ascii="Times New Roman" w:hAnsi="Times New Roman" w:cs="Times New Roman" w:eastAsia="Times New Roman" w:hint="default"/>
                <w:sz w:val="18"/>
                <w:szCs w:val="18"/>
              </w:rPr>
            </w:pPr>
            <w:r>
              <w:rPr>
                <w:rFonts w:ascii="Times New Roman"/>
                <w:sz w:val="18"/>
              </w:rPr>
              <w:t>17:18</w:t>
            </w:r>
          </w:p>
        </w:tc>
      </w:tr>
      <w:tr>
        <w:trPr>
          <w:trHeight w:val="2235"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24"/>
              <w:ind w:left="103" w:right="111"/>
              <w:jc w:val="both"/>
              <w:rPr>
                <w:rFonts w:ascii="Times New Roman" w:hAnsi="Times New Roman" w:cs="Times New Roman" w:eastAsia="Times New Roman" w:hint="default"/>
                <w:sz w:val="18"/>
                <w:szCs w:val="18"/>
              </w:rPr>
            </w:pPr>
            <w:r>
              <w:rPr>
                <w:rFonts w:ascii="Times New Roman"/>
                <w:sz w:val="18"/>
              </w:rPr>
              <w:t>Lifes</w:t>
            </w:r>
            <w:r>
              <w:rPr>
                <w:rFonts w:ascii="Times New Roman"/>
                <w:w w:val="99"/>
                <w:sz w:val="18"/>
              </w:rPr>
              <w:t> </w:t>
            </w:r>
            <w:r>
              <w:rPr>
                <w:rFonts w:ascii="Times New Roman"/>
                <w:sz w:val="18"/>
              </w:rPr>
              <w:t>ense</w:t>
            </w:r>
            <w:r>
              <w:rPr>
                <w:rFonts w:ascii="Times New Roman"/>
                <w:w w:val="99"/>
                <w:sz w:val="18"/>
              </w:rPr>
              <w:t> </w:t>
            </w:r>
            <w:r>
              <w:rPr>
                <w:rFonts w:ascii="Times New Roman"/>
                <w:sz w:val="18"/>
              </w:rPr>
              <w:t>Healt</w:t>
            </w:r>
            <w:r>
              <w:rPr>
                <w:rFonts w:ascii="Times New Roman"/>
                <w:w w:val="99"/>
                <w:sz w:val="18"/>
              </w:rPr>
              <w:t> </w:t>
            </w:r>
            <w:r>
              <w:rPr>
                <w:rFonts w:ascii="Times New Roman"/>
                <w:sz w:val="18"/>
              </w:rPr>
              <w:t>h</w:t>
            </w:r>
            <w:r>
              <w:rPr>
                <w:rFonts w:ascii="Times New Roman"/>
                <w:spacing w:val="-1"/>
                <w:sz w:val="18"/>
              </w:rPr>
              <w:t> </w:t>
            </w:r>
            <w:r>
              <w:rPr>
                <w:rFonts w:ascii="Times New Roman"/>
                <w:sz w:val="18"/>
              </w:rPr>
              <w:t>Inc.</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62" w:lineRule="auto"/>
              <w:ind w:left="103" w:right="104"/>
              <w:jc w:val="left"/>
              <w:rPr>
                <w:rFonts w:ascii="Times New Roman" w:hAnsi="Times New Roman" w:cs="Times New Roman" w:eastAsia="Times New Roman" w:hint="default"/>
                <w:sz w:val="18"/>
                <w:szCs w:val="18"/>
              </w:rPr>
            </w:pPr>
            <w:r>
              <w:rPr>
                <w:rFonts w:ascii="Times New Roman"/>
                <w:sz w:val="18"/>
              </w:rPr>
              <w:t>Physi</w:t>
            </w:r>
            <w:r>
              <w:rPr>
                <w:rFonts w:ascii="Times New Roman"/>
                <w:w w:val="99"/>
                <w:sz w:val="18"/>
              </w:rPr>
              <w:t> </w:t>
            </w:r>
            <w:r>
              <w:rPr>
                <w:rFonts w:ascii="Times New Roman"/>
                <w:sz w:val="18"/>
              </w:rPr>
              <w:t>cal</w:t>
            </w:r>
            <w:r>
              <w:rPr>
                <w:rFonts w:ascii="Times New Roman"/>
                <w:sz w:val="18"/>
              </w:rPr>
              <w:t> Enter prises</w:t>
            </w:r>
            <w:r>
              <w:rPr>
                <w:rFonts w:ascii="Times New Roman"/>
                <w:w w:val="99"/>
                <w:sz w:val="18"/>
              </w:rPr>
              <w:t> </w:t>
            </w:r>
            <w:r>
              <w:rPr>
                <w:rFonts w:ascii="Times New Roman"/>
                <w:sz w:val="18"/>
              </w:rPr>
              <w:t>Inc.</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both"/>
              <w:rPr>
                <w:rFonts w:ascii="Times New Roman" w:hAnsi="Times New Roman" w:cs="Times New Roman" w:eastAsia="Times New Roman" w:hint="default"/>
                <w:sz w:val="18"/>
                <w:szCs w:val="18"/>
              </w:rPr>
            </w:pPr>
            <w:r>
              <w:rPr>
                <w:rFonts w:ascii="Times New Roman"/>
                <w:sz w:val="18"/>
              </w:rPr>
              <w:t>MIO</w:t>
            </w:r>
          </w:p>
          <w:p>
            <w:pPr>
              <w:pStyle w:val="TableParagraph"/>
              <w:spacing w:line="319" w:lineRule="auto" w:before="64"/>
              <w:ind w:left="101" w:right="164"/>
              <w:jc w:val="both"/>
              <w:rPr>
                <w:rFonts w:ascii="宋体" w:hAnsi="宋体" w:cs="宋体" w:eastAsia="宋体" w:hint="default"/>
                <w:sz w:val="18"/>
                <w:szCs w:val="18"/>
              </w:rPr>
            </w:pPr>
            <w:r>
              <w:rPr>
                <w:rFonts w:ascii="宋体" w:hAnsi="宋体" w:cs="宋体" w:eastAsia="宋体" w:hint="default"/>
                <w:sz w:val="18"/>
                <w:szCs w:val="18"/>
              </w:rPr>
              <w:t>在全 球范 围的 系列 商标</w:t>
            </w:r>
          </w:p>
          <w:p>
            <w:pPr>
              <w:pStyle w:val="TableParagraph"/>
              <w:spacing w:line="240" w:lineRule="auto" w:before="17"/>
              <w:ind w:left="101" w:right="0"/>
              <w:jc w:val="both"/>
              <w:rPr>
                <w:rFonts w:ascii="宋体" w:hAnsi="宋体" w:cs="宋体" w:eastAsia="宋体" w:hint="default"/>
                <w:sz w:val="18"/>
                <w:szCs w:val="18"/>
              </w:rPr>
            </w:pPr>
            <w:r>
              <w:rPr>
                <w:rFonts w:ascii="宋体" w:hAnsi="宋体" w:cs="宋体" w:eastAsia="宋体" w:hint="default"/>
                <w:sz w:val="18"/>
                <w:szCs w:val="18"/>
              </w:rPr>
              <w:t>（注</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103" w:right="164"/>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101" w:right="163"/>
              <w:jc w:val="both"/>
              <w:rPr>
                <w:rFonts w:ascii="宋体" w:hAnsi="宋体" w:cs="宋体" w:eastAsia="宋体" w:hint="default"/>
                <w:sz w:val="18"/>
                <w:szCs w:val="18"/>
              </w:rPr>
            </w:pPr>
            <w:r>
              <w:rPr>
                <w:rFonts w:ascii="宋体" w:hAnsi="宋体" w:cs="宋体" w:eastAsia="宋体" w:hint="default"/>
                <w:sz w:val="18"/>
                <w:szCs w:val="18"/>
              </w:rPr>
              <w:t>市场 价格 确定</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491</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101" w:right="163"/>
              <w:jc w:val="left"/>
              <w:rPr>
                <w:rFonts w:ascii="宋体" w:hAnsi="宋体" w:cs="宋体" w:eastAsia="宋体" w:hint="default"/>
                <w:sz w:val="18"/>
                <w:szCs w:val="18"/>
              </w:rPr>
            </w:pPr>
            <w:r>
              <w:rPr>
                <w:rFonts w:ascii="宋体" w:hAnsi="宋体" w:cs="宋体" w:eastAsia="宋体" w:hint="default"/>
                <w:sz w:val="18"/>
                <w:szCs w:val="18"/>
              </w:rPr>
              <w:t>不存 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103" w:right="163"/>
              <w:jc w:val="left"/>
              <w:rPr>
                <w:rFonts w:ascii="宋体" w:hAnsi="宋体" w:cs="宋体" w:eastAsia="宋体" w:hint="default"/>
                <w:sz w:val="18"/>
                <w:szCs w:val="18"/>
              </w:rPr>
            </w:pPr>
            <w:r>
              <w:rPr>
                <w:rFonts w:ascii="宋体" w:hAnsi="宋体" w:cs="宋体" w:eastAsia="宋体" w:hint="default"/>
                <w:sz w:val="18"/>
                <w:szCs w:val="18"/>
              </w:rPr>
              <w:t>正在 履行</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http:/</w:t>
            </w:r>
          </w:p>
          <w:p>
            <w:pPr>
              <w:pStyle w:val="TableParagraph"/>
              <w:spacing w:line="362" w:lineRule="auto" w:before="104"/>
              <w:ind w:left="102" w:right="132"/>
              <w:jc w:val="left"/>
              <w:rPr>
                <w:rFonts w:ascii="Times New Roman" w:hAnsi="Times New Roman" w:cs="Times New Roman" w:eastAsia="Times New Roman" w:hint="default"/>
                <w:sz w:val="18"/>
                <w:szCs w:val="18"/>
              </w:rPr>
            </w:pPr>
            <w:r>
              <w:rPr>
                <w:rFonts w:ascii="Times New Roman"/>
                <w:sz w:val="18"/>
              </w:rPr>
              <w:t>/ww</w:t>
            </w:r>
            <w:r>
              <w:rPr>
                <w:rFonts w:ascii="Times New Roman"/>
                <w:w w:val="99"/>
                <w:sz w:val="18"/>
              </w:rPr>
              <w:t> </w:t>
            </w:r>
            <w:r>
              <w:rPr>
                <w:rFonts w:ascii="Times New Roman"/>
                <w:spacing w:val="-3"/>
                <w:sz w:val="18"/>
              </w:rPr>
              <w:t>w.cni</w:t>
            </w:r>
            <w:r>
              <w:rPr>
                <w:rFonts w:ascii="Times New Roman"/>
                <w:sz w:val="18"/>
              </w:rPr>
              <w:t> nfo.c om.c n/cni nfo-n</w:t>
            </w:r>
          </w:p>
        </w:tc>
      </w:tr>
    </w:tbl>
    <w:p>
      <w:pPr>
        <w:spacing w:after="0" w:line="362"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5667" w:hRule="exact"/>
        </w:trPr>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1" w:right="164"/>
              <w:jc w:val="left"/>
              <w:rPr>
                <w:rFonts w:ascii="宋体" w:hAnsi="宋体" w:cs="宋体" w:eastAsia="宋体" w:hint="default"/>
                <w:sz w:val="18"/>
                <w:szCs w:val="18"/>
              </w:rPr>
            </w:pPr>
            <w:r>
              <w:rPr>
                <w:rFonts w:ascii="宋体" w:hAnsi="宋体" w:cs="宋体" w:eastAsia="宋体" w:hint="default"/>
                <w:sz w:val="18"/>
                <w:szCs w:val="18"/>
              </w:rPr>
              <w:t>册或 者未 注 册） 及若 干相 关网 站域 名的 所有 权利</w:t>
            </w: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102" w:right="112"/>
              <w:jc w:val="left"/>
              <w:rPr>
                <w:rFonts w:ascii="Times New Roman" w:hAnsi="Times New Roman" w:cs="Times New Roman" w:eastAsia="Times New Roman" w:hint="default"/>
                <w:sz w:val="18"/>
                <w:szCs w:val="18"/>
              </w:rPr>
            </w:pPr>
            <w:r>
              <w:rPr>
                <w:rFonts w:ascii="Times New Roman"/>
                <w:sz w:val="18"/>
              </w:rPr>
              <w:t>ew/di</w:t>
            </w:r>
            <w:r>
              <w:rPr>
                <w:rFonts w:ascii="Times New Roman"/>
                <w:w w:val="99"/>
                <w:sz w:val="18"/>
              </w:rPr>
              <w:t> </w:t>
            </w:r>
            <w:r>
              <w:rPr>
                <w:rFonts w:ascii="Times New Roman"/>
                <w:sz w:val="18"/>
              </w:rPr>
              <w:t>sclos</w:t>
            </w:r>
            <w:r>
              <w:rPr>
                <w:rFonts w:ascii="Times New Roman"/>
                <w:w w:val="99"/>
                <w:sz w:val="18"/>
              </w:rPr>
              <w:t> </w:t>
            </w:r>
            <w:r>
              <w:rPr>
                <w:rFonts w:ascii="Times New Roman"/>
                <w:sz w:val="18"/>
              </w:rPr>
              <w:t>ure/s</w:t>
            </w:r>
            <w:r>
              <w:rPr>
                <w:rFonts w:ascii="Times New Roman"/>
                <w:w w:val="99"/>
                <w:sz w:val="18"/>
              </w:rPr>
              <w:t> </w:t>
            </w:r>
            <w:r>
              <w:rPr>
                <w:rFonts w:ascii="Times New Roman"/>
                <w:sz w:val="18"/>
              </w:rPr>
              <w:t>zse_g</w:t>
            </w:r>
            <w:r>
              <w:rPr>
                <w:rFonts w:ascii="Times New Roman"/>
                <w:sz w:val="18"/>
              </w:rPr>
              <w:t> em/b ulleti n_det ail/tr ue/12 0423</w:t>
            </w:r>
          </w:p>
          <w:p>
            <w:pPr>
              <w:pStyle w:val="TableParagraph"/>
              <w:spacing w:line="240" w:lineRule="auto" w:before="3"/>
              <w:ind w:left="102" w:right="0"/>
              <w:jc w:val="left"/>
              <w:rPr>
                <w:rFonts w:ascii="Times New Roman" w:hAnsi="Times New Roman" w:cs="Times New Roman" w:eastAsia="Times New Roman" w:hint="default"/>
                <w:sz w:val="18"/>
                <w:szCs w:val="18"/>
              </w:rPr>
            </w:pPr>
            <w:r>
              <w:rPr>
                <w:rFonts w:ascii="Times New Roman"/>
                <w:sz w:val="18"/>
              </w:rPr>
              <w:t>9347</w:t>
            </w:r>
          </w:p>
          <w:p>
            <w:pPr>
              <w:pStyle w:val="TableParagraph"/>
              <w:spacing w:line="362" w:lineRule="auto" w:before="105"/>
              <w:ind w:left="102" w:right="102"/>
              <w:jc w:val="both"/>
              <w:rPr>
                <w:rFonts w:ascii="Times New Roman" w:hAnsi="Times New Roman" w:cs="Times New Roman" w:eastAsia="Times New Roman" w:hint="default"/>
                <w:sz w:val="18"/>
                <w:szCs w:val="18"/>
              </w:rPr>
            </w:pPr>
            <w:r>
              <w:rPr>
                <w:rFonts w:ascii="Times New Roman"/>
                <w:sz w:val="18"/>
              </w:rPr>
              <w:t>?ann ounc eTim e=20 17-12</w:t>
            </w:r>
          </w:p>
          <w:p>
            <w:pPr>
              <w:pStyle w:val="TableParagraph"/>
              <w:spacing w:line="240" w:lineRule="auto" w:before="3"/>
              <w:ind w:left="102" w:right="0"/>
              <w:jc w:val="left"/>
              <w:rPr>
                <w:rFonts w:ascii="Times New Roman" w:hAnsi="Times New Roman" w:cs="Times New Roman" w:eastAsia="Times New Roman" w:hint="default"/>
                <w:sz w:val="18"/>
                <w:szCs w:val="18"/>
              </w:rPr>
            </w:pPr>
            <w:r>
              <w:rPr>
                <w:rFonts w:ascii="Times New Roman"/>
                <w:sz w:val="18"/>
              </w:rPr>
              <w:t>-19</w:t>
            </w:r>
          </w:p>
          <w:p>
            <w:pPr>
              <w:pStyle w:val="TableParagraph"/>
              <w:spacing w:line="240" w:lineRule="auto" w:before="106"/>
              <w:ind w:left="102" w:right="0"/>
              <w:jc w:val="left"/>
              <w:rPr>
                <w:rFonts w:ascii="Times New Roman" w:hAnsi="Times New Roman" w:cs="Times New Roman" w:eastAsia="Times New Roman" w:hint="default"/>
                <w:sz w:val="18"/>
                <w:szCs w:val="18"/>
              </w:rPr>
            </w:pPr>
            <w:r>
              <w:rPr>
                <w:rFonts w:ascii="Times New Roman"/>
                <w:sz w:val="18"/>
              </w:rPr>
              <w:t>18:12</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1015"/>
        <w:jc w:val="left"/>
        <w:rPr>
          <w:b w:val="0"/>
          <w:bCs w:val="0"/>
        </w:rPr>
      </w:pPr>
      <w:bookmarkStart w:name="十七、社会责任情况" w:id="97"/>
      <w:bookmarkEnd w:id="97"/>
      <w:r>
        <w:rPr>
          <w:b w:val="0"/>
          <w:bCs w:val="0"/>
        </w:rPr>
      </w:r>
      <w:r>
        <w:rPr/>
        <w:t>十七、社会责任情况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5"/>
        <w:jc w:val="left"/>
        <w:rPr>
          <w:b w:val="0"/>
          <w:bCs w:val="0"/>
        </w:rPr>
      </w:pPr>
      <w:bookmarkStart w:name="1、履行社会责任情况" w:id="98"/>
      <w:bookmarkEnd w:id="98"/>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1015"/>
        <w:jc w:val="left"/>
      </w:pPr>
      <w:r>
        <w:rPr>
          <w:spacing w:val="-2"/>
        </w:rPr>
        <w:t>公司的发展离不开社会的支持，回报社会是公司的责任和使命。公司在不断为股东创造价值的同时，也积极承担对职工、客</w:t>
      </w:r>
      <w:r>
        <w:rPr>
          <w:spacing w:val="-66"/>
        </w:rPr>
        <w:t> </w:t>
      </w:r>
      <w:r>
        <w:rPr>
          <w:spacing w:val="-66"/>
        </w:rPr>
      </w:r>
      <w:r>
        <w:rPr/>
        <w:t>户、社会等其他利益相关者的责任。公司一直坚持以负责任的态度对待自己、家人、同事、商业伙伴乃至整个社会。 </w:t>
      </w:r>
      <w:r>
        <w:rPr>
          <w:spacing w:val="-2"/>
        </w:rPr>
        <w:t>公司严格按照《公司法》、《深圳证券交易所创业板股票上市规则》、《上市公司信息披露管理办法》等相关法律法规的要</w:t>
      </w:r>
      <w:r>
        <w:rPr>
          <w:spacing w:val="-67"/>
        </w:rPr>
        <w:t> </w:t>
      </w:r>
      <w:r>
        <w:rPr>
          <w:spacing w:val="-67"/>
        </w:rPr>
      </w:r>
      <w:r>
        <w:rPr>
          <w:spacing w:val="-2"/>
        </w:rPr>
        <w:t>求，及时、准确、真实、完整地进行信息披露，通过投资者电话、电子邮箱、公司网站和投资者关系互动平台等多种方式与</w:t>
      </w:r>
      <w:r>
        <w:rPr>
          <w:spacing w:val="-72"/>
        </w:rPr>
        <w:t> </w:t>
      </w:r>
      <w:r>
        <w:rPr>
          <w:spacing w:val="-72"/>
        </w:rPr>
      </w:r>
      <w:r>
        <w:rPr/>
        <w:t>投资者进行沟通交流，提高了公司的透明度和诚信度。 </w:t>
      </w:r>
      <w:r>
        <w:rPr>
          <w:spacing w:val="-2"/>
        </w:rPr>
        <w:t>公司尊重和维护员工的个人权益，关注员工健康，定期为员工提供免费体检的福利；公司通过为员工提供知识技能等方面的</w:t>
      </w:r>
      <w:r>
        <w:rPr>
          <w:spacing w:val="-66"/>
        </w:rPr>
        <w:t> </w:t>
      </w:r>
      <w:r>
        <w:rPr>
          <w:spacing w:val="-66"/>
        </w:rPr>
      </w:r>
      <w:r>
        <w:rPr/>
        <w:t>培训，提升员工的工作和学习能力。 </w:t>
      </w:r>
      <w:r>
        <w:rPr>
          <w:spacing w:val="-2"/>
        </w:rPr>
        <w:t>公司积极参加当地民政部门的捐赠活动，关注弱势群体的帮扶工作。公司始终践行守法诚信经营的道德规范，荣获“守合同</w:t>
      </w:r>
      <w:r>
        <w:rPr>
          <w:spacing w:val="-66"/>
        </w:rPr>
        <w:t> </w:t>
      </w:r>
      <w:r>
        <w:rPr>
          <w:spacing w:val="-66"/>
        </w:rPr>
      </w:r>
      <w:r>
        <w:rPr/>
        <w:t>重信用企业”等荣誉。</w:t>
      </w:r>
    </w:p>
    <w:p>
      <w:pPr>
        <w:spacing w:line="240" w:lineRule="auto" w:before="7"/>
        <w:rPr>
          <w:rFonts w:ascii="宋体" w:hAnsi="宋体" w:cs="宋体" w:eastAsia="宋体" w:hint="default"/>
          <w:sz w:val="22"/>
          <w:szCs w:val="22"/>
        </w:rPr>
      </w:pPr>
    </w:p>
    <w:p>
      <w:pPr>
        <w:pStyle w:val="Heading3"/>
        <w:spacing w:line="240" w:lineRule="auto"/>
        <w:ind w:right="1015"/>
        <w:jc w:val="left"/>
        <w:rPr>
          <w:b w:val="0"/>
          <w:bCs w:val="0"/>
        </w:rPr>
      </w:pPr>
      <w:bookmarkStart w:name="2、履行精准扶贫社会责任情况" w:id="99"/>
      <w:bookmarkEnd w:id="99"/>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1）精准扶贫规划" w:id="100"/>
      <w:bookmarkEnd w:id="100"/>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2）年度精准扶贫概要" w:id="101"/>
      <w:bookmarkEnd w:id="101"/>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3）精准扶贫成效" w:id="102"/>
      <w:bookmarkEnd w:id="102"/>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624"/>
        <w:gridCol w:w="1553"/>
        <w:gridCol w:w="4391"/>
      </w:tblGrid>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624"/>
        <w:gridCol w:w="1553"/>
        <w:gridCol w:w="4391"/>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right="1015"/>
        <w:jc w:val="left"/>
        <w:rPr>
          <w:b w:val="0"/>
          <w:bCs w:val="0"/>
        </w:rPr>
      </w:pPr>
      <w:bookmarkStart w:name="（4）后续精准扶贫计划" w:id="103"/>
      <w:bookmarkEnd w:id="103"/>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5"/>
        <w:jc w:val="left"/>
      </w:pPr>
      <w:r>
        <w:rPr/>
        <w:t>公司报告年度暂未开展精准扶贫工作，也暂无后续精准扶贫计划。</w:t>
      </w:r>
    </w:p>
    <w:p>
      <w:pPr>
        <w:spacing w:line="240" w:lineRule="auto" w:before="12"/>
        <w:rPr>
          <w:rFonts w:ascii="宋体" w:hAnsi="宋体" w:cs="宋体" w:eastAsia="宋体" w:hint="default"/>
          <w:sz w:val="26"/>
          <w:szCs w:val="26"/>
        </w:rPr>
      </w:pPr>
    </w:p>
    <w:p>
      <w:pPr>
        <w:pStyle w:val="Heading3"/>
        <w:spacing w:line="240" w:lineRule="auto"/>
        <w:ind w:left="1133" w:right="1015"/>
        <w:jc w:val="left"/>
        <w:rPr>
          <w:b w:val="0"/>
          <w:bCs w:val="0"/>
        </w:rPr>
      </w:pPr>
      <w:bookmarkStart w:name="3、环境保护相关的情况" w:id="104"/>
      <w:bookmarkEnd w:id="104"/>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5730"/>
        <w:jc w:val="left"/>
      </w:pPr>
      <w:r>
        <w:rPr/>
        <w:t>上市公司及其子公司是否属于环境保护部门公布的重点排污单位 不适用 公司及子公司不属于环境保护部门公布的重点排污单位。</w:t>
      </w:r>
    </w:p>
    <w:p>
      <w:pPr>
        <w:spacing w:line="240" w:lineRule="auto" w:before="5"/>
        <w:rPr>
          <w:rFonts w:ascii="宋体" w:hAnsi="宋体" w:cs="宋体" w:eastAsia="宋体" w:hint="default"/>
          <w:sz w:val="18"/>
          <w:szCs w:val="18"/>
        </w:rPr>
      </w:pPr>
    </w:p>
    <w:p>
      <w:pPr>
        <w:pStyle w:val="Heading2"/>
        <w:spacing w:line="240" w:lineRule="auto"/>
        <w:ind w:right="1015"/>
        <w:jc w:val="left"/>
        <w:rPr>
          <w:b w:val="0"/>
          <w:bCs w:val="0"/>
        </w:rPr>
      </w:pPr>
      <w:bookmarkStart w:name="十八、其他重大事项的说明" w:id="105"/>
      <w:bookmarkEnd w:id="105"/>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152"/>
        <w:jc w:val="left"/>
      </w:pPr>
      <w:r>
        <w:rPr/>
        <w:t>□ 适用 √ 不适用 公司报告期不存在需要说明的其他重大事项。</w:t>
      </w:r>
    </w:p>
    <w:p>
      <w:pPr>
        <w:spacing w:line="240" w:lineRule="auto" w:before="1"/>
        <w:rPr>
          <w:rFonts w:ascii="宋体" w:hAnsi="宋体" w:cs="宋体" w:eastAsia="宋体" w:hint="default"/>
          <w:sz w:val="18"/>
          <w:szCs w:val="18"/>
        </w:rPr>
      </w:pPr>
    </w:p>
    <w:p>
      <w:pPr>
        <w:pStyle w:val="Heading2"/>
        <w:spacing w:line="240" w:lineRule="auto"/>
        <w:ind w:right="1015"/>
        <w:jc w:val="left"/>
        <w:rPr>
          <w:b w:val="0"/>
          <w:bCs w:val="0"/>
        </w:rPr>
      </w:pPr>
      <w:bookmarkStart w:name="十九、公司子公司重大事项" w:id="106"/>
      <w:bookmarkEnd w:id="106"/>
      <w:r>
        <w:rPr>
          <w:b w:val="0"/>
          <w:bCs w:val="0"/>
        </w:rPr>
      </w:r>
      <w:r>
        <w:rPr/>
        <w:t>十九、公司子公司重大事项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15"/>
        <w:jc w:val="left"/>
      </w:pPr>
      <w:r>
        <w:rPr/>
        <w:t>□ 适用 √ 不适用</w:t>
      </w:r>
    </w:p>
    <w:p>
      <w:pPr>
        <w:spacing w:after="0" w:line="240"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945" w:right="1015"/>
        <w:jc w:val="left"/>
        <w:rPr>
          <w:b w:val="0"/>
          <w:bCs w:val="0"/>
        </w:rPr>
      </w:pPr>
      <w:bookmarkStart w:name="第六节 股份变动及股东情况" w:id="107"/>
      <w:bookmarkEnd w:id="107"/>
      <w:r>
        <w:rPr>
          <w:b w:val="0"/>
          <w:bCs w:val="0"/>
        </w:rPr>
      </w:r>
      <w:bookmarkStart w:name="_bookmark5" w:id="108"/>
      <w:bookmarkEnd w:id="108"/>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1015"/>
        <w:jc w:val="left"/>
        <w:rPr>
          <w:b w:val="0"/>
          <w:bCs w:val="0"/>
        </w:rPr>
      </w:pPr>
      <w:bookmarkStart w:name="一、股份变动情况" w:id="109"/>
      <w:bookmarkEnd w:id="109"/>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5"/>
        <w:jc w:val="left"/>
        <w:rPr>
          <w:b w:val="0"/>
          <w:bCs w:val="0"/>
        </w:rPr>
      </w:pPr>
      <w:bookmarkStart w:name="1、股份变动情况" w:id="110"/>
      <w:bookmarkEnd w:id="110"/>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228"/>
        <w:gridCol w:w="823"/>
        <w:gridCol w:w="824"/>
        <w:gridCol w:w="822"/>
        <w:gridCol w:w="822"/>
        <w:gridCol w:w="822"/>
        <w:gridCol w:w="822"/>
        <w:gridCol w:w="822"/>
        <w:gridCol w:w="794"/>
        <w:gridCol w:w="794"/>
      </w:tblGrid>
      <w:tr>
        <w:trPr>
          <w:trHeight w:val="402" w:hRule="exact"/>
        </w:trPr>
        <w:tc>
          <w:tcPr>
            <w:tcW w:w="2228" w:type="dxa"/>
            <w:vMerge w:val="restart"/>
            <w:tcBorders>
              <w:top w:val="single" w:sz="4" w:space="0" w:color="000000"/>
              <w:left w:val="single" w:sz="4" w:space="0" w:color="000000"/>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8"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5" w:right="134"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5" w:right="134"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44,200,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74.92%</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97,240,</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-36,399,</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440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60,840,</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560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105,04</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0,560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55.64%</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44,200,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74.92%</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97,240,</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-36,399,</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440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60,840,</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560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105,04</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0,560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55.64%</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7,660,0</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12.98%</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16,852,</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-24,512,</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-7,660,0</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36,540,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61.93%</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80,388,</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-11,887,</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440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68,500,</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560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105,04</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0,560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55.64%</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14,800,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25.08%</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32,560,</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36,399,</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440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68,959,</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440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83,759,</w:t>
            </w:r>
          </w:p>
          <w:p>
            <w:pPr>
              <w:pStyle w:val="TableParagraph"/>
              <w:spacing w:line="240" w:lineRule="auto" w:before="105"/>
              <w:ind w:left="411" w:right="0"/>
              <w:jc w:val="left"/>
              <w:rPr>
                <w:rFonts w:ascii="Times New Roman" w:hAnsi="Times New Roman" w:cs="Times New Roman" w:eastAsia="Times New Roman" w:hint="default"/>
                <w:sz w:val="18"/>
                <w:szCs w:val="18"/>
              </w:rPr>
            </w:pPr>
            <w:r>
              <w:rPr>
                <w:rFonts w:ascii="Times New Roman"/>
                <w:sz w:val="18"/>
              </w:rPr>
              <w:t>440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44.36%</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14,800,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25.08%</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32,560,</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36,399,</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440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68,959,</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440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83,759,</w:t>
            </w:r>
          </w:p>
          <w:p>
            <w:pPr>
              <w:pStyle w:val="TableParagraph"/>
              <w:spacing w:line="240" w:lineRule="auto" w:before="105"/>
              <w:ind w:left="411" w:right="0"/>
              <w:jc w:val="left"/>
              <w:rPr>
                <w:rFonts w:ascii="Times New Roman" w:hAnsi="Times New Roman" w:cs="Times New Roman" w:eastAsia="Times New Roman" w:hint="default"/>
                <w:sz w:val="18"/>
                <w:szCs w:val="18"/>
              </w:rPr>
            </w:pPr>
            <w:r>
              <w:rPr>
                <w:rFonts w:ascii="Times New Roman"/>
                <w:sz w:val="18"/>
              </w:rPr>
              <w:t>440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44.36%</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59,000,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129,800</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129,800</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188,80</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51"/>
        <w:ind w:right="1015"/>
        <w:jc w:val="left"/>
      </w:pPr>
      <w:r>
        <w:rPr/>
        <w:t>股份变动的原因</w:t>
      </w:r>
    </w:p>
    <w:p>
      <w:pPr>
        <w:pStyle w:val="BodyText"/>
        <w:spacing w:line="338" w:lineRule="auto" w:before="117"/>
        <w:ind w:left="1133" w:right="1123"/>
        <w:jc w:val="left"/>
      </w:pPr>
      <w:r>
        <w:rPr/>
        <w:t>√ 适用 □ 不适用 公司</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27</w:t>
      </w:r>
      <w:r>
        <w:rPr/>
        <w:t>日召开的</w:t>
      </w:r>
      <w:r>
        <w:rPr>
          <w:rFonts w:ascii="宋体" w:hAnsi="宋体" w:cs="宋体" w:eastAsia="宋体" w:hint="default"/>
        </w:rPr>
        <w:t>2016</w:t>
      </w:r>
      <w:r>
        <w:rPr/>
        <w:t>年度股东大会审议通过了《</w:t>
      </w:r>
      <w:r>
        <w:rPr>
          <w:rFonts w:ascii="宋体" w:hAnsi="宋体" w:cs="宋体" w:eastAsia="宋体" w:hint="default"/>
        </w:rPr>
        <w:t>2016</w:t>
      </w:r>
      <w:r>
        <w:rPr/>
        <w:t>年度利润分配及资本公积转增股本的预案》，以公司股本总 </w:t>
      </w:r>
      <w:r>
        <w:rPr>
          <w:spacing w:val="-2"/>
        </w:rPr>
        <w:t>数</w:t>
      </w:r>
      <w:r>
        <w:rPr>
          <w:rFonts w:ascii="宋体" w:hAnsi="宋体" w:cs="宋体" w:eastAsia="宋体" w:hint="default"/>
          <w:spacing w:val="-2"/>
        </w:rPr>
        <w:t>5,900</w:t>
      </w:r>
      <w:r>
        <w:rPr>
          <w:spacing w:val="-2"/>
        </w:rPr>
        <w:t>万股为基数，以资本公积金每</w:t>
      </w:r>
      <w:r>
        <w:rPr>
          <w:rFonts w:ascii="宋体" w:hAnsi="宋体" w:cs="宋体" w:eastAsia="宋体" w:hint="default"/>
          <w:spacing w:val="-2"/>
        </w:rPr>
        <w:t>10</w:t>
      </w:r>
      <w:r>
        <w:rPr>
          <w:spacing w:val="-2"/>
        </w:rPr>
        <w:t>股转增</w:t>
      </w:r>
      <w:r>
        <w:rPr>
          <w:rFonts w:ascii="宋体" w:hAnsi="宋体" w:cs="宋体" w:eastAsia="宋体" w:hint="default"/>
          <w:spacing w:val="-2"/>
        </w:rPr>
        <w:t>22</w:t>
      </w:r>
      <w:r>
        <w:rPr>
          <w:spacing w:val="-2"/>
        </w:rPr>
        <w:t>股，合计转增</w:t>
      </w:r>
      <w:r>
        <w:rPr>
          <w:rFonts w:ascii="宋体" w:hAnsi="宋体" w:cs="宋体" w:eastAsia="宋体" w:hint="default"/>
          <w:spacing w:val="-2"/>
        </w:rPr>
        <w:t>129,800,000.00</w:t>
      </w:r>
      <w:r>
        <w:rPr>
          <w:spacing w:val="-2"/>
        </w:rPr>
        <w:t>股。资本公积转增股本已于</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18</w:t>
      </w:r>
      <w:r>
        <w:rPr>
          <w:spacing w:val="-2"/>
        </w:rPr>
        <w:t>日实</w:t>
      </w:r>
    </w:p>
    <w:p>
      <w:pPr>
        <w:pStyle w:val="BodyText"/>
        <w:spacing w:line="316" w:lineRule="auto" w:before="2"/>
        <w:ind w:left="1133" w:right="1123"/>
        <w:jc w:val="left"/>
      </w:pPr>
      <w:r>
        <w:rPr/>
        <w:t>施完毕。 </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27</w:t>
      </w:r>
      <w:r>
        <w:rPr/>
        <w:t>日召开股东大会审议通过了《关于公司监事辞职及增补监事的议案》，聘任周甜女士为公司监事。周甜女士通 过二级市场购买公司股票</w:t>
      </w:r>
      <w:r>
        <w:rPr>
          <w:rFonts w:ascii="宋体" w:hAnsi="宋体" w:cs="宋体" w:eastAsia="宋体" w:hint="default"/>
        </w:rPr>
        <w:t>320</w:t>
      </w:r>
      <w:r>
        <w:rPr/>
        <w:t>股，此部分股份在其聘任为公司监事后，由无限售股变更为高管锁定股。 </w:t>
      </w:r>
      <w:r>
        <w:rPr>
          <w:spacing w:val="-2"/>
        </w:rPr>
        <w:t>公司于</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月向深圳证券交易所和中国证券登记结算有限责任公司深圳分公司申请部分首发限售股解除限售，申请解除</w:t>
      </w:r>
      <w:r>
        <w:rPr>
          <w:spacing w:val="-58"/>
        </w:rPr>
        <w:t> </w:t>
      </w:r>
      <w:r>
        <w:rPr>
          <w:spacing w:val="-58"/>
        </w:rPr>
      </w:r>
      <w:r>
        <w:rPr/>
        <w:t>限售的限售股于</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16</w:t>
      </w:r>
      <w:r>
        <w:rPr/>
        <w:t>日上市流通。</w:t>
      </w:r>
    </w:p>
    <w:p>
      <w:pPr>
        <w:spacing w:line="240" w:lineRule="auto" w:before="0"/>
        <w:rPr>
          <w:rFonts w:ascii="宋体" w:hAnsi="宋体" w:cs="宋体" w:eastAsia="宋体" w:hint="default"/>
          <w:sz w:val="18"/>
          <w:szCs w:val="18"/>
        </w:rPr>
      </w:pPr>
    </w:p>
    <w:p>
      <w:pPr>
        <w:pStyle w:val="BodyText"/>
        <w:spacing w:line="240" w:lineRule="auto" w:before="136"/>
        <w:ind w:left="1133" w:right="1015"/>
        <w:jc w:val="left"/>
      </w:pPr>
      <w:r>
        <w:rPr/>
        <w:t>股份变动的批准情况</w:t>
      </w:r>
    </w:p>
    <w:p>
      <w:pPr>
        <w:pStyle w:val="BodyText"/>
        <w:spacing w:line="338" w:lineRule="auto" w:before="117"/>
        <w:ind w:right="1122"/>
        <w:jc w:val="left"/>
      </w:pPr>
      <w:r>
        <w:rPr/>
        <w:t>√ 适用 □ 不适用 公司</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27</w:t>
      </w:r>
      <w:r>
        <w:rPr/>
        <w:t>日召开的</w:t>
      </w:r>
      <w:r>
        <w:rPr>
          <w:rFonts w:ascii="宋体" w:hAnsi="宋体" w:cs="宋体" w:eastAsia="宋体" w:hint="default"/>
        </w:rPr>
        <w:t>2016</w:t>
      </w:r>
      <w:r>
        <w:rPr/>
        <w:t>年度股东大会审议通过了《</w:t>
      </w:r>
      <w:r>
        <w:rPr>
          <w:rFonts w:ascii="宋体" w:hAnsi="宋体" w:cs="宋体" w:eastAsia="宋体" w:hint="default"/>
        </w:rPr>
        <w:t>2016</w:t>
      </w:r>
      <w:r>
        <w:rPr/>
        <w:t>年度利润分配及资本公积转增股本的预案》，以公司股本总 </w:t>
      </w:r>
      <w:r>
        <w:rPr>
          <w:spacing w:val="-2"/>
        </w:rPr>
        <w:t>数</w:t>
      </w:r>
      <w:r>
        <w:rPr>
          <w:rFonts w:ascii="宋体" w:hAnsi="宋体" w:cs="宋体" w:eastAsia="宋体" w:hint="default"/>
          <w:spacing w:val="-2"/>
        </w:rPr>
        <w:t>5,900</w:t>
      </w:r>
      <w:r>
        <w:rPr>
          <w:spacing w:val="-2"/>
        </w:rPr>
        <w:t>万股为基数，以资本公积金每</w:t>
      </w:r>
      <w:r>
        <w:rPr>
          <w:rFonts w:ascii="宋体" w:hAnsi="宋体" w:cs="宋体" w:eastAsia="宋体" w:hint="default"/>
          <w:spacing w:val="-2"/>
        </w:rPr>
        <w:t>10</w:t>
      </w:r>
      <w:r>
        <w:rPr>
          <w:spacing w:val="-2"/>
        </w:rPr>
        <w:t>股转增</w:t>
      </w:r>
      <w:r>
        <w:rPr>
          <w:rFonts w:ascii="宋体" w:hAnsi="宋体" w:cs="宋体" w:eastAsia="宋体" w:hint="default"/>
          <w:spacing w:val="-2"/>
        </w:rPr>
        <w:t>22</w:t>
      </w:r>
      <w:r>
        <w:rPr>
          <w:spacing w:val="-2"/>
        </w:rPr>
        <w:t>股，合计转增</w:t>
      </w:r>
      <w:r>
        <w:rPr>
          <w:rFonts w:ascii="宋体" w:hAnsi="宋体" w:cs="宋体" w:eastAsia="宋体" w:hint="default"/>
          <w:spacing w:val="-2"/>
        </w:rPr>
        <w:t>129,800,000.00</w:t>
      </w:r>
      <w:r>
        <w:rPr>
          <w:spacing w:val="-2"/>
        </w:rPr>
        <w:t>股。资本公积转增股本已于</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18</w:t>
      </w:r>
      <w:r>
        <w:rPr>
          <w:spacing w:val="-2"/>
        </w:rPr>
        <w:t>日实</w:t>
      </w:r>
    </w:p>
    <w:p>
      <w:pPr>
        <w:spacing w:after="0" w:line="338"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left="1133" w:right="1015"/>
        <w:jc w:val="left"/>
      </w:pPr>
      <w:r>
        <w:rPr/>
        <w:t>施完毕。 </w:t>
      </w:r>
      <w:r>
        <w:rPr>
          <w:spacing w:val="-2"/>
        </w:rPr>
        <w:t>公司于</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月向深圳证券交易所和中国证券登记结算有限责任公司深圳分公司申请部分首发限售股解除限售，申请解除</w:t>
      </w:r>
      <w:r>
        <w:rPr>
          <w:spacing w:val="-58"/>
        </w:rPr>
        <w:t> </w:t>
      </w:r>
      <w:r>
        <w:rPr>
          <w:spacing w:val="-58"/>
        </w:rPr>
      </w:r>
      <w:r>
        <w:rPr/>
        <w:t>限售的限售股于</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16</w:t>
      </w:r>
      <w:r>
        <w:rPr/>
        <w:t>日上市流通。</w:t>
      </w:r>
    </w:p>
    <w:p>
      <w:pPr>
        <w:pStyle w:val="BodyText"/>
        <w:spacing w:line="240" w:lineRule="auto" w:before="59"/>
        <w:ind w:left="1133" w:right="1015"/>
        <w:jc w:val="left"/>
      </w:pPr>
      <w:r>
        <w:rPr/>
        <w:t>股份变动的过户情况</w:t>
      </w:r>
    </w:p>
    <w:p>
      <w:pPr>
        <w:pStyle w:val="BodyText"/>
        <w:spacing w:line="338" w:lineRule="auto" w:before="117"/>
        <w:ind w:left="1133" w:right="1015"/>
        <w:jc w:val="left"/>
      </w:pPr>
      <w:r>
        <w:rPr/>
        <w:t>√ 适用 □ 不适用 </w:t>
      </w:r>
      <w:r>
        <w:rPr>
          <w:spacing w:val="-2"/>
        </w:rPr>
        <w:t>公司以资本公积转增的股本、部分首发限售股解除限售，已全部在中国证券登记结算有限责任公司深圳分公司办理了证券登</w:t>
      </w:r>
      <w:r>
        <w:rPr>
          <w:spacing w:val="-64"/>
        </w:rPr>
        <w:t> </w:t>
      </w:r>
      <w:r>
        <w:rPr>
          <w:spacing w:val="-64"/>
        </w:rPr>
      </w:r>
      <w:r>
        <w:rPr/>
        <w:t>记手续。</w:t>
      </w:r>
    </w:p>
    <w:p>
      <w:pPr>
        <w:pStyle w:val="BodyText"/>
        <w:spacing w:line="240" w:lineRule="auto" w:before="43"/>
        <w:ind w:left="1133" w:right="1015"/>
        <w:jc w:val="left"/>
      </w:pPr>
      <w:r>
        <w:rPr/>
        <w:t>股份变动对最近一年和最近一期基本每股收益和稀释每股收益、归属于公司普通股股东的每股净资产等财务指标的影响</w:t>
      </w:r>
    </w:p>
    <w:p>
      <w:pPr>
        <w:pStyle w:val="BodyText"/>
        <w:spacing w:line="357" w:lineRule="auto" w:before="117"/>
        <w:ind w:left="1493" w:right="1123" w:hanging="360"/>
        <w:jc w:val="left"/>
      </w:pPr>
      <w:r>
        <w:rPr/>
        <w:t>√ 适用 □ 不适用 公司于</w:t>
      </w:r>
      <w:r>
        <w:rPr>
          <w:rFonts w:ascii="宋体" w:hAnsi="宋体" w:cs="宋体" w:eastAsia="宋体" w:hint="default"/>
        </w:rPr>
        <w:t>2017</w:t>
      </w:r>
      <w:r>
        <w:rPr/>
        <w:t>年</w:t>
      </w:r>
      <w:r>
        <w:rPr>
          <w:rFonts w:ascii="宋体" w:hAnsi="宋体" w:cs="宋体" w:eastAsia="宋体" w:hint="default"/>
        </w:rPr>
        <w:t>4</w:t>
      </w:r>
      <w:r>
        <w:rPr/>
        <w:t>月实施完毕</w:t>
      </w:r>
      <w:r>
        <w:rPr>
          <w:rFonts w:ascii="宋体" w:hAnsi="宋体" w:cs="宋体" w:eastAsia="宋体" w:hint="default"/>
        </w:rPr>
        <w:t>2016</w:t>
      </w:r>
      <w:r>
        <w:rPr/>
        <w:t>年度利润分配方案，公司以</w:t>
      </w:r>
      <w:r>
        <w:rPr>
          <w:rFonts w:ascii="宋体" w:hAnsi="宋体" w:cs="宋体" w:eastAsia="宋体" w:hint="default"/>
        </w:rPr>
        <w:t>5900</w:t>
      </w:r>
      <w:r>
        <w:rPr/>
        <w:t>万股为基数，以资本公积每</w:t>
      </w:r>
      <w:r>
        <w:rPr>
          <w:rFonts w:ascii="宋体" w:hAnsi="宋体" w:cs="宋体" w:eastAsia="宋体" w:hint="default"/>
        </w:rPr>
        <w:t>10</w:t>
      </w:r>
      <w:r>
        <w:rPr/>
        <w:t>股转增</w:t>
      </w:r>
      <w:r>
        <w:rPr>
          <w:rFonts w:ascii="宋体" w:hAnsi="宋体" w:cs="宋体" w:eastAsia="宋体" w:hint="default"/>
        </w:rPr>
        <w:t>22</w:t>
      </w:r>
      <w:r>
        <w:rPr/>
        <w:t>股股本，资本公</w:t>
      </w:r>
    </w:p>
    <w:p>
      <w:pPr>
        <w:pStyle w:val="BodyText"/>
        <w:spacing w:line="224" w:lineRule="exact"/>
        <w:ind w:right="0"/>
        <w:jc w:val="left"/>
      </w:pPr>
      <w:r>
        <w:rPr/>
        <w:t>积转增股本后总股数为</w:t>
      </w:r>
      <w:r>
        <w:rPr>
          <w:rFonts w:ascii="宋体" w:hAnsi="宋体" w:cs="宋体" w:eastAsia="宋体" w:hint="default"/>
        </w:rPr>
        <w:t>18,880</w:t>
      </w:r>
      <w:r>
        <w:rPr/>
        <w:t>万元，对最近一年和最近一期基本每股收益和稀释每股收益、归属于公司普通股股东的每股净</w:t>
      </w:r>
    </w:p>
    <w:p>
      <w:pPr>
        <w:pStyle w:val="BodyText"/>
        <w:spacing w:line="319" w:lineRule="auto" w:before="76"/>
        <w:ind w:left="1133" w:right="1130"/>
        <w:jc w:val="both"/>
      </w:pPr>
      <w:r>
        <w:rPr>
          <w:spacing w:val="-2"/>
        </w:rPr>
        <w:t>资产等财务指标的影响为：报告期内公司基本每股收益为</w:t>
      </w:r>
      <w:r>
        <w:rPr>
          <w:rFonts w:ascii="宋体" w:hAnsi="宋体" w:cs="宋体" w:eastAsia="宋体" w:hint="default"/>
          <w:spacing w:val="-2"/>
        </w:rPr>
        <w:t>0.09</w:t>
      </w:r>
      <w:r>
        <w:rPr>
          <w:spacing w:val="-2"/>
        </w:rPr>
        <w:t>元</w:t>
      </w:r>
      <w:r>
        <w:rPr>
          <w:rFonts w:ascii="宋体" w:hAnsi="宋体" w:cs="宋体" w:eastAsia="宋体" w:hint="default"/>
          <w:spacing w:val="-2"/>
        </w:rPr>
        <w:t>/</w:t>
      </w:r>
      <w:r>
        <w:rPr>
          <w:spacing w:val="-2"/>
        </w:rPr>
        <w:t>股，同比下降</w:t>
      </w:r>
      <w:r>
        <w:rPr>
          <w:rFonts w:ascii="宋体" w:hAnsi="宋体" w:cs="宋体" w:eastAsia="宋体" w:hint="default"/>
          <w:spacing w:val="-2"/>
        </w:rPr>
        <w:t>82.94%</w:t>
      </w:r>
      <w:r>
        <w:rPr>
          <w:spacing w:val="-2"/>
        </w:rPr>
        <w:t>；稀释每股收益为</w:t>
      </w:r>
      <w:r>
        <w:rPr>
          <w:rFonts w:ascii="宋体" w:hAnsi="宋体" w:cs="宋体" w:eastAsia="宋体" w:hint="default"/>
          <w:spacing w:val="-2"/>
        </w:rPr>
        <w:t>0.09</w:t>
      </w:r>
      <w:r>
        <w:rPr>
          <w:spacing w:val="-2"/>
        </w:rPr>
        <w:t>元</w:t>
      </w:r>
      <w:r>
        <w:rPr>
          <w:rFonts w:ascii="宋体" w:hAnsi="宋体" w:cs="宋体" w:eastAsia="宋体" w:hint="default"/>
          <w:spacing w:val="-2"/>
        </w:rPr>
        <w:t>/</w:t>
      </w:r>
      <w:r>
        <w:rPr>
          <w:spacing w:val="-2"/>
        </w:rPr>
        <w:t>股，同比下</w:t>
      </w:r>
      <w:r>
        <w:rPr>
          <w:spacing w:val="-51"/>
        </w:rPr>
        <w:t> </w:t>
      </w:r>
      <w:r>
        <w:rPr>
          <w:spacing w:val="-51"/>
        </w:rPr>
      </w:r>
      <w:r>
        <w:rPr/>
        <w:t>降</w:t>
      </w:r>
      <w:r>
        <w:rPr>
          <w:rFonts w:ascii="宋体" w:hAnsi="宋体" w:cs="宋体" w:eastAsia="宋体" w:hint="default"/>
        </w:rPr>
        <w:t>82.94%</w:t>
      </w:r>
      <w:r>
        <w:rPr/>
        <w:t>。报告期归属于上市公司股东的每股净资产为</w:t>
      </w:r>
      <w:r>
        <w:rPr>
          <w:rFonts w:ascii="宋体" w:hAnsi="宋体" w:cs="宋体" w:eastAsia="宋体" w:hint="default"/>
        </w:rPr>
        <w:t>2.71</w:t>
      </w:r>
      <w:r>
        <w:rPr/>
        <w:t>元</w:t>
      </w:r>
      <w:r>
        <w:rPr>
          <w:rFonts w:ascii="宋体" w:hAnsi="宋体" w:cs="宋体" w:eastAsia="宋体" w:hint="default"/>
        </w:rPr>
        <w:t>/</w:t>
      </w:r>
      <w:r>
        <w:rPr/>
        <w:t>股，同比下降</w:t>
      </w:r>
      <w:r>
        <w:rPr>
          <w:rFonts w:ascii="宋体" w:hAnsi="宋体" w:cs="宋体" w:eastAsia="宋体" w:hint="default"/>
        </w:rPr>
        <w:t>68.38%</w:t>
      </w:r>
      <w:r>
        <w:rPr/>
        <w:t>，主要系报告期内归属于上市公司股东 净利润减少所致。</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40" w:lineRule="auto"/>
        <w:ind w:left="1133" w:right="1015"/>
        <w:jc w:val="left"/>
      </w:pPr>
      <w:r>
        <w:rPr/>
        <w:t>公司认为必要或证券监管机构要求披露的其他内容</w:t>
      </w:r>
    </w:p>
    <w:p>
      <w:pPr>
        <w:pStyle w:val="BodyText"/>
        <w:spacing w:line="240" w:lineRule="auto" w:before="117"/>
        <w:ind w:left="1133" w:right="1015"/>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015"/>
        <w:jc w:val="left"/>
        <w:rPr>
          <w:b w:val="0"/>
          <w:bCs w:val="0"/>
        </w:rPr>
      </w:pPr>
      <w:bookmarkStart w:name="2、限售股份变动情况" w:id="111"/>
      <w:bookmarkEnd w:id="111"/>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15"/>
        <w:jc w:val="left"/>
      </w:pPr>
      <w:r>
        <w:rPr/>
        <w:t>√ 适用 □ 不适用</w:t>
      </w:r>
    </w:p>
    <w:p>
      <w:pPr>
        <w:pStyle w:val="BodyText"/>
        <w:spacing w:line="240" w:lineRule="auto" w:before="116"/>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99" w:right="138"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99" w:right="138"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5" w:right="134" w:hanging="450"/>
              <w:jc w:val="left"/>
              <w:rPr>
                <w:rFonts w:ascii="宋体" w:hAnsi="宋体" w:cs="宋体" w:eastAsia="宋体" w:hint="default"/>
                <w:sz w:val="18"/>
                <w:szCs w:val="18"/>
              </w:rPr>
            </w:pPr>
            <w:r>
              <w:rPr>
                <w:rFonts w:ascii="宋体" w:hAnsi="宋体" w:cs="宋体" w:eastAsia="宋体" w:hint="default"/>
                <w:sz w:val="18"/>
                <w:szCs w:val="18"/>
              </w:rPr>
              <w:t>拟解除限售日 期</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潘伟潮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26,846,400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59,062,080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85,908,480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麦炯章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4,002,600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3,202,080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8,805,720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9,606,240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2"/>
              <w:jc w:val="both"/>
              <w:rPr>
                <w:rFonts w:ascii="宋体" w:hAnsi="宋体" w:cs="宋体" w:eastAsia="宋体" w:hint="default"/>
                <w:sz w:val="18"/>
                <w:szCs w:val="18"/>
              </w:rPr>
            </w:pPr>
            <w:r>
              <w:rPr>
                <w:rFonts w:ascii="宋体" w:hAnsi="宋体" w:cs="宋体" w:eastAsia="宋体" w:hint="default"/>
                <w:sz w:val="18"/>
                <w:szCs w:val="18"/>
              </w:rPr>
              <w:t>高管锁定股每 年第一个交易 日解锁其拥有 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中山市汇康股 全投资合伙企 </w:t>
            </w:r>
            <w:r>
              <w:rPr>
                <w:rFonts w:ascii="宋体" w:hAnsi="宋体" w:cs="宋体" w:eastAsia="宋体" w:hint="default"/>
                <w:spacing w:val="-4"/>
                <w:sz w:val="18"/>
                <w:szCs w:val="18"/>
              </w:rPr>
              <w:t>业（有限合伙）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2,940,000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9,408,000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6,468,000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74"/>
              <w:jc w:val="left"/>
              <w:rPr>
                <w:rFonts w:ascii="宋体" w:hAnsi="宋体" w:cs="宋体" w:eastAsia="宋体" w:hint="default"/>
                <w:sz w:val="18"/>
                <w:szCs w:val="18"/>
              </w:rPr>
            </w:pPr>
            <w:r>
              <w:rPr>
                <w:rFonts w:ascii="宋体" w:hAnsi="宋体" w:cs="宋体" w:eastAsia="宋体" w:hint="default"/>
                <w:sz w:val="18"/>
                <w:szCs w:val="18"/>
              </w:rPr>
              <w:t>首发前限售股 解除限售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中山市协润股 权投资合伙企 </w:t>
            </w:r>
            <w:r>
              <w:rPr>
                <w:rFonts w:ascii="宋体" w:hAnsi="宋体" w:cs="宋体" w:eastAsia="宋体" w:hint="default"/>
                <w:spacing w:val="-4"/>
                <w:sz w:val="18"/>
                <w:szCs w:val="18"/>
              </w:rPr>
              <w:t>业（有限合伙）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2,520,000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8,064,000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5,544,000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74"/>
              <w:jc w:val="left"/>
              <w:rPr>
                <w:rFonts w:ascii="宋体" w:hAnsi="宋体" w:cs="宋体" w:eastAsia="宋体" w:hint="default"/>
                <w:sz w:val="18"/>
                <w:szCs w:val="18"/>
              </w:rPr>
            </w:pPr>
            <w:r>
              <w:rPr>
                <w:rFonts w:ascii="宋体" w:hAnsi="宋体" w:cs="宋体" w:eastAsia="宋体" w:hint="default"/>
                <w:sz w:val="18"/>
                <w:szCs w:val="18"/>
              </w:rPr>
              <w:t>首发前限售股 解除限售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7"/>
              <w:jc w:val="left"/>
              <w:rPr>
                <w:rFonts w:ascii="宋体" w:hAnsi="宋体" w:cs="宋体" w:eastAsia="宋体" w:hint="default"/>
                <w:sz w:val="18"/>
                <w:szCs w:val="18"/>
              </w:rPr>
            </w:pPr>
            <w:r>
              <w:rPr>
                <w:rFonts w:ascii="宋体" w:hAnsi="宋体" w:cs="宋体" w:eastAsia="宋体" w:hint="default"/>
                <w:sz w:val="18"/>
                <w:szCs w:val="18"/>
              </w:rPr>
              <w:t>高榕资本（深 圳）投资中心</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7,040,000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74"/>
              <w:jc w:val="left"/>
              <w:rPr>
                <w:rFonts w:ascii="宋体" w:hAnsi="宋体" w:cs="宋体" w:eastAsia="宋体" w:hint="default"/>
                <w:sz w:val="18"/>
                <w:szCs w:val="18"/>
              </w:rPr>
            </w:pPr>
            <w:r>
              <w:rPr>
                <w:rFonts w:ascii="宋体" w:hAnsi="宋体" w:cs="宋体" w:eastAsia="宋体" w:hint="default"/>
                <w:sz w:val="18"/>
                <w:szCs w:val="18"/>
              </w:rPr>
              <w:t>首发前限售股 解除限售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67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沙华海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1,692,600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1,354,080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3,723,720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4,062,240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7"/>
              <w:jc w:val="left"/>
              <w:rPr>
                <w:rFonts w:ascii="宋体" w:hAnsi="宋体" w:cs="宋体" w:eastAsia="宋体" w:hint="default"/>
                <w:sz w:val="18"/>
                <w:szCs w:val="18"/>
              </w:rPr>
            </w:pPr>
            <w:r>
              <w:rPr>
                <w:rFonts w:ascii="宋体" w:hAnsi="宋体" w:cs="宋体" w:eastAsia="宋体" w:hint="default"/>
                <w:sz w:val="18"/>
                <w:szCs w:val="18"/>
              </w:rPr>
              <w:t>高管锁定股每 年第一个交易</w:t>
            </w:r>
          </w:p>
        </w:tc>
      </w:tr>
    </w:tbl>
    <w:p>
      <w:pPr>
        <w:spacing w:after="0" w:line="316"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674" w:hRule="exact"/>
        </w:trPr>
        <w:tc>
          <w:tcPr>
            <w:tcW w:w="136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52"/>
              <w:jc w:val="left"/>
              <w:rPr>
                <w:rFonts w:ascii="宋体" w:hAnsi="宋体" w:cs="宋体" w:eastAsia="宋体" w:hint="default"/>
                <w:sz w:val="18"/>
                <w:szCs w:val="18"/>
              </w:rPr>
            </w:pPr>
            <w:r>
              <w:rPr>
                <w:rFonts w:ascii="宋体" w:hAnsi="宋体" w:cs="宋体" w:eastAsia="宋体" w:hint="default"/>
                <w:sz w:val="18"/>
                <w:szCs w:val="18"/>
              </w:rPr>
              <w:t>日解锁其拥有 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欧高良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1,436,400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1,149,120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3,160,080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3,447,360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52"/>
              <w:jc w:val="both"/>
              <w:rPr>
                <w:rFonts w:ascii="宋体" w:hAnsi="宋体" w:cs="宋体" w:eastAsia="宋体" w:hint="default"/>
                <w:sz w:val="18"/>
                <w:szCs w:val="18"/>
              </w:rPr>
            </w:pPr>
            <w:r>
              <w:rPr>
                <w:rFonts w:ascii="宋体" w:hAnsi="宋体" w:cs="宋体" w:eastAsia="宋体" w:hint="default"/>
                <w:sz w:val="18"/>
                <w:szCs w:val="18"/>
              </w:rPr>
              <w:t>高管锁定股每 年第一个交易 日解锁其拥有 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吕宏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1,386,000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4,435,200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3,049,200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4"/>
              <w:jc w:val="left"/>
              <w:rPr>
                <w:rFonts w:ascii="宋体" w:hAnsi="宋体" w:cs="宋体" w:eastAsia="宋体" w:hint="default"/>
                <w:sz w:val="18"/>
                <w:szCs w:val="18"/>
              </w:rPr>
            </w:pPr>
            <w:r>
              <w:rPr>
                <w:rFonts w:ascii="宋体" w:hAnsi="宋体" w:cs="宋体" w:eastAsia="宋体" w:hint="default"/>
                <w:sz w:val="18"/>
                <w:szCs w:val="18"/>
              </w:rPr>
              <w:t>首发前限售股 解除限售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840,000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672,000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1,848,000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2,016,000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74"/>
              <w:jc w:val="left"/>
              <w:rPr>
                <w:rFonts w:ascii="宋体" w:hAnsi="宋体" w:cs="宋体" w:eastAsia="宋体" w:hint="default"/>
                <w:sz w:val="18"/>
                <w:szCs w:val="18"/>
              </w:rPr>
            </w:pPr>
            <w:r>
              <w:rPr>
                <w:rFonts w:ascii="宋体" w:hAnsi="宋体" w:cs="宋体" w:eastAsia="宋体" w:hint="default"/>
                <w:sz w:val="18"/>
                <w:szCs w:val="18"/>
              </w:rPr>
              <w:t>离任高管锁定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2"/>
              <w:jc w:val="both"/>
              <w:rPr>
                <w:rFonts w:ascii="宋体" w:hAnsi="宋体" w:cs="宋体" w:eastAsia="宋体" w:hint="default"/>
                <w:sz w:val="18"/>
                <w:szCs w:val="18"/>
              </w:rPr>
            </w:pPr>
            <w:r>
              <w:rPr>
                <w:rFonts w:ascii="宋体" w:hAnsi="宋体" w:cs="宋体" w:eastAsia="宋体" w:hint="default"/>
                <w:sz w:val="18"/>
                <w:szCs w:val="18"/>
              </w:rPr>
              <w:t>高管锁定股每 年第一个交易 日解锁其拥有 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周康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336,000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1,075,200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739,200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4"/>
              <w:jc w:val="left"/>
              <w:rPr>
                <w:rFonts w:ascii="宋体" w:hAnsi="宋体" w:cs="宋体" w:eastAsia="宋体" w:hint="default"/>
                <w:sz w:val="18"/>
                <w:szCs w:val="18"/>
              </w:rPr>
            </w:pPr>
            <w:r>
              <w:rPr>
                <w:rFonts w:ascii="宋体" w:hAnsi="宋体" w:cs="宋体" w:eastAsia="宋体" w:hint="default"/>
                <w:sz w:val="18"/>
                <w:szCs w:val="18"/>
              </w:rPr>
              <w:t>首发前限售股 解除限售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周甜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2"/>
              <w:jc w:val="both"/>
              <w:rPr>
                <w:rFonts w:ascii="宋体" w:hAnsi="宋体" w:cs="宋体" w:eastAsia="宋体" w:hint="default"/>
                <w:sz w:val="18"/>
                <w:szCs w:val="18"/>
              </w:rPr>
            </w:pPr>
            <w:r>
              <w:rPr>
                <w:rFonts w:ascii="宋体" w:hAnsi="宋体" w:cs="宋体" w:eastAsia="宋体" w:hint="default"/>
                <w:sz w:val="18"/>
                <w:szCs w:val="18"/>
              </w:rPr>
              <w:t>高管锁定股每 年第一个交易 日解锁其拥有 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44,200,000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36,399,760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97,240,320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105,040,560</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1015"/>
        <w:jc w:val="left"/>
        <w:rPr>
          <w:b w:val="0"/>
          <w:bCs w:val="0"/>
        </w:rPr>
      </w:pPr>
      <w:bookmarkStart w:name="二、证券发行与上市情况" w:id="112"/>
      <w:bookmarkEnd w:id="112"/>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5"/>
        <w:jc w:val="left"/>
        <w:rPr>
          <w:b w:val="0"/>
          <w:bCs w:val="0"/>
        </w:rPr>
      </w:pPr>
      <w:bookmarkStart w:name="1、报告期内证券发行（不含优先股）情况" w:id="113"/>
      <w:bookmarkEnd w:id="113"/>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1015"/>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015"/>
        <w:jc w:val="left"/>
        <w:rPr>
          <w:b w:val="0"/>
          <w:bCs w:val="0"/>
        </w:rPr>
      </w:pPr>
      <w:bookmarkStart w:name="2、公司股份总数及股东结构的变动、公司资产和负债结构的变动情况说明" w:id="114"/>
      <w:bookmarkEnd w:id="114"/>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15"/>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1015"/>
        <w:jc w:val="left"/>
        <w:rPr>
          <w:b w:val="0"/>
          <w:bCs w:val="0"/>
        </w:rPr>
      </w:pPr>
      <w:bookmarkStart w:name="3、现存的内部职工股情况" w:id="115"/>
      <w:bookmarkEnd w:id="115"/>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15"/>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1015"/>
        <w:jc w:val="left"/>
        <w:rPr>
          <w:b w:val="0"/>
          <w:bCs w:val="0"/>
        </w:rPr>
      </w:pPr>
      <w:bookmarkStart w:name="三、股东和实际控制人情况" w:id="116"/>
      <w:bookmarkEnd w:id="116"/>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5"/>
        <w:jc w:val="left"/>
        <w:rPr>
          <w:b w:val="0"/>
          <w:bCs w:val="0"/>
        </w:rPr>
      </w:pPr>
      <w:bookmarkStart w:name="1、公司股东数量及持股情况" w:id="117"/>
      <w:bookmarkEnd w:id="117"/>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34"/>
        <w:gridCol w:w="796"/>
        <w:gridCol w:w="1462"/>
        <w:gridCol w:w="1196"/>
        <w:gridCol w:w="1330"/>
        <w:gridCol w:w="1064"/>
        <w:gridCol w:w="1328"/>
        <w:gridCol w:w="1060"/>
      </w:tblGrid>
      <w:tr>
        <w:trPr>
          <w:trHeight w:val="986"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103" w:right="139"/>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88" w:right="0"/>
              <w:jc w:val="left"/>
              <w:rPr>
                <w:rFonts w:ascii="Times New Roman" w:hAnsi="Times New Roman" w:cs="Times New Roman" w:eastAsia="Times New Roman" w:hint="default"/>
                <w:sz w:val="18"/>
                <w:szCs w:val="18"/>
              </w:rPr>
            </w:pPr>
            <w:r>
              <w:rPr>
                <w:rFonts w:ascii="Times New Roman"/>
                <w:sz w:val="18"/>
              </w:rPr>
              <w:t>24,777</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6"/>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588" w:right="0"/>
              <w:jc w:val="left"/>
              <w:rPr>
                <w:rFonts w:ascii="Times New Roman" w:hAnsi="Times New Roman" w:cs="Times New Roman" w:eastAsia="Times New Roman" w:hint="default"/>
                <w:sz w:val="18"/>
                <w:szCs w:val="18"/>
              </w:rPr>
            </w:pPr>
            <w:r>
              <w:rPr>
                <w:rFonts w:ascii="Times New Roman"/>
                <w:sz w:val="18"/>
              </w:rPr>
              <w:t>22,528</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34"/>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01"/>
              <w:jc w:val="right"/>
              <w:rPr>
                <w:rFonts w:ascii="Times New Roman" w:hAnsi="Times New Roman" w:cs="Times New Roman" w:eastAsia="Times New Roman" w:hint="default"/>
                <w:sz w:val="18"/>
                <w:szCs w:val="18"/>
              </w:rPr>
            </w:pPr>
            <w:r>
              <w:rPr>
                <w:rFonts w:ascii="Times New Roman"/>
                <w:sz w:val="18"/>
              </w:rPr>
              <w:t>0</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34"/>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02"/>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34"/>
        <w:gridCol w:w="135"/>
        <w:gridCol w:w="661"/>
        <w:gridCol w:w="750"/>
        <w:gridCol w:w="750"/>
        <w:gridCol w:w="825"/>
        <w:gridCol w:w="332"/>
        <w:gridCol w:w="456"/>
        <w:gridCol w:w="830"/>
        <w:gridCol w:w="796"/>
        <w:gridCol w:w="311"/>
        <w:gridCol w:w="1038"/>
        <w:gridCol w:w="290"/>
        <w:gridCol w:w="1060"/>
      </w:tblGrid>
      <w:tr>
        <w:trPr>
          <w:trHeight w:val="991"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6" w:type="dxa"/>
            <w:gridSpan w:val="2"/>
            <w:tcBorders>
              <w:top w:val="single" w:sz="4" w:space="0" w:color="000000"/>
              <w:left w:val="single" w:sz="4" w:space="0" w:color="000000"/>
              <w:bottom w:val="single" w:sz="4" w:space="0" w:color="000000"/>
              <w:right w:val="single" w:sz="4" w:space="0" w:color="000000"/>
            </w:tcBorders>
          </w:tcPr>
          <w:p>
            <w:pPr/>
          </w:p>
        </w:tc>
        <w:tc>
          <w:tcPr>
            <w:tcW w:w="15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数</w:t>
            </w:r>
          </w:p>
        </w:tc>
        <w:tc>
          <w:tcPr>
            <w:tcW w:w="1157" w:type="dxa"/>
            <w:gridSpan w:val="2"/>
            <w:tcBorders>
              <w:top w:val="single" w:sz="4" w:space="0" w:color="000000"/>
              <w:left w:val="single" w:sz="4" w:space="0" w:color="000000"/>
              <w:bottom w:val="single" w:sz="4" w:space="0" w:color="000000"/>
              <w:right w:val="single" w:sz="4" w:space="0" w:color="000000"/>
            </w:tcBorders>
          </w:tcPr>
          <w:p>
            <w:pPr/>
          </w:p>
        </w:tc>
        <w:tc>
          <w:tcPr>
            <w:tcW w:w="12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03" w:right="92"/>
              <w:jc w:val="left"/>
              <w:rPr>
                <w:rFonts w:ascii="宋体" w:hAnsi="宋体" w:cs="宋体" w:eastAsia="宋体" w:hint="default"/>
                <w:sz w:val="18"/>
                <w:szCs w:val="18"/>
              </w:rPr>
            </w:pPr>
            <w:r>
              <w:rPr>
                <w:rFonts w:ascii="宋体" w:hAnsi="宋体" w:cs="宋体" w:eastAsia="宋体" w:hint="default"/>
                <w:sz w:val="18"/>
                <w:szCs w:val="18"/>
              </w:rPr>
              <w:t>（如有）（参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7" w:type="dxa"/>
            <w:gridSpan w:val="2"/>
            <w:tcBorders>
              <w:top w:val="single" w:sz="4" w:space="0" w:color="000000"/>
              <w:left w:val="single" w:sz="4" w:space="0" w:color="000000"/>
              <w:bottom w:val="single" w:sz="4" w:space="0" w:color="000000"/>
              <w:right w:val="single" w:sz="4" w:space="0" w:color="000000"/>
            </w:tcBorders>
          </w:tcPr>
          <w:p>
            <w:pPr/>
          </w:p>
        </w:tc>
        <w:tc>
          <w:tcPr>
            <w:tcW w:w="13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01" w:right="102"/>
              <w:jc w:val="both"/>
              <w:rPr>
                <w:rFonts w:ascii="宋体" w:hAnsi="宋体" w:cs="宋体" w:eastAsia="宋体" w:hint="default"/>
                <w:sz w:val="18"/>
                <w:szCs w:val="18"/>
              </w:rPr>
            </w:pPr>
            <w:r>
              <w:rPr>
                <w:rFonts w:ascii="宋体" w:hAnsi="宋体" w:cs="宋体" w:eastAsia="宋体" w:hint="default"/>
                <w:sz w:val="18"/>
                <w:szCs w:val="18"/>
              </w:rPr>
              <w:t>优先股股东总 </w:t>
            </w:r>
            <w:r>
              <w:rPr>
                <w:rFonts w:ascii="宋体" w:hAnsi="宋体" w:cs="宋体" w:eastAsia="宋体" w:hint="default"/>
                <w:spacing w:val="-22"/>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98" w:right="79"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8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56" w:right="116"/>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8" w:right="119"/>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8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7" w:right="160"/>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1" w:right="143"/>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69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825" w:type="dxa"/>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30"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31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潘伟潮</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45.50%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85,908,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480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59,062,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080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85,908,</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480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6" w:right="0"/>
              <w:jc w:val="left"/>
              <w:rPr>
                <w:rFonts w:ascii="Times New Roman" w:hAnsi="Times New Roman" w:cs="Times New Roman" w:eastAsia="Times New Roman" w:hint="default"/>
                <w:sz w:val="18"/>
                <w:szCs w:val="18"/>
              </w:rPr>
            </w:pPr>
            <w:r>
              <w:rPr>
                <w:rFonts w:ascii="Times New Roman"/>
                <w:sz w:val="18"/>
              </w:rPr>
              <w:t>19,200,000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麦炯章</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6.78%</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12,808,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320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8,805,7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9,606,2</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40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3,202,0</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80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6" w:right="0"/>
              <w:jc w:val="left"/>
              <w:rPr>
                <w:rFonts w:ascii="Times New Roman" w:hAnsi="Times New Roman" w:cs="Times New Roman" w:eastAsia="Times New Roman" w:hint="default"/>
                <w:sz w:val="18"/>
                <w:szCs w:val="18"/>
              </w:rPr>
            </w:pPr>
            <w:r>
              <w:rPr>
                <w:rFonts w:ascii="Times New Roman"/>
                <w:sz w:val="18"/>
              </w:rPr>
              <w:t>10,280,320</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94"/>
              <w:jc w:val="left"/>
              <w:rPr>
                <w:rFonts w:ascii="宋体" w:hAnsi="宋体" w:cs="宋体" w:eastAsia="宋体" w:hint="default"/>
                <w:sz w:val="18"/>
                <w:szCs w:val="18"/>
              </w:rPr>
            </w:pPr>
            <w:r>
              <w:rPr>
                <w:rFonts w:ascii="宋体" w:hAnsi="宋体" w:cs="宋体" w:eastAsia="宋体" w:hint="default"/>
                <w:sz w:val="18"/>
                <w:szCs w:val="18"/>
              </w:rPr>
              <w:t>中山市汇康股 权投资合伙企 业（有限合伙）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216"/>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4.98%</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9,408,0</w:t>
            </w:r>
          </w:p>
          <w:p>
            <w:pPr>
              <w:pStyle w:val="TableParagraph"/>
              <w:spacing w:line="240" w:lineRule="auto" w:before="105"/>
              <w:ind w:left="531" w:right="0"/>
              <w:jc w:val="left"/>
              <w:rPr>
                <w:rFonts w:ascii="Times New Roman" w:hAnsi="Times New Roman" w:cs="Times New Roman" w:eastAsia="Times New Roman" w:hint="default"/>
                <w:sz w:val="18"/>
                <w:szCs w:val="18"/>
              </w:rPr>
            </w:pPr>
            <w:r>
              <w:rPr>
                <w:rFonts w:ascii="Times New Roman"/>
                <w:sz w:val="18"/>
              </w:rPr>
              <w:t>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6,468,0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6"/>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9,408,0</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94"/>
              <w:jc w:val="left"/>
              <w:rPr>
                <w:rFonts w:ascii="宋体" w:hAnsi="宋体" w:cs="宋体" w:eastAsia="宋体" w:hint="default"/>
                <w:sz w:val="18"/>
                <w:szCs w:val="18"/>
              </w:rPr>
            </w:pPr>
            <w:r>
              <w:rPr>
                <w:rFonts w:ascii="宋体" w:hAnsi="宋体" w:cs="宋体" w:eastAsia="宋体" w:hint="default"/>
                <w:sz w:val="18"/>
                <w:szCs w:val="18"/>
              </w:rPr>
              <w:t>中山市协润股 权投资合伙企 业（有限合伙）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216"/>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4.27%</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8,064,0</w:t>
            </w:r>
          </w:p>
          <w:p>
            <w:pPr>
              <w:pStyle w:val="TableParagraph"/>
              <w:spacing w:line="240" w:lineRule="auto" w:before="105"/>
              <w:ind w:left="531" w:right="0"/>
              <w:jc w:val="left"/>
              <w:rPr>
                <w:rFonts w:ascii="Times New Roman" w:hAnsi="Times New Roman" w:cs="Times New Roman" w:eastAsia="Times New Roman" w:hint="default"/>
                <w:sz w:val="18"/>
                <w:szCs w:val="18"/>
              </w:rPr>
            </w:pPr>
            <w:r>
              <w:rPr>
                <w:rFonts w:ascii="Times New Roman"/>
                <w:sz w:val="18"/>
              </w:rPr>
              <w:t>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5,544,0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6"/>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8,064,0</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4"/>
              <w:jc w:val="left"/>
              <w:rPr>
                <w:rFonts w:ascii="宋体" w:hAnsi="宋体" w:cs="宋体" w:eastAsia="宋体" w:hint="default"/>
                <w:sz w:val="18"/>
                <w:szCs w:val="18"/>
              </w:rPr>
            </w:pPr>
            <w:r>
              <w:rPr>
                <w:rFonts w:ascii="宋体" w:hAnsi="宋体" w:cs="宋体" w:eastAsia="宋体" w:hint="default"/>
                <w:sz w:val="18"/>
                <w:szCs w:val="18"/>
              </w:rPr>
              <w:t>高榕资本（深 圳）投资中心</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216"/>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3.73%</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7,040,0</w:t>
            </w:r>
          </w:p>
          <w:p>
            <w:pPr>
              <w:pStyle w:val="TableParagraph"/>
              <w:spacing w:line="240" w:lineRule="auto" w:before="105"/>
              <w:ind w:left="531" w:right="0"/>
              <w:jc w:val="left"/>
              <w:rPr>
                <w:rFonts w:ascii="Times New Roman" w:hAnsi="Times New Roman" w:cs="Times New Roman" w:eastAsia="Times New Roman" w:hint="default"/>
                <w:sz w:val="18"/>
                <w:szCs w:val="18"/>
              </w:rPr>
            </w:pPr>
            <w:r>
              <w:rPr>
                <w:rFonts w:ascii="Times New Roman"/>
                <w:sz w:val="18"/>
              </w:rPr>
              <w:t>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4,840,0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6"/>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7,040,0</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沙华海</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2.87%</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5,416,3</w:t>
            </w:r>
          </w:p>
          <w:p>
            <w:pPr>
              <w:pStyle w:val="TableParagraph"/>
              <w:spacing w:line="240" w:lineRule="auto" w:before="105"/>
              <w:ind w:left="531" w:right="0"/>
              <w:jc w:val="left"/>
              <w:rPr>
                <w:rFonts w:ascii="Times New Roman" w:hAnsi="Times New Roman" w:cs="Times New Roman" w:eastAsia="Times New Roman" w:hint="default"/>
                <w:sz w:val="18"/>
                <w:szCs w:val="18"/>
              </w:rPr>
            </w:pPr>
            <w:r>
              <w:rPr>
                <w:rFonts w:ascii="Times New Roman"/>
                <w:sz w:val="18"/>
              </w:rPr>
              <w:t>20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3,723,7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4,062,2</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40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1,354,0</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80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6" w:right="0"/>
              <w:jc w:val="left"/>
              <w:rPr>
                <w:rFonts w:ascii="Times New Roman" w:hAnsi="Times New Roman" w:cs="Times New Roman" w:eastAsia="Times New Roman" w:hint="default"/>
                <w:sz w:val="18"/>
                <w:szCs w:val="18"/>
              </w:rPr>
            </w:pPr>
            <w:r>
              <w:rPr>
                <w:rFonts w:ascii="Times New Roman"/>
                <w:sz w:val="18"/>
              </w:rPr>
              <w:t>2,660,000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欧高良</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2.43%</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4,596,4</w:t>
            </w:r>
          </w:p>
          <w:p>
            <w:pPr>
              <w:pStyle w:val="TableParagraph"/>
              <w:spacing w:line="240" w:lineRule="auto" w:before="105"/>
              <w:ind w:left="531" w:right="0"/>
              <w:jc w:val="left"/>
              <w:rPr>
                <w:rFonts w:ascii="Times New Roman" w:hAnsi="Times New Roman" w:cs="Times New Roman" w:eastAsia="Times New Roman" w:hint="default"/>
                <w:sz w:val="18"/>
                <w:szCs w:val="18"/>
              </w:rPr>
            </w:pPr>
            <w:r>
              <w:rPr>
                <w:rFonts w:ascii="Times New Roman"/>
                <w:sz w:val="18"/>
              </w:rPr>
              <w:t>80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3,160,0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3,447,3</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60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1,149,1</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20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吕宏</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2.35%</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4,435,2</w:t>
            </w:r>
          </w:p>
          <w:p>
            <w:pPr>
              <w:pStyle w:val="TableParagraph"/>
              <w:spacing w:line="240" w:lineRule="auto" w:before="105"/>
              <w:ind w:left="531" w:right="0"/>
              <w:jc w:val="left"/>
              <w:rPr>
                <w:rFonts w:ascii="Times New Roman" w:hAnsi="Times New Roman" w:cs="Times New Roman" w:eastAsia="Times New Roman" w:hint="default"/>
                <w:sz w:val="18"/>
                <w:szCs w:val="18"/>
              </w:rPr>
            </w:pPr>
            <w:r>
              <w:rPr>
                <w:rFonts w:ascii="Times New Roman"/>
                <w:sz w:val="18"/>
              </w:rPr>
              <w:t>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3,049,2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6"/>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4,435,2</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6" w:right="0"/>
              <w:jc w:val="left"/>
              <w:rPr>
                <w:rFonts w:ascii="Times New Roman" w:hAnsi="Times New Roman" w:cs="Times New Roman" w:eastAsia="Times New Roman" w:hint="default"/>
                <w:sz w:val="18"/>
                <w:szCs w:val="18"/>
              </w:rPr>
            </w:pPr>
            <w:r>
              <w:rPr>
                <w:rFonts w:ascii="Times New Roman"/>
                <w:sz w:val="18"/>
              </w:rPr>
              <w:t>2,284,000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黄瑜</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1.42%</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2,688,0</w:t>
            </w:r>
          </w:p>
          <w:p>
            <w:pPr>
              <w:pStyle w:val="TableParagraph"/>
              <w:spacing w:line="240" w:lineRule="auto" w:before="105"/>
              <w:ind w:left="531" w:right="0"/>
              <w:jc w:val="left"/>
              <w:rPr>
                <w:rFonts w:ascii="Times New Roman" w:hAnsi="Times New Roman" w:cs="Times New Roman" w:eastAsia="Times New Roman" w:hint="default"/>
                <w:sz w:val="18"/>
                <w:szCs w:val="18"/>
              </w:rPr>
            </w:pPr>
            <w:r>
              <w:rPr>
                <w:rFonts w:ascii="Times New Roman"/>
                <w:sz w:val="18"/>
              </w:rPr>
              <w:t>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1,848,0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2,016,0</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672,000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2,112,000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周康</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6"/>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0.20%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381,20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45200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6"/>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381,200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名股东的情况（如有）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002" w:hRule="exact"/>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316" w:lineRule="auto"/>
              <w:ind w:left="103" w:right="2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68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、沙华海、欧高良占中山市汇康股权投资合伙企业（有限合伙）的出资比例分别 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58.95%</w:t>
            </w:r>
            <w:r>
              <w:rPr>
                <w:rFonts w:ascii="宋体" w:hAnsi="宋体" w:cs="宋体" w:eastAsia="宋体" w:hint="default"/>
                <w:sz w:val="18"/>
                <w:szCs w:val="18"/>
              </w:rPr>
              <w:t>、</w:t>
            </w:r>
            <w:r>
              <w:rPr>
                <w:rFonts w:ascii="Times New Roman" w:hAnsi="Times New Roman" w:cs="Times New Roman" w:eastAsia="Times New Roman" w:hint="default"/>
                <w:sz w:val="18"/>
                <w:szCs w:val="18"/>
              </w:rPr>
              <w:t>0.24%</w:t>
            </w:r>
            <w:r>
              <w:rPr>
                <w:rFonts w:ascii="宋体" w:hAnsi="宋体" w:cs="宋体" w:eastAsia="宋体" w:hint="default"/>
                <w:sz w:val="18"/>
                <w:szCs w:val="18"/>
              </w:rPr>
              <w:t>，其中欧高良为汇康投资的执行事务合伙人，因此沙华海、欧高 良和汇康投资为关联股东；</w:t>
            </w:r>
          </w:p>
          <w:p>
            <w:pPr>
              <w:pStyle w:val="TableParagraph"/>
              <w:spacing w:line="300" w:lineRule="auto" w:before="71"/>
              <w:ind w:left="103"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、欧高良、麦炯章占中山市协润股权投资合伙企业（有限合伙）的出资比例分别 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34.27%</w:t>
            </w:r>
            <w:r>
              <w:rPr>
                <w:rFonts w:ascii="宋体" w:hAnsi="宋体" w:cs="宋体" w:eastAsia="宋体" w:hint="default"/>
                <w:sz w:val="18"/>
                <w:szCs w:val="18"/>
              </w:rPr>
              <w:t>、</w:t>
            </w:r>
            <w:r>
              <w:rPr>
                <w:rFonts w:ascii="Times New Roman" w:hAnsi="Times New Roman" w:cs="Times New Roman" w:eastAsia="Times New Roman" w:hint="default"/>
                <w:sz w:val="18"/>
                <w:szCs w:val="18"/>
              </w:rPr>
              <w:t>0.28%</w:t>
            </w:r>
            <w:r>
              <w:rPr>
                <w:rFonts w:ascii="宋体" w:hAnsi="宋体" w:cs="宋体" w:eastAsia="宋体" w:hint="default"/>
                <w:sz w:val="18"/>
                <w:szCs w:val="18"/>
              </w:rPr>
              <w:t>，其中麦炯章为协润投资的执行事务合伙人，因此欧高良、麦炯 章和协润投资为关联股东。</w:t>
            </w:r>
          </w:p>
        </w:tc>
      </w:tr>
    </w:tbl>
    <w:p>
      <w:pPr>
        <w:spacing w:after="0" w:line="30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80"/>
        <w:gridCol w:w="3515"/>
        <w:gridCol w:w="1590"/>
        <w:gridCol w:w="1583"/>
      </w:tblGrid>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8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5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02"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1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0" w:type="dxa"/>
            <w:vMerge/>
            <w:tcBorders>
              <w:left w:val="single" w:sz="4" w:space="0" w:color="000000"/>
              <w:bottom w:val="single" w:sz="4" w:space="0" w:color="000000"/>
              <w:right w:val="single" w:sz="4" w:space="0" w:color="000000"/>
            </w:tcBorders>
            <w:shd w:val="clear" w:color="auto" w:fill="D2D2D2"/>
          </w:tcPr>
          <w:p>
            <w:pPr/>
          </w:p>
        </w:tc>
        <w:tc>
          <w:tcPr>
            <w:tcW w:w="3515" w:type="dxa"/>
            <w:vMerge/>
            <w:tcBorders>
              <w:left w:val="single" w:sz="4" w:space="0" w:color="000000"/>
              <w:bottom w:val="single" w:sz="4" w:space="0" w:color="000000"/>
              <w:right w:val="single" w:sz="4" w:space="0" w:color="000000"/>
            </w:tcBorders>
            <w:shd w:val="clear" w:color="auto" w:fill="D2D2D2"/>
          </w:tcPr>
          <w:p>
            <w:pPr/>
          </w:p>
        </w:tc>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29"/>
              <w:jc w:val="right"/>
              <w:rPr>
                <w:rFonts w:ascii="宋体" w:hAnsi="宋体" w:cs="宋体" w:eastAsia="宋体" w:hint="default"/>
                <w:sz w:val="18"/>
                <w:szCs w:val="18"/>
              </w:rPr>
            </w:pPr>
            <w:r>
              <w:rPr>
                <w:rFonts w:ascii="宋体" w:hAnsi="宋体" w:cs="宋体" w:eastAsia="宋体" w:hint="default"/>
                <w:sz w:val="18"/>
                <w:szCs w:val="18"/>
              </w:rPr>
              <w:t>股份种类</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3"/>
                <w:sz w:val="18"/>
                <w:szCs w:val="18"/>
              </w:rPr>
              <w:t>中山市汇康股权投资合伙企业（有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限合伙）</w:t>
            </w:r>
          </w:p>
        </w:tc>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9,408,000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39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9,408,000</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3"/>
                <w:sz w:val="18"/>
                <w:szCs w:val="18"/>
              </w:rPr>
              <w:t>中山市协润股权投资合伙企业（有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限合伙）</w:t>
            </w:r>
          </w:p>
        </w:tc>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8,064,000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9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8,064,000</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3"/>
                <w:sz w:val="18"/>
                <w:szCs w:val="18"/>
              </w:rPr>
              <w:t>高榕资本（深圳）投资中心（有限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合伙）</w:t>
            </w:r>
          </w:p>
        </w:tc>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7,040,000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9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7,040,000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吕宏</w:t>
            </w:r>
          </w:p>
        </w:tc>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4,435,200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9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4,435,200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麦炯章</w:t>
            </w:r>
          </w:p>
        </w:tc>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3,202,080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9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3,202,080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沙华海</w:t>
            </w:r>
          </w:p>
        </w:tc>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1,354,080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9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1,354,080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欧高良</w:t>
            </w:r>
          </w:p>
        </w:tc>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1,149,120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9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1,149,120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黄瑜</w:t>
            </w:r>
          </w:p>
        </w:tc>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672,000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9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672,000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周康</w:t>
            </w:r>
          </w:p>
        </w:tc>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381,200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9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381,200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张培春</w:t>
            </w:r>
          </w:p>
        </w:tc>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256,120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9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256,120</w:t>
            </w:r>
          </w:p>
        </w:tc>
      </w:tr>
      <w:tr>
        <w:trPr>
          <w:trHeight w:val="2667"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103" w:right="155"/>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、沙华海、欧高良占中山市汇康股权投资合伙企业（有限合伙）的出资比例分别 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58.95%</w:t>
            </w:r>
            <w:r>
              <w:rPr>
                <w:rFonts w:ascii="宋体" w:hAnsi="宋体" w:cs="宋体" w:eastAsia="宋体" w:hint="default"/>
                <w:sz w:val="18"/>
                <w:szCs w:val="18"/>
              </w:rPr>
              <w:t>、</w:t>
            </w:r>
            <w:r>
              <w:rPr>
                <w:rFonts w:ascii="Times New Roman" w:hAnsi="Times New Roman" w:cs="Times New Roman" w:eastAsia="Times New Roman" w:hint="default"/>
                <w:sz w:val="18"/>
                <w:szCs w:val="18"/>
              </w:rPr>
              <w:t>0.24%</w:t>
            </w:r>
            <w:r>
              <w:rPr>
                <w:rFonts w:ascii="宋体" w:hAnsi="宋体" w:cs="宋体" w:eastAsia="宋体" w:hint="default"/>
                <w:sz w:val="18"/>
                <w:szCs w:val="18"/>
              </w:rPr>
              <w:t>，其中欧高良为汇康投资的执行事务合伙人，因此沙华海、欧高 良和汇康投资为关联股东；</w:t>
            </w:r>
          </w:p>
          <w:p>
            <w:pPr>
              <w:pStyle w:val="TableParagraph"/>
              <w:spacing w:line="300" w:lineRule="auto" w:before="68"/>
              <w:ind w:left="103"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、欧高良、麦炯章占中山市协润股权投资合伙企业（有限合伙）的出资比例分别 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34.27%</w:t>
            </w:r>
            <w:r>
              <w:rPr>
                <w:rFonts w:ascii="宋体" w:hAnsi="宋体" w:cs="宋体" w:eastAsia="宋体" w:hint="default"/>
                <w:sz w:val="18"/>
                <w:szCs w:val="18"/>
              </w:rPr>
              <w:t>、</w:t>
            </w:r>
            <w:r>
              <w:rPr>
                <w:rFonts w:ascii="Times New Roman" w:hAnsi="Times New Roman" w:cs="Times New Roman" w:eastAsia="Times New Roman" w:hint="default"/>
                <w:sz w:val="18"/>
                <w:szCs w:val="18"/>
              </w:rPr>
              <w:t>0.28%</w:t>
            </w:r>
            <w:r>
              <w:rPr>
                <w:rFonts w:ascii="宋体" w:hAnsi="宋体" w:cs="宋体" w:eastAsia="宋体" w:hint="default"/>
                <w:sz w:val="18"/>
                <w:szCs w:val="18"/>
              </w:rPr>
              <w:t>，其中麦炯章为协润投资的执行事务合伙人，因此欧高良、麦炯 章和协润投资为关联股东。</w:t>
            </w:r>
          </w:p>
          <w:p>
            <w:pPr>
              <w:pStyle w:val="TableParagraph"/>
              <w:spacing w:line="302" w:lineRule="auto" w:before="70"/>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、除此之外，公司未知上述前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名无限售条件股东中其余股东之间是否存在关联 关系，也未知是否属于《上市公司收购管理办法》规定的一致行动人。</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（如有）（参见注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公司股东张培春通过普通证券账户持有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股，通过长江证券证券股份有限公</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司客户信用交易担保证券账户持有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right="1015"/>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left="1133" w:right="1015"/>
        <w:jc w:val="left"/>
      </w:pPr>
      <w:r>
        <w:rPr/>
        <w:t>□ 是 √ 否</w:t>
      </w:r>
    </w:p>
    <w:p>
      <w:pPr>
        <w:pStyle w:val="BodyText"/>
        <w:spacing w:line="240" w:lineRule="auto" w:before="116"/>
        <w:ind w:left="1133" w:right="1015"/>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left="1133" w:right="1015"/>
        <w:jc w:val="left"/>
        <w:rPr>
          <w:b w:val="0"/>
          <w:bCs w:val="0"/>
        </w:rPr>
      </w:pPr>
      <w:bookmarkStart w:name="2、公司控股股东情况" w:id="118"/>
      <w:bookmarkEnd w:id="118"/>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3" w:right="8593"/>
        <w:jc w:val="left"/>
      </w:pPr>
      <w:r>
        <w:rPr/>
        <w:t>控股股东性质：自然人控股 控股股东类型：自然人</w:t>
      </w:r>
    </w:p>
    <w:tbl>
      <w:tblPr>
        <w:tblW w:w="0" w:type="auto"/>
        <w:jc w:val="left"/>
        <w:tblInd w:w="112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潘伟潮</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担任乐心医疗董事长兼总经理</w:t>
            </w:r>
          </w:p>
        </w:tc>
      </w:tr>
      <w:tr>
        <w:trPr>
          <w:trHeight w:val="36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、潘伟潮持有深圳潮牛智能科技有限公司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w:t>
            </w:r>
            <w:r>
              <w:rPr>
                <w:rFonts w:ascii="宋体" w:hAnsi="宋体" w:cs="宋体" w:eastAsia="宋体" w:hint="default"/>
                <w:sz w:val="18"/>
                <w:szCs w:val="18"/>
              </w:rPr>
              <w:t>股权，为深圳潮牛智能科技</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417"/>
        <w:gridCol w:w="6151"/>
      </w:tblGrid>
      <w:tr>
        <w:trPr>
          <w:trHeight w:val="1026"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公司的股权情况</w:t>
            </w: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有限公司的控股股东</w:t>
            </w:r>
          </w:p>
          <w:p>
            <w:pPr>
              <w:pStyle w:val="TableParagraph"/>
              <w:spacing w:line="302" w:lineRule="auto" w:before="116"/>
              <w:ind w:left="102"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、潘伟潮持有深圳市艾森智能技术有限公司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股权，为深圳市艾森智能 技术有限公司参股股东</w:t>
            </w:r>
          </w:p>
        </w:tc>
      </w:tr>
    </w:tbl>
    <w:p>
      <w:pPr>
        <w:pStyle w:val="BodyText"/>
        <w:spacing w:line="240" w:lineRule="auto" w:before="51"/>
        <w:ind w:right="1015"/>
        <w:jc w:val="left"/>
      </w:pPr>
      <w:r>
        <w:rPr/>
        <w:t>控股股东报告期内变更</w:t>
      </w:r>
    </w:p>
    <w:p>
      <w:pPr>
        <w:pStyle w:val="BodyText"/>
        <w:spacing w:line="357" w:lineRule="auto" w:before="117"/>
        <w:ind w:right="8052"/>
        <w:jc w:val="left"/>
      </w:pPr>
      <w:r>
        <w:rPr/>
        <w:t>□ 适用 √ 不适用 公司报告期控股股东未发生变更。</w:t>
      </w:r>
    </w:p>
    <w:p>
      <w:pPr>
        <w:spacing w:line="240" w:lineRule="auto" w:before="1"/>
        <w:rPr>
          <w:rFonts w:ascii="宋体" w:hAnsi="宋体" w:cs="宋体" w:eastAsia="宋体" w:hint="default"/>
          <w:sz w:val="20"/>
          <w:szCs w:val="20"/>
        </w:rPr>
      </w:pPr>
    </w:p>
    <w:p>
      <w:pPr>
        <w:pStyle w:val="Heading3"/>
        <w:spacing w:line="240" w:lineRule="auto"/>
        <w:ind w:right="1015"/>
        <w:jc w:val="left"/>
        <w:rPr>
          <w:b w:val="0"/>
          <w:bCs w:val="0"/>
        </w:rPr>
      </w:pPr>
      <w:bookmarkStart w:name="3、公司实际控制人情况" w:id="119"/>
      <w:bookmarkEnd w:id="119"/>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2"/>
        <w:jc w:val="left"/>
      </w:pPr>
      <w:r>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潘伟潮</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担任乐心医疗董事长兼总经理</w:t>
            </w:r>
          </w:p>
        </w:tc>
      </w:tr>
      <w:tr>
        <w:trPr>
          <w:trHeight w:val="1379"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、潘伟潮持有深圳潮牛智能科技有限公司</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99%</w:t>
            </w:r>
            <w:r>
              <w:rPr>
                <w:rFonts w:ascii="宋体" w:hAnsi="宋体" w:cs="宋体" w:eastAsia="宋体" w:hint="default"/>
                <w:sz w:val="18"/>
                <w:szCs w:val="18"/>
              </w:rPr>
              <w:t>股权，为深圳潮牛智能科技有 限公司的控股股东</w:t>
            </w:r>
          </w:p>
          <w:p>
            <w:pPr>
              <w:pStyle w:val="TableParagraph"/>
              <w:spacing w:line="302" w:lineRule="auto" w:before="68"/>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、潘伟潮持有深圳市艾森智能技术有限公司</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股权，为深圳市艾森智能技 术有限公司参股股东</w:t>
            </w:r>
          </w:p>
        </w:tc>
      </w:tr>
    </w:tbl>
    <w:p>
      <w:pPr>
        <w:pStyle w:val="BodyText"/>
        <w:spacing w:line="240" w:lineRule="auto" w:before="65"/>
        <w:ind w:right="1015"/>
        <w:jc w:val="left"/>
      </w:pPr>
      <w:r>
        <w:rPr/>
        <w:t>实际控制人报告期内变更</w:t>
      </w:r>
    </w:p>
    <w:p>
      <w:pPr>
        <w:pStyle w:val="BodyText"/>
        <w:spacing w:line="360" w:lineRule="auto" w:before="116"/>
        <w:ind w:left="1133" w:right="6793"/>
        <w:jc w:val="left"/>
      </w:pPr>
      <w:r>
        <w:rPr/>
        <w:t>□ 适用 √ 不适用 公司报告期实际控制人未发生变更。 公司与实际控制人之间的产权及控制关系的方框图</w:t>
      </w:r>
    </w:p>
    <w:p>
      <w:pPr>
        <w:spacing w:line="240" w:lineRule="auto" w:before="4"/>
        <w:rPr>
          <w:rFonts w:ascii="宋体" w:hAnsi="宋体" w:cs="宋体" w:eastAsia="宋体" w:hint="default"/>
          <w:sz w:val="20"/>
          <w:szCs w:val="20"/>
        </w:rPr>
      </w:pPr>
    </w:p>
    <w:p>
      <w:pPr>
        <w:spacing w:line="3870" w:lineRule="exact"/>
        <w:ind w:left="2338" w:right="0" w:firstLine="0"/>
        <w:rPr>
          <w:rFonts w:ascii="宋体" w:hAnsi="宋体" w:cs="宋体" w:eastAsia="宋体" w:hint="default"/>
          <w:sz w:val="20"/>
          <w:szCs w:val="20"/>
        </w:rPr>
      </w:pPr>
      <w:r>
        <w:rPr>
          <w:rFonts w:ascii="宋体" w:hAnsi="宋体" w:cs="宋体" w:eastAsia="宋体" w:hint="default"/>
          <w:position w:val="-76"/>
          <w:sz w:val="20"/>
          <w:szCs w:val="20"/>
        </w:rPr>
        <w:drawing>
          <wp:inline distT="0" distB="0" distL="0" distR="0">
            <wp:extent cx="4591050" cy="2457450"/>
            <wp:effectExtent l="0" t="0" r="0" b="0"/>
            <wp:docPr id="21" name="image12.jpeg" descr=""/>
            <wp:cNvGraphicFramePr>
              <a:graphicFrameLocks noChangeAspect="1"/>
            </wp:cNvGraphicFramePr>
            <a:graphic>
              <a:graphicData uri="http://schemas.openxmlformats.org/drawingml/2006/picture">
                <pic:pic>
                  <pic:nvPicPr>
                    <pic:cNvPr id="22" name="image12.jpeg"/>
                    <pic:cNvPicPr/>
                  </pic:nvPicPr>
                  <pic:blipFill>
                    <a:blip r:embed="rId23" cstate="print"/>
                    <a:stretch>
                      <a:fillRect/>
                    </a:stretch>
                  </pic:blipFill>
                  <pic:spPr>
                    <a:xfrm>
                      <a:off x="0" y="0"/>
                      <a:ext cx="4591050" cy="2457450"/>
                    </a:xfrm>
                    <a:prstGeom prst="rect">
                      <a:avLst/>
                    </a:prstGeom>
                  </pic:spPr>
                </pic:pic>
              </a:graphicData>
            </a:graphic>
          </wp:inline>
        </w:drawing>
      </w:r>
      <w:r>
        <w:rPr>
          <w:rFonts w:ascii="宋体" w:hAnsi="宋体" w:cs="宋体" w:eastAsia="宋体" w:hint="default"/>
          <w:position w:val="-76"/>
          <w:sz w:val="20"/>
          <w:szCs w:val="20"/>
        </w:rPr>
      </w:r>
    </w:p>
    <w:p>
      <w:pPr>
        <w:spacing w:line="240" w:lineRule="auto" w:before="4"/>
        <w:rPr>
          <w:rFonts w:ascii="宋体" w:hAnsi="宋体" w:cs="宋体" w:eastAsia="宋体" w:hint="default"/>
          <w:sz w:val="23"/>
          <w:szCs w:val="23"/>
        </w:rPr>
      </w:pPr>
    </w:p>
    <w:p>
      <w:pPr>
        <w:pStyle w:val="BodyText"/>
        <w:spacing w:line="240" w:lineRule="auto"/>
        <w:ind w:left="1133" w:right="1015"/>
        <w:jc w:val="left"/>
      </w:pPr>
      <w:r>
        <w:rPr/>
        <w:t>实际控制人通过信托或其他资产管理方式控制公司</w:t>
      </w:r>
    </w:p>
    <w:p>
      <w:pPr>
        <w:spacing w:line="240" w:lineRule="auto" w:before="4"/>
        <w:rPr>
          <w:rFonts w:ascii="宋体" w:hAnsi="宋体" w:cs="宋体" w:eastAsia="宋体" w:hint="default"/>
          <w:sz w:val="21"/>
          <w:szCs w:val="21"/>
        </w:rPr>
      </w:pPr>
    </w:p>
    <w:p>
      <w:pPr>
        <w:pStyle w:val="BodyText"/>
        <w:spacing w:line="240" w:lineRule="auto"/>
        <w:ind w:left="1133" w:right="1015"/>
        <w:jc w:val="left"/>
      </w:pPr>
      <w:r>
        <w:rPr/>
        <w:t>□ 适用 √ 不适用</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left="1133" w:right="1015"/>
        <w:jc w:val="left"/>
        <w:rPr>
          <w:b w:val="0"/>
          <w:bCs w:val="0"/>
        </w:rPr>
      </w:pPr>
      <w:bookmarkStart w:name="4、其他持股在10%以上的法人股东" w:id="120"/>
      <w:bookmarkEnd w:id="120"/>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15"/>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015"/>
        <w:jc w:val="left"/>
        <w:rPr>
          <w:b w:val="0"/>
          <w:bCs w:val="0"/>
        </w:rPr>
      </w:pPr>
      <w:bookmarkStart w:name="5、控股股东、实际控制人、重组方及其他承诺主体股份限制减持情况" w:id="121"/>
      <w:bookmarkEnd w:id="121"/>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15"/>
        <w:jc w:val="left"/>
      </w:pPr>
      <w:r>
        <w:rPr/>
        <w:t>□ 适用 √ 不适用</w:t>
      </w:r>
    </w:p>
    <w:p>
      <w:pPr>
        <w:spacing w:after="0" w:line="240"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1625"/>
        <w:jc w:val="center"/>
        <w:rPr>
          <w:b w:val="0"/>
          <w:bCs w:val="0"/>
        </w:rPr>
      </w:pPr>
      <w:bookmarkStart w:name="第七节 优先股相关情况" w:id="122"/>
      <w:bookmarkEnd w:id="122"/>
      <w:r>
        <w:rPr>
          <w:b w:val="0"/>
          <w:bCs w:val="0"/>
        </w:rPr>
      </w:r>
      <w:bookmarkStart w:name="_bookmark6" w:id="123"/>
      <w:bookmarkEnd w:id="123"/>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57" w:lineRule="auto" w:before="44"/>
        <w:ind w:right="8592"/>
        <w:jc w:val="left"/>
      </w:pPr>
      <w:r>
        <w:rPr/>
        <w:t>□ 适用 √ 不适用 报告期公司不存在优先股。</w:t>
      </w:r>
    </w:p>
    <w:p>
      <w:pPr>
        <w:spacing w:after="0" w:line="357"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2660" w:right="1015"/>
        <w:jc w:val="left"/>
        <w:rPr>
          <w:b w:val="0"/>
          <w:bCs w:val="0"/>
        </w:rPr>
      </w:pPr>
      <w:bookmarkStart w:name="第八节 董事、监事、高级管理人员和员工情况" w:id="124"/>
      <w:bookmarkEnd w:id="124"/>
      <w:r>
        <w:rPr>
          <w:b w:val="0"/>
          <w:bCs w:val="0"/>
        </w:rPr>
      </w:r>
      <w:bookmarkStart w:name="_bookmark7" w:id="125"/>
      <w:bookmarkEnd w:id="125"/>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133" w:right="1015"/>
        <w:jc w:val="left"/>
        <w:rPr>
          <w:b w:val="0"/>
          <w:bCs w:val="0"/>
        </w:rPr>
      </w:pPr>
      <w:bookmarkStart w:name="一、董事、监事和高级管理人员持股变动" w:id="126"/>
      <w:bookmarkEnd w:id="126"/>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33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03" w:right="121"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22" w:right="122"/>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23" w:right="122"/>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3"/>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1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2"/>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1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潘伟潮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3"/>
              <w:jc w:val="left"/>
              <w:rPr>
                <w:rFonts w:ascii="宋体" w:hAnsi="宋体" w:cs="宋体" w:eastAsia="宋体" w:hint="default"/>
                <w:sz w:val="18"/>
                <w:szCs w:val="18"/>
              </w:rPr>
            </w:pPr>
            <w:r>
              <w:rPr>
                <w:rFonts w:ascii="宋体" w:hAnsi="宋体" w:cs="宋体" w:eastAsia="宋体" w:hint="default"/>
                <w:sz w:val="18"/>
                <w:szCs w:val="18"/>
              </w:rPr>
              <w:t>董事 长、总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7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26,846,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59,062,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85,908,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480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麦炯章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3"/>
              <w:jc w:val="both"/>
              <w:rPr>
                <w:rFonts w:ascii="宋体" w:hAnsi="宋体" w:cs="宋体" w:eastAsia="宋体" w:hint="default"/>
                <w:sz w:val="18"/>
                <w:szCs w:val="18"/>
              </w:rPr>
            </w:pPr>
            <w:r>
              <w:rPr>
                <w:rFonts w:ascii="宋体" w:hAnsi="宋体" w:cs="宋体" w:eastAsia="宋体" w:hint="default"/>
                <w:sz w:val="18"/>
                <w:szCs w:val="18"/>
              </w:rPr>
              <w:t>董事、 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7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4,002,6</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8,805,7</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12,808,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320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沙华海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7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1,692,6</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3,723,7</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5,416,3</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20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沙华海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2"/>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7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李延兵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7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余国铮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7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邹晓冬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7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黄洪燕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7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欧高良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7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1,436,4</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3,160,0</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4,596,4</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80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吕宏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7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1,386,0</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3,049,2</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4,435,2</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钟前荣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职工代 表监事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7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万卫东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7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梁启光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7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许迎丰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许迎丰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董事会 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许迎丰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7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黄瑜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7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840,00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1,848,0</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2,688,0</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潘农菲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7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周甜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7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石绍海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7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王继宝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董事会 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7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36,204,</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79,648,</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115,852</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,800</w:t>
            </w:r>
          </w:p>
        </w:tc>
      </w:tr>
    </w:tbl>
    <w:p>
      <w:pPr>
        <w:spacing w:line="240" w:lineRule="auto" w:before="2"/>
        <w:rPr>
          <w:rFonts w:ascii="宋体" w:hAnsi="宋体" w:cs="宋体" w:eastAsia="宋体" w:hint="default"/>
          <w:b/>
          <w:bCs/>
          <w:sz w:val="18"/>
          <w:szCs w:val="18"/>
        </w:rPr>
      </w:pPr>
    </w:p>
    <w:p>
      <w:pPr>
        <w:pStyle w:val="Heading2"/>
        <w:spacing w:line="240" w:lineRule="auto" w:before="26"/>
        <w:ind w:right="1015"/>
        <w:jc w:val="left"/>
        <w:rPr>
          <w:b w:val="0"/>
          <w:bCs w:val="0"/>
        </w:rPr>
      </w:pPr>
      <w:bookmarkStart w:name="二、公司董事、监事、高级管理人员变动情况" w:id="127"/>
      <w:bookmarkEnd w:id="127"/>
      <w:r>
        <w:rPr>
          <w:b w:val="0"/>
          <w:bCs w:val="0"/>
        </w:rPr>
      </w:r>
      <w:r>
        <w:rPr/>
        <w:t>二、公司董事、监事、高级管理人员变动情况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1015"/>
        <w:jc w:val="left"/>
      </w:pPr>
      <w:r>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8"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after="0" w:line="240" w:lineRule="auto"/>
        <w:jc w:val="center"/>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吕宏</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周甜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许迎丰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第二届董事会第七次会议聘任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许迎丰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公司对其工作安排，辞去财务总监职务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石绍海</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第二届董事会第九次会议聘任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许迎丰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公司对其工作安排，辞去董事会秘书职务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王继宝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第二届董事会第十一次会议聘任</w:t>
            </w:r>
          </w:p>
        </w:tc>
      </w:tr>
    </w:tbl>
    <w:p>
      <w:pPr>
        <w:spacing w:line="240" w:lineRule="auto" w:before="2"/>
        <w:rPr>
          <w:rFonts w:ascii="宋体" w:hAnsi="宋体" w:cs="宋体" w:eastAsia="宋体" w:hint="default"/>
          <w:sz w:val="18"/>
          <w:szCs w:val="18"/>
        </w:rPr>
      </w:pPr>
    </w:p>
    <w:p>
      <w:pPr>
        <w:pStyle w:val="Heading2"/>
        <w:spacing w:line="240" w:lineRule="auto" w:before="26"/>
        <w:ind w:right="1015"/>
        <w:jc w:val="left"/>
        <w:rPr>
          <w:b w:val="0"/>
          <w:bCs w:val="0"/>
        </w:rPr>
      </w:pPr>
      <w:bookmarkStart w:name="三、任职情况" w:id="128"/>
      <w:bookmarkEnd w:id="128"/>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1015"/>
        <w:jc w:val="left"/>
      </w:pPr>
      <w:r>
        <w:rPr/>
        <w:t>公司现任董事、监事、高级管理人员专业背景、主要工作经历以及目前在公司的主要职责</w:t>
      </w:r>
    </w:p>
    <w:p>
      <w:pPr>
        <w:pStyle w:val="BodyText"/>
        <w:spacing w:line="240" w:lineRule="auto" w:before="117"/>
        <w:ind w:left="1133" w:right="1015"/>
        <w:jc w:val="left"/>
      </w:pPr>
      <w:r>
        <w:rPr/>
        <w:t>（一）董事</w:t>
      </w:r>
    </w:p>
    <w:p>
      <w:pPr>
        <w:pStyle w:val="BodyText"/>
        <w:spacing w:line="319" w:lineRule="auto" w:before="115"/>
        <w:ind w:left="1133" w:right="1132" w:firstLine="360"/>
        <w:jc w:val="both"/>
      </w:pPr>
      <w:r>
        <w:rPr>
          <w:rFonts w:ascii="宋体" w:hAnsi="宋体" w:cs="宋体" w:eastAsia="宋体" w:hint="default"/>
          <w:spacing w:val="-2"/>
        </w:rPr>
        <w:t>1</w:t>
      </w:r>
      <w:r>
        <w:rPr>
          <w:spacing w:val="-2"/>
        </w:rPr>
        <w:t>、潘伟潮，男，</w:t>
      </w:r>
      <w:r>
        <w:rPr>
          <w:rFonts w:ascii="宋体" w:hAnsi="宋体" w:cs="宋体" w:eastAsia="宋体" w:hint="default"/>
          <w:spacing w:val="-2"/>
        </w:rPr>
        <w:t>1973</w:t>
      </w:r>
      <w:r>
        <w:rPr>
          <w:spacing w:val="-2"/>
        </w:rPr>
        <w:t>年</w:t>
      </w:r>
      <w:r>
        <w:rPr>
          <w:rFonts w:ascii="宋体" w:hAnsi="宋体" w:cs="宋体" w:eastAsia="宋体" w:hint="default"/>
          <w:spacing w:val="-2"/>
        </w:rPr>
        <w:t>5</w:t>
      </w:r>
      <w:r>
        <w:rPr>
          <w:spacing w:val="-2"/>
        </w:rPr>
        <w:t>月出生，中国国籍，无境外永久居留权，中欧国际工商学院</w:t>
      </w:r>
      <w:r>
        <w:rPr>
          <w:rFonts w:ascii="宋体" w:hAnsi="宋体" w:cs="宋体" w:eastAsia="宋体" w:hint="default"/>
          <w:spacing w:val="-2"/>
        </w:rPr>
        <w:t>EMBA</w:t>
      </w:r>
      <w:r>
        <w:rPr>
          <w:spacing w:val="-2"/>
        </w:rPr>
        <w:t>，曾任职于中山健威电子有限</w:t>
      </w:r>
      <w:r>
        <w:rPr/>
        <w:t> 公司、中山市读书郎电子有限公司。</w:t>
      </w:r>
      <w:r>
        <w:rPr>
          <w:rFonts w:ascii="宋体" w:hAnsi="宋体" w:cs="宋体" w:eastAsia="宋体" w:hint="default"/>
        </w:rPr>
        <w:t>2002</w:t>
      </w:r>
      <w:r>
        <w:rPr/>
        <w:t>年</w:t>
      </w:r>
      <w:r>
        <w:rPr>
          <w:rFonts w:ascii="宋体" w:hAnsi="宋体" w:cs="宋体" w:eastAsia="宋体" w:hint="default"/>
        </w:rPr>
        <w:t>7</w:t>
      </w:r>
      <w:r>
        <w:rPr/>
        <w:t>月至</w:t>
      </w:r>
      <w:r>
        <w:rPr>
          <w:rFonts w:ascii="宋体" w:hAnsi="宋体" w:cs="宋体" w:eastAsia="宋体" w:hint="default"/>
        </w:rPr>
        <w:t>2012</w:t>
      </w:r>
      <w:r>
        <w:rPr/>
        <w:t>年</w:t>
      </w:r>
      <w:r>
        <w:rPr>
          <w:rFonts w:ascii="宋体" w:hAnsi="宋体" w:cs="宋体" w:eastAsia="宋体" w:hint="default"/>
        </w:rPr>
        <w:t>10</w:t>
      </w:r>
      <w:r>
        <w:rPr/>
        <w:t>月历任创源电子总经理、执行董事、董事长。自</w:t>
      </w:r>
      <w:r>
        <w:rPr>
          <w:rFonts w:ascii="宋体" w:hAnsi="宋体" w:cs="宋体" w:eastAsia="宋体" w:hint="default"/>
        </w:rPr>
        <w:t>2012</w:t>
      </w:r>
      <w:r>
        <w:rPr/>
        <w:t>年</w:t>
      </w:r>
      <w:r>
        <w:rPr>
          <w:rFonts w:ascii="宋体" w:hAnsi="宋体" w:cs="宋体" w:eastAsia="宋体" w:hint="default"/>
        </w:rPr>
        <w:t>11</w:t>
      </w:r>
      <w:r>
        <w:rPr/>
        <w:t>月至今 担任本公司董事长、总经理。</w:t>
      </w:r>
    </w:p>
    <w:p>
      <w:pPr>
        <w:pStyle w:val="BodyText"/>
        <w:spacing w:line="319" w:lineRule="auto" w:before="55"/>
        <w:ind w:left="1133" w:right="1131" w:firstLine="360"/>
        <w:jc w:val="both"/>
      </w:pPr>
      <w:r>
        <w:rPr>
          <w:rFonts w:ascii="宋体" w:hAnsi="宋体" w:cs="宋体" w:eastAsia="宋体" w:hint="default"/>
          <w:spacing w:val="-2"/>
        </w:rPr>
        <w:t>2</w:t>
      </w:r>
      <w:r>
        <w:rPr>
          <w:spacing w:val="-2"/>
        </w:rPr>
        <w:t>、麦炯章，男，</w:t>
      </w:r>
      <w:r>
        <w:rPr>
          <w:rFonts w:ascii="宋体" w:hAnsi="宋体" w:cs="宋体" w:eastAsia="宋体" w:hint="default"/>
          <w:spacing w:val="-2"/>
        </w:rPr>
        <w:t>1973</w:t>
      </w:r>
      <w:r>
        <w:rPr>
          <w:spacing w:val="-2"/>
        </w:rPr>
        <w:t>年</w:t>
      </w:r>
      <w:r>
        <w:rPr>
          <w:rFonts w:ascii="宋体" w:hAnsi="宋体" w:cs="宋体" w:eastAsia="宋体" w:hint="default"/>
          <w:spacing w:val="-2"/>
        </w:rPr>
        <w:t>10</w:t>
      </w:r>
      <w:r>
        <w:rPr>
          <w:spacing w:val="-2"/>
        </w:rPr>
        <w:t>月出生，中国国籍，无境外永久居留权，大专学历，曾任职于中山市华峰实业公司。</w:t>
      </w:r>
      <w:r>
        <w:rPr>
          <w:rFonts w:ascii="宋体" w:hAnsi="宋体" w:cs="宋体" w:eastAsia="宋体" w:hint="default"/>
          <w:spacing w:val="-2"/>
        </w:rPr>
        <w:t>2002</w:t>
      </w:r>
      <w:r>
        <w:rPr>
          <w:spacing w:val="-2"/>
        </w:rPr>
        <w:t>年</w:t>
      </w:r>
      <w:r>
        <w:rPr>
          <w:rFonts w:ascii="宋体" w:hAnsi="宋体" w:cs="宋体" w:eastAsia="宋体" w:hint="default"/>
          <w:spacing w:val="-2"/>
        </w:rPr>
        <w:t>7</w:t>
      </w:r>
      <w:r>
        <w:rPr>
          <w:rFonts w:ascii="宋体" w:hAnsi="宋体" w:cs="宋体" w:eastAsia="宋体" w:hint="default"/>
        </w:rPr>
        <w:t> </w:t>
      </w:r>
      <w:r>
        <w:rPr>
          <w:spacing w:val="-2"/>
        </w:rPr>
        <w:t>月至</w:t>
      </w:r>
      <w:r>
        <w:rPr>
          <w:rFonts w:ascii="宋体" w:hAnsi="宋体" w:cs="宋体" w:eastAsia="宋体" w:hint="default"/>
          <w:spacing w:val="-2"/>
        </w:rPr>
        <w:t>2012</w:t>
      </w:r>
      <w:r>
        <w:rPr>
          <w:spacing w:val="-2"/>
        </w:rPr>
        <w:t>年</w:t>
      </w:r>
      <w:r>
        <w:rPr>
          <w:rFonts w:ascii="宋体" w:hAnsi="宋体" w:cs="宋体" w:eastAsia="宋体" w:hint="default"/>
          <w:spacing w:val="-2"/>
        </w:rPr>
        <w:t>10</w:t>
      </w:r>
      <w:r>
        <w:rPr>
          <w:spacing w:val="-2"/>
        </w:rPr>
        <w:t>月历任创源电子经理、副总经理、董事，</w:t>
      </w:r>
      <w:r>
        <w:rPr>
          <w:rFonts w:ascii="宋体" w:hAnsi="宋体" w:cs="宋体" w:eastAsia="宋体" w:hint="default"/>
          <w:spacing w:val="-2"/>
        </w:rPr>
        <w:t>2012</w:t>
      </w:r>
      <w:r>
        <w:rPr>
          <w:spacing w:val="-2"/>
        </w:rPr>
        <w:t>年</w:t>
      </w:r>
      <w:r>
        <w:rPr>
          <w:rFonts w:ascii="宋体" w:hAnsi="宋体" w:cs="宋体" w:eastAsia="宋体" w:hint="default"/>
          <w:spacing w:val="-2"/>
        </w:rPr>
        <w:t>11</w:t>
      </w:r>
      <w:r>
        <w:rPr>
          <w:spacing w:val="-2"/>
        </w:rPr>
        <w:t>月至今担任本公司董事、副总经理。兼任本公司全资子公司</w:t>
      </w:r>
      <w:r>
        <w:rPr>
          <w:spacing w:val="-53"/>
        </w:rPr>
        <w:t> </w:t>
      </w:r>
      <w:r>
        <w:rPr>
          <w:spacing w:val="-53"/>
        </w:rPr>
      </w:r>
      <w:r>
        <w:rPr/>
        <w:t>创源传感器经理、中山市民众商会副会长、中山市私营企业协会民众办事处第九届理事会副会长。自</w:t>
      </w:r>
      <w:r>
        <w:rPr>
          <w:rFonts w:ascii="宋体" w:hAnsi="宋体" w:cs="宋体" w:eastAsia="宋体" w:hint="default"/>
        </w:rPr>
        <w:t>2013</w:t>
      </w:r>
      <w:r>
        <w:rPr/>
        <w:t>年</w:t>
      </w:r>
      <w:r>
        <w:rPr>
          <w:rFonts w:ascii="宋体" w:hAnsi="宋体" w:cs="宋体" w:eastAsia="宋体" w:hint="default"/>
        </w:rPr>
        <w:t>8</w:t>
      </w:r>
      <w:r>
        <w:rPr/>
        <w:t>月起兼任全资 子公司创源贸易执行董事、经理。</w:t>
      </w:r>
    </w:p>
    <w:p>
      <w:pPr>
        <w:pStyle w:val="BodyText"/>
        <w:spacing w:line="319" w:lineRule="auto" w:before="56"/>
        <w:ind w:left="1133" w:right="1132" w:firstLine="360"/>
        <w:jc w:val="both"/>
      </w:pPr>
      <w:r>
        <w:rPr>
          <w:rFonts w:ascii="宋体" w:hAnsi="宋体" w:cs="宋体" w:eastAsia="宋体" w:hint="default"/>
          <w:spacing w:val="-2"/>
        </w:rPr>
        <w:t>3</w:t>
      </w:r>
      <w:r>
        <w:rPr>
          <w:spacing w:val="-2"/>
        </w:rPr>
        <w:t>、沙华海，男，</w:t>
      </w:r>
      <w:r>
        <w:rPr>
          <w:rFonts w:ascii="宋体" w:hAnsi="宋体" w:cs="宋体" w:eastAsia="宋体" w:hint="default"/>
          <w:spacing w:val="-2"/>
        </w:rPr>
        <w:t>1977</w:t>
      </w:r>
      <w:r>
        <w:rPr>
          <w:spacing w:val="-2"/>
        </w:rPr>
        <w:t>年</w:t>
      </w:r>
      <w:r>
        <w:rPr>
          <w:rFonts w:ascii="宋体" w:hAnsi="宋体" w:cs="宋体" w:eastAsia="宋体" w:hint="default"/>
          <w:spacing w:val="-2"/>
        </w:rPr>
        <w:t>6</w:t>
      </w:r>
      <w:r>
        <w:rPr>
          <w:spacing w:val="-2"/>
        </w:rPr>
        <w:t>月出生，中国国籍，无境外永久居留权，本科学历，曾任职于南宁广通软技术有限公司、深圳</w:t>
      </w:r>
      <w:r>
        <w:rPr/>
        <w:t> 骏泰阳软件科技公司。</w:t>
      </w:r>
      <w:r>
        <w:rPr>
          <w:rFonts w:ascii="宋体" w:hAnsi="宋体" w:cs="宋体" w:eastAsia="宋体" w:hint="default"/>
        </w:rPr>
        <w:t>2004</w:t>
      </w:r>
      <w:r>
        <w:rPr/>
        <w:t>年</w:t>
      </w:r>
      <w:r>
        <w:rPr>
          <w:rFonts w:ascii="宋体" w:hAnsi="宋体" w:cs="宋体" w:eastAsia="宋体" w:hint="default"/>
        </w:rPr>
        <w:t>3</w:t>
      </w:r>
      <w:r>
        <w:rPr/>
        <w:t>月至</w:t>
      </w:r>
      <w:r>
        <w:rPr>
          <w:rFonts w:ascii="宋体" w:hAnsi="宋体" w:cs="宋体" w:eastAsia="宋体" w:hint="default"/>
        </w:rPr>
        <w:t>2012</w:t>
      </w:r>
      <w:r>
        <w:rPr/>
        <w:t>年</w:t>
      </w:r>
      <w:r>
        <w:rPr>
          <w:rFonts w:ascii="宋体" w:hAnsi="宋体" w:cs="宋体" w:eastAsia="宋体" w:hint="default"/>
        </w:rPr>
        <w:t>10</w:t>
      </w:r>
      <w:r>
        <w:rPr/>
        <w:t>月，历任创源电子研发经理、副总经理，</w:t>
      </w:r>
      <w:r>
        <w:rPr>
          <w:rFonts w:ascii="宋体" w:hAnsi="宋体" w:cs="宋体" w:eastAsia="宋体" w:hint="default"/>
        </w:rPr>
        <w:t>2015</w:t>
      </w:r>
      <w:r>
        <w:rPr/>
        <w:t>年</w:t>
      </w:r>
      <w:r>
        <w:rPr>
          <w:rFonts w:ascii="宋体" w:hAnsi="宋体" w:cs="宋体" w:eastAsia="宋体" w:hint="default"/>
        </w:rPr>
        <w:t>1</w:t>
      </w:r>
      <w:r>
        <w:rPr/>
        <w:t>月至</w:t>
      </w:r>
      <w:r>
        <w:rPr>
          <w:rFonts w:ascii="宋体" w:hAnsi="宋体" w:cs="宋体" w:eastAsia="宋体" w:hint="default"/>
        </w:rPr>
        <w:t>2015</w:t>
      </w:r>
      <w:r>
        <w:rPr/>
        <w:t>年</w:t>
      </w:r>
      <w:r>
        <w:rPr>
          <w:rFonts w:ascii="宋体" w:hAnsi="宋体" w:cs="宋体" w:eastAsia="宋体" w:hint="default"/>
        </w:rPr>
        <w:t>9</w:t>
      </w:r>
      <w:r>
        <w:rPr/>
        <w:t>月兼任全资子公 </w:t>
      </w:r>
      <w:r>
        <w:rPr>
          <w:spacing w:val="-2"/>
        </w:rPr>
        <w:t>司广州动心执行董事、经理，</w:t>
      </w:r>
      <w:r>
        <w:rPr>
          <w:rFonts w:ascii="宋体" w:hAnsi="宋体" w:cs="宋体" w:eastAsia="宋体" w:hint="default"/>
          <w:spacing w:val="-2"/>
        </w:rPr>
        <w:t>2012</w:t>
      </w:r>
      <w:r>
        <w:rPr>
          <w:spacing w:val="-2"/>
        </w:rPr>
        <w:t>年</w:t>
      </w:r>
      <w:r>
        <w:rPr>
          <w:rFonts w:ascii="宋体" w:hAnsi="宋体" w:cs="宋体" w:eastAsia="宋体" w:hint="default"/>
          <w:spacing w:val="-2"/>
        </w:rPr>
        <w:t>11</w:t>
      </w:r>
      <w:r>
        <w:rPr>
          <w:spacing w:val="-2"/>
        </w:rPr>
        <w:t>月至今担任本公司董事、副总经理，兼任本公司全资子公司深圳乐心执行董事、总经</w:t>
      </w:r>
      <w:r>
        <w:rPr>
          <w:spacing w:val="-60"/>
        </w:rPr>
        <w:t> </w:t>
      </w:r>
      <w:r>
        <w:rPr>
          <w:spacing w:val="-60"/>
        </w:rPr>
      </w:r>
      <w:r>
        <w:rPr/>
        <w:t>理，全资子公司创源传感器监事，全资子公司中山乐心监事。</w:t>
      </w:r>
    </w:p>
    <w:p>
      <w:pPr>
        <w:pStyle w:val="BodyText"/>
        <w:spacing w:line="319" w:lineRule="auto" w:before="55"/>
        <w:ind w:right="1032" w:firstLine="360"/>
        <w:jc w:val="left"/>
      </w:pPr>
      <w:r>
        <w:rPr>
          <w:rFonts w:ascii="宋体" w:hAnsi="宋体" w:cs="宋体" w:eastAsia="宋体" w:hint="default"/>
        </w:rPr>
        <w:t>4</w:t>
      </w:r>
      <w:r>
        <w:rPr/>
        <w:t>、李延兵，女，</w:t>
      </w:r>
      <w:r>
        <w:rPr>
          <w:rFonts w:ascii="宋体" w:hAnsi="宋体" w:cs="宋体" w:eastAsia="宋体" w:hint="default"/>
        </w:rPr>
        <w:t>1962</w:t>
      </w:r>
      <w:r>
        <w:rPr/>
        <w:t>年</w:t>
      </w:r>
      <w:r>
        <w:rPr>
          <w:rFonts w:ascii="宋体" w:hAnsi="宋体" w:cs="宋体" w:eastAsia="宋体" w:hint="default"/>
        </w:rPr>
        <w:t>6</w:t>
      </w:r>
      <w:r>
        <w:rPr/>
        <w:t>月出生，中国国籍，无境外永久居留权，中山大学博士。长期任职于中山大学附属第一医院， </w:t>
      </w:r>
      <w:r>
        <w:rPr>
          <w:spacing w:val="-2"/>
        </w:rPr>
        <w:t>现任中山大学附属第一医院内分泌科主任、教授、主任医师，兼任广东省医学会糖尿病分会主任委员、中华医学会糖尿病分</w:t>
      </w:r>
      <w:r>
        <w:rPr>
          <w:spacing w:val="-66"/>
        </w:rPr>
        <w:t> </w:t>
      </w:r>
      <w:r>
        <w:rPr>
          <w:spacing w:val="-66"/>
        </w:rPr>
      </w:r>
      <w:r>
        <w:rPr/>
        <w:t>会委员、血糖监测学组副组长、广东省健康管理学会代谢与内分泌专业委员会主任委员。</w:t>
      </w:r>
      <w:r>
        <w:rPr>
          <w:rFonts w:ascii="宋体" w:hAnsi="宋体" w:cs="宋体" w:eastAsia="宋体" w:hint="default"/>
        </w:rPr>
        <w:t>2015</w:t>
      </w:r>
      <w:r>
        <w:rPr/>
        <w:t>年</w:t>
      </w:r>
      <w:r>
        <w:rPr>
          <w:rFonts w:ascii="宋体" w:hAnsi="宋体" w:cs="宋体" w:eastAsia="宋体" w:hint="default"/>
        </w:rPr>
        <w:t>11</w:t>
      </w:r>
      <w:r>
        <w:rPr/>
        <w:t>月至今担任本公司董事。</w:t>
      </w:r>
    </w:p>
    <w:p>
      <w:pPr>
        <w:pStyle w:val="BodyText"/>
        <w:spacing w:line="319" w:lineRule="auto" w:before="55"/>
        <w:ind w:left="1133" w:right="1132" w:firstLine="360"/>
        <w:jc w:val="both"/>
      </w:pPr>
      <w:r>
        <w:rPr>
          <w:rFonts w:ascii="宋体" w:hAnsi="宋体" w:cs="宋体" w:eastAsia="宋体" w:hint="default"/>
          <w:spacing w:val="-2"/>
        </w:rPr>
        <w:t>5</w:t>
      </w:r>
      <w:r>
        <w:rPr>
          <w:spacing w:val="-2"/>
        </w:rPr>
        <w:t>、余国铮，男，</w:t>
      </w:r>
      <w:r>
        <w:rPr>
          <w:rFonts w:ascii="宋体" w:hAnsi="宋体" w:cs="宋体" w:eastAsia="宋体" w:hint="default"/>
          <w:spacing w:val="-2"/>
        </w:rPr>
        <w:t>1966</w:t>
      </w:r>
      <w:r>
        <w:rPr>
          <w:spacing w:val="-2"/>
        </w:rPr>
        <w:t>年</w:t>
      </w:r>
      <w:r>
        <w:rPr>
          <w:rFonts w:ascii="宋体" w:hAnsi="宋体" w:cs="宋体" w:eastAsia="宋体" w:hint="default"/>
          <w:spacing w:val="-2"/>
        </w:rPr>
        <w:t>5</w:t>
      </w:r>
      <w:r>
        <w:rPr>
          <w:spacing w:val="-2"/>
        </w:rPr>
        <w:t>月出生，中国国籍，无境外永久居留权，中南财经大学硕士研究生。曾任职于招商银行总行信</w:t>
      </w:r>
      <w:r>
        <w:rPr/>
        <w:t> 托投资部、研究发展部、投资银行部、资产管理部。现任招银国际金融有限公司董事总经理，本公司独立董事。</w:t>
      </w:r>
    </w:p>
    <w:p>
      <w:pPr>
        <w:pStyle w:val="BodyText"/>
        <w:spacing w:line="316" w:lineRule="auto" w:before="57"/>
        <w:ind w:right="1131" w:firstLine="360"/>
        <w:jc w:val="both"/>
      </w:pPr>
      <w:r>
        <w:rPr>
          <w:rFonts w:ascii="宋体" w:hAnsi="宋体" w:cs="宋体" w:eastAsia="宋体" w:hint="default"/>
          <w:spacing w:val="-2"/>
        </w:rPr>
        <w:t>6</w:t>
      </w:r>
      <w:r>
        <w:rPr>
          <w:spacing w:val="-2"/>
        </w:rPr>
        <w:t>、黄洪燕，男，</w:t>
      </w:r>
      <w:r>
        <w:rPr>
          <w:rFonts w:ascii="宋体" w:hAnsi="宋体" w:cs="宋体" w:eastAsia="宋体" w:hint="default"/>
          <w:spacing w:val="-2"/>
        </w:rPr>
        <w:t>1970</w:t>
      </w:r>
      <w:r>
        <w:rPr>
          <w:spacing w:val="-2"/>
        </w:rPr>
        <w:t>年</w:t>
      </w:r>
      <w:r>
        <w:rPr>
          <w:rFonts w:ascii="宋体" w:hAnsi="宋体" w:cs="宋体" w:eastAsia="宋体" w:hint="default"/>
          <w:spacing w:val="-2"/>
        </w:rPr>
        <w:t>5</w:t>
      </w:r>
      <w:r>
        <w:rPr>
          <w:spacing w:val="-2"/>
        </w:rPr>
        <w:t>月出生，中国国籍，无境外永久居留权，香港国际商学院财务管理硕士，中国注册会计师、中</w:t>
      </w:r>
      <w:r>
        <w:rPr/>
        <w:t> </w:t>
      </w:r>
      <w:r>
        <w:rPr>
          <w:spacing w:val="-2"/>
        </w:rPr>
        <w:t>国注册资产评估师、中国注册税务师、国际内部注册审计师。历任顺德市智信会计师事务所副所长、顺德亿龙电器有限公司</w:t>
      </w:r>
      <w:r>
        <w:rPr>
          <w:spacing w:val="-66"/>
        </w:rPr>
        <w:t> </w:t>
      </w:r>
      <w:r>
        <w:rPr>
          <w:spacing w:val="-66"/>
        </w:rPr>
      </w:r>
      <w:r>
        <w:rPr>
          <w:spacing w:val="-2"/>
        </w:rPr>
        <w:t>财务总监、佛山市广德会计师事务所合伙人、佛山市远思达管理咨询有限公司总经理、佛山市思达税务师事务所有限责任公</w:t>
      </w:r>
      <w:r>
        <w:rPr>
          <w:spacing w:val="-66"/>
        </w:rPr>
        <w:t> </w:t>
      </w:r>
      <w:r>
        <w:rPr>
          <w:spacing w:val="-66"/>
        </w:rPr>
      </w:r>
      <w:r>
        <w:rPr>
          <w:spacing w:val="-2"/>
        </w:rPr>
        <w:t>司监事、广东日丰电缆股份有限公司独立董事。现任本公司独立董事、兼任碧桂园控股有限公司独立董事、中顺洁柔纸业股</w:t>
      </w:r>
    </w:p>
    <w:p>
      <w:pPr>
        <w:spacing w:after="0" w:line="316" w:lineRule="auto"/>
        <w:jc w:val="both"/>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240" w:lineRule="auto" w:before="44"/>
        <w:ind w:left="1133" w:right="0"/>
        <w:jc w:val="both"/>
      </w:pPr>
      <w:r>
        <w:rPr/>
        <w:t>份有限公司独立董事、广东佳洋投资发展有限公司董事、广东便捷神科技股份有限公司董事、新余市尚捷投资咨询服务中心</w:t>
      </w:r>
    </w:p>
    <w:p>
      <w:pPr>
        <w:pStyle w:val="BodyText"/>
        <w:spacing w:line="319" w:lineRule="auto" w:before="76"/>
        <w:ind w:left="1133" w:right="1131"/>
        <w:jc w:val="both"/>
      </w:pPr>
      <w:r>
        <w:rPr>
          <w:spacing w:val="-2"/>
        </w:rPr>
        <w:t>（有限合伙）执行事务合伙人、佛山市远思达管理咨询有限公司执行董事、总经理兼法定代表人、广东顺德三合工业自动化</w:t>
      </w:r>
      <w:r>
        <w:rPr>
          <w:spacing w:val="-66"/>
        </w:rPr>
        <w:t> </w:t>
      </w:r>
      <w:r>
        <w:rPr>
          <w:spacing w:val="-66"/>
        </w:rPr>
      </w:r>
      <w:r>
        <w:rPr>
          <w:spacing w:val="-2"/>
        </w:rPr>
        <w:t>设备股份有限公司董事、新余顺耀投资有限公司副董事长、广东天泓新材料科技有限公司董事、广东煦智雅环保科技有限公</w:t>
      </w:r>
      <w:r>
        <w:rPr>
          <w:spacing w:val="-66"/>
        </w:rPr>
        <w:t> </w:t>
      </w:r>
      <w:r>
        <w:rPr>
          <w:spacing w:val="-66"/>
        </w:rPr>
      </w:r>
      <w:r>
        <w:rPr/>
        <w:t>司执行董事兼法定代表人、珠海聚碳复合材料有限公司董事以及广东申菱环境系统股份有限公司独立董事。</w:t>
      </w:r>
    </w:p>
    <w:p>
      <w:pPr>
        <w:pStyle w:val="BodyText"/>
        <w:spacing w:line="319" w:lineRule="auto" w:before="56"/>
        <w:ind w:right="1133" w:firstLine="360"/>
        <w:jc w:val="both"/>
      </w:pPr>
      <w:r>
        <w:rPr>
          <w:rFonts w:ascii="宋体" w:hAnsi="宋体" w:cs="宋体" w:eastAsia="宋体" w:hint="default"/>
        </w:rPr>
        <w:t>7</w:t>
      </w:r>
      <w:r>
        <w:rPr/>
        <w:t>、邹晓冬，男，</w:t>
      </w:r>
      <w:r>
        <w:rPr>
          <w:rFonts w:ascii="宋体" w:hAnsi="宋体" w:cs="宋体" w:eastAsia="宋体" w:hint="default"/>
        </w:rPr>
        <w:t>1974</w:t>
      </w:r>
      <w:r>
        <w:rPr/>
        <w:t>年</w:t>
      </w:r>
      <w:r>
        <w:rPr>
          <w:rFonts w:ascii="宋体" w:hAnsi="宋体" w:cs="宋体" w:eastAsia="宋体" w:hint="default"/>
        </w:rPr>
        <w:t>11</w:t>
      </w:r>
      <w:r>
        <w:rPr/>
        <w:t>月出生，中国国籍，无境外永久居留权，西南财经大学硕士。曾任职于通威股份有限公司、 </w:t>
      </w:r>
      <w:r>
        <w:rPr>
          <w:spacing w:val="-2"/>
        </w:rPr>
        <w:t>中兴通讯股份有限公司、广东金唐律师事务所、北京市中伦（深圳）律师事务所。现任上海市锦天城（深圳）律师事务所合</w:t>
      </w:r>
      <w:r>
        <w:rPr>
          <w:spacing w:val="-72"/>
        </w:rPr>
        <w:t> </w:t>
      </w:r>
      <w:r>
        <w:rPr>
          <w:spacing w:val="-72"/>
        </w:rPr>
      </w:r>
      <w:r>
        <w:rPr>
          <w:spacing w:val="-2"/>
        </w:rPr>
        <w:t>伙人、西藏卫信康医药股份有限公司、广东皮阿诺科学艺术家居股份有限公司及本公司独立董事、深圳市斯维尔投资有限公</w:t>
      </w:r>
      <w:r>
        <w:rPr>
          <w:spacing w:val="-66"/>
        </w:rPr>
        <w:t> </w:t>
      </w:r>
      <w:r>
        <w:rPr>
          <w:spacing w:val="-66"/>
        </w:rPr>
      </w:r>
      <w:r>
        <w:rPr/>
        <w:t>司执行董事、总经理。</w:t>
      </w:r>
    </w:p>
    <w:p>
      <w:pPr>
        <w:pStyle w:val="BodyText"/>
        <w:spacing w:line="240" w:lineRule="auto" w:before="58"/>
        <w:ind w:right="0"/>
        <w:jc w:val="both"/>
      </w:pPr>
      <w:r>
        <w:rPr/>
        <w:t>（二）监事</w:t>
      </w:r>
    </w:p>
    <w:p>
      <w:pPr>
        <w:pStyle w:val="BodyText"/>
        <w:spacing w:line="319" w:lineRule="auto" w:before="115"/>
        <w:ind w:right="1015" w:firstLine="360"/>
        <w:jc w:val="left"/>
      </w:pPr>
      <w:r>
        <w:rPr>
          <w:rFonts w:ascii="宋体" w:hAnsi="宋体" w:cs="宋体" w:eastAsia="宋体" w:hint="default"/>
        </w:rPr>
        <w:t>1</w:t>
      </w:r>
      <w:r>
        <w:rPr/>
        <w:t>、欧高良，男，</w:t>
      </w:r>
      <w:r>
        <w:rPr>
          <w:rFonts w:ascii="宋体" w:hAnsi="宋体" w:cs="宋体" w:eastAsia="宋体" w:hint="default"/>
        </w:rPr>
        <w:t>1972</w:t>
      </w:r>
      <w:r>
        <w:rPr/>
        <w:t>年</w:t>
      </w:r>
      <w:r>
        <w:rPr>
          <w:rFonts w:ascii="宋体" w:hAnsi="宋体" w:cs="宋体" w:eastAsia="宋体" w:hint="default"/>
        </w:rPr>
        <w:t>10</w:t>
      </w:r>
      <w:r>
        <w:rPr/>
        <w:t>月出生，中国国籍，无境外永久居留权，本科学历，曾任职于重庆机床集团公司、富士康科 技集团（深圳）有限公司。</w:t>
      </w:r>
      <w:r>
        <w:rPr>
          <w:rFonts w:ascii="宋体" w:hAnsi="宋体" w:cs="宋体" w:eastAsia="宋体" w:hint="default"/>
        </w:rPr>
        <w:t>2003</w:t>
      </w:r>
      <w:r>
        <w:rPr/>
        <w:t>年</w:t>
      </w:r>
      <w:r>
        <w:rPr>
          <w:rFonts w:ascii="宋体" w:hAnsi="宋体" w:cs="宋体" w:eastAsia="宋体" w:hint="default"/>
        </w:rPr>
        <w:t>4</w:t>
      </w:r>
      <w:r>
        <w:rPr/>
        <w:t>月至</w:t>
      </w:r>
      <w:r>
        <w:rPr>
          <w:rFonts w:ascii="宋体" w:hAnsi="宋体" w:cs="宋体" w:eastAsia="宋体" w:hint="default"/>
        </w:rPr>
        <w:t>2012</w:t>
      </w:r>
      <w:r>
        <w:rPr/>
        <w:t>年</w:t>
      </w:r>
      <w:r>
        <w:rPr>
          <w:rFonts w:ascii="宋体" w:hAnsi="宋体" w:cs="宋体" w:eastAsia="宋体" w:hint="default"/>
        </w:rPr>
        <w:t>10</w:t>
      </w:r>
      <w:r>
        <w:rPr/>
        <w:t>月历任创源电子人资部经理、副总经理、执行董事。现任本公司监事会主 </w:t>
      </w:r>
      <w:r>
        <w:rPr>
          <w:spacing w:val="-4"/>
        </w:rPr>
        <w:t>席，兼任全资子公司创源传感器执行董事、全资子公司深圳乐心监事、全资子公司创源贸易监事、全资子公司广州动心监事、</w:t>
      </w:r>
      <w:r>
        <w:rPr>
          <w:spacing w:val="-46"/>
        </w:rPr>
        <w:t> </w:t>
      </w:r>
      <w:r>
        <w:rPr>
          <w:spacing w:val="-46"/>
        </w:rPr>
      </w:r>
      <w:r>
        <w:rPr/>
        <w:t>全资子公司中山乐心执行董事、经理。</w:t>
      </w:r>
    </w:p>
    <w:p>
      <w:pPr>
        <w:pStyle w:val="BodyText"/>
        <w:spacing w:line="319" w:lineRule="auto" w:before="55"/>
        <w:ind w:left="1133" w:right="1132" w:firstLine="360"/>
        <w:jc w:val="both"/>
      </w:pPr>
      <w:r>
        <w:rPr>
          <w:rFonts w:ascii="宋体" w:hAnsi="宋体" w:cs="宋体" w:eastAsia="宋体" w:hint="default"/>
          <w:spacing w:val="-2"/>
        </w:rPr>
        <w:t>2</w:t>
      </w:r>
      <w:r>
        <w:rPr>
          <w:spacing w:val="-2"/>
        </w:rPr>
        <w:t>、周甜，女，</w:t>
      </w:r>
      <w:r>
        <w:rPr>
          <w:rFonts w:ascii="宋体" w:hAnsi="宋体" w:cs="宋体" w:eastAsia="宋体" w:hint="default"/>
          <w:spacing w:val="-2"/>
        </w:rPr>
        <w:t>1983</w:t>
      </w:r>
      <w:r>
        <w:rPr>
          <w:spacing w:val="-2"/>
        </w:rPr>
        <w:t>年生，中国国籍，本科学历。</w:t>
      </w:r>
      <w:r>
        <w:rPr>
          <w:rFonts w:ascii="宋体" w:hAnsi="宋体" w:cs="宋体" w:eastAsia="宋体" w:hint="default"/>
          <w:spacing w:val="-2"/>
        </w:rPr>
        <w:t>2007</w:t>
      </w:r>
      <w:r>
        <w:rPr>
          <w:spacing w:val="-2"/>
        </w:rPr>
        <w:t>年</w:t>
      </w:r>
      <w:r>
        <w:rPr>
          <w:rFonts w:ascii="宋体" w:hAnsi="宋体" w:cs="宋体" w:eastAsia="宋体" w:hint="default"/>
          <w:spacing w:val="-2"/>
        </w:rPr>
        <w:t>6</w:t>
      </w:r>
      <w:r>
        <w:rPr>
          <w:spacing w:val="-2"/>
        </w:rPr>
        <w:t>月入职本公司，先后担任公司外销业务员、国际营销中心亚洲</w:t>
      </w:r>
      <w:r>
        <w:rPr/>
        <w:t> 区经理、国际营销推广部经理。现任本公司可穿戴产品中心推广部经理。</w:t>
      </w:r>
    </w:p>
    <w:p>
      <w:pPr>
        <w:pStyle w:val="BodyText"/>
        <w:spacing w:line="319" w:lineRule="auto" w:before="56"/>
        <w:ind w:right="1051" w:firstLine="360"/>
        <w:jc w:val="both"/>
      </w:pPr>
      <w:r>
        <w:rPr>
          <w:rFonts w:ascii="宋体" w:hAnsi="宋体" w:cs="宋体" w:eastAsia="宋体" w:hint="default"/>
        </w:rPr>
        <w:t>3</w:t>
      </w:r>
      <w:r>
        <w:rPr/>
        <w:t>、钟前荣，男，</w:t>
      </w:r>
      <w:r>
        <w:rPr>
          <w:rFonts w:ascii="宋体" w:hAnsi="宋体" w:cs="宋体" w:eastAsia="宋体" w:hint="default"/>
        </w:rPr>
        <w:t>1986</w:t>
      </w:r>
      <w:r>
        <w:rPr/>
        <w:t>年</w:t>
      </w:r>
      <w:r>
        <w:rPr>
          <w:rFonts w:ascii="宋体" w:hAnsi="宋体" w:cs="宋体" w:eastAsia="宋体" w:hint="default"/>
        </w:rPr>
        <w:t>4</w:t>
      </w:r>
      <w:r>
        <w:rPr/>
        <w:t>月出生，中国国籍，无境外永久居留权，大专学历。历任公司外贸业务员、欧洲区销售经理、 国内事业部运营总监、硬件产品部总监、产品中心总监。现任本公司职工代表监事、可穿戴产品中心总监。</w:t>
      </w:r>
    </w:p>
    <w:p>
      <w:pPr>
        <w:pStyle w:val="BodyText"/>
        <w:spacing w:line="357" w:lineRule="auto" w:before="56"/>
        <w:ind w:left="1493" w:right="6523" w:hanging="360"/>
        <w:jc w:val="left"/>
      </w:pPr>
      <w:r>
        <w:rPr/>
        <w:t>（三）高级管理人员 </w:t>
      </w:r>
      <w:r>
        <w:rPr>
          <w:rFonts w:ascii="宋体" w:hAnsi="宋体" w:cs="宋体" w:eastAsia="宋体" w:hint="default"/>
        </w:rPr>
        <w:t>1</w:t>
      </w:r>
      <w:r>
        <w:rPr/>
        <w:t>、潘伟潮，简历详见“（一）董事部分简介”。</w:t>
      </w:r>
    </w:p>
    <w:p>
      <w:pPr>
        <w:pStyle w:val="BodyText"/>
        <w:spacing w:line="240" w:lineRule="auto" w:before="29"/>
        <w:ind w:left="1494" w:right="1015"/>
        <w:jc w:val="left"/>
      </w:pPr>
      <w:r>
        <w:rPr>
          <w:rFonts w:ascii="宋体" w:hAnsi="宋体" w:cs="宋体" w:eastAsia="宋体" w:hint="default"/>
        </w:rPr>
        <w:t>2</w:t>
      </w:r>
      <w:r>
        <w:rPr/>
        <w:t>、麦炯章，简历详见“（一）董事部分简介”。</w:t>
      </w:r>
    </w:p>
    <w:p>
      <w:pPr>
        <w:pStyle w:val="BodyText"/>
        <w:spacing w:line="240" w:lineRule="auto" w:before="116"/>
        <w:ind w:left="1494" w:right="1015"/>
        <w:jc w:val="left"/>
      </w:pPr>
      <w:r>
        <w:rPr>
          <w:rFonts w:ascii="宋体" w:hAnsi="宋体" w:cs="宋体" w:eastAsia="宋体" w:hint="default"/>
        </w:rPr>
        <w:t>3</w:t>
      </w:r>
      <w:r>
        <w:rPr/>
        <w:t>、沙华海，简历详见“（一）董事部分简介”。</w:t>
      </w:r>
    </w:p>
    <w:p>
      <w:pPr>
        <w:pStyle w:val="BodyText"/>
        <w:spacing w:line="319" w:lineRule="auto" w:before="115"/>
        <w:ind w:left="1133" w:right="1132" w:firstLine="360"/>
        <w:jc w:val="both"/>
      </w:pPr>
      <w:r>
        <w:rPr>
          <w:rFonts w:ascii="宋体" w:hAnsi="宋体" w:cs="宋体" w:eastAsia="宋体" w:hint="default"/>
          <w:spacing w:val="-2"/>
        </w:rPr>
        <w:t>4</w:t>
      </w:r>
      <w:r>
        <w:rPr>
          <w:spacing w:val="-2"/>
        </w:rPr>
        <w:t>、万卫东，男，</w:t>
      </w:r>
      <w:r>
        <w:rPr>
          <w:rFonts w:ascii="宋体" w:hAnsi="宋体" w:cs="宋体" w:eastAsia="宋体" w:hint="default"/>
          <w:spacing w:val="-2"/>
        </w:rPr>
        <w:t>1973</w:t>
      </w:r>
      <w:r>
        <w:rPr>
          <w:spacing w:val="-2"/>
        </w:rPr>
        <w:t>年</w:t>
      </w:r>
      <w:r>
        <w:rPr>
          <w:rFonts w:ascii="宋体" w:hAnsi="宋体" w:cs="宋体" w:eastAsia="宋体" w:hint="default"/>
          <w:spacing w:val="-2"/>
        </w:rPr>
        <w:t>2</w:t>
      </w:r>
      <w:r>
        <w:rPr>
          <w:spacing w:val="-2"/>
        </w:rPr>
        <w:t>月出生，中国国籍，无境外永久居留权，大专学历，</w:t>
      </w:r>
      <w:r>
        <w:rPr>
          <w:rFonts w:ascii="宋体" w:hAnsi="宋体" w:cs="宋体" w:eastAsia="宋体" w:hint="default"/>
          <w:spacing w:val="-2"/>
        </w:rPr>
        <w:t>2007</w:t>
      </w:r>
      <w:r>
        <w:rPr>
          <w:spacing w:val="-2"/>
        </w:rPr>
        <w:t>年</w:t>
      </w:r>
      <w:r>
        <w:rPr>
          <w:rFonts w:ascii="宋体" w:hAnsi="宋体" w:cs="宋体" w:eastAsia="宋体" w:hint="default"/>
          <w:spacing w:val="-2"/>
        </w:rPr>
        <w:t>10</w:t>
      </w:r>
      <w:r>
        <w:rPr>
          <w:spacing w:val="-2"/>
        </w:rPr>
        <w:t>月入职本公司。曾任职于中山嘉</w:t>
      </w:r>
      <w:r>
        <w:rPr/>
        <w:t> 华电子集团、香山衡器，历任公司健康秤事业部总监，现任公司副总经理。</w:t>
      </w:r>
    </w:p>
    <w:p>
      <w:pPr>
        <w:pStyle w:val="BodyText"/>
        <w:spacing w:line="319" w:lineRule="auto" w:before="56"/>
        <w:ind w:right="1132" w:firstLine="360"/>
        <w:jc w:val="both"/>
      </w:pPr>
      <w:r>
        <w:rPr>
          <w:rFonts w:ascii="宋体" w:hAnsi="宋体" w:cs="宋体" w:eastAsia="宋体" w:hint="default"/>
          <w:spacing w:val="-2"/>
        </w:rPr>
        <w:t>5</w:t>
      </w:r>
      <w:r>
        <w:rPr>
          <w:spacing w:val="-2"/>
        </w:rPr>
        <w:t>、梁启光，男，</w:t>
      </w:r>
      <w:r>
        <w:rPr>
          <w:rFonts w:ascii="宋体" w:hAnsi="宋体" w:cs="宋体" w:eastAsia="宋体" w:hint="default"/>
          <w:spacing w:val="-2"/>
        </w:rPr>
        <w:t>1980</w:t>
      </w:r>
      <w:r>
        <w:rPr>
          <w:spacing w:val="-2"/>
        </w:rPr>
        <w:t>年</w:t>
      </w:r>
      <w:r>
        <w:rPr>
          <w:rFonts w:ascii="宋体" w:hAnsi="宋体" w:cs="宋体" w:eastAsia="宋体" w:hint="default"/>
          <w:spacing w:val="-2"/>
        </w:rPr>
        <w:t>11</w:t>
      </w:r>
      <w:r>
        <w:rPr>
          <w:spacing w:val="-2"/>
        </w:rPr>
        <w:t>月出生，中国国籍，无境外永久居留权，大专学历，</w:t>
      </w:r>
      <w:r>
        <w:rPr>
          <w:rFonts w:ascii="宋体" w:hAnsi="宋体" w:cs="宋体" w:eastAsia="宋体" w:hint="default"/>
          <w:spacing w:val="-2"/>
        </w:rPr>
        <w:t>2003</w:t>
      </w:r>
      <w:r>
        <w:rPr>
          <w:spacing w:val="-2"/>
        </w:rPr>
        <w:t>年</w:t>
      </w:r>
      <w:r>
        <w:rPr>
          <w:rFonts w:ascii="宋体" w:hAnsi="宋体" w:cs="宋体" w:eastAsia="宋体" w:hint="default"/>
          <w:spacing w:val="-2"/>
        </w:rPr>
        <w:t>3</w:t>
      </w:r>
      <w:r>
        <w:rPr>
          <w:spacing w:val="-2"/>
        </w:rPr>
        <w:t>月入职本公司。历任公司软件工</w:t>
      </w:r>
      <w:r>
        <w:rPr/>
        <w:t> 程师、研发部门经理、医疗产品事业部总监、方案研发总监，现任公司副总经理。</w:t>
      </w:r>
    </w:p>
    <w:p>
      <w:pPr>
        <w:pStyle w:val="BodyText"/>
        <w:spacing w:line="319" w:lineRule="auto" w:before="55"/>
        <w:ind w:right="1133" w:firstLine="360"/>
        <w:jc w:val="both"/>
      </w:pPr>
      <w:r>
        <w:rPr>
          <w:rFonts w:ascii="宋体" w:hAnsi="宋体" w:cs="宋体" w:eastAsia="宋体" w:hint="default"/>
          <w:spacing w:val="-2"/>
        </w:rPr>
        <w:t>6</w:t>
      </w:r>
      <w:r>
        <w:rPr>
          <w:spacing w:val="-2"/>
        </w:rPr>
        <w:t>、许迎丰，男，</w:t>
      </w:r>
      <w:r>
        <w:rPr>
          <w:rFonts w:ascii="宋体" w:hAnsi="宋体" w:cs="宋体" w:eastAsia="宋体" w:hint="default"/>
          <w:spacing w:val="-2"/>
        </w:rPr>
        <w:t>1979</w:t>
      </w:r>
      <w:r>
        <w:rPr>
          <w:spacing w:val="-2"/>
        </w:rPr>
        <w:t>年</w:t>
      </w:r>
      <w:r>
        <w:rPr>
          <w:rFonts w:ascii="宋体" w:hAnsi="宋体" w:cs="宋体" w:eastAsia="宋体" w:hint="default"/>
          <w:spacing w:val="-2"/>
        </w:rPr>
        <w:t>7</w:t>
      </w:r>
      <w:r>
        <w:rPr>
          <w:spacing w:val="-2"/>
        </w:rPr>
        <w:t>月出生，中国国籍，无境外永久居留权，大专学历、中国注册会计师。曾任职于湖南省沅江市</w:t>
      </w:r>
      <w:r>
        <w:rPr/>
        <w:t> 粮食局、虎彩集团有限公司、虎彩文化用品有限公司，</w:t>
      </w:r>
      <w:r>
        <w:rPr>
          <w:rFonts w:ascii="宋体" w:hAnsi="宋体" w:cs="宋体" w:eastAsia="宋体" w:hint="default"/>
        </w:rPr>
        <w:t>2011</w:t>
      </w:r>
      <w:r>
        <w:rPr/>
        <w:t>年</w:t>
      </w:r>
      <w:r>
        <w:rPr>
          <w:rFonts w:ascii="宋体" w:hAnsi="宋体" w:cs="宋体" w:eastAsia="宋体" w:hint="default"/>
        </w:rPr>
        <w:t>2</w:t>
      </w:r>
      <w:r>
        <w:rPr/>
        <w:t>月入职本公司，历任公司财务总监、董事会秘书。现任公司 副总经理。</w:t>
      </w:r>
    </w:p>
    <w:p>
      <w:pPr>
        <w:pStyle w:val="BodyText"/>
        <w:spacing w:line="240" w:lineRule="auto" w:before="55"/>
        <w:ind w:left="1494" w:right="0"/>
        <w:jc w:val="left"/>
      </w:pPr>
      <w:r>
        <w:rPr>
          <w:rFonts w:ascii="宋体" w:hAnsi="宋体" w:cs="宋体" w:eastAsia="宋体" w:hint="default"/>
        </w:rPr>
        <w:t>7</w:t>
      </w:r>
      <w:r>
        <w:rPr/>
        <w:t>、黄瑜，男，</w:t>
      </w:r>
      <w:r>
        <w:rPr>
          <w:rFonts w:ascii="宋体" w:hAnsi="宋体" w:cs="宋体" w:eastAsia="宋体" w:hint="default"/>
        </w:rPr>
        <w:t>1974</w:t>
      </w:r>
      <w:r>
        <w:rPr/>
        <w:t>年</w:t>
      </w:r>
      <w:r>
        <w:rPr>
          <w:rFonts w:ascii="宋体" w:hAnsi="宋体" w:cs="宋体" w:eastAsia="宋体" w:hint="default"/>
        </w:rPr>
        <w:t>8</w:t>
      </w:r>
      <w:r>
        <w:rPr/>
        <w:t>月出生，中国国籍，无境外永久居留权，</w:t>
      </w:r>
      <w:r>
        <w:rPr>
          <w:rFonts w:ascii="宋体" w:hAnsi="宋体" w:cs="宋体" w:eastAsia="宋体" w:hint="default"/>
        </w:rPr>
        <w:t>EMBA</w:t>
      </w:r>
      <w:r>
        <w:rPr/>
        <w:t>。曾任强生（中国）有限公司销售经理，摩托罗拉</w:t>
      </w:r>
    </w:p>
    <w:p>
      <w:pPr>
        <w:pStyle w:val="BodyText"/>
        <w:spacing w:line="319" w:lineRule="auto" w:before="76"/>
        <w:ind w:right="1132"/>
        <w:jc w:val="both"/>
      </w:pPr>
      <w:r>
        <w:rPr>
          <w:spacing w:val="-2"/>
        </w:rPr>
        <w:t>（中国）有限公司销售经理，历任苹果电脑贸易（上海）有限公司中国零售部门南区销售总监、大中华区企业部门运营及渠</w:t>
      </w:r>
      <w:r>
        <w:rPr>
          <w:spacing w:val="-66"/>
        </w:rPr>
        <w:t> </w:t>
      </w:r>
      <w:r>
        <w:rPr>
          <w:spacing w:val="-66"/>
        </w:rPr>
      </w:r>
      <w:r>
        <w:rPr/>
        <w:t>道总监等职。</w:t>
      </w:r>
      <w:r>
        <w:rPr>
          <w:rFonts w:ascii="宋体" w:hAnsi="宋体" w:cs="宋体" w:eastAsia="宋体" w:hint="default"/>
        </w:rPr>
        <w:t>2015</w:t>
      </w:r>
      <w:r>
        <w:rPr/>
        <w:t>年</w:t>
      </w:r>
      <w:r>
        <w:rPr>
          <w:rFonts w:ascii="宋体" w:hAnsi="宋体" w:cs="宋体" w:eastAsia="宋体" w:hint="default"/>
        </w:rPr>
        <w:t>5</w:t>
      </w:r>
      <w:r>
        <w:rPr/>
        <w:t>月至今担任本公司首席运营官，</w:t>
      </w:r>
      <w:r>
        <w:rPr>
          <w:rFonts w:ascii="宋体" w:hAnsi="宋体" w:cs="宋体" w:eastAsia="宋体" w:hint="default"/>
        </w:rPr>
        <w:t>2015</w:t>
      </w:r>
      <w:r>
        <w:rPr/>
        <w:t>年</w:t>
      </w:r>
      <w:r>
        <w:rPr>
          <w:rFonts w:ascii="宋体" w:hAnsi="宋体" w:cs="宋体" w:eastAsia="宋体" w:hint="default"/>
        </w:rPr>
        <w:t>10</w:t>
      </w:r>
      <w:r>
        <w:rPr/>
        <w:t>月至今担任子公司广州动心信息科技有限公司执行董事、经 理，现任本公司副总经理。</w:t>
      </w:r>
    </w:p>
    <w:p>
      <w:pPr>
        <w:pStyle w:val="BodyText"/>
        <w:spacing w:line="319" w:lineRule="auto" w:before="56"/>
        <w:ind w:right="1141" w:firstLine="360"/>
        <w:jc w:val="both"/>
      </w:pPr>
      <w:r>
        <w:rPr>
          <w:rFonts w:ascii="宋体" w:hAnsi="宋体" w:cs="宋体" w:eastAsia="宋体" w:hint="default"/>
        </w:rPr>
        <w:t>8</w:t>
      </w:r>
      <w:r>
        <w:rPr/>
        <w:t>、潘农菲，男，</w:t>
      </w:r>
      <w:r>
        <w:rPr>
          <w:rFonts w:ascii="宋体" w:hAnsi="宋体" w:cs="宋体" w:eastAsia="宋体" w:hint="default"/>
        </w:rPr>
        <w:t>1974</w:t>
      </w:r>
      <w:r>
        <w:rPr/>
        <w:t>年</w:t>
      </w:r>
      <w:r>
        <w:rPr>
          <w:rFonts w:ascii="宋体" w:hAnsi="宋体" w:cs="宋体" w:eastAsia="宋体" w:hint="default"/>
        </w:rPr>
        <w:t>12</w:t>
      </w:r>
      <w:r>
        <w:rPr/>
        <w:t>月出生，中国国籍，无境外永久居留权，硕士学历。曾任长城国际有限公司工程师，大展集 团技术售前顾问，微软公司</w:t>
      </w:r>
      <w:r>
        <w:rPr>
          <w:rFonts w:ascii="宋体" w:hAnsi="宋体" w:cs="宋体" w:eastAsia="宋体" w:hint="default"/>
        </w:rPr>
        <w:t>Program Manager</w:t>
      </w:r>
      <w:r>
        <w:rPr/>
        <w:t>，腾讯公司总监，大疆创新公司副总裁。现任本公司副总经理。</w:t>
      </w:r>
    </w:p>
    <w:p>
      <w:pPr>
        <w:pStyle w:val="BodyText"/>
        <w:spacing w:line="319" w:lineRule="auto" w:before="55"/>
        <w:ind w:left="1133" w:right="1042" w:firstLine="360"/>
        <w:jc w:val="both"/>
      </w:pPr>
      <w:r>
        <w:rPr>
          <w:rFonts w:ascii="宋体" w:hAnsi="宋体" w:cs="宋体" w:eastAsia="宋体" w:hint="default"/>
          <w:spacing w:val="-2"/>
        </w:rPr>
        <w:t>9</w:t>
      </w:r>
      <w:r>
        <w:rPr>
          <w:spacing w:val="-2"/>
        </w:rPr>
        <w:t>、石绍海，男，中国国籍，</w:t>
      </w:r>
      <w:r>
        <w:rPr>
          <w:rFonts w:ascii="宋体" w:hAnsi="宋体" w:cs="宋体" w:eastAsia="宋体" w:hint="default"/>
          <w:spacing w:val="-2"/>
        </w:rPr>
        <w:t>1982</w:t>
      </w:r>
      <w:r>
        <w:rPr>
          <w:spacing w:val="-2"/>
        </w:rPr>
        <w:t>年</w:t>
      </w:r>
      <w:r>
        <w:rPr>
          <w:rFonts w:ascii="宋体" w:hAnsi="宋体" w:cs="宋体" w:eastAsia="宋体" w:hint="default"/>
          <w:spacing w:val="-2"/>
        </w:rPr>
        <w:t>6</w:t>
      </w:r>
      <w:r>
        <w:rPr>
          <w:spacing w:val="-2"/>
        </w:rPr>
        <w:t>月生，本科学历，中级会计师和总会计师职称，并已获得注册会计师专业阶段合格</w:t>
      </w:r>
      <w:r>
        <w:rPr/>
        <w:t> </w:t>
      </w:r>
      <w:r>
        <w:rPr>
          <w:spacing w:val="-2"/>
        </w:rPr>
        <w:t>证书。先后在东莞台升家具有限公司担任成本副经理，虎彩印艺股份有限公司担任财务主管、集团高级预算专员，广东银禧</w:t>
      </w:r>
      <w:r>
        <w:rPr>
          <w:spacing w:val="-66"/>
        </w:rPr>
        <w:t> </w:t>
      </w:r>
      <w:r>
        <w:rPr>
          <w:spacing w:val="-66"/>
        </w:rPr>
      </w:r>
      <w:r>
        <w:rPr>
          <w:spacing w:val="-2"/>
        </w:rPr>
        <w:t>科技股份有限公司担任集团财务经理，华帝股份有限公司担任集团财务经理；</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月入职本公司，现任本公司财务总监。</w:t>
      </w:r>
    </w:p>
    <w:p>
      <w:pPr>
        <w:pStyle w:val="BodyText"/>
        <w:spacing w:line="319" w:lineRule="auto" w:before="55"/>
        <w:ind w:left="1133" w:right="1130" w:firstLine="360"/>
        <w:jc w:val="both"/>
      </w:pPr>
      <w:r>
        <w:rPr>
          <w:rFonts w:ascii="宋体" w:hAnsi="宋体" w:cs="宋体" w:eastAsia="宋体" w:hint="default"/>
          <w:spacing w:val="-2"/>
        </w:rPr>
        <w:t>10</w:t>
      </w:r>
      <w:r>
        <w:rPr>
          <w:spacing w:val="-2"/>
        </w:rPr>
        <w:t>、王继宝，男，</w:t>
      </w:r>
      <w:r>
        <w:rPr>
          <w:rFonts w:ascii="宋体" w:hAnsi="宋体" w:cs="宋体" w:eastAsia="宋体" w:hint="default"/>
          <w:spacing w:val="-2"/>
        </w:rPr>
        <w:t>1978</w:t>
      </w:r>
      <w:r>
        <w:rPr>
          <w:spacing w:val="-2"/>
        </w:rPr>
        <w:t>年</w:t>
      </w:r>
      <w:r>
        <w:rPr>
          <w:rFonts w:ascii="宋体" w:hAnsi="宋体" w:cs="宋体" w:eastAsia="宋体" w:hint="default"/>
          <w:spacing w:val="-2"/>
        </w:rPr>
        <w:t>2</w:t>
      </w:r>
      <w:r>
        <w:rPr>
          <w:spacing w:val="-2"/>
        </w:rPr>
        <w:t>月出生，中国国籍，无永久境外居留权，本科学历。</w:t>
      </w:r>
      <w:r>
        <w:rPr>
          <w:rFonts w:ascii="宋体" w:hAnsi="宋体" w:cs="宋体" w:eastAsia="宋体" w:hint="default"/>
          <w:spacing w:val="-2"/>
        </w:rPr>
        <w:t>2000</w:t>
      </w:r>
      <w:r>
        <w:rPr>
          <w:spacing w:val="-2"/>
        </w:rPr>
        <w:t>年</w:t>
      </w:r>
      <w:r>
        <w:rPr>
          <w:rFonts w:ascii="宋体" w:hAnsi="宋体" w:cs="宋体" w:eastAsia="宋体" w:hint="default"/>
          <w:spacing w:val="-2"/>
        </w:rPr>
        <w:t>8</w:t>
      </w:r>
      <w:r>
        <w:rPr>
          <w:spacing w:val="-2"/>
        </w:rPr>
        <w:t>月至</w:t>
      </w:r>
      <w:r>
        <w:rPr>
          <w:rFonts w:ascii="宋体" w:hAnsi="宋体" w:cs="宋体" w:eastAsia="宋体" w:hint="default"/>
          <w:spacing w:val="-2"/>
        </w:rPr>
        <w:t>2001</w:t>
      </w:r>
      <w:r>
        <w:rPr>
          <w:spacing w:val="-2"/>
        </w:rPr>
        <w:t>年</w:t>
      </w:r>
      <w:r>
        <w:rPr>
          <w:rFonts w:ascii="宋体" w:hAnsi="宋体" w:cs="宋体" w:eastAsia="宋体" w:hint="default"/>
          <w:spacing w:val="-2"/>
        </w:rPr>
        <w:t>5</w:t>
      </w:r>
      <w:r>
        <w:rPr>
          <w:spacing w:val="-2"/>
        </w:rPr>
        <w:t>月，任职于惠州</w:t>
      </w:r>
      <w:r>
        <w:rPr>
          <w:rFonts w:ascii="宋体" w:hAnsi="宋体" w:cs="宋体" w:eastAsia="宋体" w:hint="default"/>
          <w:spacing w:val="-2"/>
        </w:rPr>
        <w:t>TCL</w:t>
      </w:r>
      <w:r>
        <w:rPr>
          <w:rFonts w:ascii="宋体" w:hAnsi="宋体" w:cs="宋体" w:eastAsia="宋体" w:hint="default"/>
          <w:spacing w:val="1"/>
        </w:rPr>
        <w:t> </w:t>
      </w:r>
      <w:r>
        <w:rPr/>
        <w:t>集团；</w:t>
      </w:r>
      <w:r>
        <w:rPr>
          <w:rFonts w:ascii="宋体" w:hAnsi="宋体" w:cs="宋体" w:eastAsia="宋体" w:hint="default"/>
        </w:rPr>
        <w:t>2001</w:t>
      </w:r>
      <w:r>
        <w:rPr/>
        <w:t>年</w:t>
      </w:r>
      <w:r>
        <w:rPr>
          <w:rFonts w:ascii="宋体" w:hAnsi="宋体" w:cs="宋体" w:eastAsia="宋体" w:hint="default"/>
        </w:rPr>
        <w:t>5</w:t>
      </w:r>
      <w:r>
        <w:rPr/>
        <w:t>月至</w:t>
      </w:r>
      <w:r>
        <w:rPr>
          <w:rFonts w:ascii="宋体" w:hAnsi="宋体" w:cs="宋体" w:eastAsia="宋体" w:hint="default"/>
        </w:rPr>
        <w:t>2012</w:t>
      </w:r>
      <w:r>
        <w:rPr/>
        <w:t>年</w:t>
      </w:r>
      <w:r>
        <w:rPr>
          <w:rFonts w:ascii="宋体" w:hAnsi="宋体" w:cs="宋体" w:eastAsia="宋体" w:hint="default"/>
        </w:rPr>
        <w:t>2</w:t>
      </w:r>
      <w:r>
        <w:rPr/>
        <w:t>月，任职于</w:t>
      </w:r>
      <w:r>
        <w:rPr>
          <w:rFonts w:ascii="宋体" w:hAnsi="宋体" w:cs="宋体" w:eastAsia="宋体" w:hint="default"/>
        </w:rPr>
        <w:t>IBM</w:t>
      </w:r>
      <w:r>
        <w:rPr/>
        <w:t>中国采购中心；</w:t>
      </w:r>
      <w:r>
        <w:rPr>
          <w:rFonts w:ascii="宋体" w:hAnsi="宋体" w:cs="宋体" w:eastAsia="宋体" w:hint="default"/>
        </w:rPr>
        <w:t>2012</w:t>
      </w:r>
      <w:r>
        <w:rPr/>
        <w:t>年</w:t>
      </w:r>
      <w:r>
        <w:rPr>
          <w:rFonts w:ascii="宋体" w:hAnsi="宋体" w:cs="宋体" w:eastAsia="宋体" w:hint="default"/>
        </w:rPr>
        <w:t>2</w:t>
      </w:r>
      <w:r>
        <w:rPr/>
        <w:t>月至</w:t>
      </w:r>
      <w:r>
        <w:rPr>
          <w:rFonts w:ascii="宋体" w:hAnsi="宋体" w:cs="宋体" w:eastAsia="宋体" w:hint="default"/>
        </w:rPr>
        <w:t>2017</w:t>
      </w:r>
      <w:r>
        <w:rPr/>
        <w:t>年</w:t>
      </w:r>
      <w:r>
        <w:rPr>
          <w:rFonts w:ascii="宋体" w:hAnsi="宋体" w:cs="宋体" w:eastAsia="宋体" w:hint="default"/>
        </w:rPr>
        <w:t>5</w:t>
      </w:r>
      <w:r>
        <w:rPr/>
        <w:t>月，任职于欣旺达电子股份有限公司，先后 担任采购中心总监，电池事业二部总经理，董事会秘书等职务。</w:t>
      </w:r>
      <w:r>
        <w:rPr>
          <w:rFonts w:ascii="宋体" w:hAnsi="宋体" w:cs="宋体" w:eastAsia="宋体" w:hint="default"/>
        </w:rPr>
        <w:t>2017</w:t>
      </w:r>
      <w:r>
        <w:rPr/>
        <w:t>年</w:t>
      </w:r>
      <w:r>
        <w:rPr>
          <w:rFonts w:ascii="宋体" w:hAnsi="宋体" w:cs="宋体" w:eastAsia="宋体" w:hint="default"/>
        </w:rPr>
        <w:t>9</w:t>
      </w:r>
      <w:r>
        <w:rPr/>
        <w:t>月入职本公司，现任本公司董事会秘书。</w:t>
      </w:r>
    </w:p>
    <w:p>
      <w:pPr>
        <w:pStyle w:val="BodyText"/>
        <w:spacing w:line="240" w:lineRule="auto" w:before="58"/>
        <w:ind w:left="1133" w:right="0"/>
        <w:jc w:val="both"/>
      </w:pPr>
      <w:r>
        <w:rPr/>
        <w:t>在股东单位任职情况</w:t>
      </w:r>
    </w:p>
    <w:p>
      <w:pPr>
        <w:pStyle w:val="BodyText"/>
        <w:spacing w:line="240" w:lineRule="auto" w:before="116"/>
        <w:ind w:left="1133" w:right="0"/>
        <w:jc w:val="both"/>
      </w:pPr>
      <w:r>
        <w:rPr/>
        <w:t>□ 适用 √ 不适用</w:t>
      </w:r>
    </w:p>
    <w:p>
      <w:pPr>
        <w:spacing w:after="0" w:line="240" w:lineRule="auto"/>
        <w:jc w:val="both"/>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left="1133" w:right="1015"/>
        <w:jc w:val="left"/>
      </w:pPr>
      <w:r>
        <w:rPr/>
        <w:t>在其他单位任职情况</w:t>
      </w:r>
    </w:p>
    <w:p>
      <w:pPr>
        <w:pStyle w:val="BodyText"/>
        <w:spacing w:line="240" w:lineRule="auto" w:before="116"/>
        <w:ind w:left="1133" w:right="1015"/>
        <w:jc w:val="left"/>
      </w:pPr>
      <w:r>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1026"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05" w:right="144" w:hanging="361"/>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6" w:right="164"/>
              <w:jc w:val="center"/>
              <w:rPr>
                <w:rFonts w:ascii="宋体" w:hAnsi="宋体" w:cs="宋体" w:eastAsia="宋体" w:hint="default"/>
                <w:sz w:val="18"/>
                <w:szCs w:val="18"/>
              </w:rPr>
            </w:pPr>
            <w:r>
              <w:rPr>
                <w:rFonts w:ascii="宋体" w:hAnsi="宋体" w:cs="宋体" w:eastAsia="宋体" w:hint="default"/>
                <w:sz w:val="18"/>
                <w:szCs w:val="18"/>
              </w:rPr>
              <w:t>在其他单 位担任的 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02" w:right="143"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1" w:right="161"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潘伟潮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深圳潮牛智能科技有限公司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48"/>
              <w:jc w:val="left"/>
              <w:rPr>
                <w:rFonts w:ascii="宋体" w:hAnsi="宋体" w:cs="宋体" w:eastAsia="宋体" w:hint="default"/>
                <w:sz w:val="18"/>
                <w:szCs w:val="18"/>
              </w:rPr>
            </w:pPr>
            <w:r>
              <w:rPr>
                <w:rFonts w:ascii="宋体" w:hAnsi="宋体" w:cs="宋体" w:eastAsia="宋体" w:hint="default"/>
                <w:sz w:val="18"/>
                <w:szCs w:val="18"/>
              </w:rPr>
              <w:t>执行董事、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麦炯章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中山市民众镇商会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麦炯章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中山市私营企业协会民众办事处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第九届理 事会副会 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麦炯章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中山市创源贸易有限公司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48"/>
              <w:jc w:val="left"/>
              <w:rPr>
                <w:rFonts w:ascii="宋体" w:hAnsi="宋体" w:cs="宋体" w:eastAsia="宋体" w:hint="default"/>
                <w:sz w:val="18"/>
                <w:szCs w:val="18"/>
              </w:rPr>
            </w:pPr>
            <w:r>
              <w:rPr>
                <w:rFonts w:ascii="宋体" w:hAnsi="宋体" w:cs="宋体" w:eastAsia="宋体" w:hint="default"/>
                <w:sz w:val="18"/>
                <w:szCs w:val="18"/>
              </w:rPr>
              <w:t>执行董事、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麦炯章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中山市创源传感器有限公司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沙华海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深圳市乐心医疗电子有限公司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48"/>
              <w:jc w:val="left"/>
              <w:rPr>
                <w:rFonts w:ascii="宋体" w:hAnsi="宋体" w:cs="宋体" w:eastAsia="宋体" w:hint="default"/>
                <w:sz w:val="18"/>
                <w:szCs w:val="18"/>
              </w:rPr>
            </w:pPr>
            <w:r>
              <w:rPr>
                <w:rFonts w:ascii="宋体" w:hAnsi="宋体" w:cs="宋体" w:eastAsia="宋体" w:hint="default"/>
                <w:sz w:val="18"/>
                <w:szCs w:val="18"/>
              </w:rPr>
              <w:t>执行董事、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沙华海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中山市创源传感器有限公司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沙华海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中山乐心电子有限公司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欧高良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中山市创源传感器有限公司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欧高良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广州动心信息科技有限公司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欧高良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中山市创源贸易有限公司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欧高良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深圳市乐心医疗电子有限公司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欧高良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中山乐心电子有限公司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48"/>
              <w:jc w:val="left"/>
              <w:rPr>
                <w:rFonts w:ascii="宋体" w:hAnsi="宋体" w:cs="宋体" w:eastAsia="宋体" w:hint="default"/>
                <w:sz w:val="18"/>
                <w:szCs w:val="18"/>
              </w:rPr>
            </w:pPr>
            <w:r>
              <w:rPr>
                <w:rFonts w:ascii="宋体" w:hAnsi="宋体" w:cs="宋体" w:eastAsia="宋体" w:hint="default"/>
                <w:sz w:val="18"/>
                <w:szCs w:val="18"/>
              </w:rPr>
              <w:t>执行董事、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李延兵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中山大学附属第一医院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内分泌科 主任、教 </w:t>
            </w:r>
            <w:r>
              <w:rPr>
                <w:rFonts w:ascii="宋体" w:hAnsi="宋体" w:cs="宋体" w:eastAsia="宋体" w:hint="default"/>
                <w:spacing w:val="-11"/>
                <w:sz w:val="18"/>
                <w:szCs w:val="18"/>
              </w:rPr>
              <w:t>授、主任医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李延兵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广东省医学会糖尿病分会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主任委员</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李延兵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中华医学会糖尿病分会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1"/>
                <w:sz w:val="18"/>
                <w:szCs w:val="18"/>
              </w:rPr>
              <w:t>委员、血糖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监测学组 副组长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李延兵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95"/>
              <w:jc w:val="left"/>
              <w:rPr>
                <w:rFonts w:ascii="宋体" w:hAnsi="宋体" w:cs="宋体" w:eastAsia="宋体" w:hint="default"/>
                <w:sz w:val="18"/>
                <w:szCs w:val="18"/>
              </w:rPr>
            </w:pPr>
            <w:r>
              <w:rPr>
                <w:rFonts w:ascii="宋体" w:hAnsi="宋体" w:cs="宋体" w:eastAsia="宋体" w:hint="default"/>
                <w:sz w:val="18"/>
                <w:szCs w:val="18"/>
              </w:rPr>
              <w:t>广东省健康管理学会代谢与内分泌专 业委员会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主任委员</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余国铮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招银国际金融有限公司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董事总经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黄洪燕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新余市尚捷投资咨询服务中心（有限合</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执行事务 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黄洪燕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新余顺耀投资有限公司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黄洪燕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广东佳洋投资发展有限公司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黄洪燕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广东便捷神科技股份有限公司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黄洪燕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碧桂园控股有限公司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黄洪燕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中顺洁柔纸业股份有限公司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黄洪燕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佛山市远思达管理咨询有限公司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黄洪燕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佛山市远思达管理咨询有限公司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执行董事 兼法定代 表人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黄洪燕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广东天泓新材料科技有限公司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黄洪燕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广东煦智雅环保科技有限公司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黄洪燕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广东煦智雅环保科技有限公司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黄洪燕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95"/>
              <w:jc w:val="left"/>
              <w:rPr>
                <w:rFonts w:ascii="宋体" w:hAnsi="宋体" w:cs="宋体" w:eastAsia="宋体" w:hint="default"/>
                <w:sz w:val="18"/>
                <w:szCs w:val="18"/>
              </w:rPr>
            </w:pPr>
            <w:r>
              <w:rPr>
                <w:rFonts w:ascii="宋体" w:hAnsi="宋体" w:cs="宋体" w:eastAsia="宋体" w:hint="default"/>
                <w:sz w:val="18"/>
                <w:szCs w:val="18"/>
              </w:rPr>
              <w:t>广东顺德三合工业自动化设备股份有 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黄洪燕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珠海聚碳复合材料有限公司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黄洪燕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广东申菱环境系统股份有限公司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邹晓冬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上海市锦天城（深圳）律师事务所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邹晓冬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西藏卫信康医药股份有限公司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邹晓冬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95"/>
              <w:jc w:val="left"/>
              <w:rPr>
                <w:rFonts w:ascii="宋体" w:hAnsi="宋体" w:cs="宋体" w:eastAsia="宋体" w:hint="default"/>
                <w:sz w:val="18"/>
                <w:szCs w:val="18"/>
              </w:rPr>
            </w:pPr>
            <w:r>
              <w:rPr>
                <w:rFonts w:ascii="宋体" w:hAnsi="宋体" w:cs="宋体" w:eastAsia="宋体" w:hint="default"/>
                <w:sz w:val="18"/>
                <w:szCs w:val="18"/>
              </w:rPr>
              <w:t>广东皮阿诺科学艺术家居股份有限公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邹晓冬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深圳市斯维尔投资有限公司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48"/>
              <w:jc w:val="left"/>
              <w:rPr>
                <w:rFonts w:ascii="宋体" w:hAnsi="宋体" w:cs="宋体" w:eastAsia="宋体" w:hint="default"/>
                <w:sz w:val="18"/>
                <w:szCs w:val="18"/>
              </w:rPr>
            </w:pPr>
            <w:r>
              <w:rPr>
                <w:rFonts w:ascii="宋体" w:hAnsi="宋体" w:cs="宋体" w:eastAsia="宋体" w:hint="default"/>
                <w:sz w:val="18"/>
                <w:szCs w:val="18"/>
              </w:rPr>
              <w:t>执行董事、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1015"/>
        <w:jc w:val="left"/>
      </w:pPr>
      <w:r>
        <w:rPr/>
        <w:t>公司现任及报告期内离任董事、监事和高级管理人员近三年证券监管机构处罚的情况</w:t>
      </w:r>
    </w:p>
    <w:p>
      <w:pPr>
        <w:pStyle w:val="BodyText"/>
        <w:spacing w:line="240" w:lineRule="auto" w:before="117"/>
        <w:ind w:left="1133" w:right="1015"/>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1015"/>
        <w:jc w:val="left"/>
        <w:rPr>
          <w:b w:val="0"/>
          <w:bCs w:val="0"/>
        </w:rPr>
      </w:pPr>
      <w:bookmarkStart w:name="四、董事、监事、高级管理人员报酬情况" w:id="129"/>
      <w:bookmarkEnd w:id="129"/>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133" w:right="1123"/>
        <w:jc w:val="left"/>
      </w:pPr>
      <w:r>
        <w:rPr/>
        <w:t>董事、监事、高级管理人员报酬的决策程序、确定依据、实际支付情况 </w:t>
      </w:r>
      <w:r>
        <w:rPr>
          <w:rFonts w:ascii="宋体" w:hAnsi="宋体" w:cs="宋体" w:eastAsia="宋体" w:hint="default"/>
        </w:rPr>
        <w:t>1</w:t>
      </w:r>
      <w:r>
        <w:rPr/>
        <w:t>、董事、监事和高级管理人员报酬的决策程序：经董事会薪酬与考核委员会审定后提交董事会审议，决策程序符合《公司 法》、《公司章程》和《董事会薪酬委员会工作细则》的相关规定。</w:t>
      </w:r>
    </w:p>
    <w:p>
      <w:pPr>
        <w:pStyle w:val="BodyText"/>
        <w:spacing w:line="319" w:lineRule="auto" w:before="42"/>
        <w:ind w:left="1133" w:right="1131"/>
        <w:jc w:val="both"/>
      </w:pPr>
      <w:r>
        <w:rPr>
          <w:rFonts w:ascii="宋体" w:hAnsi="宋体" w:cs="宋体" w:eastAsia="宋体" w:hint="default"/>
        </w:rPr>
        <w:t>2</w:t>
      </w:r>
      <w:r>
        <w:rPr/>
        <w:t>、董事、监事和高级管理人员报酬的确定依据：独立董事和非执行董事在公司领取津贴，执行董事、在公司同时担任其他</w:t>
      </w:r>
      <w:r>
        <w:rPr>
          <w:spacing w:val="-83"/>
        </w:rPr>
        <w:t> </w:t>
      </w:r>
      <w:r>
        <w:rPr>
          <w:spacing w:val="-83"/>
        </w:rPr>
      </w:r>
      <w:r>
        <w:rPr>
          <w:spacing w:val="-2"/>
        </w:rPr>
        <w:t>职务的监事和高级管理人员根据其上年度领取的实际收入水平、工作职责和岗位重要性，结合公司经营目标的完成情况，确</w:t>
      </w:r>
      <w:r>
        <w:rPr>
          <w:spacing w:val="-66"/>
        </w:rPr>
        <w:t> </w:t>
      </w:r>
      <w:r>
        <w:rPr>
          <w:spacing w:val="-66"/>
        </w:rPr>
      </w:r>
      <w:r>
        <w:rPr/>
        <w:t>定报酬；月度薪酬由公司财务部负责核算，年度奖金按公司实际经营完成指标，按其岗位绩效进行考评。</w:t>
      </w:r>
    </w:p>
    <w:p>
      <w:pPr>
        <w:pStyle w:val="BodyText"/>
        <w:spacing w:line="240" w:lineRule="auto" w:before="56"/>
        <w:ind w:left="1133" w:right="1015"/>
        <w:jc w:val="left"/>
      </w:pPr>
      <w:r>
        <w:rPr/>
        <w:t>公司报告期内董事、监事和高级管理人员报酬情况</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6" w:right="138"/>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7" w:right="137"/>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潘伟潮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27.08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麦炯章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沙华海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23.12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李延兵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余国铮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邹晓冬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黄洪燕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欧高良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吕宏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钟前荣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万卫东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23.14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梁启光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许迎丰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26.41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黄瑜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潘农菲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周甜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石绍海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王继宝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7"/>
        <w:gridCol w:w="1368"/>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9" w:right="0"/>
              <w:jc w:val="left"/>
              <w:rPr>
                <w:rFonts w:ascii="Times New Roman" w:hAnsi="Times New Roman" w:cs="Times New Roman" w:eastAsia="Times New Roman" w:hint="default"/>
                <w:sz w:val="18"/>
                <w:szCs w:val="18"/>
              </w:rPr>
            </w:pPr>
            <w:r>
              <w:rPr>
                <w:rFonts w:ascii="Times New Roman"/>
                <w:sz w:val="18"/>
              </w:rPr>
              <w:t>328.33</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15"/>
        <w:jc w:val="left"/>
      </w:pPr>
      <w:r>
        <w:rPr/>
        <w:t>公司董事、高级管理人员报告期内被授予的股权激励情况</w:t>
      </w:r>
    </w:p>
    <w:p>
      <w:pPr>
        <w:pStyle w:val="BodyText"/>
        <w:spacing w:line="240" w:lineRule="auto" w:before="117"/>
        <w:ind w:right="1015"/>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1015"/>
        <w:jc w:val="left"/>
        <w:rPr>
          <w:b w:val="0"/>
          <w:bCs w:val="0"/>
        </w:rPr>
      </w:pPr>
      <w:bookmarkStart w:name="五、公司员工情况" w:id="130"/>
      <w:bookmarkEnd w:id="130"/>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15"/>
        <w:jc w:val="left"/>
        <w:rPr>
          <w:b w:val="0"/>
          <w:bCs w:val="0"/>
        </w:rPr>
      </w:pPr>
      <w:bookmarkStart w:name="1、员工数量、专业构成及教育程度" w:id="131"/>
      <w:bookmarkEnd w:id="131"/>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637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1,282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1,919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1,919</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1,157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231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214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品质控制人员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129</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1,919</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硕士及以上人员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254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240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高中及以下人员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1,402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1,919</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both"/>
        <w:rPr>
          <w:b w:val="0"/>
          <w:bCs w:val="0"/>
        </w:rPr>
      </w:pPr>
      <w:bookmarkStart w:name="2、薪酬政策" w:id="132"/>
      <w:bookmarkEnd w:id="132"/>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31"/>
        <w:jc w:val="both"/>
      </w:pPr>
      <w:r>
        <w:rPr>
          <w:spacing w:val="-2"/>
        </w:rPr>
        <w:t>为实现公司发展战略，共同分享企业发展所带来的收益，促进员工价值观念的凝合，形成留住人才和吸引人才的机制，本着</w:t>
      </w:r>
      <w:r>
        <w:rPr>
          <w:spacing w:val="-66"/>
        </w:rPr>
        <w:t> </w:t>
      </w:r>
      <w:r>
        <w:rPr>
          <w:spacing w:val="-66"/>
        </w:rPr>
      </w:r>
      <w:r>
        <w:rPr>
          <w:spacing w:val="-2"/>
        </w:rPr>
        <w:t>公平、竞争、激励、经济、合法的原则，公司人力资源部对不同岗位和部门制定了《薪酬管理规定》，公司财务部门负责薪</w:t>
      </w:r>
      <w:r>
        <w:rPr>
          <w:spacing w:val="-67"/>
        </w:rPr>
        <w:t> </w:t>
      </w:r>
      <w:r>
        <w:rPr>
          <w:spacing w:val="-67"/>
        </w:rPr>
      </w:r>
      <w:r>
        <w:rPr>
          <w:spacing w:val="-2"/>
        </w:rPr>
        <w:t>酬的计算和发放。同时公司与员工签订劳动合同、为员工购买社会保险及住房公积金，除此之外员工还享有节假日福利、免</w:t>
      </w:r>
      <w:r>
        <w:rPr>
          <w:spacing w:val="-66"/>
        </w:rPr>
        <w:t> </w:t>
      </w:r>
      <w:r>
        <w:rPr>
          <w:spacing w:val="-66"/>
        </w:rPr>
      </w:r>
      <w:r>
        <w:rPr/>
        <w:t>费体检等其他福利。</w:t>
      </w:r>
    </w:p>
    <w:p>
      <w:pPr>
        <w:spacing w:after="0" w:line="319" w:lineRule="auto"/>
        <w:jc w:val="both"/>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left="1133" w:right="1015"/>
        <w:jc w:val="left"/>
        <w:rPr>
          <w:b w:val="0"/>
          <w:bCs w:val="0"/>
        </w:rPr>
      </w:pPr>
      <w:bookmarkStart w:name="3、培训计划" w:id="133"/>
      <w:bookmarkEnd w:id="133"/>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133" w:right="1015"/>
        <w:jc w:val="left"/>
      </w:pPr>
      <w:r>
        <w:rPr>
          <w:spacing w:val="-5"/>
        </w:rPr>
        <w:t>公司</w:t>
      </w:r>
      <w:r>
        <w:rPr>
          <w:rFonts w:ascii="宋体" w:hAnsi="宋体" w:cs="宋体" w:eastAsia="宋体" w:hint="default"/>
          <w:spacing w:val="-5"/>
        </w:rPr>
        <w:t>2017</w:t>
      </w:r>
      <w:r>
        <w:rPr>
          <w:spacing w:val="-5"/>
        </w:rPr>
        <w:t>年的培训立足于提升各岗位的专业技能及综合素质，有针对性地制定了相应年度培训计划，包括“研发技术”、“精</w:t>
      </w:r>
      <w:r>
        <w:rPr>
          <w:spacing w:val="-68"/>
        </w:rPr>
        <w:t> </w:t>
      </w:r>
      <w:r>
        <w:rPr>
          <w:spacing w:val="-68"/>
        </w:rPr>
      </w:r>
      <w:r>
        <w:rPr>
          <w:spacing w:val="-2"/>
        </w:rPr>
        <w:t>益生产”、“品质管理”、“体系法规”“职场技能”等课程，采用内部精英分享及外聘专家相结合的方式开展各类培训项</w:t>
      </w:r>
      <w:r>
        <w:rPr>
          <w:spacing w:val="-68"/>
        </w:rPr>
        <w:t> </w:t>
      </w:r>
      <w:r>
        <w:rPr>
          <w:spacing w:val="-68"/>
        </w:rPr>
      </w:r>
      <w:r>
        <w:rPr/>
        <w:t>目。 </w:t>
      </w:r>
      <w:r>
        <w:rPr>
          <w:spacing w:val="-2"/>
        </w:rPr>
        <w:t>根据公司的发展需要，</w:t>
      </w:r>
      <w:r>
        <w:rPr>
          <w:rFonts w:ascii="宋体" w:hAnsi="宋体" w:cs="宋体" w:eastAsia="宋体" w:hint="default"/>
          <w:spacing w:val="-2"/>
        </w:rPr>
        <w:t>2018</w:t>
      </w:r>
      <w:r>
        <w:rPr>
          <w:spacing w:val="-2"/>
        </w:rPr>
        <w:t>年公司的培训重心将进一步完善人才培养体系，以实用、专业为原则，立足长远。公司将采取线</w:t>
      </w:r>
      <w:r>
        <w:rPr>
          <w:spacing w:val="-61"/>
        </w:rPr>
        <w:t> </w:t>
      </w:r>
      <w:r>
        <w:rPr>
          <w:spacing w:val="-61"/>
        </w:rPr>
      </w:r>
      <w:r>
        <w:rPr>
          <w:spacing w:val="-2"/>
        </w:rPr>
        <w:t>上培训、线下面授、户外拓展、研讨会等多种学习方式相结合的形式，进一步深化基层员工技能矩阵，提高中高层管理人员</w:t>
      </w:r>
      <w:r>
        <w:rPr>
          <w:spacing w:val="-66"/>
        </w:rPr>
        <w:t> </w:t>
      </w:r>
      <w:r>
        <w:rPr>
          <w:spacing w:val="-66"/>
        </w:rPr>
      </w:r>
      <w:r>
        <w:rPr>
          <w:spacing w:val="-2"/>
        </w:rPr>
        <w:t>的管理能力和综合管理技能；聚焦提升研发技术人员的研发和创新能力，同时深化实施培训后的效果评估，使培训发挥良好</w:t>
      </w:r>
      <w:r>
        <w:rPr>
          <w:spacing w:val="-66"/>
        </w:rPr>
        <w:t> </w:t>
      </w:r>
      <w:r>
        <w:rPr>
          <w:spacing w:val="-66"/>
        </w:rPr>
      </w:r>
      <w:r>
        <w:rPr/>
        <w:t>的效果，最大限度支持公司战略目标，促进公司的发展。</w:t>
      </w:r>
    </w:p>
    <w:p>
      <w:pPr>
        <w:spacing w:line="240" w:lineRule="auto" w:before="7"/>
        <w:rPr>
          <w:rFonts w:ascii="宋体" w:hAnsi="宋体" w:cs="宋体" w:eastAsia="宋体" w:hint="default"/>
          <w:sz w:val="22"/>
          <w:szCs w:val="22"/>
        </w:rPr>
      </w:pPr>
    </w:p>
    <w:p>
      <w:pPr>
        <w:pStyle w:val="Heading3"/>
        <w:spacing w:line="240" w:lineRule="auto"/>
        <w:ind w:right="1015"/>
        <w:jc w:val="left"/>
        <w:rPr>
          <w:b w:val="0"/>
          <w:bCs w:val="0"/>
        </w:rPr>
      </w:pPr>
      <w:bookmarkStart w:name="4、劳务外包情况" w:id="134"/>
      <w:bookmarkEnd w:id="134"/>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15"/>
        <w:jc w:val="left"/>
      </w:pPr>
      <w:r>
        <w:rPr/>
        <w:t>□ 适用 √ 不适用</w:t>
      </w:r>
    </w:p>
    <w:p>
      <w:pPr>
        <w:spacing w:after="0" w:line="240"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1625"/>
        <w:jc w:val="center"/>
        <w:rPr>
          <w:b w:val="0"/>
          <w:bCs w:val="0"/>
        </w:rPr>
      </w:pPr>
      <w:bookmarkStart w:name="第九节 公司治理" w:id="135"/>
      <w:bookmarkEnd w:id="135"/>
      <w:r>
        <w:rPr>
          <w:b w:val="0"/>
          <w:bCs w:val="0"/>
        </w:rPr>
      </w:r>
      <w:bookmarkStart w:name="_bookmark8" w:id="136"/>
      <w:bookmarkEnd w:id="136"/>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0"/>
        <w:jc w:val="both"/>
        <w:rPr>
          <w:b w:val="0"/>
          <w:bCs w:val="0"/>
        </w:rPr>
      </w:pPr>
      <w:bookmarkStart w:name="一、公司治理的基本状况" w:id="137"/>
      <w:bookmarkEnd w:id="137"/>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1133" w:right="1130"/>
        <w:jc w:val="both"/>
      </w:pPr>
      <w:r>
        <w:rPr>
          <w:spacing w:val="-2"/>
        </w:rPr>
        <w:t>报告期内，公司严格按照《公司法》、《证券法》、《上市公司治理准则》、《深圳证券交易所股票上市规则》、《深圳证</w:t>
      </w:r>
      <w:r>
        <w:rPr>
          <w:spacing w:val="-69"/>
        </w:rPr>
        <w:t> </w:t>
      </w:r>
      <w:r>
        <w:rPr>
          <w:spacing w:val="-69"/>
        </w:rPr>
      </w:r>
      <w:r>
        <w:rPr>
          <w:spacing w:val="-2"/>
        </w:rPr>
        <w:t>券交易所创业板上市公司规范运作指引》和中国证监会、深圳证券交易所颁布的相关法律法规的要求，明确了股东大会、董</w:t>
      </w:r>
      <w:r>
        <w:rPr>
          <w:spacing w:val="-66"/>
        </w:rPr>
        <w:t> </w:t>
      </w:r>
      <w:r>
        <w:rPr>
          <w:spacing w:val="-66"/>
        </w:rPr>
      </w:r>
      <w:r>
        <w:rPr>
          <w:spacing w:val="-2"/>
        </w:rPr>
        <w:t>事会、监事会和管理层之间的职责分工，建立了规范运作的法人治理结构，并制订了一系列公司治理及财务内部控制方面规</w:t>
      </w:r>
      <w:r>
        <w:rPr>
          <w:spacing w:val="-66"/>
        </w:rPr>
        <w:t> </w:t>
      </w:r>
      <w:r>
        <w:rPr>
          <w:spacing w:val="-66"/>
        </w:rPr>
      </w:r>
      <w:r>
        <w:rPr>
          <w:spacing w:val="-2"/>
        </w:rPr>
        <w:t>章制度。公司治理的实际状况基本符合《上市公司治理准则》、《深圳证券交易所创业板上市公司规范运作指引》等的相关</w:t>
      </w:r>
      <w:r>
        <w:rPr>
          <w:spacing w:val="-67"/>
        </w:rPr>
        <w:t> </w:t>
      </w:r>
      <w:r>
        <w:rPr>
          <w:spacing w:val="-67"/>
        </w:rPr>
      </w:r>
      <w:r>
        <w:rPr/>
        <w:t>规范性文件规定。</w:t>
      </w:r>
    </w:p>
    <w:p>
      <w:pPr>
        <w:pStyle w:val="BodyText"/>
        <w:spacing w:line="338" w:lineRule="auto" w:before="58"/>
        <w:ind w:left="1133" w:right="1033" w:firstLine="360"/>
        <w:jc w:val="left"/>
      </w:pPr>
      <w:r>
        <w:rPr>
          <w:rFonts w:ascii="宋体" w:hAnsi="宋体" w:cs="宋体" w:eastAsia="宋体" w:hint="default"/>
          <w:b/>
          <w:bCs/>
        </w:rPr>
        <w:t>1</w:t>
      </w:r>
      <w:r>
        <w:rPr>
          <w:rFonts w:ascii="宋体" w:hAnsi="宋体" w:cs="宋体" w:eastAsia="宋体" w:hint="default"/>
          <w:b/>
          <w:bCs/>
        </w:rPr>
        <w:t>、股东及股东大会</w:t>
      </w:r>
      <w:r>
        <w:rPr>
          <w:rFonts w:ascii="宋体" w:hAnsi="宋体" w:cs="宋体" w:eastAsia="宋体" w:hint="default"/>
          <w:b/>
          <w:bCs/>
          <w:w w:val="99"/>
        </w:rPr>
        <w:t> </w:t>
      </w:r>
      <w:r>
        <w:rPr>
          <w:spacing w:val="-2"/>
        </w:rPr>
        <w:t>股东大会是公司最高权力机构，由全体股东组成。公司严格遵守法律法规，规范地召集、召开股东大会。历次股东大会的召</w:t>
      </w:r>
      <w:r>
        <w:rPr>
          <w:spacing w:val="-66"/>
        </w:rPr>
        <w:t> </w:t>
      </w:r>
      <w:r>
        <w:rPr>
          <w:spacing w:val="-66"/>
        </w:rPr>
      </w:r>
      <w:r>
        <w:rPr/>
        <w:t>集、召开程序、出席股东大会的人员资格及股东大会的表决程序均符合《公司法》、《公司章程》和《股东大会议事规则》</w:t>
      </w:r>
    </w:p>
    <w:p>
      <w:pPr>
        <w:pStyle w:val="BodyText"/>
        <w:spacing w:line="319" w:lineRule="auto" w:before="2"/>
        <w:ind w:left="1133" w:right="1043"/>
        <w:jc w:val="both"/>
      </w:pPr>
      <w:r>
        <w:rPr>
          <w:spacing w:val="-4"/>
        </w:rPr>
        <w:t>等法律法规等文件的规定，能够确保全体股东尤其是中小股东享有平等地位，充分行使自己的权利。股东认真履行股东义务，</w:t>
      </w:r>
      <w:r>
        <w:rPr>
          <w:spacing w:val="-44"/>
        </w:rPr>
        <w:t> </w:t>
      </w:r>
      <w:r>
        <w:rPr>
          <w:spacing w:val="-44"/>
        </w:rPr>
      </w:r>
      <w:r>
        <w:rPr/>
        <w:t>依法行使股东权利。股东大会严格按照《公司法》、《公司章程》、《股东大会议事规则》等规定行使权利。</w:t>
      </w:r>
    </w:p>
    <w:p>
      <w:pPr>
        <w:pStyle w:val="BodyText"/>
        <w:spacing w:line="338" w:lineRule="auto" w:before="56"/>
        <w:ind w:left="1133" w:right="1015" w:firstLine="360"/>
        <w:jc w:val="left"/>
      </w:pPr>
      <w:r>
        <w:rPr>
          <w:rFonts w:ascii="宋体" w:hAnsi="宋体" w:cs="宋体" w:eastAsia="宋体" w:hint="default"/>
          <w:b/>
          <w:bCs/>
        </w:rPr>
        <w:t>2</w:t>
      </w:r>
      <w:r>
        <w:rPr>
          <w:rFonts w:ascii="宋体" w:hAnsi="宋体" w:cs="宋体" w:eastAsia="宋体" w:hint="default"/>
          <w:b/>
          <w:bCs/>
        </w:rPr>
        <w:t>、公司与控股股东</w:t>
      </w:r>
      <w:r>
        <w:rPr>
          <w:rFonts w:ascii="宋体" w:hAnsi="宋体" w:cs="宋体" w:eastAsia="宋体" w:hint="default"/>
          <w:b/>
          <w:bCs/>
          <w:w w:val="99"/>
        </w:rPr>
        <w:t> </w:t>
      </w:r>
      <w:r>
        <w:rPr>
          <w:spacing w:val="-2"/>
        </w:rPr>
        <w:t>公司控股股东及实际控制人均严格规范自己的行为，没有超越股东大会直接或间接干预公司的决策和经营活动。公司具备与</w:t>
      </w:r>
      <w:r>
        <w:rPr>
          <w:spacing w:val="-64"/>
        </w:rPr>
        <w:t> </w:t>
      </w:r>
      <w:r>
        <w:rPr>
          <w:spacing w:val="-64"/>
        </w:rPr>
      </w:r>
      <w:r>
        <w:rPr>
          <w:spacing w:val="-4"/>
        </w:rPr>
        <w:t>生产经营有关的主要生产系统、辅助生产系统和配套设施，合法拥有与生产经营有关的主要土地、厂房、机器设备以及商标、</w:t>
      </w:r>
    </w:p>
    <w:p>
      <w:pPr>
        <w:pStyle w:val="BodyText"/>
        <w:spacing w:line="319" w:lineRule="auto" w:before="2"/>
        <w:ind w:left="1133" w:right="1131"/>
        <w:jc w:val="both"/>
      </w:pPr>
      <w:r>
        <w:rPr>
          <w:spacing w:val="-2"/>
        </w:rPr>
        <w:t>专利、非专利技术的所有权或者使用权，具有独立的原料采购和产品销售系统，具有独立完整的业务和自主经营能力，在业</w:t>
      </w:r>
      <w:r>
        <w:rPr>
          <w:spacing w:val="-66"/>
        </w:rPr>
        <w:t> </w:t>
      </w:r>
      <w:r>
        <w:rPr>
          <w:spacing w:val="-66"/>
        </w:rPr>
      </w:r>
      <w:r>
        <w:rPr/>
        <w:t>务、人员、资产、机构、财务上均独立于控股股东及实际控制人。</w:t>
      </w:r>
    </w:p>
    <w:p>
      <w:pPr>
        <w:pStyle w:val="BodyText"/>
        <w:spacing w:line="338" w:lineRule="auto" w:before="57"/>
        <w:ind w:right="1015" w:firstLine="360"/>
        <w:jc w:val="left"/>
      </w:pPr>
      <w:r>
        <w:rPr>
          <w:rFonts w:ascii="宋体" w:hAnsi="宋体" w:cs="宋体" w:eastAsia="宋体" w:hint="default"/>
          <w:b/>
          <w:bCs/>
        </w:rPr>
        <w:t>3</w:t>
      </w:r>
      <w:r>
        <w:rPr>
          <w:rFonts w:ascii="宋体" w:hAnsi="宋体" w:cs="宋体" w:eastAsia="宋体" w:hint="default"/>
          <w:b/>
          <w:bCs/>
        </w:rPr>
        <w:t>、董事及董事</w:t>
      </w:r>
      <w:r>
        <w:rPr>
          <w:rFonts w:ascii="宋体" w:hAnsi="宋体" w:cs="宋体" w:eastAsia="宋体" w:hint="default"/>
          <w:b/>
          <w:bCs/>
          <w:w w:val="99"/>
        </w:rPr>
        <w:t> </w:t>
      </w:r>
      <w:r>
        <w:rPr>
          <w:spacing w:val="-2"/>
        </w:rPr>
        <w:t>根据《公司章程》和《董事会议事规则》的规定，公司设董事会，对股东大会负责。董事会由七名董事组成，其中独立董事</w:t>
      </w:r>
      <w:r>
        <w:rPr>
          <w:spacing w:val="-67"/>
        </w:rPr>
        <w:t> </w:t>
      </w:r>
      <w:r>
        <w:rPr>
          <w:spacing w:val="-67"/>
        </w:rPr>
      </w:r>
      <w:r>
        <w:rPr>
          <w:spacing w:val="-2"/>
        </w:rPr>
        <w:t>三名。公司设董事长一人，董事长由董事会以全体董事的过半数选举产生。董事任期三年，任期届满，连选可以连任，但独</w:t>
      </w:r>
    </w:p>
    <w:p>
      <w:pPr>
        <w:pStyle w:val="BodyText"/>
        <w:spacing w:line="319" w:lineRule="auto" w:before="2"/>
        <w:ind w:right="1131"/>
        <w:jc w:val="both"/>
      </w:pPr>
      <w:r>
        <w:rPr>
          <w:spacing w:val="-2"/>
        </w:rPr>
        <w:t>立董事连续任期不得超过六年。董事会下设审计委员会、战略委员会、提名委员会和薪酬与考核委员会。董事会的人数和人</w:t>
      </w:r>
      <w:r>
        <w:rPr>
          <w:spacing w:val="-66"/>
        </w:rPr>
        <w:t> </w:t>
      </w:r>
      <w:r>
        <w:rPr>
          <w:spacing w:val="-66"/>
        </w:rPr>
      </w:r>
      <w:r>
        <w:rPr>
          <w:spacing w:val="-2"/>
        </w:rPr>
        <w:t>员符合《公司法》、《公司章程》等规定。公司董事能够依据《董事会议事规则》、《独立董事工作制度》、《深圳证券交</w:t>
      </w:r>
      <w:r>
        <w:rPr>
          <w:spacing w:val="-68"/>
        </w:rPr>
        <w:t> </w:t>
      </w:r>
      <w:r>
        <w:rPr>
          <w:spacing w:val="-68"/>
        </w:rPr>
      </w:r>
      <w:r>
        <w:rPr>
          <w:spacing w:val="-2"/>
        </w:rPr>
        <w:t>易所创业板上市公司规范运作指引》等开展工作，出席董事会和股东大会，依法行使职权，勤勉尽责地履行职责和义务，能</w:t>
      </w:r>
      <w:r>
        <w:rPr>
          <w:spacing w:val="-66"/>
        </w:rPr>
        <w:t> </w:t>
      </w:r>
      <w:r>
        <w:rPr>
          <w:spacing w:val="-66"/>
        </w:rPr>
      </w:r>
      <w:r>
        <w:rPr>
          <w:spacing w:val="-2"/>
        </w:rPr>
        <w:t>够持续关注公司经营状况，提高公司治理能力。公司董事会按照《公司法》、《公司章程》和《董事会议事规则》等相关法</w:t>
      </w:r>
      <w:r>
        <w:rPr>
          <w:spacing w:val="-69"/>
        </w:rPr>
        <w:t> </w:t>
      </w:r>
      <w:r>
        <w:rPr>
          <w:spacing w:val="-69"/>
        </w:rPr>
      </w:r>
      <w:r>
        <w:rPr/>
        <w:t>律法规规定召开，和履行会议程序，并做好会议资料存档并保证相关信息及时披露、公告。</w:t>
      </w:r>
    </w:p>
    <w:p>
      <w:pPr>
        <w:pStyle w:val="BodyText"/>
        <w:spacing w:line="338" w:lineRule="auto" w:before="58"/>
        <w:ind w:right="1015" w:firstLine="360"/>
        <w:jc w:val="left"/>
      </w:pPr>
      <w:r>
        <w:rPr>
          <w:rFonts w:ascii="宋体" w:hAnsi="宋体" w:cs="宋体" w:eastAsia="宋体" w:hint="default"/>
          <w:b/>
          <w:bCs/>
        </w:rPr>
        <w:t>4</w:t>
      </w:r>
      <w:r>
        <w:rPr>
          <w:rFonts w:ascii="宋体" w:hAnsi="宋体" w:cs="宋体" w:eastAsia="宋体" w:hint="default"/>
          <w:b/>
          <w:bCs/>
        </w:rPr>
        <w:t>、监事和监事会</w:t>
      </w:r>
      <w:r>
        <w:rPr>
          <w:rFonts w:ascii="宋体" w:hAnsi="宋体" w:cs="宋体" w:eastAsia="宋体" w:hint="default"/>
          <w:b/>
          <w:bCs/>
          <w:w w:val="99"/>
        </w:rPr>
        <w:t> </w:t>
      </w:r>
      <w:r>
        <w:rPr>
          <w:spacing w:val="-2"/>
        </w:rPr>
        <w:t>公司设监事会，监事会应对公司全体股东负责，维护公司及股东的合法权益。监事会由三名监事组成，其中职工代表监事一</w:t>
      </w:r>
      <w:r>
        <w:rPr>
          <w:spacing w:val="-66"/>
        </w:rPr>
        <w:t> </w:t>
      </w:r>
      <w:r>
        <w:rPr>
          <w:spacing w:val="-66"/>
        </w:rPr>
      </w:r>
      <w:r>
        <w:rPr>
          <w:spacing w:val="-2"/>
        </w:rPr>
        <w:t>名。监事会设主席一名，监事会主席由全体监事过半数选举产生。监事会中的职工代表监事由公司职工代表大会民主选举产</w:t>
      </w:r>
    </w:p>
    <w:p>
      <w:pPr>
        <w:pStyle w:val="BodyText"/>
        <w:spacing w:line="319" w:lineRule="auto" w:before="2"/>
        <w:ind w:right="1133"/>
        <w:jc w:val="both"/>
      </w:pPr>
      <w:r>
        <w:rPr>
          <w:spacing w:val="-2"/>
        </w:rPr>
        <w:t>生。监事会的人数和人员符合《公司法》、《公司章程》等规定。公司监事认真履行职责，本着对股东负责的态度，对公司</w:t>
      </w:r>
      <w:r>
        <w:rPr>
          <w:spacing w:val="-69"/>
        </w:rPr>
        <w:t> </w:t>
      </w:r>
      <w:r>
        <w:rPr>
          <w:spacing w:val="-69"/>
        </w:rPr>
      </w:r>
      <w:r>
        <w:rPr>
          <w:spacing w:val="-2"/>
        </w:rPr>
        <w:t>财务以及公司董事、高级管理人员履行职责的合法、合规性进行监督，维护公司及股东的合法权益。监事会会议召集、召开</w:t>
      </w:r>
      <w:r>
        <w:rPr>
          <w:spacing w:val="-66"/>
        </w:rPr>
        <w:t> </w:t>
      </w:r>
      <w:r>
        <w:rPr>
          <w:spacing w:val="-66"/>
        </w:rPr>
      </w:r>
      <w:r>
        <w:rPr/>
        <w:t>和表决程序符合《公司法》、《公司章程》和《监事会议事规则》的规定。</w:t>
      </w:r>
    </w:p>
    <w:p>
      <w:pPr>
        <w:pStyle w:val="BodyText"/>
        <w:spacing w:line="338" w:lineRule="auto" w:before="56"/>
        <w:ind w:right="1015" w:firstLine="360"/>
        <w:jc w:val="left"/>
      </w:pPr>
      <w:r>
        <w:rPr>
          <w:rFonts w:ascii="宋体" w:hAnsi="宋体" w:cs="宋体" w:eastAsia="宋体" w:hint="default"/>
          <w:b/>
          <w:bCs/>
        </w:rPr>
        <w:t>5</w:t>
      </w:r>
      <w:r>
        <w:rPr>
          <w:rFonts w:ascii="宋体" w:hAnsi="宋体" w:cs="宋体" w:eastAsia="宋体" w:hint="default"/>
          <w:b/>
          <w:bCs/>
        </w:rPr>
        <w:t>、关于信息披露与透明度</w:t>
      </w:r>
      <w:r>
        <w:rPr>
          <w:rFonts w:ascii="宋体" w:hAnsi="宋体" w:cs="宋体" w:eastAsia="宋体" w:hint="default"/>
          <w:b/>
          <w:bCs/>
          <w:w w:val="99"/>
        </w:rPr>
        <w:t> </w:t>
      </w:r>
      <w:r>
        <w:rPr>
          <w:spacing w:val="-2"/>
        </w:rPr>
        <w:t>董事会秘书为公司信息披露第一负责人，公司严格按照信息披露的有关法律法规真实、准确、及时、完整的披露信息，确保</w:t>
      </w:r>
      <w:r>
        <w:rPr>
          <w:spacing w:val="-66"/>
        </w:rPr>
        <w:t> </w:t>
      </w:r>
      <w:r>
        <w:rPr>
          <w:spacing w:val="-66"/>
        </w:rPr>
      </w:r>
      <w:r>
        <w:rPr>
          <w:spacing w:val="-2"/>
        </w:rPr>
        <w:t>所有投资者公平及时的获取公司信息。公司注重与投资者沟通交流，同时还加强了与监管机构的联系和主动沟通，确保公司</w:t>
      </w:r>
    </w:p>
    <w:p>
      <w:pPr>
        <w:pStyle w:val="BodyText"/>
        <w:spacing w:line="360" w:lineRule="auto" w:before="4"/>
        <w:ind w:right="3552"/>
        <w:jc w:val="left"/>
      </w:pPr>
      <w:r>
        <w:rPr/>
        <w:t>信息披露的规范化和合规化。 公司治理的实际状况与中国证监会发布的有关上市公司治理的规范性文件是否存在重大差异</w:t>
      </w:r>
    </w:p>
    <w:p>
      <w:pPr>
        <w:pStyle w:val="BodyText"/>
        <w:spacing w:line="357" w:lineRule="auto" w:before="26"/>
        <w:ind w:left="1133" w:right="3553"/>
        <w:jc w:val="left"/>
      </w:pPr>
      <w:r>
        <w:rPr/>
        <w:t>□ 是 √ 否 公司治理的实际状况与中国证监会发布的有关上市公司治理的规范性文件不存在重大差异。</w:t>
      </w:r>
    </w:p>
    <w:p>
      <w:pPr>
        <w:spacing w:after="0" w:line="357" w:lineRule="auto"/>
        <w:jc w:val="left"/>
        <w:sectPr>
          <w:pgSz w:w="11910" w:h="16840"/>
          <w:pgMar w:header="907" w:footer="1019" w:top="1100" w:bottom="1200" w:left="0" w:right="0"/>
        </w:sectPr>
      </w:pPr>
    </w:p>
    <w:p>
      <w:pPr>
        <w:spacing w:line="240" w:lineRule="auto" w:before="8"/>
        <w:rPr>
          <w:rFonts w:ascii="宋体" w:hAnsi="宋体" w:cs="宋体" w:eastAsia="宋体" w:hint="default"/>
          <w:sz w:val="20"/>
          <w:szCs w:val="20"/>
        </w:rPr>
      </w:pPr>
    </w:p>
    <w:p>
      <w:pPr>
        <w:pStyle w:val="Heading2"/>
        <w:spacing w:line="240" w:lineRule="auto" w:before="26"/>
        <w:ind w:left="1133" w:right="1015"/>
        <w:jc w:val="left"/>
        <w:rPr>
          <w:b w:val="0"/>
          <w:bCs w:val="0"/>
        </w:rPr>
      </w:pPr>
      <w:bookmarkStart w:name="二、公司相对于控股股东在业务、人员、资产、机构、财务等方面的独立情况" w:id="138"/>
      <w:bookmarkEnd w:id="138"/>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1015"/>
        <w:jc w:val="left"/>
      </w:pPr>
      <w:r>
        <w:rPr>
          <w:spacing w:val="-2"/>
        </w:rPr>
        <w:t>公司拥有独立完整的采购、生产、销售、研发系统，具备自主经营能力，在业务、人员、资产、机构和财务等方面与控股股</w:t>
      </w:r>
      <w:r>
        <w:rPr>
          <w:spacing w:val="-67"/>
        </w:rPr>
        <w:t> </w:t>
      </w:r>
      <w:r>
        <w:rPr>
          <w:spacing w:val="-67"/>
        </w:rPr>
      </w:r>
      <w:r>
        <w:rPr/>
        <w:t>东及实际控制人相互独立。</w:t>
      </w:r>
    </w:p>
    <w:p>
      <w:pPr>
        <w:pStyle w:val="BodyText"/>
        <w:spacing w:line="360" w:lineRule="auto" w:before="19"/>
        <w:ind w:left="1133" w:right="1933" w:firstLine="60"/>
        <w:jc w:val="left"/>
        <w:rPr>
          <w:rFonts w:ascii="宋体" w:hAnsi="宋体" w:cs="宋体" w:eastAsia="宋体" w:hint="default"/>
        </w:rPr>
      </w:pPr>
      <w:r>
        <w:rPr>
          <w:rFonts w:ascii="宋体" w:hAnsi="宋体" w:cs="宋体" w:eastAsia="宋体" w:hint="default"/>
          <w:b/>
          <w:bCs/>
        </w:rPr>
        <w:t>1</w:t>
      </w:r>
      <w:r>
        <w:rPr>
          <w:rFonts w:ascii="宋体" w:hAnsi="宋体" w:cs="宋体" w:eastAsia="宋体" w:hint="default"/>
          <w:b/>
          <w:bCs/>
        </w:rPr>
        <w:t>、业务方面</w:t>
      </w:r>
      <w:r>
        <w:rPr>
          <w:rFonts w:ascii="宋体" w:hAnsi="宋体" w:cs="宋体" w:eastAsia="宋体" w:hint="default"/>
          <w:b/>
          <w:bCs/>
          <w:w w:val="99"/>
        </w:rPr>
        <w:t> </w:t>
      </w:r>
      <w:r>
        <w:rPr/>
        <w:t>公司的业务独立于控股股东、实际控制人，与控股股东、实际控制人不存在同业竞争或者显失公平的关联交易。 </w:t>
      </w:r>
      <w:r>
        <w:rPr>
          <w:rFonts w:ascii="宋体" w:hAnsi="宋体" w:cs="宋体" w:eastAsia="宋体" w:hint="default"/>
          <w:b/>
          <w:bCs/>
        </w:rPr>
        <w:t>2</w:t>
      </w:r>
      <w:r>
        <w:rPr>
          <w:rFonts w:ascii="宋体" w:hAnsi="宋体" w:cs="宋体" w:eastAsia="宋体" w:hint="default"/>
          <w:b/>
          <w:bCs/>
        </w:rPr>
        <w:t>、人员</w:t>
      </w:r>
      <w:r>
        <w:rPr>
          <w:rFonts w:ascii="宋体" w:hAnsi="宋体" w:cs="宋体" w:eastAsia="宋体" w:hint="default"/>
        </w:rPr>
      </w:r>
    </w:p>
    <w:p>
      <w:pPr>
        <w:pStyle w:val="BodyText"/>
        <w:spacing w:line="316" w:lineRule="auto" w:before="27"/>
        <w:ind w:left="1133" w:right="1015"/>
        <w:jc w:val="left"/>
      </w:pPr>
      <w:r>
        <w:rPr>
          <w:spacing w:val="-2"/>
        </w:rPr>
        <w:t>公司的总经理、副总经理、财务负责人和董事会秘书等高级管理人员不在控股股东、实际控制人中担任除董事、监事以外的</w:t>
      </w:r>
      <w:r>
        <w:rPr>
          <w:spacing w:val="-66"/>
        </w:rPr>
        <w:t> </w:t>
      </w:r>
      <w:r>
        <w:rPr>
          <w:spacing w:val="-66"/>
        </w:rPr>
      </w:r>
      <w:r>
        <w:rPr/>
        <w:t>其他职务，不在控股股东、实际控制人领薪；公司的财务人员不在控股股东、实际控制人中兼职。</w:t>
      </w:r>
    </w:p>
    <w:p>
      <w:pPr>
        <w:pStyle w:val="BodyText"/>
        <w:spacing w:line="338" w:lineRule="auto" w:before="59"/>
        <w:ind w:left="1133" w:right="1015" w:firstLine="60"/>
        <w:jc w:val="left"/>
      </w:pPr>
      <w:r>
        <w:rPr>
          <w:rFonts w:ascii="宋体" w:hAnsi="宋体" w:cs="宋体" w:eastAsia="宋体" w:hint="default"/>
          <w:b/>
          <w:bCs/>
        </w:rPr>
        <w:t>3</w:t>
      </w:r>
      <w:r>
        <w:rPr>
          <w:rFonts w:ascii="宋体" w:hAnsi="宋体" w:cs="宋体" w:eastAsia="宋体" w:hint="default"/>
          <w:b/>
          <w:bCs/>
        </w:rPr>
        <w:t>、资产</w:t>
      </w:r>
      <w:r>
        <w:rPr>
          <w:rFonts w:ascii="宋体" w:hAnsi="宋体" w:cs="宋体" w:eastAsia="宋体" w:hint="default"/>
          <w:b/>
          <w:bCs/>
          <w:w w:val="99"/>
        </w:rPr>
        <w:t> </w:t>
      </w:r>
      <w:r>
        <w:rPr>
          <w:spacing w:val="-2"/>
        </w:rPr>
        <w:t>公司具备与生产经营有关的主要生产系统、辅助生产系统和配套设施，合法拥有与生产经营有关的主要土地、厂房、机器设</w:t>
      </w:r>
      <w:r>
        <w:rPr>
          <w:spacing w:val="-66"/>
        </w:rPr>
        <w:t> </w:t>
      </w:r>
      <w:r>
        <w:rPr>
          <w:spacing w:val="-66"/>
        </w:rPr>
      </w:r>
      <w:r>
        <w:rPr/>
        <w:t>备以及商标、专利、非专利技术的所有权或者使用权，具有独立的原料采购和产品销售系统。</w:t>
      </w:r>
    </w:p>
    <w:p>
      <w:pPr>
        <w:pStyle w:val="BodyText"/>
        <w:spacing w:line="357" w:lineRule="auto" w:before="43"/>
        <w:ind w:left="1133" w:right="1753" w:firstLine="60"/>
        <w:jc w:val="left"/>
        <w:rPr>
          <w:rFonts w:ascii="宋体" w:hAnsi="宋体" w:cs="宋体" w:eastAsia="宋体" w:hint="default"/>
        </w:rPr>
      </w:pPr>
      <w:r>
        <w:rPr>
          <w:rFonts w:ascii="宋体" w:hAnsi="宋体" w:cs="宋体" w:eastAsia="宋体" w:hint="default"/>
          <w:b/>
          <w:bCs/>
        </w:rPr>
        <w:t>4</w:t>
      </w:r>
      <w:r>
        <w:rPr>
          <w:rFonts w:ascii="宋体" w:hAnsi="宋体" w:cs="宋体" w:eastAsia="宋体" w:hint="default"/>
          <w:b/>
          <w:bCs/>
        </w:rPr>
        <w:t>、机构</w:t>
      </w:r>
      <w:r>
        <w:rPr>
          <w:rFonts w:ascii="宋体" w:hAnsi="宋体" w:cs="宋体" w:eastAsia="宋体" w:hint="default"/>
          <w:b/>
          <w:bCs/>
          <w:w w:val="99"/>
        </w:rPr>
        <w:t> </w:t>
      </w:r>
      <w:r>
        <w:rPr/>
        <w:t>公司已建立健全内部经营管理机构、独立行使经营管理职权，与控股股东、实际控制人间不存在机构混同的情形。 </w:t>
      </w:r>
      <w:r>
        <w:rPr>
          <w:rFonts w:ascii="宋体" w:hAnsi="宋体" w:cs="宋体" w:eastAsia="宋体" w:hint="default"/>
          <w:b/>
          <w:bCs/>
        </w:rPr>
        <w:t>5</w:t>
      </w:r>
      <w:r>
        <w:rPr>
          <w:rFonts w:ascii="宋体" w:hAnsi="宋体" w:cs="宋体" w:eastAsia="宋体" w:hint="default"/>
          <w:b/>
          <w:bCs/>
        </w:rPr>
        <w:t>、财务</w:t>
      </w:r>
      <w:r>
        <w:rPr>
          <w:rFonts w:ascii="宋体" w:hAnsi="宋体" w:cs="宋体" w:eastAsia="宋体" w:hint="default"/>
        </w:rPr>
      </w:r>
    </w:p>
    <w:p>
      <w:pPr>
        <w:pStyle w:val="BodyText"/>
        <w:spacing w:line="316" w:lineRule="auto" w:before="29"/>
        <w:ind w:left="1133" w:right="1033"/>
        <w:jc w:val="left"/>
      </w:pPr>
      <w:r>
        <w:rPr/>
        <w:t>公司已建立独立的财务核算体系、能够独立作出财务决策、具有规范的财务会计制度和对分公司、子公司的财务管理制度； 公司不存在与控股股东、实际控制人共用银行账户的情形。</w:t>
      </w:r>
    </w:p>
    <w:p>
      <w:pPr>
        <w:spacing w:line="240" w:lineRule="auto" w:before="7"/>
        <w:rPr>
          <w:rFonts w:ascii="宋体" w:hAnsi="宋体" w:cs="宋体" w:eastAsia="宋体" w:hint="default"/>
          <w:sz w:val="20"/>
          <w:szCs w:val="20"/>
        </w:rPr>
      </w:pPr>
    </w:p>
    <w:p>
      <w:pPr>
        <w:pStyle w:val="Heading2"/>
        <w:spacing w:line="240" w:lineRule="auto"/>
        <w:ind w:right="1015"/>
        <w:jc w:val="left"/>
        <w:rPr>
          <w:b w:val="0"/>
          <w:bCs w:val="0"/>
        </w:rPr>
      </w:pPr>
      <w:bookmarkStart w:name="三、同业竞争情况" w:id="139"/>
      <w:bookmarkEnd w:id="139"/>
      <w:r>
        <w:rPr>
          <w:b w:val="0"/>
          <w:bCs w:val="0"/>
        </w:rPr>
      </w:r>
      <w:r>
        <w:rPr/>
        <w:t>三、同业竞争情况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15"/>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1015"/>
        <w:jc w:val="left"/>
        <w:rPr>
          <w:b w:val="0"/>
          <w:bCs w:val="0"/>
        </w:rPr>
      </w:pPr>
      <w:bookmarkStart w:name="四、报告期内召开的年度股东大会和临时股东大会的有关情况" w:id="140"/>
      <w:bookmarkEnd w:id="140"/>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15"/>
        <w:jc w:val="left"/>
        <w:rPr>
          <w:b w:val="0"/>
          <w:bCs w:val="0"/>
        </w:rPr>
      </w:pPr>
      <w:bookmarkStart w:name="1、本报告期股东大会情况" w:id="141"/>
      <w:bookmarkEnd w:id="141"/>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31"/>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103" w:right="221"/>
              <w:jc w:val="left"/>
              <w:rPr>
                <w:rFonts w:ascii="宋体" w:hAnsi="宋体" w:cs="宋体" w:eastAsia="宋体" w:hint="default"/>
                <w:sz w:val="18"/>
                <w:szCs w:val="18"/>
              </w:rPr>
            </w:pPr>
            <w:r>
              <w:rPr>
                <w:rFonts w:ascii="宋体" w:hAnsi="宋体" w:cs="宋体" w:eastAsia="宋体" w:hint="default"/>
                <w:sz w:val="18"/>
                <w:szCs w:val="18"/>
              </w:rPr>
              <w:t>二〇一七年第一 次临时股东大会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39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70.63%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103" w:right="122"/>
              <w:jc w:val="left"/>
              <w:rPr>
                <w:rFonts w:ascii="Times New Roman" w:hAnsi="Times New Roman" w:cs="Times New Roman" w:eastAsia="Times New Roman" w:hint="default"/>
                <w:sz w:val="18"/>
                <w:szCs w:val="18"/>
              </w:rPr>
            </w:pPr>
            <w:r>
              <w:rPr>
                <w:rFonts w:ascii="Times New Roman"/>
                <w:spacing w:val="-1"/>
                <w:sz w:val="18"/>
              </w:rPr>
              <w:t>http://www.cninfo.</w:t>
            </w:r>
            <w:r>
              <w:rPr>
                <w:rFonts w:ascii="Times New Roman"/>
                <w:sz w:val="18"/>
              </w:rPr>
              <w:t> com.cn/cninfo-ne</w:t>
            </w:r>
            <w:r>
              <w:rPr>
                <w:rFonts w:ascii="Times New Roman"/>
                <w:spacing w:val="-2"/>
                <w:sz w:val="18"/>
              </w:rPr>
              <w:t> </w:t>
            </w:r>
            <w:r>
              <w:rPr>
                <w:rFonts w:ascii="Times New Roman"/>
                <w:sz w:val="18"/>
              </w:rPr>
              <w:t>w/disclosure/szse_</w:t>
            </w:r>
            <w:r>
              <w:rPr>
                <w:rFonts w:ascii="Times New Roman"/>
                <w:sz w:val="18"/>
              </w:rPr>
              <w:t> gem/bulletin_detai l/true/1203019359</w:t>
            </w:r>
          </w:p>
          <w:p>
            <w:pPr>
              <w:pStyle w:val="TableParagraph"/>
              <w:spacing w:line="362" w:lineRule="auto" w:before="3"/>
              <w:ind w:left="103" w:right="145"/>
              <w:jc w:val="left"/>
              <w:rPr>
                <w:rFonts w:ascii="Times New Roman" w:hAnsi="Times New Roman" w:cs="Times New Roman" w:eastAsia="Times New Roman" w:hint="default"/>
                <w:sz w:val="18"/>
                <w:szCs w:val="18"/>
              </w:rPr>
            </w:pPr>
            <w:r>
              <w:rPr>
                <w:rFonts w:ascii="Times New Roman"/>
                <w:sz w:val="18"/>
              </w:rPr>
              <w:t>?announceTime=2 017-01-16 18:06</w:t>
            </w:r>
          </w:p>
        </w:tc>
      </w:tr>
      <w:tr>
        <w:trPr>
          <w:trHeight w:val="22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103" w:right="221"/>
              <w:jc w:val="left"/>
              <w:rPr>
                <w:rFonts w:ascii="宋体" w:hAnsi="宋体" w:cs="宋体" w:eastAsia="宋体" w:hint="default"/>
                <w:sz w:val="18"/>
                <w:szCs w:val="18"/>
              </w:rPr>
            </w:pPr>
            <w:r>
              <w:rPr>
                <w:rFonts w:ascii="宋体" w:hAnsi="宋体" w:cs="宋体" w:eastAsia="宋体" w:hint="default"/>
                <w:sz w:val="18"/>
                <w:szCs w:val="18"/>
              </w:rPr>
              <w:t>二〇一六年度股 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398"/>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103" w:right="122"/>
              <w:jc w:val="left"/>
              <w:rPr>
                <w:rFonts w:ascii="Times New Roman" w:hAnsi="Times New Roman" w:cs="Times New Roman" w:eastAsia="Times New Roman" w:hint="default"/>
                <w:sz w:val="18"/>
                <w:szCs w:val="18"/>
              </w:rPr>
            </w:pPr>
            <w:r>
              <w:rPr>
                <w:rFonts w:ascii="Times New Roman"/>
                <w:spacing w:val="-1"/>
                <w:sz w:val="18"/>
              </w:rPr>
              <w:t>http://www.cninfo.</w:t>
            </w:r>
            <w:r>
              <w:rPr>
                <w:rFonts w:ascii="Times New Roman"/>
                <w:sz w:val="18"/>
              </w:rPr>
              <w:t> com.cn/cninfo-ne</w:t>
            </w:r>
            <w:r>
              <w:rPr>
                <w:rFonts w:ascii="Times New Roman"/>
                <w:spacing w:val="-2"/>
                <w:sz w:val="18"/>
              </w:rPr>
              <w:t> </w:t>
            </w:r>
            <w:r>
              <w:rPr>
                <w:rFonts w:ascii="Times New Roman"/>
                <w:sz w:val="18"/>
              </w:rPr>
              <w:t>w/disclosure/szse_</w:t>
            </w:r>
            <w:r>
              <w:rPr>
                <w:rFonts w:ascii="Times New Roman"/>
                <w:sz w:val="18"/>
              </w:rPr>
              <w:t> gem/bulletin_detai l/true/1203210378</w:t>
            </w:r>
          </w:p>
          <w:p>
            <w:pPr>
              <w:pStyle w:val="TableParagraph"/>
              <w:spacing w:line="362" w:lineRule="auto" w:before="3"/>
              <w:ind w:left="103" w:right="145"/>
              <w:jc w:val="left"/>
              <w:rPr>
                <w:rFonts w:ascii="Times New Roman" w:hAnsi="Times New Roman" w:cs="Times New Roman" w:eastAsia="Times New Roman" w:hint="default"/>
                <w:sz w:val="18"/>
                <w:szCs w:val="18"/>
              </w:rPr>
            </w:pPr>
            <w:r>
              <w:rPr>
                <w:rFonts w:ascii="Times New Roman"/>
                <w:sz w:val="18"/>
              </w:rPr>
              <w:t>?announceTime=2 017-03-27 17:57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二〇一七年第二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9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55.79%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2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2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center"/>
              <w:rPr>
                <w:rFonts w:ascii="Times New Roman" w:hAnsi="Times New Roman" w:cs="Times New Roman" w:eastAsia="Times New Roman" w:hint="default"/>
                <w:sz w:val="18"/>
                <w:szCs w:val="18"/>
              </w:rPr>
            </w:pPr>
            <w:r>
              <w:rPr>
                <w:rFonts w:ascii="Times New Roman"/>
                <w:sz w:val="18"/>
              </w:rPr>
              <w:t>http://www.cninfo.</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9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次临时股东大会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103" w:right="130"/>
              <w:jc w:val="left"/>
              <w:rPr>
                <w:rFonts w:ascii="Times New Roman" w:hAnsi="Times New Roman" w:cs="Times New Roman" w:eastAsia="Times New Roman" w:hint="default"/>
                <w:sz w:val="18"/>
                <w:szCs w:val="18"/>
              </w:rPr>
            </w:pPr>
            <w:r>
              <w:rPr>
                <w:rFonts w:ascii="Times New Roman"/>
                <w:sz w:val="18"/>
              </w:rPr>
              <w:t>com.cn/cninfo-ne</w:t>
            </w:r>
            <w:r>
              <w:rPr>
                <w:rFonts w:ascii="Times New Roman"/>
                <w:spacing w:val="-2"/>
                <w:sz w:val="18"/>
              </w:rPr>
              <w:t> </w:t>
            </w:r>
            <w:r>
              <w:rPr>
                <w:rFonts w:ascii="Times New Roman"/>
                <w:sz w:val="18"/>
              </w:rPr>
              <w:t>w/disclosure/szse_</w:t>
            </w:r>
            <w:r>
              <w:rPr>
                <w:rFonts w:ascii="Times New Roman"/>
                <w:sz w:val="18"/>
              </w:rPr>
              <w:t> gem/bulletin_detai l/true/1204136705</w:t>
            </w:r>
          </w:p>
          <w:p>
            <w:pPr>
              <w:pStyle w:val="TableParagraph"/>
              <w:spacing w:line="362" w:lineRule="auto" w:before="3"/>
              <w:ind w:left="103" w:right="145"/>
              <w:jc w:val="left"/>
              <w:rPr>
                <w:rFonts w:ascii="Times New Roman" w:hAnsi="Times New Roman" w:cs="Times New Roman" w:eastAsia="Times New Roman" w:hint="default"/>
                <w:sz w:val="18"/>
                <w:szCs w:val="18"/>
              </w:rPr>
            </w:pPr>
            <w:r>
              <w:rPr>
                <w:rFonts w:ascii="Times New Roman"/>
                <w:sz w:val="18"/>
              </w:rPr>
              <w:t>?announceTime=2 017-11-13</w:t>
            </w:r>
            <w:r>
              <w:rPr>
                <w:rFonts w:ascii="Times New Roman"/>
                <w:spacing w:val="-8"/>
                <w:sz w:val="18"/>
              </w:rPr>
              <w:t> </w:t>
            </w:r>
            <w:r>
              <w:rPr>
                <w:rFonts w:ascii="Times New Roman"/>
                <w:sz w:val="18"/>
              </w:rPr>
              <w:t>17:35</w:t>
            </w:r>
          </w:p>
        </w:tc>
      </w:tr>
    </w:tbl>
    <w:p>
      <w:pPr>
        <w:spacing w:line="240" w:lineRule="auto" w:before="2"/>
        <w:rPr>
          <w:rFonts w:ascii="宋体" w:hAnsi="宋体" w:cs="宋体" w:eastAsia="宋体" w:hint="default"/>
          <w:b/>
          <w:bCs/>
          <w:sz w:val="19"/>
          <w:szCs w:val="19"/>
        </w:rPr>
      </w:pPr>
    </w:p>
    <w:p>
      <w:pPr>
        <w:pStyle w:val="Heading3"/>
        <w:spacing w:line="240" w:lineRule="auto" w:before="35"/>
        <w:ind w:right="1015"/>
        <w:jc w:val="left"/>
        <w:rPr>
          <w:b w:val="0"/>
          <w:bCs w:val="0"/>
        </w:rPr>
      </w:pPr>
      <w:bookmarkStart w:name="2、表决权恢复的优先股股东请求召开临时股东大会" w:id="142"/>
      <w:bookmarkEnd w:id="142"/>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15"/>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1015"/>
        <w:jc w:val="left"/>
        <w:rPr>
          <w:b w:val="0"/>
          <w:bCs w:val="0"/>
        </w:rPr>
      </w:pPr>
      <w:bookmarkStart w:name="五、报告期内独立董事履行职责的情况" w:id="143"/>
      <w:bookmarkEnd w:id="143"/>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15"/>
        <w:jc w:val="left"/>
        <w:rPr>
          <w:b w:val="0"/>
          <w:bCs w:val="0"/>
        </w:rPr>
      </w:pPr>
      <w:bookmarkStart w:name="1、独立董事出席董事会及股东大会的情况" w:id="144"/>
      <w:bookmarkEnd w:id="144"/>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1"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338"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27" w:right="125"/>
              <w:jc w:val="center"/>
              <w:rPr>
                <w:rFonts w:ascii="宋体" w:hAnsi="宋体" w:cs="宋体" w:eastAsia="宋体" w:hint="default"/>
                <w:sz w:val="18"/>
                <w:szCs w:val="18"/>
              </w:rPr>
            </w:pPr>
            <w:r>
              <w:rPr>
                <w:rFonts w:ascii="宋体" w:hAnsi="宋体" w:cs="宋体" w:eastAsia="宋体" w:hint="default"/>
                <w:sz w:val="18"/>
                <w:szCs w:val="18"/>
              </w:rPr>
              <w:t>本报告期应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17" w:right="125" w:hanging="90"/>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25" w:right="125"/>
              <w:jc w:val="center"/>
              <w:rPr>
                <w:rFonts w:ascii="宋体" w:hAnsi="宋体" w:cs="宋体" w:eastAsia="宋体" w:hint="default"/>
                <w:sz w:val="18"/>
                <w:szCs w:val="18"/>
              </w:rPr>
            </w:pPr>
            <w:r>
              <w:rPr>
                <w:rFonts w:ascii="宋体" w:hAnsi="宋体" w:cs="宋体" w:eastAsia="宋体" w:hint="default"/>
                <w:sz w:val="18"/>
                <w:szCs w:val="18"/>
              </w:rPr>
              <w:t>以通讯方式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16" w:right="126" w:hanging="90"/>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394" w:right="126" w:hanging="270"/>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5" w:right="125"/>
              <w:jc w:val="center"/>
              <w:rPr>
                <w:rFonts w:ascii="宋体" w:hAnsi="宋体" w:cs="宋体" w:eastAsia="宋体" w:hint="default"/>
                <w:sz w:val="18"/>
                <w:szCs w:val="18"/>
              </w:rPr>
            </w:pPr>
            <w:r>
              <w:rPr>
                <w:rFonts w:ascii="宋体" w:hAnsi="宋体" w:cs="宋体" w:eastAsia="宋体" w:hint="default"/>
                <w:sz w:val="18"/>
                <w:szCs w:val="18"/>
              </w:rPr>
              <w:t>是否连续两 次未亲自参 加董事会会 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306" w:right="125"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余国铮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邹晓冬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黄洪燕</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357" w:lineRule="auto" w:before="51"/>
        <w:ind w:right="6252"/>
        <w:jc w:val="left"/>
      </w:pPr>
      <w:r>
        <w:rPr/>
        <w:t>连续两次未亲自出席董事会的说明 公司独立董事不存在连续两次未亲自出席董事会的情形。</w:t>
      </w:r>
    </w:p>
    <w:p>
      <w:pPr>
        <w:spacing w:line="240" w:lineRule="auto" w:before="1"/>
        <w:rPr>
          <w:rFonts w:ascii="宋体" w:hAnsi="宋体" w:cs="宋体" w:eastAsia="宋体" w:hint="default"/>
          <w:sz w:val="20"/>
          <w:szCs w:val="20"/>
        </w:rPr>
      </w:pPr>
    </w:p>
    <w:p>
      <w:pPr>
        <w:pStyle w:val="Heading3"/>
        <w:spacing w:line="240" w:lineRule="auto"/>
        <w:ind w:right="1015"/>
        <w:jc w:val="left"/>
        <w:rPr>
          <w:b w:val="0"/>
          <w:bCs w:val="0"/>
        </w:rPr>
      </w:pPr>
      <w:bookmarkStart w:name="2、独立董事对公司有关事项提出异议的情况" w:id="145"/>
      <w:bookmarkEnd w:id="145"/>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15"/>
        <w:jc w:val="left"/>
      </w:pPr>
      <w:r>
        <w:rPr/>
        <w:t>独立董事对公司有关事项是否提出异议</w:t>
      </w:r>
    </w:p>
    <w:p>
      <w:pPr>
        <w:pStyle w:val="BodyText"/>
        <w:spacing w:line="357" w:lineRule="auto" w:before="117"/>
        <w:ind w:left="1133" w:right="6973"/>
        <w:jc w:val="left"/>
      </w:pPr>
      <w:r>
        <w:rPr/>
        <w:t>□ 是 √ 否 报告期内独立董事对公司有关事项未提出异议。</w:t>
      </w:r>
    </w:p>
    <w:p>
      <w:pPr>
        <w:spacing w:line="240" w:lineRule="auto" w:before="13"/>
        <w:rPr>
          <w:rFonts w:ascii="宋体" w:hAnsi="宋体" w:cs="宋体" w:eastAsia="宋体" w:hint="default"/>
          <w:sz w:val="19"/>
          <w:szCs w:val="19"/>
        </w:rPr>
      </w:pPr>
    </w:p>
    <w:p>
      <w:pPr>
        <w:pStyle w:val="Heading3"/>
        <w:spacing w:line="240" w:lineRule="auto"/>
        <w:ind w:left="1133" w:right="1015"/>
        <w:jc w:val="left"/>
        <w:rPr>
          <w:b w:val="0"/>
          <w:bCs w:val="0"/>
        </w:rPr>
      </w:pPr>
      <w:bookmarkStart w:name="3、独立董事履行职责的其他说明" w:id="146"/>
      <w:bookmarkEnd w:id="146"/>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1015"/>
        <w:jc w:val="left"/>
      </w:pPr>
      <w:r>
        <w:rPr/>
        <w:t>独立董事对公司有关建议是否被采纳</w:t>
      </w:r>
    </w:p>
    <w:p>
      <w:pPr>
        <w:pStyle w:val="BodyText"/>
        <w:spacing w:line="360" w:lineRule="auto" w:before="116"/>
        <w:ind w:left="1133" w:right="6793"/>
        <w:jc w:val="left"/>
      </w:pPr>
      <w:r>
        <w:rPr/>
        <w:t>√ 是 □ 否 独立董事对公司有关建议被采纳或未被采纳的说明</w:t>
      </w:r>
    </w:p>
    <w:p>
      <w:pPr>
        <w:pStyle w:val="BodyText"/>
        <w:spacing w:line="319" w:lineRule="auto" w:before="25"/>
        <w:ind w:left="1133" w:right="1033"/>
        <w:jc w:val="left"/>
      </w:pPr>
      <w:r>
        <w:rPr>
          <w:spacing w:val="-2"/>
        </w:rPr>
        <w:t>独立董事对公司及全体股东负有诚信和勤勉义务。独立董事按照相关法律法规和《公司章程》的要求，认真履行职责，维护</w:t>
      </w:r>
      <w:r>
        <w:rPr>
          <w:spacing w:val="-66"/>
        </w:rPr>
        <w:t> </w:t>
      </w:r>
      <w:r>
        <w:rPr>
          <w:spacing w:val="-66"/>
        </w:rPr>
      </w:r>
      <w:r>
        <w:rPr/>
        <w:t>公司整体利益，尤其关注中小股东的合法权益是否受到损害。独立董事根据《深圳证券交易所创业板股票上市交易规则》、</w:t>
      </w:r>
    </w:p>
    <w:p>
      <w:pPr>
        <w:pStyle w:val="BodyText"/>
        <w:spacing w:line="316" w:lineRule="auto" w:before="17"/>
        <w:ind w:right="1015"/>
        <w:jc w:val="left"/>
      </w:pPr>
      <w:r>
        <w:rPr>
          <w:spacing w:val="-2"/>
        </w:rPr>
        <w:t>《深圳深圳证券交易所创业板上市公司规范运作指引》等相关规定对公司重大事项均发表了独立董事事前认可或独立董事意</w:t>
      </w:r>
      <w:r>
        <w:rPr>
          <w:spacing w:val="-64"/>
        </w:rPr>
        <w:t> </w:t>
      </w:r>
      <w:r>
        <w:rPr>
          <w:spacing w:val="-64"/>
        </w:rPr>
      </w:r>
      <w:r>
        <w:rPr/>
        <w:t>见，对于独立董事的意见公司均已采纳。</w:t>
      </w:r>
    </w:p>
    <w:p>
      <w:pPr>
        <w:spacing w:after="0" w:line="316" w:lineRule="auto"/>
        <w:jc w:val="left"/>
        <w:sectPr>
          <w:pgSz w:w="11910" w:h="16840"/>
          <w:pgMar w:header="907" w:footer="1019" w:top="1100" w:bottom="1200" w:left="0" w:right="0"/>
        </w:sectPr>
      </w:pPr>
    </w:p>
    <w:p>
      <w:pPr>
        <w:spacing w:line="240" w:lineRule="auto" w:before="9"/>
        <w:rPr>
          <w:rFonts w:ascii="宋体" w:hAnsi="宋体" w:cs="宋体" w:eastAsia="宋体" w:hint="default"/>
          <w:sz w:val="20"/>
          <w:szCs w:val="20"/>
        </w:rPr>
      </w:pPr>
    </w:p>
    <w:p>
      <w:pPr>
        <w:pStyle w:val="Heading2"/>
        <w:spacing w:line="240" w:lineRule="auto" w:before="26"/>
        <w:ind w:left="1133" w:right="1015"/>
        <w:jc w:val="left"/>
        <w:rPr>
          <w:b w:val="0"/>
          <w:bCs w:val="0"/>
        </w:rPr>
      </w:pPr>
      <w:bookmarkStart w:name="六、董事会下设专门委员会在报告期内履行职责情况" w:id="147"/>
      <w:bookmarkEnd w:id="147"/>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1133" w:right="1015"/>
        <w:jc w:val="left"/>
      </w:pPr>
      <w:r>
        <w:rPr>
          <w:spacing w:val="-2"/>
        </w:rPr>
        <w:t>报告期内，公司董事会下设的四个专门委员会严格按照《公司章程》、《董事会议事规则》及各专门委员会的实施细则等相</w:t>
      </w:r>
      <w:r>
        <w:rPr>
          <w:spacing w:val="-66"/>
        </w:rPr>
        <w:t> </w:t>
      </w:r>
      <w:r>
        <w:rPr>
          <w:spacing w:val="-66"/>
        </w:rPr>
      </w:r>
      <w:r>
        <w:rPr/>
        <w:t>关规定履行各项职责。现将</w:t>
      </w:r>
      <w:r>
        <w:rPr>
          <w:rFonts w:ascii="宋体" w:hAnsi="宋体" w:cs="宋体" w:eastAsia="宋体" w:hint="default"/>
        </w:rPr>
        <w:t>2017</w:t>
      </w:r>
      <w:r>
        <w:rPr/>
        <w:t>年度公司董事会专门委员会履职情况报告如下：</w:t>
      </w:r>
    </w:p>
    <w:p>
      <w:pPr>
        <w:pStyle w:val="BodyText"/>
        <w:spacing w:line="357" w:lineRule="auto" w:before="57"/>
        <w:ind w:left="1133" w:right="1015"/>
        <w:jc w:val="left"/>
      </w:pPr>
      <w:r>
        <w:rPr>
          <w:rFonts w:ascii="宋体" w:hAnsi="宋体" w:cs="宋体" w:eastAsia="宋体" w:hint="default"/>
          <w:b/>
          <w:bCs/>
        </w:rPr>
        <w:t>1</w:t>
      </w:r>
      <w:r>
        <w:rPr>
          <w:rFonts w:ascii="宋体" w:hAnsi="宋体" w:cs="宋体" w:eastAsia="宋体" w:hint="default"/>
          <w:b/>
          <w:bCs/>
        </w:rPr>
        <w:t>、审计委员会</w:t>
      </w:r>
      <w:r>
        <w:rPr>
          <w:rFonts w:ascii="宋体" w:hAnsi="宋体" w:cs="宋体" w:eastAsia="宋体" w:hint="default"/>
          <w:b/>
          <w:bCs/>
          <w:w w:val="99"/>
        </w:rPr>
        <w:t> </w:t>
      </w:r>
      <w:r>
        <w:rPr>
          <w:spacing w:val="-2"/>
        </w:rPr>
        <w:t>报告期内，公司董事会审计委员会对公司募集资金使用、财务审计报告、定期报告、审计部工作等相关事项进行了审查与监</w:t>
      </w:r>
    </w:p>
    <w:p>
      <w:pPr>
        <w:pStyle w:val="BodyText"/>
        <w:spacing w:line="357" w:lineRule="auto"/>
        <w:ind w:left="1133" w:right="1303"/>
        <w:jc w:val="left"/>
        <w:rPr>
          <w:rFonts w:ascii="宋体" w:hAnsi="宋体" w:cs="宋体" w:eastAsia="宋体" w:hint="default"/>
        </w:rPr>
      </w:pPr>
      <w:r>
        <w:rPr/>
        <w:t>督，重点对公司各定期报告工作进行了审核。报告期内，审计委员会共召开</w:t>
      </w:r>
      <w:r>
        <w:rPr>
          <w:rFonts w:ascii="宋体" w:hAnsi="宋体" w:cs="宋体" w:eastAsia="宋体" w:hint="default"/>
        </w:rPr>
        <w:t>5</w:t>
      </w:r>
      <w:r>
        <w:rPr/>
        <w:t>次会议，对相关议案进行审议并形成决议。 </w:t>
      </w:r>
      <w:r>
        <w:rPr>
          <w:rFonts w:ascii="宋体" w:hAnsi="宋体" w:cs="宋体" w:eastAsia="宋体" w:hint="default"/>
          <w:b/>
          <w:bCs/>
        </w:rPr>
        <w:t>2</w:t>
      </w:r>
      <w:r>
        <w:rPr>
          <w:rFonts w:ascii="宋体" w:hAnsi="宋体" w:cs="宋体" w:eastAsia="宋体" w:hint="default"/>
          <w:b/>
          <w:bCs/>
        </w:rPr>
        <w:t>、战略委员会</w:t>
      </w:r>
      <w:r>
        <w:rPr>
          <w:rFonts w:ascii="宋体" w:hAnsi="宋体" w:cs="宋体" w:eastAsia="宋体" w:hint="default"/>
        </w:rPr>
      </w:r>
    </w:p>
    <w:p>
      <w:pPr>
        <w:spacing w:line="357" w:lineRule="auto" w:before="28"/>
        <w:ind w:left="1133" w:right="5083" w:firstLine="0"/>
        <w:jc w:val="left"/>
        <w:rPr>
          <w:rFonts w:ascii="宋体" w:hAnsi="宋体" w:cs="宋体" w:eastAsia="宋体" w:hint="default"/>
          <w:sz w:val="18"/>
          <w:szCs w:val="18"/>
        </w:rPr>
      </w:pPr>
      <w:r>
        <w:rPr>
          <w:rFonts w:ascii="宋体" w:hAnsi="宋体" w:cs="宋体" w:eastAsia="宋体" w:hint="default"/>
          <w:sz w:val="18"/>
          <w:szCs w:val="18"/>
        </w:rPr>
        <w:t>报告期内，公司战略委员会召开会议</w:t>
      </w:r>
      <w:r>
        <w:rPr>
          <w:rFonts w:ascii="宋体" w:hAnsi="宋体" w:cs="宋体" w:eastAsia="宋体" w:hint="default"/>
          <w:sz w:val="18"/>
          <w:szCs w:val="18"/>
        </w:rPr>
        <w:t>1</w:t>
      </w:r>
      <w:r>
        <w:rPr>
          <w:rFonts w:ascii="宋体" w:hAnsi="宋体" w:cs="宋体" w:eastAsia="宋体" w:hint="default"/>
          <w:sz w:val="18"/>
          <w:szCs w:val="18"/>
        </w:rPr>
        <w:t>次，审议通过了有关议案。 </w:t>
      </w:r>
      <w:r>
        <w:rPr>
          <w:rFonts w:ascii="宋体" w:hAnsi="宋体" w:cs="宋体" w:eastAsia="宋体" w:hint="default"/>
          <w:b/>
          <w:bCs/>
          <w:sz w:val="18"/>
          <w:szCs w:val="18"/>
        </w:rPr>
        <w:t>3</w:t>
      </w:r>
      <w:r>
        <w:rPr>
          <w:rFonts w:ascii="宋体" w:hAnsi="宋体" w:cs="宋体" w:eastAsia="宋体" w:hint="default"/>
          <w:b/>
          <w:bCs/>
          <w:sz w:val="18"/>
          <w:szCs w:val="18"/>
        </w:rPr>
        <w:t>、薪酬与考核委员会</w:t>
      </w:r>
      <w:r>
        <w:rPr>
          <w:rFonts w:ascii="宋体" w:hAnsi="宋体" w:cs="宋体" w:eastAsia="宋体" w:hint="default"/>
          <w:b/>
          <w:bCs/>
          <w:w w:val="99"/>
          <w:sz w:val="18"/>
          <w:szCs w:val="18"/>
        </w:rPr>
        <w:t> </w:t>
      </w:r>
      <w:r>
        <w:rPr>
          <w:rFonts w:ascii="宋体" w:hAnsi="宋体" w:cs="宋体" w:eastAsia="宋体" w:hint="default"/>
          <w:sz w:val="18"/>
          <w:szCs w:val="18"/>
        </w:rPr>
        <w:t>报告期内，公司薪酬与考核委员会召开会议</w:t>
      </w:r>
      <w:r>
        <w:rPr>
          <w:rFonts w:ascii="宋体" w:hAnsi="宋体" w:cs="宋体" w:eastAsia="宋体" w:hint="default"/>
          <w:sz w:val="18"/>
          <w:szCs w:val="18"/>
        </w:rPr>
        <w:t>1</w:t>
      </w:r>
      <w:r>
        <w:rPr>
          <w:rFonts w:ascii="宋体" w:hAnsi="宋体" w:cs="宋体" w:eastAsia="宋体" w:hint="default"/>
          <w:sz w:val="18"/>
          <w:szCs w:val="18"/>
        </w:rPr>
        <w:t>次，审议通过了有关议案。 </w:t>
      </w:r>
      <w:r>
        <w:rPr>
          <w:rFonts w:ascii="宋体" w:hAnsi="宋体" w:cs="宋体" w:eastAsia="宋体" w:hint="default"/>
          <w:b/>
          <w:bCs/>
          <w:sz w:val="18"/>
          <w:szCs w:val="18"/>
        </w:rPr>
        <w:t>4</w:t>
      </w:r>
      <w:r>
        <w:rPr>
          <w:rFonts w:ascii="宋体" w:hAnsi="宋体" w:cs="宋体" w:eastAsia="宋体" w:hint="default"/>
          <w:b/>
          <w:bCs/>
          <w:sz w:val="18"/>
          <w:szCs w:val="18"/>
        </w:rPr>
        <w:t>、提名委员会</w:t>
      </w:r>
      <w:r>
        <w:rPr>
          <w:rFonts w:ascii="宋体" w:hAnsi="宋体" w:cs="宋体" w:eastAsia="宋体" w:hint="default"/>
          <w:sz w:val="18"/>
          <w:szCs w:val="18"/>
        </w:rPr>
      </w:r>
    </w:p>
    <w:p>
      <w:pPr>
        <w:pStyle w:val="BodyText"/>
        <w:spacing w:line="319" w:lineRule="auto" w:before="28"/>
        <w:ind w:right="1122"/>
        <w:jc w:val="left"/>
      </w:pPr>
      <w:r>
        <w:rPr/>
        <w:t>报告期内，公司提名委员会召开会议</w:t>
      </w:r>
      <w:r>
        <w:rPr>
          <w:rFonts w:ascii="宋体" w:hAnsi="宋体" w:cs="宋体" w:eastAsia="宋体" w:hint="default"/>
        </w:rPr>
        <w:t>3</w:t>
      </w:r>
      <w:r>
        <w:rPr/>
        <w:t>次。就公司增聘副总经理、新聘任财务总监、董事会秘书等高级管理人员召开了专门</w:t>
      </w:r>
      <w:r>
        <w:rPr>
          <w:spacing w:val="-83"/>
        </w:rPr>
        <w:t> </w:t>
      </w:r>
      <w:r>
        <w:rPr>
          <w:spacing w:val="-83"/>
        </w:rPr>
      </w:r>
      <w:r>
        <w:rPr/>
        <w:t>会议审议，审核无异议。</w:t>
      </w:r>
    </w:p>
    <w:p>
      <w:pPr>
        <w:spacing w:line="240" w:lineRule="auto" w:before="6"/>
        <w:rPr>
          <w:rFonts w:ascii="宋体" w:hAnsi="宋体" w:cs="宋体" w:eastAsia="宋体" w:hint="default"/>
          <w:sz w:val="20"/>
          <w:szCs w:val="20"/>
        </w:rPr>
      </w:pPr>
    </w:p>
    <w:p>
      <w:pPr>
        <w:pStyle w:val="Heading2"/>
        <w:spacing w:line="240" w:lineRule="auto"/>
        <w:ind w:right="1015"/>
        <w:jc w:val="left"/>
        <w:rPr>
          <w:b w:val="0"/>
          <w:bCs w:val="0"/>
        </w:rPr>
      </w:pPr>
      <w:bookmarkStart w:name="七、监事会工作情况" w:id="148"/>
      <w:bookmarkEnd w:id="148"/>
      <w:r>
        <w:rPr>
          <w:b w:val="0"/>
          <w:bCs w:val="0"/>
        </w:rPr>
      </w:r>
      <w:r>
        <w:rPr/>
        <w:t>七、监事会工作情况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15"/>
        <w:jc w:val="left"/>
      </w:pPr>
      <w:r>
        <w:rPr/>
        <w:t>监事会在报告期内的监督活动中发现公司是否存在风险</w:t>
      </w:r>
    </w:p>
    <w:p>
      <w:pPr>
        <w:pStyle w:val="BodyText"/>
        <w:spacing w:line="357" w:lineRule="auto" w:before="116"/>
        <w:ind w:left="1133" w:right="7333"/>
        <w:jc w:val="left"/>
      </w:pPr>
      <w:r>
        <w:rPr/>
        <w:t>□ 是 √ 否 公司监事会对报告期内的监督事项无异议。</w:t>
      </w:r>
    </w:p>
    <w:p>
      <w:pPr>
        <w:spacing w:line="240" w:lineRule="auto" w:before="5"/>
        <w:rPr>
          <w:rFonts w:ascii="宋体" w:hAnsi="宋体" w:cs="宋体" w:eastAsia="宋体" w:hint="default"/>
          <w:sz w:val="18"/>
          <w:szCs w:val="18"/>
        </w:rPr>
      </w:pPr>
    </w:p>
    <w:p>
      <w:pPr>
        <w:pStyle w:val="Heading2"/>
        <w:spacing w:line="240" w:lineRule="auto"/>
        <w:ind w:left="1133" w:right="1015"/>
        <w:jc w:val="left"/>
        <w:rPr>
          <w:b w:val="0"/>
          <w:bCs w:val="0"/>
        </w:rPr>
      </w:pPr>
      <w:bookmarkStart w:name="八、高级管理人员的考评及激励情况" w:id="149"/>
      <w:bookmarkEnd w:id="149"/>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3" w:right="1033"/>
        <w:jc w:val="left"/>
      </w:pPr>
      <w:r>
        <w:rPr/>
        <w:t>公司高级管理人员均由董事会聘任，董事会薪酬和考核委员会负责对公司高级管理人员的工作能力、履职情况等进行考评。 </w:t>
      </w:r>
      <w:r>
        <w:rPr>
          <w:spacing w:val="-2"/>
        </w:rPr>
        <w:t>报告期内，公司根据年度经营目标，从经营指标完成率及能力等方面进行考评。报告期内，公司未建立关于高级管理人员的</w:t>
      </w:r>
      <w:r>
        <w:rPr>
          <w:spacing w:val="-66"/>
        </w:rPr>
        <w:t> </w:t>
      </w:r>
      <w:r>
        <w:rPr>
          <w:spacing w:val="-66"/>
        </w:rPr>
      </w:r>
      <w:r>
        <w:rPr/>
        <w:t>股权及其他激励制度。</w:t>
      </w:r>
    </w:p>
    <w:p>
      <w:pPr>
        <w:spacing w:line="240" w:lineRule="auto" w:before="6"/>
        <w:rPr>
          <w:rFonts w:ascii="宋体" w:hAnsi="宋体" w:cs="宋体" w:eastAsia="宋体" w:hint="default"/>
          <w:sz w:val="20"/>
          <w:szCs w:val="20"/>
        </w:rPr>
      </w:pPr>
    </w:p>
    <w:p>
      <w:pPr>
        <w:pStyle w:val="Heading2"/>
        <w:spacing w:line="240" w:lineRule="auto"/>
        <w:ind w:left="1133" w:right="1015"/>
        <w:jc w:val="left"/>
        <w:rPr>
          <w:b w:val="0"/>
          <w:bCs w:val="0"/>
        </w:rPr>
      </w:pPr>
      <w:bookmarkStart w:name="九、内部控制评价报告" w:id="150"/>
      <w:bookmarkEnd w:id="150"/>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15"/>
        <w:jc w:val="left"/>
        <w:rPr>
          <w:b w:val="0"/>
          <w:bCs w:val="0"/>
        </w:rPr>
      </w:pPr>
      <w:bookmarkStart w:name="1、报告期内发现的内部控制重大缺陷的具体情况" w:id="151"/>
      <w:bookmarkEnd w:id="151"/>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1015"/>
        <w:jc w:val="left"/>
      </w:pPr>
      <w:r>
        <w:rPr/>
        <w:t>□ 是 √ 否</w:t>
      </w:r>
    </w:p>
    <w:p>
      <w:pPr>
        <w:spacing w:line="240" w:lineRule="auto" w:before="10"/>
        <w:rPr>
          <w:rFonts w:ascii="宋体" w:hAnsi="宋体" w:cs="宋体" w:eastAsia="宋体" w:hint="default"/>
          <w:sz w:val="26"/>
          <w:szCs w:val="26"/>
        </w:rPr>
      </w:pPr>
    </w:p>
    <w:p>
      <w:pPr>
        <w:pStyle w:val="Heading3"/>
        <w:spacing w:line="240" w:lineRule="auto"/>
        <w:ind w:left="1133" w:right="1015"/>
        <w:jc w:val="left"/>
        <w:rPr>
          <w:b w:val="0"/>
          <w:bCs w:val="0"/>
        </w:rPr>
      </w:pPr>
      <w:bookmarkStart w:name="2、内控自我评价报告" w:id="152"/>
      <w:bookmarkEnd w:id="152"/>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5"/>
        <w:gridCol w:w="6374"/>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1"/>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 并财务报表资产总额的比例</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01"/>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 并财务报表营业收入的比例</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bl>
    <w:p>
      <w:pPr>
        <w:spacing w:after="0" w:line="240" w:lineRule="auto"/>
        <w:jc w:val="center"/>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4"/>
        <w:gridCol w:w="3324"/>
        <w:gridCol w:w="3051"/>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601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9" w:lineRule="auto"/>
              <w:ind w:left="103" w:right="101"/>
              <w:jc w:val="both"/>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pacing w:val="3"/>
                <w:sz w:val="18"/>
                <w:szCs w:val="18"/>
              </w:rPr>
              <w:t> </w:t>
            </w:r>
            <w:r>
              <w:rPr>
                <w:rFonts w:ascii="宋体" w:hAnsi="宋体" w:cs="宋体" w:eastAsia="宋体" w:hint="default"/>
                <w:spacing w:val="-3"/>
                <w:sz w:val="18"/>
                <w:szCs w:val="18"/>
              </w:rPr>
              <w:t>重大缺陷的认定标准：该缺陷涉及董</w:t>
            </w:r>
            <w:r>
              <w:rPr>
                <w:rFonts w:ascii="宋体" w:hAnsi="宋体" w:cs="宋体" w:eastAsia="宋体" w:hint="default"/>
                <w:sz w:val="18"/>
                <w:szCs w:val="18"/>
              </w:rPr>
              <w:t> 事、监事和高级管理人员舞弊；更正已 经公布的财务报表；注册会计师发现当 期财务报表存在重大错报，而内部控制 在运行过程中未能发现该错报；企业审 计委员会和内部审计机构对内部控制的 </w:t>
            </w:r>
            <w:r>
              <w:rPr>
                <w:rFonts w:ascii="宋体" w:hAnsi="宋体" w:cs="宋体" w:eastAsia="宋体" w:hint="default"/>
                <w:spacing w:val="-4"/>
                <w:sz w:val="18"/>
                <w:szCs w:val="18"/>
              </w:rPr>
              <w:t>监督无效。②</w:t>
            </w:r>
            <w:r>
              <w:rPr>
                <w:rFonts w:ascii="宋体" w:hAnsi="宋体" w:cs="宋体" w:eastAsia="宋体" w:hint="default"/>
                <w:spacing w:val="-18"/>
                <w:sz w:val="18"/>
                <w:szCs w:val="18"/>
              </w:rPr>
              <w:t> </w:t>
            </w:r>
            <w:r>
              <w:rPr>
                <w:rFonts w:ascii="宋体" w:hAnsi="宋体" w:cs="宋体" w:eastAsia="宋体" w:hint="default"/>
                <w:sz w:val="18"/>
                <w:szCs w:val="18"/>
              </w:rPr>
              <w:t>重要缺陷的认定标准：注</w:t>
            </w:r>
            <w:r>
              <w:rPr>
                <w:rFonts w:ascii="宋体" w:hAnsi="宋体" w:cs="宋体" w:eastAsia="宋体" w:hint="default"/>
                <w:sz w:val="18"/>
                <w:szCs w:val="18"/>
              </w:rPr>
              <w:t> 册会计师发现当期财务报告存在一般错 报，而内部控制在运行过程中未能发现 该错报；企业审计委员会和内部审计机 构对内部控制的监督存在重要缺陷。③ 一般缺陷的认定标准：注册会计师发现 当期财务报告存在小额错报，而内部控 制在运行过程中未能发现该错报；公司 审计委员会和内部审计机构对内部控制 的监督存在一般缺陷。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57"/>
              <w:jc w:val="left"/>
              <w:rPr>
                <w:rFonts w:ascii="宋体" w:hAnsi="宋体" w:cs="宋体" w:eastAsia="宋体" w:hint="default"/>
                <w:sz w:val="18"/>
                <w:szCs w:val="18"/>
              </w:rPr>
            </w:pPr>
            <w:r>
              <w:rPr>
                <w:rFonts w:ascii="宋体" w:hAnsi="宋体" w:cs="宋体" w:eastAsia="宋体" w:hint="default"/>
                <w:sz w:val="18"/>
                <w:szCs w:val="18"/>
              </w:rPr>
              <w:t>① 重大缺陷的认定标准：公司经营 </w:t>
            </w:r>
            <w:r>
              <w:rPr>
                <w:rFonts w:ascii="宋体" w:hAnsi="宋体" w:cs="宋体" w:eastAsia="宋体" w:hint="default"/>
                <w:spacing w:val="-3"/>
                <w:sz w:val="18"/>
                <w:szCs w:val="18"/>
              </w:rPr>
              <w:t>活动严重违反国家法律法规；媒体负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面新闻频频曝光，对公司声誉造成重</w:t>
            </w:r>
            <w:r>
              <w:rPr>
                <w:rFonts w:ascii="宋体" w:hAnsi="宋体" w:cs="宋体" w:eastAsia="宋体" w:hint="default"/>
                <w:sz w:val="18"/>
                <w:szCs w:val="18"/>
              </w:rPr>
              <w:t> </w:t>
            </w:r>
            <w:r>
              <w:rPr>
                <w:rFonts w:ascii="宋体" w:hAnsi="宋体" w:cs="宋体" w:eastAsia="宋体" w:hint="default"/>
                <w:spacing w:val="-3"/>
                <w:sz w:val="18"/>
                <w:szCs w:val="18"/>
              </w:rPr>
              <w:t>大损害；中高级管理人员和高级技术</w:t>
            </w:r>
            <w:r>
              <w:rPr>
                <w:rFonts w:ascii="宋体" w:hAnsi="宋体" w:cs="宋体" w:eastAsia="宋体" w:hint="default"/>
                <w:sz w:val="18"/>
                <w:szCs w:val="18"/>
              </w:rPr>
              <w:t> </w:t>
            </w:r>
            <w:r>
              <w:rPr>
                <w:rFonts w:ascii="宋体" w:hAnsi="宋体" w:cs="宋体" w:eastAsia="宋体" w:hint="default"/>
                <w:spacing w:val="-3"/>
                <w:sz w:val="18"/>
                <w:szCs w:val="18"/>
              </w:rPr>
              <w:t>人员严重流失；重要业务缺乏制度控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制或制度系统性失效；内部控制评价</w:t>
            </w:r>
            <w:r>
              <w:rPr>
                <w:rFonts w:ascii="宋体" w:hAnsi="宋体" w:cs="宋体" w:eastAsia="宋体" w:hint="default"/>
                <w:sz w:val="18"/>
                <w:szCs w:val="18"/>
              </w:rPr>
              <w:t> 的结果特别是重大缺陷或重要缺陷 未得到整改。② 重要缺陷的认定标 </w:t>
            </w:r>
            <w:r>
              <w:rPr>
                <w:rFonts w:ascii="宋体" w:hAnsi="宋体" w:cs="宋体" w:eastAsia="宋体" w:hint="default"/>
                <w:spacing w:val="-3"/>
                <w:sz w:val="18"/>
                <w:szCs w:val="18"/>
              </w:rPr>
              <w:t>准：公司违反国家法律法规受到轻微</w:t>
            </w:r>
            <w:r>
              <w:rPr>
                <w:rFonts w:ascii="宋体" w:hAnsi="宋体" w:cs="宋体" w:eastAsia="宋体" w:hint="default"/>
                <w:sz w:val="18"/>
                <w:szCs w:val="18"/>
              </w:rPr>
              <w:t> 处罚；关键岗位业务人员流失严重； 媒体出现负面新闻，波及局部区域； 重要业务制度控制或系统存在缺陷； 内部控制重要缺陷未得到整改。③ </w:t>
            </w:r>
            <w:r>
              <w:rPr>
                <w:rFonts w:ascii="宋体" w:hAnsi="宋体" w:cs="宋体" w:eastAsia="宋体" w:hint="default"/>
                <w:spacing w:val="-3"/>
                <w:sz w:val="18"/>
                <w:szCs w:val="18"/>
              </w:rPr>
              <w:t>一般缺陷的认定标准：违反企业内部</w:t>
            </w:r>
            <w:r>
              <w:rPr>
                <w:rFonts w:ascii="宋体" w:hAnsi="宋体" w:cs="宋体" w:eastAsia="宋体" w:hint="default"/>
                <w:sz w:val="18"/>
                <w:szCs w:val="18"/>
              </w:rPr>
              <w:t> </w:t>
            </w:r>
            <w:r>
              <w:rPr>
                <w:rFonts w:ascii="宋体" w:hAnsi="宋体" w:cs="宋体" w:eastAsia="宋体" w:hint="default"/>
                <w:spacing w:val="-3"/>
                <w:sz w:val="18"/>
                <w:szCs w:val="18"/>
              </w:rPr>
              <w:t>规章，但未形成损失；一般岗位业务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人员流失严重；媒体出现负面新闻， </w:t>
            </w:r>
            <w:r>
              <w:rPr>
                <w:rFonts w:ascii="宋体" w:hAnsi="宋体" w:cs="宋体" w:eastAsia="宋体" w:hint="default"/>
                <w:spacing w:val="-3"/>
                <w:sz w:val="18"/>
                <w:szCs w:val="18"/>
              </w:rPr>
              <w:t>但影响不大；一般业务制度或系统存</w:t>
            </w:r>
            <w:r>
              <w:rPr>
                <w:rFonts w:ascii="宋体" w:hAnsi="宋体" w:cs="宋体" w:eastAsia="宋体" w:hint="default"/>
                <w:sz w:val="18"/>
                <w:szCs w:val="18"/>
              </w:rPr>
              <w:t> </w:t>
            </w:r>
            <w:r>
              <w:rPr>
                <w:rFonts w:ascii="宋体" w:hAnsi="宋体" w:cs="宋体" w:eastAsia="宋体" w:hint="default"/>
                <w:spacing w:val="-3"/>
                <w:sz w:val="18"/>
                <w:szCs w:val="18"/>
              </w:rPr>
              <w:t>在缺陷；内部控制一般缺陷未得到整</w:t>
            </w:r>
            <w:r>
              <w:rPr>
                <w:rFonts w:ascii="宋体" w:hAnsi="宋体" w:cs="宋体" w:eastAsia="宋体" w:hint="default"/>
                <w:sz w:val="18"/>
                <w:szCs w:val="18"/>
              </w:rPr>
              <w:t> 改。</w:t>
            </w:r>
          </w:p>
        </w:tc>
      </w:tr>
      <w:tr>
        <w:trPr>
          <w:trHeight w:val="196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both"/>
              <w:rPr>
                <w:rFonts w:ascii="Times New Roman" w:hAnsi="Times New Roman" w:cs="Times New Roman" w:eastAsia="Times New Roman" w:hint="default"/>
                <w:sz w:val="18"/>
                <w:szCs w:val="18"/>
              </w:rPr>
            </w:pPr>
            <w:r>
              <w:rPr>
                <w:rFonts w:ascii="宋体" w:hAnsi="宋体" w:cs="宋体" w:eastAsia="宋体" w:hint="default"/>
                <w:sz w:val="18"/>
                <w:szCs w:val="18"/>
              </w:rPr>
              <w:t>以合并财务报表数据为基准，确定公司 合并财务报表错报（包括漏报）重要程 度的定量标准：重大缺陷：错报≥税前 利润的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；重要缺陷：税前利润的</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w:t>
            </w:r>
          </w:p>
          <w:p>
            <w:pPr>
              <w:pStyle w:val="TableParagraph"/>
              <w:spacing w:line="302" w:lineRule="auto"/>
              <w:ind w:left="103" w:right="179"/>
              <w:jc w:val="both"/>
              <w:rPr>
                <w:rFonts w:ascii="Times New Roman" w:hAnsi="Times New Roman" w:cs="Times New Roman" w:eastAsia="Times New Roman" w:hint="default"/>
                <w:sz w:val="18"/>
                <w:szCs w:val="18"/>
              </w:rPr>
            </w:pPr>
            <w:r>
              <w:rPr>
                <w:rFonts w:ascii="宋体" w:hAnsi="宋体" w:cs="宋体" w:eastAsia="宋体" w:hint="default"/>
                <w:sz w:val="18"/>
                <w:szCs w:val="18"/>
              </w:rPr>
              <w:t>≤错报＜税前利润的 </w:t>
            </w:r>
            <w:r>
              <w:rPr>
                <w:rFonts w:ascii="Times New Roman" w:hAnsi="Times New Roman" w:cs="Times New Roman" w:eastAsia="Times New Roman" w:hint="default"/>
                <w:sz w:val="18"/>
                <w:szCs w:val="18"/>
              </w:rPr>
              <w:t>5%</w:t>
            </w:r>
            <w:r>
              <w:rPr>
                <w:rFonts w:ascii="宋体" w:hAnsi="宋体" w:cs="宋体" w:eastAsia="宋体" w:hint="default"/>
                <w:sz w:val="18"/>
                <w:szCs w:val="18"/>
              </w:rPr>
              <w:t>；一般缺陷： 错报＜税前利润的 </w:t>
            </w:r>
            <w:r>
              <w:rPr>
                <w:rFonts w:ascii="Times New Roman" w:hAnsi="Times New Roman" w:cs="Times New Roman" w:eastAsia="Times New Roman" w:hint="default"/>
                <w:sz w:val="18"/>
                <w:szCs w:val="18"/>
              </w:rPr>
              <w:t>2%</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9" w:lineRule="auto"/>
              <w:ind w:left="103" w:right="101"/>
              <w:jc w:val="left"/>
              <w:rPr>
                <w:rFonts w:ascii="宋体" w:hAnsi="宋体" w:cs="宋体" w:eastAsia="宋体" w:hint="default"/>
                <w:sz w:val="18"/>
                <w:szCs w:val="18"/>
              </w:rPr>
            </w:pPr>
            <w:r>
              <w:rPr>
                <w:rFonts w:ascii="宋体" w:hAnsi="宋体" w:cs="宋体" w:eastAsia="宋体" w:hint="default"/>
                <w:spacing w:val="-3"/>
                <w:sz w:val="18"/>
                <w:szCs w:val="18"/>
              </w:rPr>
              <w:t>重大缺陷：直接损失金额﹥资产总额</w:t>
            </w:r>
            <w:r>
              <w:rPr>
                <w:rFonts w:ascii="宋体" w:hAnsi="宋体" w:cs="宋体" w:eastAsia="宋体" w:hint="default"/>
                <w:sz w:val="18"/>
                <w:szCs w:val="18"/>
              </w:rPr>
              <w:t> 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；重要缺陷：资产总额的 </w:t>
            </w:r>
            <w:r>
              <w:rPr>
                <w:rFonts w:ascii="Times New Roman" w:hAnsi="Times New Roman" w:cs="Times New Roman" w:eastAsia="Times New Roman" w:hint="default"/>
                <w:sz w:val="18"/>
                <w:szCs w:val="18"/>
              </w:rPr>
              <w:t>0.2%</w:t>
            </w:r>
            <w:r>
              <w:rPr>
                <w:rFonts w:ascii="宋体" w:hAnsi="宋体" w:cs="宋体" w:eastAsia="宋体" w:hint="default"/>
                <w:sz w:val="18"/>
                <w:szCs w:val="18"/>
              </w:rPr>
              <w:t>﹤直接损失金额≤资产总额的</w:t>
            </w:r>
          </w:p>
          <w:p>
            <w:pPr>
              <w:pStyle w:val="TableParagraph"/>
              <w:spacing w:line="302" w:lineRule="auto" w:before="5"/>
              <w:ind w:left="103" w:right="10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0.5%</w:t>
            </w:r>
            <w:r>
              <w:rPr>
                <w:rFonts w:ascii="宋体" w:hAnsi="宋体" w:cs="宋体" w:eastAsia="宋体" w:hint="default"/>
                <w:spacing w:val="-4"/>
                <w:sz w:val="18"/>
                <w:szCs w:val="18"/>
              </w:rPr>
              <w:t>；一般缺陷：直接损失金额≤资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产总额的 </w:t>
            </w:r>
            <w:r>
              <w:rPr>
                <w:rFonts w:ascii="Times New Roman" w:hAnsi="Times New Roman" w:cs="Times New Roman" w:eastAsia="Times New Roman" w:hint="default"/>
                <w:sz w:val="18"/>
                <w:szCs w:val="18"/>
              </w:rPr>
              <w:t>0.2%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1015"/>
        <w:jc w:val="left"/>
        <w:rPr>
          <w:b w:val="0"/>
          <w:bCs w:val="0"/>
        </w:rPr>
      </w:pPr>
      <w:bookmarkStart w:name="十、内部控制审计报告或鉴证报告" w:id="153"/>
      <w:bookmarkEnd w:id="153"/>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1015"/>
        <w:jc w:val="left"/>
      </w:pPr>
      <w:r>
        <w:rPr/>
        <w:t>内部控制鉴证报告</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1066"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84"/>
              <w:jc w:val="left"/>
              <w:rPr>
                <w:rFonts w:ascii="宋体" w:hAnsi="宋体" w:cs="宋体" w:eastAsia="宋体" w:hint="default"/>
                <w:sz w:val="18"/>
                <w:szCs w:val="18"/>
              </w:rPr>
            </w:pPr>
            <w:r>
              <w:rPr>
                <w:rFonts w:ascii="宋体" w:hAnsi="宋体" w:cs="宋体" w:eastAsia="宋体" w:hint="default"/>
                <w:sz w:val="18"/>
                <w:szCs w:val="18"/>
              </w:rPr>
              <w:t>我们认为，贵公司按照财政部等五部委颁发的《企业内部控制基本规范》及相关规定于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 方面保持了与财务报表相关的有效的内部控制。</w:t>
            </w:r>
          </w:p>
          <w:p>
            <w:pPr>
              <w:pStyle w:val="TableParagraph"/>
              <w:spacing w:line="240" w:lineRule="auto" w:before="72"/>
              <w:ind w:left="103" w:right="0"/>
              <w:jc w:val="left"/>
              <w:rPr>
                <w:rFonts w:ascii="宋体" w:hAnsi="宋体" w:cs="宋体" w:eastAsia="宋体" w:hint="default"/>
                <w:sz w:val="18"/>
                <w:szCs w:val="18"/>
              </w:rPr>
            </w:pPr>
            <w:r>
              <w:rPr>
                <w:rFonts w:ascii="宋体" w:hAnsi="宋体" w:cs="宋体" w:eastAsia="宋体" w:hint="default"/>
                <w:sz w:val="18"/>
                <w:szCs w:val="18"/>
              </w:rPr>
              <w:t>本结论是在受到鉴证报告中指出的固有限制的条件下形成的。</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内部控制鉴证报告全文披露日 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内部控制鉴证报告全文披露索 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标准无保留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1015"/>
        <w:jc w:val="left"/>
      </w:pPr>
      <w:r>
        <w:rPr/>
        <w:t>会计师事务所是否出具非标准意见的内部控制鉴证报告</w:t>
      </w:r>
    </w:p>
    <w:p>
      <w:pPr>
        <w:pStyle w:val="BodyText"/>
        <w:spacing w:line="357" w:lineRule="auto" w:before="117"/>
        <w:ind w:left="1133" w:right="4633"/>
        <w:jc w:val="left"/>
      </w:pPr>
      <w:r>
        <w:rPr/>
        <w:t>□ 是 √ 否 会计师事务所出具的内部控制鉴证报告与董事会的自我评价报告意见是否一致</w:t>
      </w:r>
    </w:p>
    <w:p>
      <w:pPr>
        <w:pStyle w:val="BodyText"/>
        <w:spacing w:line="240" w:lineRule="auto" w:before="29"/>
        <w:ind w:left="1133" w:right="1015"/>
        <w:jc w:val="left"/>
      </w:pPr>
      <w:r>
        <w:rPr/>
        <w:t>√ 是 □ 否</w:t>
      </w:r>
    </w:p>
    <w:p>
      <w:pPr>
        <w:spacing w:after="0" w:line="240"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1625"/>
        <w:jc w:val="center"/>
        <w:rPr>
          <w:b w:val="0"/>
          <w:bCs w:val="0"/>
        </w:rPr>
      </w:pPr>
      <w:bookmarkStart w:name="第十节 公司债券相关情况" w:id="154"/>
      <w:bookmarkEnd w:id="154"/>
      <w:r>
        <w:rPr>
          <w:b w:val="0"/>
          <w:bCs w:val="0"/>
        </w:rPr>
      </w:r>
      <w:bookmarkStart w:name="_bookmark9" w:id="155"/>
      <w:bookmarkEnd w:id="155"/>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left="1133"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1625"/>
        <w:jc w:val="center"/>
        <w:rPr>
          <w:b w:val="0"/>
          <w:bCs w:val="0"/>
        </w:rPr>
      </w:pPr>
      <w:bookmarkStart w:name="第十一节 财务报告" w:id="156"/>
      <w:bookmarkEnd w:id="156"/>
      <w:r>
        <w:rPr>
          <w:b w:val="0"/>
          <w:bCs w:val="0"/>
        </w:rPr>
      </w:r>
      <w:bookmarkStart w:name="_bookmark10" w:id="157"/>
      <w:bookmarkEnd w:id="157"/>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1015"/>
        <w:jc w:val="left"/>
        <w:rPr>
          <w:b w:val="0"/>
          <w:bCs w:val="0"/>
        </w:rPr>
      </w:pPr>
      <w:bookmarkStart w:name="一、审计报告" w:id="158"/>
      <w:bookmarkEnd w:id="158"/>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ZE10047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梁谦海、陈清松</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2"/>
          <w:szCs w:val="12"/>
        </w:rPr>
      </w:pPr>
    </w:p>
    <w:p>
      <w:pPr>
        <w:pStyle w:val="Heading6"/>
        <w:spacing w:line="360" w:lineRule="auto"/>
        <w:ind w:left="1133" w:right="0"/>
        <w:jc w:val="left"/>
        <w:rPr>
          <w:b w:val="0"/>
          <w:bCs w:val="0"/>
        </w:rPr>
      </w:pPr>
      <w:r>
        <w:rPr>
          <w:w w:val="95"/>
        </w:rPr>
        <w:t>广东乐心医疗电子股份有限公司全体股东：</w:t>
      </w:r>
      <w:r>
        <w:rPr>
          <w:spacing w:val="81"/>
          <w:w w:val="95"/>
        </w:rPr>
        <w:t> </w:t>
      </w:r>
      <w:r>
        <w:rPr>
          <w:spacing w:val="81"/>
          <w:w w:val="95"/>
        </w:rPr>
      </w:r>
      <w:r>
        <w:rPr/>
        <w:t>一、审计意见</w:t>
      </w:r>
      <w:r>
        <w:rPr>
          <w:b w:val="0"/>
          <w:bCs w:val="0"/>
        </w:rPr>
      </w:r>
    </w:p>
    <w:p>
      <w:pPr>
        <w:pStyle w:val="BodyText"/>
        <w:spacing w:line="240" w:lineRule="auto" w:before="51"/>
        <w:ind w:left="810" w:right="0"/>
        <w:jc w:val="left"/>
      </w:pPr>
      <w:r>
        <w:rPr/>
        <w:br w:type="column"/>
      </w:r>
      <w:r>
        <w:rPr/>
        <w:t>审计报告正文</w:t>
      </w:r>
    </w:p>
    <w:p>
      <w:pPr>
        <w:spacing w:after="0" w:line="240" w:lineRule="auto"/>
        <w:jc w:val="left"/>
        <w:sectPr>
          <w:type w:val="continuous"/>
          <w:pgSz w:w="11910" w:h="16840"/>
          <w:pgMar w:top="1100" w:bottom="1200" w:left="0" w:right="0"/>
          <w:cols w:num="2" w:equalWidth="0">
            <w:col w:w="4564" w:space="40"/>
            <w:col w:w="7306"/>
          </w:cols>
        </w:sectPr>
      </w:pPr>
    </w:p>
    <w:p>
      <w:pPr>
        <w:pStyle w:val="BodyText"/>
        <w:spacing w:line="338" w:lineRule="auto" w:before="25"/>
        <w:ind w:left="1133" w:right="1015"/>
        <w:jc w:val="left"/>
      </w:pPr>
      <w:r>
        <w:rPr>
          <w:spacing w:val="-2"/>
        </w:rPr>
        <w:t>我们审计了广东乐心医疗电子股份有限公司（以下简称乐心医疗）财务报表，包括</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日的合并及母公司资产负债</w:t>
      </w:r>
      <w:r>
        <w:rPr>
          <w:spacing w:val="-59"/>
        </w:rPr>
        <w:t> </w:t>
      </w:r>
      <w:r>
        <w:rPr/>
        <w:t>表，</w:t>
      </w:r>
      <w:r>
        <w:rPr>
          <w:rFonts w:ascii="宋体" w:hAnsi="宋体" w:cs="宋体" w:eastAsia="宋体" w:hint="default"/>
        </w:rPr>
        <w:t>2017</w:t>
      </w:r>
      <w:r>
        <w:rPr/>
        <w:t>年度的合并及母公司利润表、合并及母公司现金流量表、合并及母公司股东权益变动表以及相关财务报表附注。 </w:t>
      </w:r>
      <w:r>
        <w:rPr>
          <w:spacing w:val="-2"/>
        </w:rPr>
        <w:t>我们认为，后附的财务报表在所有重大方面按照企业会计准则的规定编制，公允反映了乐心医疗</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日的合并及母</w:t>
      </w:r>
    </w:p>
    <w:p>
      <w:pPr>
        <w:spacing w:line="360" w:lineRule="auto" w:before="4"/>
        <w:ind w:left="1133" w:right="5533" w:firstLine="0"/>
        <w:jc w:val="left"/>
        <w:rPr>
          <w:rFonts w:ascii="宋体" w:hAnsi="宋体" w:cs="宋体" w:eastAsia="宋体" w:hint="default"/>
          <w:sz w:val="18"/>
          <w:szCs w:val="18"/>
        </w:rPr>
      </w:pPr>
      <w:r>
        <w:rPr>
          <w:rFonts w:ascii="宋体" w:hAnsi="宋体" w:cs="宋体" w:eastAsia="宋体" w:hint="default"/>
          <w:sz w:val="18"/>
          <w:szCs w:val="18"/>
        </w:rPr>
        <w:t>公司财务状况以及</w:t>
      </w:r>
      <w:r>
        <w:rPr>
          <w:rFonts w:ascii="宋体" w:hAnsi="宋体" w:cs="宋体" w:eastAsia="宋体" w:hint="default"/>
          <w:sz w:val="18"/>
          <w:szCs w:val="18"/>
        </w:rPr>
        <w:t>2017</w:t>
      </w:r>
      <w:r>
        <w:rPr>
          <w:rFonts w:ascii="宋体" w:hAnsi="宋体" w:cs="宋体" w:eastAsia="宋体" w:hint="default"/>
          <w:sz w:val="18"/>
          <w:szCs w:val="18"/>
        </w:rPr>
        <w:t>年度的合并及母公司经营成果和现金流量。 </w:t>
      </w:r>
      <w:r>
        <w:rPr>
          <w:rFonts w:ascii="宋体" w:hAnsi="宋体" w:cs="宋体" w:eastAsia="宋体" w:hint="default"/>
          <w:b/>
          <w:bCs/>
          <w:sz w:val="18"/>
          <w:szCs w:val="18"/>
        </w:rPr>
        <w:t>二、形成审计意见的基础</w:t>
      </w:r>
      <w:r>
        <w:rPr>
          <w:rFonts w:ascii="宋体" w:hAnsi="宋体" w:cs="宋体" w:eastAsia="宋体" w:hint="default"/>
          <w:sz w:val="18"/>
          <w:szCs w:val="18"/>
        </w:rPr>
      </w:r>
    </w:p>
    <w:p>
      <w:pPr>
        <w:pStyle w:val="BodyText"/>
        <w:spacing w:line="319" w:lineRule="auto" w:before="25"/>
        <w:ind w:left="1133" w:right="1132"/>
        <w:jc w:val="both"/>
      </w:pPr>
      <w:r>
        <w:rPr>
          <w:spacing w:val="-2"/>
        </w:rPr>
        <w:t>我们按照中国注册会计师审计准则的规定执行了审计工作。审计报告的“注册会计师对财务报表审计的责任”部分进一步阐</w:t>
      </w:r>
      <w:r>
        <w:rPr>
          <w:spacing w:val="-66"/>
        </w:rPr>
        <w:t> </w:t>
      </w:r>
      <w:r>
        <w:rPr>
          <w:spacing w:val="-66"/>
        </w:rPr>
      </w:r>
      <w:r>
        <w:rPr>
          <w:spacing w:val="-2"/>
        </w:rPr>
        <w:t>述了我们在这些准则下的责任。按照中国注册会计师职业道德守则，我们独立于乐心医疗，并履行了职业道德方面的其他责</w:t>
      </w:r>
      <w:r>
        <w:rPr>
          <w:spacing w:val="-66"/>
        </w:rPr>
        <w:t> </w:t>
      </w:r>
      <w:r>
        <w:rPr>
          <w:spacing w:val="-66"/>
        </w:rPr>
      </w:r>
      <w:r>
        <w:rPr/>
        <w:t>任。我们相信，我们获取的审计证据是充分、适当的，为发表审计意见提供了基础。</w:t>
      </w:r>
    </w:p>
    <w:p>
      <w:pPr>
        <w:pStyle w:val="BodyText"/>
        <w:spacing w:line="338" w:lineRule="auto" w:before="56"/>
        <w:ind w:left="1133" w:right="1015"/>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关键审计事项是我们根据职业判断，认为对本期财务报表审计最为重要的事项。这些事项的应对以对财务报表整体进行审计</w:t>
      </w:r>
      <w:r>
        <w:rPr>
          <w:spacing w:val="-64"/>
        </w:rPr>
        <w:t> </w:t>
      </w:r>
      <w:r>
        <w:rPr>
          <w:spacing w:val="-64"/>
        </w:rPr>
      </w:r>
      <w:r>
        <w:rPr/>
        <w:t>并形成审计意见为背景，我们不对这些事项单独发表意见。我们确定下列事项是需要在审计报告中沟通的关键审计事项。</w:t>
      </w:r>
    </w:p>
    <w:p>
      <w:pPr>
        <w:spacing w:line="240" w:lineRule="auto" w:before="1"/>
        <w:rPr>
          <w:rFonts w:ascii="宋体" w:hAnsi="宋体" w:cs="宋体" w:eastAsia="宋体" w:hint="default"/>
          <w:sz w:val="24"/>
          <w:szCs w:val="24"/>
        </w:rPr>
      </w:pPr>
    </w:p>
    <w:tbl>
      <w:tblPr>
        <w:tblW w:w="0" w:type="auto"/>
        <w:jc w:val="left"/>
        <w:tblInd w:w="1141" w:type="dxa"/>
        <w:tblLayout w:type="fixed"/>
        <w:tblCellMar>
          <w:top w:w="0" w:type="dxa"/>
          <w:left w:w="0" w:type="dxa"/>
          <w:bottom w:w="0" w:type="dxa"/>
          <w:right w:w="0" w:type="dxa"/>
        </w:tblCellMar>
        <w:tblLook w:val="01E0"/>
      </w:tblPr>
      <w:tblGrid>
        <w:gridCol w:w="4291"/>
        <w:gridCol w:w="5070"/>
      </w:tblGrid>
      <w:tr>
        <w:trPr>
          <w:trHeight w:val="402" w:hRule="exact"/>
        </w:trPr>
        <w:tc>
          <w:tcPr>
            <w:tcW w:w="4291"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事项描述</w:t>
            </w:r>
          </w:p>
        </w:tc>
        <w:tc>
          <w:tcPr>
            <w:tcW w:w="507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审计应对</w:t>
            </w:r>
          </w:p>
        </w:tc>
      </w:tr>
      <w:tr>
        <w:trPr>
          <w:trHeight w:val="402" w:hRule="exact"/>
        </w:trPr>
        <w:tc>
          <w:tcPr>
            <w:tcW w:w="93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、应收账款的减值</w:t>
            </w:r>
          </w:p>
        </w:tc>
      </w:tr>
      <w:tr>
        <w:trPr>
          <w:trHeight w:val="3828" w:hRule="exact"/>
        </w:trPr>
        <w:tc>
          <w:tcPr>
            <w:tcW w:w="4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如乐心医疗财务报表附注五（三）</w:t>
            </w:r>
            <w:r>
              <w:rPr>
                <w:rFonts w:ascii="Times New Roman" w:hAnsi="Times New Roman" w:cs="Times New Roman" w:eastAsia="Times New Roman" w:hint="default"/>
                <w:spacing w:val="-5"/>
                <w:sz w:val="18"/>
                <w:szCs w:val="18"/>
              </w:rPr>
              <w:t>1 </w:t>
            </w:r>
            <w:r>
              <w:rPr>
                <w:rFonts w:ascii="宋体" w:hAnsi="宋体" w:cs="宋体" w:eastAsia="宋体" w:hint="default"/>
                <w:spacing w:val="-8"/>
                <w:sz w:val="18"/>
                <w:szCs w:val="18"/>
              </w:rPr>
              <w:t>所述，截至</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2017</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日，乐心医疗应收账款账面余额</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14,079.64 </w:t>
            </w:r>
            <w:r>
              <w:rPr>
                <w:rFonts w:ascii="宋体" w:hAnsi="宋体" w:cs="宋体" w:eastAsia="宋体" w:hint="default"/>
                <w:sz w:val="18"/>
                <w:szCs w:val="18"/>
              </w:rPr>
              <w:t>万元，坏账准备 </w:t>
            </w:r>
            <w:r>
              <w:rPr>
                <w:rFonts w:ascii="Times New Roman" w:hAnsi="Times New Roman" w:cs="Times New Roman" w:eastAsia="Times New Roman" w:hint="default"/>
                <w:sz w:val="18"/>
                <w:szCs w:val="18"/>
              </w:rPr>
              <w:t>732.92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万元，账面价值</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13,346.73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年度合并营业收入的</w:t>
            </w:r>
          </w:p>
          <w:p>
            <w:pPr>
              <w:pStyle w:val="TableParagraph"/>
              <w:spacing w:line="314" w:lineRule="auto" w:before="63"/>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15.40</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17.59%</w:t>
            </w:r>
            <w:r>
              <w:rPr>
                <w:rFonts w:ascii="宋体" w:hAnsi="宋体" w:cs="宋体" w:eastAsia="宋体" w:hint="default"/>
                <w:sz w:val="18"/>
                <w:szCs w:val="18"/>
              </w:rPr>
              <w:t>。由于乐 心医疗管理层在确定应收账款预计可回收金额时需 </w:t>
            </w:r>
            <w:r>
              <w:rPr>
                <w:rFonts w:ascii="宋体" w:hAnsi="宋体" w:cs="宋体" w:eastAsia="宋体" w:hint="default"/>
                <w:spacing w:val="-3"/>
                <w:sz w:val="18"/>
                <w:szCs w:val="18"/>
              </w:rPr>
              <w:t>要运用重要会计估计和判断，且若应收账款不能按期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收回或者无法收回对财务报表影响较为重大，因此我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们确定应收账款的减值识别为关键审计事项</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tabs>
                <w:tab w:pos="943" w:val="left" w:leader="none"/>
              </w:tabs>
              <w:spacing w:line="300" w:lineRule="auto" w:before="51"/>
              <w:ind w:left="103" w:right="15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tab/>
              <w:t>评价管理层对应收账款管理内部控制制度的设计和 运行的有效性；</w:t>
            </w:r>
          </w:p>
          <w:p>
            <w:pPr>
              <w:pStyle w:val="TableParagraph"/>
              <w:tabs>
                <w:tab w:pos="943" w:val="left" w:leader="none"/>
              </w:tabs>
              <w:spacing w:line="309" w:lineRule="auto" w:before="71"/>
              <w:ind w:left="103" w:right="15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tab/>
              <w:t>通过查阅销售合同、检查以往货款的回收情况、与 管理层沟通等程序了解和评价管理层对应收账款坏账准备计 提的会计估计是否合理；</w:t>
            </w:r>
          </w:p>
          <w:p>
            <w:pPr>
              <w:pStyle w:val="TableParagraph"/>
              <w:tabs>
                <w:tab w:pos="943" w:val="left" w:leader="none"/>
              </w:tabs>
              <w:spacing w:line="302" w:lineRule="auto" w:before="62"/>
              <w:ind w:left="103" w:right="15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tab/>
              <w:t>复核乐心医疗应收账款坏账准备的计提过程，包括 按账龄分析法进行计提的坏账准备；</w:t>
            </w:r>
          </w:p>
          <w:p>
            <w:pPr>
              <w:pStyle w:val="TableParagraph"/>
              <w:tabs>
                <w:tab w:pos="943" w:val="left" w:leader="none"/>
              </w:tabs>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tab/>
              <w:t>对应收账款期末余额选取样本执行函证程序；</w:t>
            </w:r>
          </w:p>
          <w:p>
            <w:pPr>
              <w:pStyle w:val="TableParagraph"/>
              <w:spacing w:line="309" w:lineRule="auto" w:before="103"/>
              <w:ind w:left="103" w:right="10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宋体" w:hAnsi="宋体" w:cs="宋体" w:eastAsia="宋体" w:hint="default"/>
                <w:spacing w:val="30"/>
                <w:sz w:val="18"/>
                <w:szCs w:val="18"/>
              </w:rPr>
              <w:t> </w:t>
            </w:r>
            <w:r>
              <w:rPr>
                <w:rFonts w:ascii="宋体" w:hAnsi="宋体" w:cs="宋体" w:eastAsia="宋体" w:hint="default"/>
                <w:sz w:val="18"/>
                <w:szCs w:val="18"/>
              </w:rPr>
              <w:t>比较前期坏账准备的计提数和实际发生数，对应收</w:t>
            </w:r>
            <w:r>
              <w:rPr>
                <w:rFonts w:ascii="宋体" w:hAnsi="宋体" w:cs="宋体" w:eastAsia="宋体" w:hint="default"/>
                <w:sz w:val="18"/>
                <w:szCs w:val="18"/>
              </w:rPr>
              <w:t> 账款余额进行期后收款测试，评价本期应收账款坏账准备计提 的合理性。</w:t>
            </w:r>
          </w:p>
        </w:tc>
      </w:tr>
    </w:tbl>
    <w:p>
      <w:pPr>
        <w:spacing w:after="0" w:line="309" w:lineRule="auto"/>
        <w:jc w:val="both"/>
        <w:rPr>
          <w:rFonts w:ascii="宋体" w:hAnsi="宋体" w:cs="宋体" w:eastAsia="宋体" w:hint="default"/>
          <w:sz w:val="18"/>
          <w:szCs w:val="18"/>
        </w:rPr>
        <w:sectPr>
          <w:type w:val="continuous"/>
          <w:pgSz w:w="11910" w:h="16840"/>
          <w:pgMar w:top="1100" w:bottom="1200" w:left="0" w:right="0"/>
        </w:sectPr>
      </w:pPr>
    </w:p>
    <w:p>
      <w:pPr>
        <w:spacing w:line="240" w:lineRule="auto" w:before="13"/>
        <w:rPr>
          <w:rFonts w:ascii="宋体" w:hAnsi="宋体" w:cs="宋体" w:eastAsia="宋体" w:hint="default"/>
          <w:sz w:val="22"/>
          <w:szCs w:val="22"/>
        </w:rPr>
      </w:pPr>
    </w:p>
    <w:p>
      <w:pPr>
        <w:pStyle w:val="BodyText"/>
        <w:spacing w:line="360" w:lineRule="auto" w:before="44"/>
        <w:ind w:left="1133" w:right="1015"/>
        <w:jc w:val="left"/>
      </w:pPr>
      <w:r>
        <w:rPr>
          <w:rFonts w:ascii="宋体" w:hAnsi="宋体" w:cs="宋体" w:eastAsia="宋体" w:hint="default"/>
          <w:b/>
          <w:bCs/>
        </w:rPr>
        <w:t>四、其他信息</w:t>
      </w:r>
      <w:r>
        <w:rPr>
          <w:rFonts w:ascii="宋体" w:hAnsi="宋体" w:cs="宋体" w:eastAsia="宋体" w:hint="default"/>
          <w:b/>
          <w:bCs/>
          <w:w w:val="99"/>
        </w:rPr>
        <w:t> </w:t>
      </w:r>
      <w:r>
        <w:rPr/>
        <w:t>乐心医疗管理层（以下简称管理层）对其他信息负责。其他信息包括年度报告中除财务报表和本审计报告以外的信息。 我们对财务报表发表的审计意见不涵盖其他信息，我们也不对其他信息发表任何形式的鉴证结论。</w:t>
      </w:r>
    </w:p>
    <w:p>
      <w:pPr>
        <w:pStyle w:val="BodyText"/>
        <w:spacing w:line="338" w:lineRule="auto" w:before="25"/>
        <w:ind w:left="1133" w:right="1015"/>
        <w:jc w:val="left"/>
      </w:pPr>
      <w:r>
        <w:rPr>
          <w:spacing w:val="-2"/>
        </w:rPr>
        <w:t>结合我们对财务报表的审计，我们的责任是阅读其他信息，在此过程中，考虑其他信息是否与财务报表或我们在审计过程中</w:t>
      </w:r>
      <w:r>
        <w:rPr>
          <w:spacing w:val="-66"/>
        </w:rPr>
        <w:t> </w:t>
      </w:r>
      <w:r>
        <w:rPr>
          <w:spacing w:val="-66"/>
        </w:rPr>
      </w:r>
      <w:r>
        <w:rPr/>
        <w:t>了解到的情况存在重大不一致或者似乎存在重大错报。 </w:t>
      </w:r>
      <w:r>
        <w:rPr>
          <w:spacing w:val="-4"/>
        </w:rPr>
        <w:t>基于我们已执行的工作，如果我们确定其他信息存在重大错报，我们应当报告该事实。在这方面，我们无任何事项需要报告。</w:t>
      </w:r>
    </w:p>
    <w:p>
      <w:pPr>
        <w:pStyle w:val="BodyText"/>
        <w:spacing w:line="338" w:lineRule="auto" w:before="43"/>
        <w:ind w:right="1015"/>
        <w:jc w:val="left"/>
      </w:pPr>
      <w:r>
        <w:rPr>
          <w:rFonts w:ascii="宋体" w:hAnsi="宋体" w:cs="宋体" w:eastAsia="宋体" w:hint="default"/>
          <w:b/>
          <w:bCs/>
        </w:rPr>
        <w:t>五、管理层和治理层对财务报表的责任</w:t>
      </w:r>
      <w:r>
        <w:rPr>
          <w:rFonts w:ascii="宋体" w:hAnsi="宋体" w:cs="宋体" w:eastAsia="宋体" w:hint="default"/>
          <w:b/>
          <w:bCs/>
          <w:w w:val="99"/>
        </w:rPr>
        <w:t> </w:t>
      </w:r>
      <w:r>
        <w:rPr>
          <w:spacing w:val="-2"/>
        </w:rPr>
        <w:t>管理层负责按照企业会计准则的规定编制财务报表，使其实现公允反映，并设计、执行和维护必要的内部控制，以使财务报</w:t>
      </w:r>
      <w:r>
        <w:rPr>
          <w:spacing w:val="-66"/>
        </w:rPr>
        <w:t> </w:t>
      </w:r>
      <w:r>
        <w:rPr>
          <w:spacing w:val="-66"/>
        </w:rPr>
      </w:r>
      <w:r>
        <w:rPr/>
        <w:t>表不存在由于舞弊或错误导致的重大错报。</w:t>
      </w:r>
    </w:p>
    <w:p>
      <w:pPr>
        <w:pStyle w:val="BodyText"/>
        <w:spacing w:line="319" w:lineRule="auto" w:before="41"/>
        <w:ind w:right="1015"/>
        <w:jc w:val="left"/>
      </w:pPr>
      <w:r>
        <w:rPr>
          <w:spacing w:val="-2"/>
        </w:rPr>
        <w:t>在编制财务报表时，管理层负责评估乐心医疗的持续经营能力，披露与持续经营相关的事项（如适用），并运用持续经营假</w:t>
      </w:r>
      <w:r>
        <w:rPr>
          <w:spacing w:val="-66"/>
        </w:rPr>
        <w:t> </w:t>
      </w:r>
      <w:r>
        <w:rPr>
          <w:spacing w:val="-66"/>
        </w:rPr>
      </w:r>
      <w:r>
        <w:rPr/>
        <w:t>设，除非计划进行清算、终止运营或别无其他现实的选择。</w:t>
      </w:r>
    </w:p>
    <w:p>
      <w:pPr>
        <w:spacing w:line="357" w:lineRule="auto" w:before="58"/>
        <w:ind w:left="1134" w:right="7332" w:firstLine="0"/>
        <w:jc w:val="left"/>
        <w:rPr>
          <w:rFonts w:ascii="宋体" w:hAnsi="宋体" w:cs="宋体" w:eastAsia="宋体" w:hint="default"/>
          <w:sz w:val="18"/>
          <w:szCs w:val="18"/>
        </w:rPr>
      </w:pPr>
      <w:r>
        <w:rPr>
          <w:rFonts w:ascii="宋体" w:hAnsi="宋体" w:cs="宋体" w:eastAsia="宋体" w:hint="default"/>
          <w:sz w:val="18"/>
          <w:szCs w:val="18"/>
        </w:rPr>
        <w:t>治理层负责监督乐心医疗的财务报告过程。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9" w:lineRule="auto" w:before="26"/>
        <w:ind w:right="1032"/>
        <w:jc w:val="left"/>
      </w:pPr>
      <w:r>
        <w:rPr/>
        <w:t>我们的目标是对财务报表整体是否不存在由于舞弊或错误导致的重大错报获取合理保证，并出具包含审计意见的审计报告。 </w:t>
      </w:r>
      <w:r>
        <w:rPr>
          <w:spacing w:val="-2"/>
        </w:rPr>
        <w:t>合理保证是高水平的保证，但并不能保证按照审计准则执行的审计在某一重大错报存在时总能发现。错报可能由于舞弊或错</w:t>
      </w:r>
      <w:r>
        <w:rPr>
          <w:spacing w:val="-64"/>
        </w:rPr>
        <w:t> </w:t>
      </w:r>
      <w:r>
        <w:rPr>
          <w:spacing w:val="-64"/>
        </w:rPr>
      </w:r>
      <w:r>
        <w:rPr>
          <w:spacing w:val="-2"/>
        </w:rPr>
        <w:t>误导致，如果合理预期错报单独或汇总起来可能影响财务报表使用者依据财务报表作出的经济决策，则通常认为错报是重大</w:t>
      </w:r>
      <w:r>
        <w:rPr>
          <w:spacing w:val="-64"/>
        </w:rPr>
        <w:t> </w:t>
      </w:r>
      <w:r>
        <w:rPr>
          <w:spacing w:val="-64"/>
        </w:rPr>
      </w:r>
      <w:r>
        <w:rPr/>
        <w:t>的。</w:t>
      </w:r>
    </w:p>
    <w:p>
      <w:pPr>
        <w:pStyle w:val="BodyText"/>
        <w:spacing w:line="240" w:lineRule="auto" w:before="58"/>
        <w:ind w:right="1015"/>
        <w:jc w:val="left"/>
      </w:pPr>
      <w:r>
        <w:rPr/>
        <w:t>在按照审计准则执行审计工作的过程中，我们运用职业判断，并保持职业怀疑。同时，我们也执行以下工作：</w:t>
      </w:r>
    </w:p>
    <w:p>
      <w:pPr>
        <w:pStyle w:val="BodyText"/>
        <w:spacing w:line="319" w:lineRule="auto" w:before="115"/>
        <w:ind w:right="1130"/>
        <w:jc w:val="both"/>
      </w:pPr>
      <w:r>
        <w:rPr/>
        <w:t>（</w:t>
      </w:r>
      <w:r>
        <w:rPr>
          <w:rFonts w:ascii="宋体" w:hAnsi="宋体" w:cs="宋体" w:eastAsia="宋体" w:hint="default"/>
        </w:rPr>
        <w:t>1</w:t>
      </w:r>
      <w:r>
        <w:rPr/>
        <w:t>）识别和评估由于舞弊或错误导致的财务报表重大错报风险，设计和实施审计程序以应对这些风险，并获取充分、适当 </w:t>
      </w:r>
      <w:r>
        <w:rPr>
          <w:spacing w:val="-2"/>
        </w:rPr>
        <w:t>的审计证据，作为发表审计意见的基础。由于舞弊可能涉及串通、伪造、故意遗漏、虚假陈述或凌驾于内部控制之上，未能</w:t>
      </w:r>
      <w:r>
        <w:rPr>
          <w:spacing w:val="-68"/>
        </w:rPr>
        <w:t> </w:t>
      </w:r>
      <w:r>
        <w:rPr>
          <w:spacing w:val="-68"/>
        </w:rPr>
      </w:r>
      <w:r>
        <w:rPr/>
        <w:t>发现由于舞弊导致的重大错报的风险高于未能发现由于错误导致的重大错报的风险。</w:t>
      </w:r>
    </w:p>
    <w:p>
      <w:pPr>
        <w:pStyle w:val="BodyText"/>
        <w:spacing w:line="240" w:lineRule="auto" w:before="57"/>
        <w:ind w:left="1133" w:right="1015"/>
        <w:jc w:val="left"/>
      </w:pPr>
      <w:r>
        <w:rPr/>
        <w:t>（</w:t>
      </w:r>
      <w:r>
        <w:rPr>
          <w:rFonts w:ascii="宋体" w:hAnsi="宋体" w:cs="宋体" w:eastAsia="宋体" w:hint="default"/>
        </w:rPr>
        <w:t>2</w:t>
      </w:r>
      <w:r>
        <w:rPr/>
        <w:t>）了解与审计相关的内部控制，以设计恰当的审计程序，但目的并非对内部控制的有效性发表意见。</w:t>
      </w:r>
    </w:p>
    <w:p>
      <w:pPr>
        <w:pStyle w:val="BodyText"/>
        <w:spacing w:line="240" w:lineRule="auto" w:before="117"/>
        <w:ind w:left="1133" w:right="1015"/>
        <w:jc w:val="left"/>
      </w:pPr>
      <w:r>
        <w:rPr/>
        <w:t>（</w:t>
      </w:r>
      <w:r>
        <w:rPr>
          <w:rFonts w:ascii="宋体" w:hAnsi="宋体" w:cs="宋体" w:eastAsia="宋体" w:hint="default"/>
        </w:rPr>
        <w:t>3</w:t>
      </w:r>
      <w:r>
        <w:rPr/>
        <w:t>）评价管理层选用会计政策的恰当性和作出会计估计及相关披露的合理性。</w:t>
      </w:r>
    </w:p>
    <w:p>
      <w:pPr>
        <w:pStyle w:val="BodyText"/>
        <w:spacing w:line="319" w:lineRule="auto" w:before="115"/>
        <w:ind w:right="1132"/>
        <w:jc w:val="both"/>
      </w:pPr>
      <w:r>
        <w:rPr/>
        <w:t>（</w:t>
      </w:r>
      <w:r>
        <w:rPr>
          <w:rFonts w:ascii="宋体" w:hAnsi="宋体" w:cs="宋体" w:eastAsia="宋体" w:hint="default"/>
        </w:rPr>
        <w:t>4</w:t>
      </w:r>
      <w:r>
        <w:rPr/>
        <w:t>）对管理层使用持续经营假设的恰当性得出结论。同时，根据获取的审计证据，就可能导致对乐心医疗持续经营能力产 </w:t>
      </w:r>
      <w:r>
        <w:rPr>
          <w:spacing w:val="-2"/>
        </w:rPr>
        <w:t>生重大疑虑的事项或情况是否存在重大不确定性得出结论。如果我们得出结论认为存在重大不确定性，审计准则要求我们在</w:t>
      </w:r>
      <w:r>
        <w:rPr>
          <w:spacing w:val="-64"/>
        </w:rPr>
        <w:t> </w:t>
      </w:r>
      <w:r>
        <w:rPr>
          <w:spacing w:val="-64"/>
        </w:rPr>
      </w:r>
      <w:r>
        <w:rPr>
          <w:spacing w:val="-2"/>
        </w:rPr>
        <w:t>审计报告中提请报表使用者注意财务报表中的相关披露；如果披露不充分，我们应当发表非无保留意见。我们的结论基于截</w:t>
      </w:r>
      <w:r>
        <w:rPr>
          <w:spacing w:val="-66"/>
        </w:rPr>
        <w:t> </w:t>
      </w:r>
      <w:r>
        <w:rPr>
          <w:spacing w:val="-66"/>
        </w:rPr>
      </w:r>
      <w:r>
        <w:rPr/>
        <w:t>至审计报告日可获得的信息。然而，未来的事项或情况可能导致乐心医疗不能持续经营。</w:t>
      </w:r>
    </w:p>
    <w:p>
      <w:pPr>
        <w:pStyle w:val="BodyText"/>
        <w:spacing w:line="240" w:lineRule="auto" w:before="56"/>
        <w:ind w:left="1133" w:right="1015"/>
        <w:jc w:val="left"/>
      </w:pPr>
      <w:r>
        <w:rPr/>
        <w:t>（</w:t>
      </w:r>
      <w:r>
        <w:rPr>
          <w:rFonts w:ascii="宋体" w:hAnsi="宋体" w:cs="宋体" w:eastAsia="宋体" w:hint="default"/>
        </w:rPr>
        <w:t>5</w:t>
      </w:r>
      <w:r>
        <w:rPr/>
        <w:t>）评价财务报表的总体列报、结构和内容（包括披露），并评价财务报表是否公允反映相关交易和事项。</w:t>
      </w:r>
    </w:p>
    <w:p>
      <w:pPr>
        <w:pStyle w:val="BodyText"/>
        <w:spacing w:line="338" w:lineRule="auto" w:before="116"/>
        <w:ind w:right="1122"/>
        <w:jc w:val="left"/>
      </w:pPr>
      <w:r>
        <w:rPr/>
        <w:t>（</w:t>
      </w:r>
      <w:r>
        <w:rPr>
          <w:rFonts w:ascii="宋体" w:hAnsi="宋体" w:cs="宋体" w:eastAsia="宋体" w:hint="default"/>
        </w:rPr>
        <w:t>6</w:t>
      </w:r>
      <w:r>
        <w:rPr/>
        <w:t>）就乐心医疗中实体或业务活动的财务信息获取充分、适当的审计证据，以对财务报表发表审计意见。我们负责指导、 监督和执行集团审计，并对审计意见承担全部责任。 </w:t>
      </w:r>
      <w:r>
        <w:rPr>
          <w:spacing w:val="-2"/>
        </w:rPr>
        <w:t>我们与治理层就计划的审计范围、时间安排和重大审计发现等事项进行沟通，包括沟通我们在审计中识别出的值得关注的内</w:t>
      </w:r>
    </w:p>
    <w:p>
      <w:pPr>
        <w:pStyle w:val="BodyText"/>
        <w:spacing w:line="338" w:lineRule="auto" w:before="4"/>
        <w:ind w:right="1015"/>
        <w:jc w:val="left"/>
      </w:pPr>
      <w:r>
        <w:rPr/>
        <w:t>部控制缺陷。 </w:t>
      </w:r>
      <w:r>
        <w:rPr>
          <w:spacing w:val="-2"/>
        </w:rPr>
        <w:t>我们还就已遵守与独立性相关的职业道德要求向治理层提供声明，并与治理层沟通可能被合理认为影响我们独立性的所有关</w:t>
      </w:r>
      <w:r>
        <w:rPr>
          <w:spacing w:val="-64"/>
        </w:rPr>
        <w:t> </w:t>
      </w:r>
      <w:r>
        <w:rPr>
          <w:spacing w:val="-64"/>
        </w:rPr>
      </w:r>
      <w:r>
        <w:rPr/>
        <w:t>系和其他事项，以及相关的防范措施（如适用）。</w:t>
      </w:r>
    </w:p>
    <w:p>
      <w:pPr>
        <w:pStyle w:val="BodyText"/>
        <w:spacing w:line="319" w:lineRule="auto" w:before="42"/>
        <w:ind w:right="1132"/>
        <w:jc w:val="both"/>
      </w:pPr>
      <w:r>
        <w:rPr>
          <w:spacing w:val="-2"/>
        </w:rPr>
        <w:t>从与治理层沟通过的事项中，我们确定哪些事项对本期财务报表审计最为重要，因而构成关键审计事项。我们在审计报告中</w:t>
      </w:r>
      <w:r>
        <w:rPr>
          <w:spacing w:val="-66"/>
        </w:rPr>
        <w:t> </w:t>
      </w:r>
      <w:r>
        <w:rPr>
          <w:spacing w:val="-66"/>
        </w:rPr>
      </w:r>
      <w:r>
        <w:rPr>
          <w:spacing w:val="-2"/>
        </w:rPr>
        <w:t>描述这些事项，除非法律法规禁止公开披露这些事项，或在极少数情形下，如果合理预期在审计报告中沟通某事项造成的负</w:t>
      </w:r>
      <w:r>
        <w:rPr>
          <w:spacing w:val="-66"/>
        </w:rPr>
        <w:t> </w:t>
      </w:r>
      <w:r>
        <w:rPr>
          <w:spacing w:val="-66"/>
        </w:rPr>
      </w:r>
      <w:r>
        <w:rPr/>
        <w:t>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tabs>
          <w:tab w:pos="4050" w:val="left" w:leader="none"/>
        </w:tabs>
        <w:spacing w:line="240" w:lineRule="auto"/>
        <w:ind w:left="0" w:right="1625"/>
        <w:jc w:val="center"/>
      </w:pPr>
      <w:r>
        <w:rPr/>
        <w:t>立信会计师事务所（特殊普通合伙）</w:t>
        <w:tab/>
        <w:t>中国注册会计师：梁谦海（项目合伙人）</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240" w:lineRule="auto"/>
        <w:ind w:left="1745" w:right="582"/>
        <w:jc w:val="center"/>
      </w:pPr>
      <w:r>
        <w:rPr/>
        <w:t>中国注册会计师：陈清松</w:t>
      </w:r>
    </w:p>
    <w:p>
      <w:pPr>
        <w:spacing w:after="0" w:line="240" w:lineRule="auto"/>
        <w:jc w:val="center"/>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5004" w:val="left" w:leader="none"/>
        </w:tabs>
        <w:spacing w:line="240" w:lineRule="auto" w:before="44"/>
        <w:ind w:left="1854" w:right="1015"/>
        <w:jc w:val="left"/>
      </w:pPr>
      <w:r>
        <w:rPr/>
        <w:t>中国•上海</w:t>
        <w:tab/>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28</w:t>
      </w:r>
      <w:r>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5"/>
          <w:szCs w:val="15"/>
        </w:rPr>
      </w:pPr>
    </w:p>
    <w:p>
      <w:pPr>
        <w:pStyle w:val="Heading2"/>
        <w:spacing w:line="240" w:lineRule="auto"/>
        <w:ind w:right="1015"/>
        <w:jc w:val="left"/>
        <w:rPr>
          <w:b w:val="0"/>
          <w:bCs w:val="0"/>
        </w:rPr>
      </w:pPr>
      <w:bookmarkStart w:name="二、财务报表" w:id="159"/>
      <w:bookmarkEnd w:id="159"/>
      <w:r>
        <w:rPr>
          <w:b w:val="0"/>
          <w:bCs w:val="0"/>
        </w:rPr>
      </w:r>
      <w:r>
        <w:rPr/>
        <w:t>二、财务报表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15"/>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1015"/>
        <w:jc w:val="left"/>
        <w:rPr>
          <w:b w:val="0"/>
          <w:bCs w:val="0"/>
        </w:rPr>
      </w:pPr>
      <w:bookmarkStart w:name="1、合并资产负债表" w:id="160"/>
      <w:bookmarkEnd w:id="160"/>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0" w:right="0"/>
        </w:sectPr>
      </w:pPr>
    </w:p>
    <w:p>
      <w:pPr>
        <w:pStyle w:val="BodyText"/>
        <w:spacing w:line="240" w:lineRule="auto" w:before="44"/>
        <w:ind w:right="-20"/>
        <w:jc w:val="left"/>
      </w:pPr>
      <w:r>
        <w:rPr/>
        <w:t>编制单位：广东乐心医疗电子股份有限公司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617" w:right="-17"/>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100" w:bottom="1200" w:left="0" w:right="0"/>
          <w:cols w:num="3" w:equalWidth="0">
            <w:col w:w="4555" w:space="40"/>
            <w:col w:w="2102" w:space="2223"/>
            <w:col w:w="299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149,303,384.48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319,902,598.40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934,600.00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133,467,262.63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89,176,337.22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10,053,516.50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4,901,709.14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2,488,107.50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322,530.36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10,964,899.03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12,483,432.34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81,433,205.23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75,626,209.81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91,900,849.60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7,953,473.67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480,868,355.33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510,043,760.58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35,954,516.07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310,929.13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484,668.62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140,512,589.24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72,159,777.93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12,299,440.11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38,548,282.80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36,341,091.95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34,679,069.40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20,681,165.45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23,584,291.43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3,807,810.27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4,349,590.27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2,377,180.64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274,033,613.65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152,056,789.66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754,901,968.98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662,100,550.24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29,077,190.00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92,854,607.65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62,877,100.89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97,370,914.43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16,020,610.36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10,618,764.04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14,215,683.81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26,266,790.00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8,691,710.85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12,159,095.65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16,744,584.92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6,240,217.51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240,481,488.48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152,655,781.63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3,286,721.27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140,190.00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140,190.00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3,286,721.27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240,621,678.48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155,942,502.90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188,800,000.00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121,880,180.13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251,680,180.13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-94,698.39</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28,834.61</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28,935,212.36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23,159,945.07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172,554,517.42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172,289,087.53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512,075,211.52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506,158,047.34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2,205,078.98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514,280,290.50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506,158,047.34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754,901,968.98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662,100,550.24</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法定代表人：潘伟潮</w:t>
        <w:tab/>
        <w:t>主管会计工作负责人：石绍海</w:t>
        <w:tab/>
        <w:t>会计机构负责人：汪小飞</w:t>
      </w:r>
    </w:p>
    <w:p>
      <w:pPr>
        <w:spacing w:line="240" w:lineRule="auto" w:before="11"/>
        <w:rPr>
          <w:rFonts w:ascii="宋体" w:hAnsi="宋体" w:cs="宋体" w:eastAsia="宋体" w:hint="default"/>
          <w:sz w:val="26"/>
          <w:szCs w:val="26"/>
        </w:rPr>
      </w:pPr>
    </w:p>
    <w:p>
      <w:pPr>
        <w:pStyle w:val="Heading3"/>
        <w:spacing w:line="240" w:lineRule="auto"/>
        <w:ind w:left="1133" w:right="1015"/>
        <w:jc w:val="left"/>
        <w:rPr>
          <w:b w:val="0"/>
          <w:bCs w:val="0"/>
        </w:rPr>
      </w:pPr>
      <w:bookmarkStart w:name="2、母公司资产负债表" w:id="161"/>
      <w:bookmarkEnd w:id="161"/>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86,356,253.31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304,751,045.61</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934,600.00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144,839,855.72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109,431,742.21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88,636,885.83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14,169,841.12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2,488,107.50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322,530.36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7,711,665.05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9,687,033.32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35,542,467.33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48,305,785.47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80,644,439.26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7,048,162.97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447,476,804.36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493,393,610.70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54,719,783.45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12,838,113.62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112,984,169.56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54,025,649.74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9,908,621.11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34,732,946.68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36,192,508.54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34,492,592.87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22,540,247.41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1,104,754.28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129,383.12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662,821.23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236,474,713.19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137,856,878.42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683,951,517.55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631,250,489.12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19,602,600.00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51,955,132.54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30,667,655.74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91,794,013.86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5,541,202.79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8,566,199.07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3,653,854.18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9,863,799.23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5,827,312.45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9,454,690.54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14,125,340.18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1,799,508.33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131,373,097.88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121,478,211.03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3,286,721.27</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140,190.00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140,190.00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3,286,721.27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131,513,287.88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124,764,932.30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188,800,000.00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117,764,980.13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247,564,980.13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28,685,212.36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22,909,945.07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217,188,037.18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177,010,631.62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552,438,229.67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506,485,556.82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683,951,517.55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631,250,489.12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15"/>
        <w:jc w:val="left"/>
        <w:rPr>
          <w:b w:val="0"/>
          <w:bCs w:val="0"/>
        </w:rPr>
      </w:pPr>
      <w:bookmarkStart w:name="3、合并利润表" w:id="162"/>
      <w:bookmarkEnd w:id="162"/>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081"/>
        <w:gridCol w:w="3210"/>
        <w:gridCol w:w="3278"/>
      </w:tblGrid>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866,590,294.39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770,644,439.45</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866,590,294.39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770,644,439.45</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080"/>
        <w:gridCol w:w="321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863,426,072.23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686,595,995.76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632,078,369.13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515,970,447.83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6,036,975.63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5,250,262.20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103,057,369.49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76,381,549.40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113,962,070.00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97,459,071.89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5,575,330.71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-9,571,302.44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2,715,957.27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1,105,966.88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2" w:firstLine="360"/>
              <w:jc w:val="left"/>
              <w:rPr>
                <w:rFonts w:ascii="宋体" w:hAnsi="宋体" w:cs="宋体" w:eastAsia="宋体" w:hint="default"/>
                <w:sz w:val="18"/>
                <w:szCs w:val="18"/>
              </w:rPr>
            </w:pPr>
            <w:r>
              <w:rPr>
                <w:rFonts w:ascii="宋体" w:hAnsi="宋体" w:cs="宋体" w:eastAsia="宋体" w:hint="default"/>
                <w:spacing w:val="-2"/>
                <w:sz w:val="18"/>
                <w:szCs w:val="18"/>
              </w:rPr>
              <w:t>加：公允价值变动收益（损失以</w:t>
            </w:r>
            <w:r>
              <w:rPr>
                <w:rFonts w:ascii="宋体" w:hAnsi="宋体" w:cs="宋体" w:eastAsia="宋体" w:hint="default"/>
                <w:sz w:val="18"/>
                <w:szCs w:val="18"/>
              </w:rPr>
              <w:t> “－”号填列）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934,600.00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680,170.00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4,884,174.83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-1,406,760.66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0" w:firstLine="720"/>
              <w:jc w:val="left"/>
              <w:rPr>
                <w:rFonts w:ascii="宋体" w:hAnsi="宋体" w:cs="宋体" w:eastAsia="宋体" w:hint="default"/>
                <w:sz w:val="18"/>
                <w:szCs w:val="18"/>
              </w:rPr>
            </w:pPr>
            <w:r>
              <w:rPr>
                <w:rFonts w:ascii="宋体" w:hAnsi="宋体" w:cs="宋体" w:eastAsia="宋体" w:hint="default"/>
                <w:spacing w:val="-2"/>
                <w:sz w:val="18"/>
                <w:szCs w:val="18"/>
              </w:rPr>
              <w:t>其中：对联营企业和合营企</w:t>
            </w:r>
            <w:r>
              <w:rPr>
                <w:rFonts w:ascii="宋体" w:hAnsi="宋体" w:cs="宋体" w:eastAsia="宋体" w:hint="default"/>
                <w:sz w:val="18"/>
                <w:szCs w:val="18"/>
              </w:rPr>
              <w:t> 业的投资收益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134,260.19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-250,484.66</w:t>
            </w:r>
            <w:r>
              <w:rPr>
                <w:rFonts w:ascii="Times New Roman"/>
                <w:sz w:val="18"/>
              </w:rPr>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pacing w:val="-6"/>
                <w:sz w:val="18"/>
                <w:szCs w:val="18"/>
              </w:rPr>
              <w:t>汇兑收益（损失以“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195,643.88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583,214.30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3,098,555.20</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7"/>
                <w:sz w:val="18"/>
                <w:szCs w:val="18"/>
              </w:rPr>
              <w:t>三、营业利润（亏损以“－”号填列）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12,277,196.07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83,905,067.33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14,655,343.83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9,839,108.85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1,209,561.37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370,142.66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99"/>
              <w:jc w:val="left"/>
              <w:rPr>
                <w:rFonts w:ascii="宋体" w:hAnsi="宋体" w:cs="宋体" w:eastAsia="宋体" w:hint="default"/>
                <w:sz w:val="18"/>
                <w:szCs w:val="18"/>
              </w:rPr>
            </w:pPr>
            <w:r>
              <w:rPr>
                <w:rFonts w:ascii="宋体" w:hAnsi="宋体" w:cs="宋体" w:eastAsia="宋体" w:hint="default"/>
                <w:spacing w:val="-1"/>
                <w:sz w:val="18"/>
                <w:szCs w:val="18"/>
              </w:rPr>
              <w:t>四、利润总额（亏损总额以“－”号</w:t>
            </w:r>
            <w:r>
              <w:rPr>
                <w:rFonts w:ascii="宋体" w:hAnsi="宋体" w:cs="宋体" w:eastAsia="宋体" w:hint="default"/>
                <w:sz w:val="18"/>
                <w:szCs w:val="18"/>
              </w:rPr>
              <w:t> 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25,722,978.53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93,374,033.52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8,258,993.92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12,853,324.86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7"/>
                <w:sz w:val="18"/>
                <w:szCs w:val="18"/>
              </w:rPr>
              <w:t>五、净利润（净亏损以“－”号填列）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17,463,984.61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80,520,708.66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55"/>
              <w:jc w:val="left"/>
              <w:rPr>
                <w:rFonts w:ascii="宋体" w:hAnsi="宋体" w:cs="宋体" w:eastAsia="宋体" w:hint="default"/>
                <w:sz w:val="18"/>
                <w:szCs w:val="18"/>
              </w:rPr>
            </w:pPr>
            <w:r>
              <w:rPr>
                <w:rFonts w:ascii="宋体" w:hAnsi="宋体" w:cs="宋体" w:eastAsia="宋体" w:hint="default"/>
                <w:spacing w:val="-1"/>
                <w:sz w:val="18"/>
                <w:szCs w:val="18"/>
              </w:rPr>
              <w:t>（一）持续经营净利润（净亏损</w:t>
            </w:r>
            <w:r>
              <w:rPr>
                <w:rFonts w:ascii="宋体" w:hAnsi="宋体" w:cs="宋体" w:eastAsia="宋体" w:hint="default"/>
                <w:sz w:val="18"/>
                <w:szCs w:val="18"/>
              </w:rPr>
              <w:t> 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17,463,984.61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80,520,708.66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0"/>
              <w:jc w:val="right"/>
              <w:rPr>
                <w:rFonts w:ascii="宋体" w:hAnsi="宋体" w:cs="宋体" w:eastAsia="宋体" w:hint="default"/>
                <w:sz w:val="18"/>
                <w:szCs w:val="18"/>
              </w:rPr>
            </w:pPr>
            <w:r>
              <w:rPr>
                <w:rFonts w:ascii="宋体" w:hAnsi="宋体" w:cs="宋体" w:eastAsia="宋体" w:hint="default"/>
                <w:spacing w:val="-1"/>
                <w:sz w:val="18"/>
                <w:szCs w:val="18"/>
              </w:rPr>
              <w:t>（二）终止经营净利润（净亏损</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081"/>
        <w:gridCol w:w="3210"/>
        <w:gridCol w:w="3278"/>
      </w:tblGrid>
      <w:tr>
        <w:trPr>
          <w:trHeight w:val="36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以“－”号填列）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17,840,697.18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80,520,708.66</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-376,712.57</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-123,533.00</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28,834.61</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-123,533.00</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28,834.61</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firstLine="351"/>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 中享有的份额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firstLine="351"/>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-123,533.00</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28,834.61</w:t>
            </w:r>
          </w:p>
        </w:tc>
      </w:tr>
      <w:tr>
        <w:trPr>
          <w:trHeight w:val="1026"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 益中享有的份额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-123,533.00</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28,834.61</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7"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17,340,451.61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80,549,543.27</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7"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 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17,717,164.18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80,549,543.27</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-376,712.57</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0.55</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0.55</w:t>
            </w:r>
          </w:p>
        </w:tc>
      </w:tr>
    </w:tbl>
    <w:p>
      <w:pPr>
        <w:pStyle w:val="BodyText"/>
        <w:spacing w:line="240" w:lineRule="auto" w:before="51"/>
        <w:ind w:right="1015"/>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after="0" w:line="240" w:lineRule="auto"/>
        <w:jc w:val="left"/>
        <w:sectPr>
          <w:footerReference w:type="default" r:id="rId24"/>
          <w:pgSz w:w="11910" w:h="16840"/>
          <w:pgMar w:footer="1019" w:header="907" w:top="1100" w:bottom="1200" w:left="0" w:right="0"/>
        </w:sectPr>
      </w:pPr>
    </w:p>
    <w:p>
      <w:pPr>
        <w:spacing w:line="240" w:lineRule="auto" w:before="11"/>
        <w:rPr>
          <w:rFonts w:ascii="宋体" w:hAnsi="宋体" w:cs="宋体" w:eastAsia="宋体" w:hint="default"/>
          <w:sz w:val="22"/>
          <w:szCs w:val="22"/>
        </w:rPr>
      </w:pPr>
    </w:p>
    <w:p>
      <w:pPr>
        <w:pStyle w:val="BodyText"/>
        <w:tabs>
          <w:tab w:pos="3420" w:val="left" w:leader="none"/>
          <w:tab w:pos="7561" w:val="left" w:leader="none"/>
        </w:tabs>
        <w:spacing w:line="240" w:lineRule="auto" w:before="44"/>
        <w:ind w:left="0" w:right="1229"/>
        <w:jc w:val="right"/>
      </w:pPr>
      <w:r>
        <w:rPr/>
        <w:t>法定代表人：潘伟潮</w:t>
        <w:tab/>
        <w:t>主管会计工作负责人：石绍海</w:t>
        <w:tab/>
        <w:t>会计机构负责人：汪小飞</w:t>
      </w:r>
    </w:p>
    <w:p>
      <w:pPr>
        <w:spacing w:line="240" w:lineRule="auto" w:before="11"/>
        <w:rPr>
          <w:rFonts w:ascii="宋体" w:hAnsi="宋体" w:cs="宋体" w:eastAsia="宋体" w:hint="default"/>
          <w:sz w:val="26"/>
          <w:szCs w:val="26"/>
        </w:rPr>
      </w:pPr>
    </w:p>
    <w:p>
      <w:pPr>
        <w:pStyle w:val="Heading3"/>
        <w:spacing w:line="240" w:lineRule="auto"/>
        <w:ind w:left="1133" w:right="1015"/>
        <w:jc w:val="left"/>
        <w:rPr>
          <w:b w:val="0"/>
          <w:bCs w:val="0"/>
        </w:rPr>
      </w:pPr>
      <w:bookmarkStart w:name="4、母公司利润表" w:id="163"/>
      <w:bookmarkEnd w:id="163"/>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604,673,273.63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695,663,124.82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480,615,988.70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546,371,488.98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2,797,458.62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2,740,110.39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24,186,466.49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17,138,067.40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50,770,019.65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48,481,527.11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2,057,795.52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-9,123,738.90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-3,491,586.31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2,208,659.25</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 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934,600.00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680,170.00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4,816,154.00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8,093,239.34</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134,260.19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-250,484.66</w:t>
            </w:r>
            <w:r>
              <w:rPr>
                <w:rFonts w:ascii="Times New Roman"/>
                <w:sz w:val="18"/>
              </w:rPr>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3" w:right="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135,400.38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2,034,540.53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二、营业利润（亏损以“－”号填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55,657,825.87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96,620,419.93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11,214,869.10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10,234,512.63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1,146,087.78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471,522.27</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三、利润总额（亏损总额以“－”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65,726,607.19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106,383,410.29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7,973,934.34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12,876,281.45</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2"/>
              <w:jc w:val="left"/>
              <w:rPr>
                <w:rFonts w:ascii="宋体" w:hAnsi="宋体" w:cs="宋体" w:eastAsia="宋体" w:hint="default"/>
                <w:sz w:val="18"/>
                <w:szCs w:val="18"/>
              </w:rPr>
            </w:pPr>
            <w:r>
              <w:rPr>
                <w:rFonts w:ascii="宋体" w:hAnsi="宋体" w:cs="宋体" w:eastAsia="宋体" w:hint="default"/>
                <w:sz w:val="18"/>
                <w:szCs w:val="18"/>
              </w:rPr>
              <w:t>四、净利润（净亏损以“－”号填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57,752,672.85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93,507,128.84</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57,752,672.85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93,507,128.84</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 的其他综合收益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5"/>
          <w:pgSz w:w="11910" w:h="16840"/>
          <w:pgMar w:footer="1019" w:header="907" w:top="1100" w:bottom="1200" w:left="0" w:right="0"/>
          <w:pgNumType w:start="101"/>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 划净负债或净资产的变动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 位不能重分类进损益的其他综合收 益中享有的份额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 位以后将重分类进损益的其他综合 收益中享有的份额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 允价值变动损益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7"/>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1" w:right="0"/>
              <w:jc w:val="left"/>
              <w:rPr>
                <w:rFonts w:ascii="Times New Roman" w:hAnsi="Times New Roman" w:cs="Times New Roman" w:eastAsia="Times New Roman" w:hint="default"/>
                <w:sz w:val="18"/>
                <w:szCs w:val="18"/>
              </w:rPr>
            </w:pPr>
            <w:r>
              <w:rPr>
                <w:rFonts w:ascii="Times New Roman"/>
                <w:sz w:val="18"/>
              </w:rPr>
              <w:t>57,752,672.85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3" w:right="0"/>
              <w:jc w:val="left"/>
              <w:rPr>
                <w:rFonts w:ascii="Times New Roman" w:hAnsi="Times New Roman" w:cs="Times New Roman" w:eastAsia="Times New Roman" w:hint="default"/>
                <w:sz w:val="18"/>
                <w:szCs w:val="18"/>
              </w:rPr>
            </w:pPr>
            <w:r>
              <w:rPr>
                <w:rFonts w:ascii="Times New Roman"/>
                <w:sz w:val="18"/>
              </w:rPr>
              <w:t>93,507,128.84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5、合并现金流量表" w:id="164"/>
      <w:bookmarkEnd w:id="164"/>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4" w:right="0"/>
              <w:jc w:val="left"/>
              <w:rPr>
                <w:rFonts w:ascii="Times New Roman" w:hAnsi="Times New Roman" w:cs="Times New Roman" w:eastAsia="Times New Roman" w:hint="default"/>
                <w:sz w:val="18"/>
                <w:szCs w:val="18"/>
              </w:rPr>
            </w:pPr>
            <w:r>
              <w:rPr>
                <w:rFonts w:ascii="Times New Roman"/>
                <w:sz w:val="18"/>
              </w:rPr>
              <w:t>882,863,840.70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9" w:right="0"/>
              <w:jc w:val="left"/>
              <w:rPr>
                <w:rFonts w:ascii="Times New Roman" w:hAnsi="Times New Roman" w:cs="Times New Roman" w:eastAsia="Times New Roman" w:hint="default"/>
                <w:sz w:val="18"/>
                <w:szCs w:val="18"/>
              </w:rPr>
            </w:pPr>
            <w:r>
              <w:rPr>
                <w:rFonts w:ascii="Times New Roman"/>
                <w:sz w:val="18"/>
              </w:rPr>
              <w:t>811,203,550.26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 计入当期损益的金融资产净增加额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65,116,860.80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62,770,580.31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16,235,688.97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10,145,046.69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964,216,390.47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884,119,177.26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629,833,386.51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522,565,511.17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192,104,530.30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155,433,035.31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40,007,291.62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42,531,234.03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106,374,524.24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85,412,382.23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968,319,732.67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805,942,162.74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-4,103,342.20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78,177,014.52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151,410,678.36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2,251,128.78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159,970.12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2,409,491.04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153,821,777.26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2,409,491.04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79,241,881.55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57,914,941.72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269,236,278.53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15,704,966.50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1,156,276.00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364,183,126.58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59,071,217.72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-210,361,349.32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-56,661,726.68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231,324,000.00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 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245,000.00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110,631,526.89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3,286,721.27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110,876,526.89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234,610,721.27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83,465,856.53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12,290,639.65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8,347,140.34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 的股利、利润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22,063,900.00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95,756,496.18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30,411,040.34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15,120,030.71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204,199,680.93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-1,498,572.06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3,966,209.30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-200,843,232.87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229,681,178.07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319,902,598.40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90,221,420.33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119,059,365.53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319,902,598.40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8"/>
        <w:rPr>
          <w:rFonts w:ascii="Times New Roman" w:hAnsi="Times New Roman" w:cs="Times New Roman" w:eastAsia="Times New Roman" w:hint="default"/>
          <w:sz w:val="24"/>
          <w:szCs w:val="24"/>
        </w:rPr>
      </w:pPr>
    </w:p>
    <w:p>
      <w:pPr>
        <w:pStyle w:val="Heading3"/>
        <w:spacing w:line="240" w:lineRule="auto" w:before="35"/>
        <w:ind w:right="1015"/>
        <w:jc w:val="left"/>
        <w:rPr>
          <w:b w:val="0"/>
          <w:bCs w:val="0"/>
        </w:rPr>
      </w:pPr>
      <w:bookmarkStart w:name="6、母公司现金流量表" w:id="165"/>
      <w:bookmarkEnd w:id="165"/>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601,290,150.59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762,003,687.62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43,861,508.28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46,751,181.56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11,896,767.28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9,740,533.00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657,048,426.15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818,495,402.18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600,541,199.23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643,122,807.05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62,567,970.53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60,689,427.22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19,646,177.12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17,336,273.31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36,959,033.78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28,855,436.51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719,714,380.66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750,003,944.09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-62,665,954.51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68,491,458.09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144,000,000.00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2,193,786.31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8,343,724.00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3,298,543.48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146,193,786.31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11,642,267.48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60,396,955.03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44,516,192.69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243,069,940.00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1,353,445.00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19,600,000.00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323,066,895.03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45,869,637.69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-176,873,108.72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-34,227,370.21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231,324,000.00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101,323,831.89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3,286,721.27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101,323,831.89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234,610,721.27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83,465,856.53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12,250,773.55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8,347,140.34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22,063,900.00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95,716,630.08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30,411,040.34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5,607,201.81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204,199,680.93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-528,827.78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3,802,734.52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-234,460,689.20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242,266,503.33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304,751,045.61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62,484,542.28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70,290,356.41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304,751,045.61</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7、合并所有者权益变动表" w:id="166"/>
      <w:bookmarkEnd w:id="166"/>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15"/>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5" w:right="185"/>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5"/>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8"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147" w:right="145"/>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tcBorders>
              <w:left w:val="single" w:sz="4" w:space="0" w:color="000000"/>
              <w:right w:val="single" w:sz="4" w:space="0" w:color="000000"/>
            </w:tcBorders>
            <w:shd w:val="clear" w:color="auto" w:fill="D2D2D2"/>
          </w:tcPr>
          <w:p>
            <w:pPr/>
          </w:p>
        </w:tc>
      </w:tr>
      <w:tr>
        <w:trPr>
          <w:trHeight w:val="1026"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59,0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251,6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80,18</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0.13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28,83</w:t>
            </w:r>
          </w:p>
          <w:p>
            <w:pPr>
              <w:pStyle w:val="TableParagraph"/>
              <w:spacing w:line="240" w:lineRule="auto" w:before="106"/>
              <w:ind w:left="237" w:right="0"/>
              <w:jc w:val="left"/>
              <w:rPr>
                <w:rFonts w:ascii="Times New Roman" w:hAnsi="Times New Roman" w:cs="Times New Roman" w:eastAsia="Times New Roman" w:hint="default"/>
                <w:sz w:val="18"/>
                <w:szCs w:val="18"/>
              </w:rPr>
            </w:pPr>
            <w:r>
              <w:rPr>
                <w:rFonts w:ascii="Times New Roman"/>
                <w:sz w:val="18"/>
              </w:rPr>
              <w:t>4.61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23,15</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9,945</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.07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172,2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89,08</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7.53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506,1</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58,04</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7.34</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59,0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251,6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80,18</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0.13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28,83</w:t>
            </w:r>
          </w:p>
          <w:p>
            <w:pPr>
              <w:pStyle w:val="TableParagraph"/>
              <w:spacing w:line="240" w:lineRule="auto" w:before="106"/>
              <w:ind w:left="237" w:right="0"/>
              <w:jc w:val="left"/>
              <w:rPr>
                <w:rFonts w:ascii="Times New Roman" w:hAnsi="Times New Roman" w:cs="Times New Roman" w:eastAsia="Times New Roman" w:hint="default"/>
                <w:sz w:val="18"/>
                <w:szCs w:val="18"/>
              </w:rPr>
            </w:pPr>
            <w:r>
              <w:rPr>
                <w:rFonts w:ascii="Times New Roman"/>
                <w:sz w:val="18"/>
              </w:rPr>
              <w:t>4.61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23,15</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9,945</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.07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172,2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89,08</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7.53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506,1</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58,04</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7.34</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63"/>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129,</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-129,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533.0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5,775</w:t>
            </w:r>
          </w:p>
          <w:p>
            <w:pPr>
              <w:pStyle w:val="TableParagraph"/>
              <w:spacing w:line="240" w:lineRule="auto" w:before="105"/>
              <w:ind w:left="87" w:right="0"/>
              <w:jc w:val="center"/>
              <w:rPr>
                <w:rFonts w:ascii="Times New Roman" w:hAnsi="Times New Roman" w:cs="Times New Roman" w:eastAsia="Times New Roman" w:hint="default"/>
                <w:sz w:val="18"/>
                <w:szCs w:val="18"/>
              </w:rPr>
            </w:pPr>
            <w:r>
              <w:rPr>
                <w:rFonts w:ascii="Times New Roman"/>
                <w:sz w:val="18"/>
              </w:rPr>
              <w:t>,267.</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29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265,4</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29.89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2,205</w:t>
            </w:r>
          </w:p>
          <w:p>
            <w:pPr>
              <w:pStyle w:val="TableParagraph"/>
              <w:spacing w:line="240" w:lineRule="auto" w:before="105"/>
              <w:ind w:left="89" w:right="0"/>
              <w:jc w:val="center"/>
              <w:rPr>
                <w:rFonts w:ascii="Times New Roman" w:hAnsi="Times New Roman" w:cs="Times New Roman" w:eastAsia="Times New Roman" w:hint="default"/>
                <w:sz w:val="18"/>
                <w:szCs w:val="18"/>
              </w:rPr>
            </w:pPr>
            <w:r>
              <w:rPr>
                <w:rFonts w:ascii="Times New Roman"/>
                <w:sz w:val="18"/>
              </w:rPr>
              <w:t>,078.</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98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8,122</w:t>
            </w:r>
          </w:p>
          <w:p>
            <w:pPr>
              <w:pStyle w:val="TableParagraph"/>
              <w:spacing w:line="240" w:lineRule="auto" w:before="105"/>
              <w:ind w:left="83" w:right="0"/>
              <w:jc w:val="center"/>
              <w:rPr>
                <w:rFonts w:ascii="Times New Roman" w:hAnsi="Times New Roman" w:cs="Times New Roman" w:eastAsia="Times New Roman" w:hint="default"/>
                <w:sz w:val="18"/>
                <w:szCs w:val="18"/>
              </w:rPr>
            </w:pPr>
            <w:r>
              <w:rPr>
                <w:rFonts w:ascii="Times New Roman"/>
                <w:sz w:val="18"/>
              </w:rPr>
              <w:t>,243.</w:t>
            </w:r>
          </w:p>
          <w:p>
            <w:pPr>
              <w:pStyle w:val="TableParagraph"/>
              <w:spacing w:line="240" w:lineRule="auto" w:before="106"/>
              <w:ind w:left="262" w:right="0"/>
              <w:jc w:val="center"/>
              <w:rPr>
                <w:rFonts w:ascii="Times New Roman" w:hAnsi="Times New Roman" w:cs="Times New Roman" w:eastAsia="Times New Roman" w:hint="default"/>
                <w:sz w:val="18"/>
                <w:szCs w:val="18"/>
              </w:rPr>
            </w:pPr>
            <w:r>
              <w:rPr>
                <w:rFonts w:ascii="Times New Roman"/>
                <w:sz w:val="18"/>
              </w:rPr>
              <w:t>16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533.0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17,84</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0,697</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.18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712.5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17,34</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0,451</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.61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2,581</w:t>
            </w:r>
          </w:p>
          <w:p>
            <w:pPr>
              <w:pStyle w:val="TableParagraph"/>
              <w:spacing w:line="240" w:lineRule="auto" w:before="105"/>
              <w:ind w:left="89" w:right="0"/>
              <w:jc w:val="center"/>
              <w:rPr>
                <w:rFonts w:ascii="Times New Roman" w:hAnsi="Times New Roman" w:cs="Times New Roman" w:eastAsia="Times New Roman" w:hint="default"/>
                <w:sz w:val="18"/>
                <w:szCs w:val="18"/>
              </w:rPr>
            </w:pPr>
            <w:r>
              <w:rPr>
                <w:rFonts w:ascii="Times New Roman"/>
                <w:sz w:val="18"/>
              </w:rPr>
              <w:t>,791.</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55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2,581</w:t>
            </w:r>
          </w:p>
          <w:p>
            <w:pPr>
              <w:pStyle w:val="TableParagraph"/>
              <w:spacing w:line="240" w:lineRule="auto" w:before="105"/>
              <w:ind w:left="83" w:right="0"/>
              <w:jc w:val="center"/>
              <w:rPr>
                <w:rFonts w:ascii="Times New Roman" w:hAnsi="Times New Roman" w:cs="Times New Roman" w:eastAsia="Times New Roman" w:hint="default"/>
                <w:sz w:val="18"/>
                <w:szCs w:val="18"/>
              </w:rPr>
            </w:pPr>
            <w:r>
              <w:rPr>
                <w:rFonts w:ascii="Times New Roman"/>
                <w:sz w:val="18"/>
              </w:rPr>
              <w:t>,791.</w:t>
            </w:r>
          </w:p>
          <w:p>
            <w:pPr>
              <w:pStyle w:val="TableParagraph"/>
              <w:spacing w:line="240" w:lineRule="auto" w:before="106"/>
              <w:ind w:left="262" w:right="0"/>
              <w:jc w:val="center"/>
              <w:rPr>
                <w:rFonts w:ascii="Times New Roman" w:hAnsi="Times New Roman" w:cs="Times New Roman" w:eastAsia="Times New Roman" w:hint="default"/>
                <w:sz w:val="18"/>
                <w:szCs w:val="18"/>
              </w:rPr>
            </w:pPr>
            <w:r>
              <w:rPr>
                <w:rFonts w:ascii="Times New Roman"/>
                <w:sz w:val="18"/>
              </w:rPr>
              <w:t>55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245,0</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245,0</w:t>
            </w:r>
          </w:p>
          <w:p>
            <w:pPr>
              <w:pStyle w:val="TableParagraph"/>
              <w:spacing w:line="240" w:lineRule="auto" w:before="106"/>
              <w:ind w:left="140" w:right="0"/>
              <w:jc w:val="left"/>
              <w:rPr>
                <w:rFonts w:ascii="Times New Roman" w:hAnsi="Times New Roman" w:cs="Times New Roman" w:eastAsia="Times New Roman" w:hint="default"/>
                <w:sz w:val="18"/>
                <w:szCs w:val="18"/>
              </w:rPr>
            </w:pPr>
            <w:r>
              <w:rPr>
                <w:rFonts w:ascii="Times New Roman"/>
                <w:sz w:val="18"/>
              </w:rPr>
              <w:t>00.00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2,336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791.5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2,336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791.5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5,775</w:t>
            </w:r>
          </w:p>
          <w:p>
            <w:pPr>
              <w:pStyle w:val="TableParagraph"/>
              <w:spacing w:line="240" w:lineRule="auto" w:before="105"/>
              <w:ind w:left="87" w:right="0"/>
              <w:jc w:val="center"/>
              <w:rPr>
                <w:rFonts w:ascii="Times New Roman" w:hAnsi="Times New Roman" w:cs="Times New Roman" w:eastAsia="Times New Roman" w:hint="default"/>
                <w:sz w:val="18"/>
                <w:szCs w:val="18"/>
              </w:rPr>
            </w:pPr>
            <w:r>
              <w:rPr>
                <w:rFonts w:ascii="Times New Roman"/>
                <w:sz w:val="18"/>
              </w:rPr>
              <w:t>,267.</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29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-17,5</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75,26</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7.29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-11,8</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2" w:lineRule="auto"/>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5,775</w:t>
            </w:r>
          </w:p>
          <w:p>
            <w:pPr>
              <w:pStyle w:val="TableParagraph"/>
              <w:spacing w:line="240" w:lineRule="auto" w:before="105"/>
              <w:ind w:left="87" w:right="0"/>
              <w:jc w:val="center"/>
              <w:rPr>
                <w:rFonts w:ascii="Times New Roman" w:hAnsi="Times New Roman" w:cs="Times New Roman" w:eastAsia="Times New Roman" w:hint="default"/>
                <w:sz w:val="18"/>
                <w:szCs w:val="18"/>
              </w:rPr>
            </w:pPr>
            <w:r>
              <w:rPr>
                <w:rFonts w:ascii="Times New Roman"/>
                <w:sz w:val="18"/>
              </w:rPr>
              <w:t>,267.</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29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-5,77</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5,267</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1"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．对所有者（或</w:t>
            </w:r>
            <w:r>
              <w:rPr>
                <w:rFonts w:ascii="宋体" w:hAnsi="宋体" w:cs="宋体" w:eastAsia="宋体" w:hint="default"/>
                <w:sz w:val="18"/>
                <w:szCs w:val="18"/>
              </w:rPr>
              <w:t>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2" w:right="0"/>
              <w:jc w:val="left"/>
              <w:rPr>
                <w:rFonts w:ascii="Times New Roman" w:hAnsi="Times New Roman" w:cs="Times New Roman" w:eastAsia="Times New Roman" w:hint="default"/>
                <w:sz w:val="18"/>
                <w:szCs w:val="18"/>
              </w:rPr>
            </w:pPr>
            <w:r>
              <w:rPr>
                <w:rFonts w:ascii="Times New Roman"/>
                <w:sz w:val="18"/>
              </w:rPr>
              <w:t>-11,8</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-11,8</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129,</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-129,</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129,</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-129,</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188,</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121,8</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80,18</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0.13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-94,6</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98.39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28,93</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5,212</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.36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172,5</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54,51</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7.42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2,205</w:t>
            </w:r>
          </w:p>
          <w:p>
            <w:pPr>
              <w:pStyle w:val="TableParagraph"/>
              <w:spacing w:line="240" w:lineRule="auto" w:before="104"/>
              <w:ind w:left="89" w:right="0"/>
              <w:jc w:val="center"/>
              <w:rPr>
                <w:rFonts w:ascii="Times New Roman" w:hAnsi="Times New Roman" w:cs="Times New Roman" w:eastAsia="Times New Roman" w:hint="default"/>
                <w:sz w:val="18"/>
                <w:szCs w:val="18"/>
              </w:rPr>
            </w:pPr>
            <w:r>
              <w:rPr>
                <w:rFonts w:ascii="Times New Roman"/>
                <w:sz w:val="18"/>
              </w:rPr>
              <w:t>,078.</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98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514,2</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80,29</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0.50</w:t>
            </w:r>
          </w:p>
        </w:tc>
      </w:tr>
    </w:tbl>
    <w:p>
      <w:pPr>
        <w:pStyle w:val="BodyText"/>
        <w:spacing w:line="240" w:lineRule="auto" w:before="51"/>
        <w:ind w:right="1015"/>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5" w:right="185"/>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152"/>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140" w:right="139"/>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tcBorders>
              <w:left w:val="single" w:sz="4" w:space="0" w:color="000000"/>
              <w:right w:val="single" w:sz="4" w:space="0" w:color="000000"/>
            </w:tcBorders>
            <w:shd w:val="clear" w:color="auto" w:fill="D2D2D2"/>
          </w:tcPr>
          <w:p>
            <w:pPr/>
          </w:p>
        </w:tc>
      </w:tr>
      <w:tr>
        <w:trPr>
          <w:trHeight w:val="1026"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00"/>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44,2</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57,22</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0,080</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13,80</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9,232</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109,4</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00,84</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5.75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224,6</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30,15</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8.07</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0"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44,2</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57,22</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0,080</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13,80</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9,232</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109,4</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00,84</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5.75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224,6</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30,15</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8.07</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62"/>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14,8</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194,4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60,10</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28,83</w:t>
            </w:r>
          </w:p>
          <w:p>
            <w:pPr>
              <w:pStyle w:val="TableParagraph"/>
              <w:spacing w:line="240" w:lineRule="auto" w:before="106"/>
              <w:ind w:left="237" w:right="0"/>
              <w:jc w:val="left"/>
              <w:rPr>
                <w:rFonts w:ascii="Times New Roman" w:hAnsi="Times New Roman" w:cs="Times New Roman" w:eastAsia="Times New Roman" w:hint="default"/>
                <w:sz w:val="18"/>
                <w:szCs w:val="18"/>
              </w:rPr>
            </w:pPr>
            <w:r>
              <w:rPr>
                <w:rFonts w:ascii="Times New Roman"/>
                <w:sz w:val="18"/>
              </w:rPr>
              <w:t>4.61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9,350</w:t>
            </w:r>
          </w:p>
          <w:p>
            <w:pPr>
              <w:pStyle w:val="TableParagraph"/>
              <w:spacing w:line="240" w:lineRule="auto" w:before="105"/>
              <w:ind w:left="86" w:right="0"/>
              <w:jc w:val="center"/>
              <w:rPr>
                <w:rFonts w:ascii="Times New Roman" w:hAnsi="Times New Roman" w:cs="Times New Roman" w:eastAsia="Times New Roman" w:hint="default"/>
                <w:sz w:val="18"/>
                <w:szCs w:val="18"/>
              </w:rPr>
            </w:pPr>
            <w:r>
              <w:rPr>
                <w:rFonts w:ascii="Times New Roman"/>
                <w:sz w:val="18"/>
              </w:rPr>
              <w:t>,712.</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62,88</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8,241.</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78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281,5</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27,88</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9.27</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0"/>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28,83</w:t>
            </w:r>
          </w:p>
          <w:p>
            <w:pPr>
              <w:pStyle w:val="TableParagraph"/>
              <w:spacing w:line="240" w:lineRule="auto" w:before="106"/>
              <w:ind w:left="237" w:right="0"/>
              <w:jc w:val="left"/>
              <w:rPr>
                <w:rFonts w:ascii="Times New Roman" w:hAnsi="Times New Roman" w:cs="Times New Roman" w:eastAsia="Times New Roman" w:hint="default"/>
                <w:sz w:val="18"/>
                <w:szCs w:val="18"/>
              </w:rPr>
            </w:pPr>
            <w:r>
              <w:rPr>
                <w:rFonts w:ascii="Times New Roman"/>
                <w:sz w:val="18"/>
              </w:rPr>
              <w:t>4.61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80,52</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0,708.</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66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80,54</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9,543</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.27</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14,8</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194,4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60,10</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209,2</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60,10</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56"/>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14,8</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194,4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60,10</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209,2</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60,10</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9,350</w:t>
            </w:r>
          </w:p>
          <w:p>
            <w:pPr>
              <w:pStyle w:val="TableParagraph"/>
              <w:spacing w:line="240" w:lineRule="auto" w:before="105"/>
              <w:ind w:left="86" w:right="0"/>
              <w:jc w:val="center"/>
              <w:rPr>
                <w:rFonts w:ascii="Times New Roman" w:hAnsi="Times New Roman" w:cs="Times New Roman" w:eastAsia="Times New Roman" w:hint="default"/>
                <w:sz w:val="18"/>
                <w:szCs w:val="18"/>
              </w:rPr>
            </w:pPr>
            <w:r>
              <w:rPr>
                <w:rFonts w:ascii="Times New Roman"/>
                <w:sz w:val="18"/>
              </w:rPr>
              <w:t>,712.</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-17,6</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32,46</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6.88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-8,28</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1,754</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9,350</w:t>
            </w:r>
          </w:p>
          <w:p>
            <w:pPr>
              <w:pStyle w:val="TableParagraph"/>
              <w:spacing w:line="240" w:lineRule="auto" w:before="105"/>
              <w:ind w:left="86" w:right="0"/>
              <w:jc w:val="center"/>
              <w:rPr>
                <w:rFonts w:ascii="Times New Roman" w:hAnsi="Times New Roman" w:cs="Times New Roman" w:eastAsia="Times New Roman" w:hint="default"/>
                <w:sz w:val="18"/>
                <w:szCs w:val="18"/>
              </w:rPr>
            </w:pPr>
            <w:r>
              <w:rPr>
                <w:rFonts w:ascii="Times New Roman"/>
                <w:sz w:val="18"/>
              </w:rPr>
              <w:t>,712.</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-9,35</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0,712.</w:t>
            </w:r>
          </w:p>
          <w:p>
            <w:pPr>
              <w:pStyle w:val="TableParagraph"/>
              <w:spacing w:line="240" w:lineRule="auto" w:before="106"/>
              <w:ind w:left="282" w:right="0"/>
              <w:jc w:val="center"/>
              <w:rPr>
                <w:rFonts w:ascii="Times New Roman" w:hAnsi="Times New Roman" w:cs="Times New Roman" w:eastAsia="Times New Roman" w:hint="default"/>
                <w:sz w:val="18"/>
                <w:szCs w:val="18"/>
              </w:rPr>
            </w:pPr>
            <w:r>
              <w:rPr>
                <w:rFonts w:ascii="Times New Roman"/>
                <w:sz w:val="18"/>
              </w:rPr>
              <w:t>88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．对所有者（或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-8,28</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1,754.</w:t>
            </w:r>
          </w:p>
          <w:p>
            <w:pPr>
              <w:pStyle w:val="TableParagraph"/>
              <w:spacing w:line="240" w:lineRule="auto" w:before="106"/>
              <w:ind w:left="282" w:right="0"/>
              <w:jc w:val="center"/>
              <w:rPr>
                <w:rFonts w:ascii="Times New Roman" w:hAnsi="Times New Roman" w:cs="Times New Roman" w:eastAsia="Times New Roman" w:hint="default"/>
                <w:sz w:val="18"/>
                <w:szCs w:val="18"/>
              </w:rPr>
            </w:pPr>
            <w:r>
              <w:rPr>
                <w:rFonts w:ascii="Times New Roman"/>
                <w:sz w:val="18"/>
              </w:rPr>
              <w:t>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-8,28</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1,754</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0"/>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59,0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251,6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80,18</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0.13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28,83</w:t>
            </w:r>
          </w:p>
          <w:p>
            <w:pPr>
              <w:pStyle w:val="TableParagraph"/>
              <w:spacing w:line="240" w:lineRule="auto" w:before="106"/>
              <w:ind w:left="237" w:right="0"/>
              <w:jc w:val="left"/>
              <w:rPr>
                <w:rFonts w:ascii="Times New Roman" w:hAnsi="Times New Roman" w:cs="Times New Roman" w:eastAsia="Times New Roman" w:hint="default"/>
                <w:sz w:val="18"/>
                <w:szCs w:val="18"/>
              </w:rPr>
            </w:pPr>
            <w:r>
              <w:rPr>
                <w:rFonts w:ascii="Times New Roman"/>
                <w:sz w:val="18"/>
              </w:rPr>
              <w:t>4.61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23,15</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9,945</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172,2</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89,08</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7.53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506,1</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58,04</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7.34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15"/>
        <w:jc w:val="left"/>
        <w:rPr>
          <w:b w:val="0"/>
          <w:bCs w:val="0"/>
        </w:rPr>
      </w:pPr>
      <w:bookmarkStart w:name="8、母公司所有者权益变动表" w:id="167"/>
      <w:bookmarkEnd w:id="167"/>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15"/>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3" w:right="12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59,00</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247,56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4,980.1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22,909,</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945.07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177,0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10,63</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1.62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506,48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5,556.8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59,00</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247,56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4,980.1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22,909,</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945.07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177,0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10,63</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1.62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506,48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5,556.8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66"/>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129,8</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-129,80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5,775,2</w:t>
            </w:r>
          </w:p>
          <w:p>
            <w:pPr>
              <w:pStyle w:val="TableParagraph"/>
              <w:spacing w:line="240" w:lineRule="auto" w:before="106"/>
              <w:ind w:left="174" w:right="0"/>
              <w:jc w:val="center"/>
              <w:rPr>
                <w:rFonts w:ascii="Times New Roman" w:hAnsi="Times New Roman" w:cs="Times New Roman" w:eastAsia="Times New Roman" w:hint="default"/>
                <w:sz w:val="18"/>
                <w:szCs w:val="18"/>
              </w:rPr>
            </w:pPr>
            <w:r>
              <w:rPr>
                <w:rFonts w:ascii="Times New Roman"/>
                <w:sz w:val="18"/>
              </w:rPr>
              <w:t>67.29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40,17</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7,405.</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56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45,952,</w:t>
            </w:r>
          </w:p>
          <w:p>
            <w:pPr>
              <w:pStyle w:val="TableParagraph"/>
              <w:spacing w:line="240" w:lineRule="auto" w:before="106"/>
              <w:ind w:left="173" w:right="0"/>
              <w:jc w:val="left"/>
              <w:rPr>
                <w:rFonts w:ascii="Times New Roman" w:hAnsi="Times New Roman" w:cs="Times New Roman" w:eastAsia="Times New Roman" w:hint="default"/>
                <w:sz w:val="18"/>
                <w:szCs w:val="18"/>
              </w:rPr>
            </w:pPr>
            <w:r>
              <w:rPr>
                <w:rFonts w:ascii="Times New Roman"/>
                <w:sz w:val="18"/>
              </w:rPr>
              <w:t>672.85</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57,75</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2,672.</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85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57,752,</w:t>
            </w:r>
          </w:p>
          <w:p>
            <w:pPr>
              <w:pStyle w:val="TableParagraph"/>
              <w:spacing w:line="240" w:lineRule="auto" w:before="106"/>
              <w:ind w:left="173" w:right="0"/>
              <w:jc w:val="left"/>
              <w:rPr>
                <w:rFonts w:ascii="Times New Roman" w:hAnsi="Times New Roman" w:cs="Times New Roman" w:eastAsia="Times New Roman" w:hint="default"/>
                <w:sz w:val="18"/>
                <w:szCs w:val="18"/>
              </w:rPr>
            </w:pPr>
            <w:r>
              <w:rPr>
                <w:rFonts w:ascii="Times New Roman"/>
                <w:sz w:val="18"/>
              </w:rPr>
              <w:t>672.85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5,775,2</w:t>
            </w:r>
          </w:p>
          <w:p>
            <w:pPr>
              <w:pStyle w:val="TableParagraph"/>
              <w:spacing w:line="240" w:lineRule="auto" w:before="106"/>
              <w:ind w:left="174" w:right="0"/>
              <w:jc w:val="center"/>
              <w:rPr>
                <w:rFonts w:ascii="Times New Roman" w:hAnsi="Times New Roman" w:cs="Times New Roman" w:eastAsia="Times New Roman" w:hint="default"/>
                <w:sz w:val="18"/>
                <w:szCs w:val="18"/>
              </w:rPr>
            </w:pPr>
            <w:r>
              <w:rPr>
                <w:rFonts w:ascii="Times New Roman"/>
                <w:sz w:val="18"/>
              </w:rPr>
              <w:t>67.29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-17,5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75,26</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7.29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-11,800</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,000.00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5,775,2</w:t>
            </w:r>
          </w:p>
          <w:p>
            <w:pPr>
              <w:pStyle w:val="TableParagraph"/>
              <w:spacing w:line="240" w:lineRule="auto" w:before="106"/>
              <w:ind w:left="174" w:right="0"/>
              <w:jc w:val="center"/>
              <w:rPr>
                <w:rFonts w:ascii="Times New Roman" w:hAnsi="Times New Roman" w:cs="Times New Roman" w:eastAsia="Times New Roman" w:hint="default"/>
                <w:sz w:val="18"/>
                <w:szCs w:val="18"/>
              </w:rPr>
            </w:pPr>
            <w:r>
              <w:rPr>
                <w:rFonts w:ascii="Times New Roman"/>
                <w:sz w:val="18"/>
              </w:rPr>
              <w:t>67.29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-5,77</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5,267.</w:t>
            </w:r>
          </w:p>
          <w:p>
            <w:pPr>
              <w:pStyle w:val="TableParagraph"/>
              <w:spacing w:line="240" w:lineRule="auto" w:before="106"/>
              <w:ind w:left="279" w:right="0"/>
              <w:jc w:val="center"/>
              <w:rPr>
                <w:rFonts w:ascii="Times New Roman" w:hAnsi="Times New Roman" w:cs="Times New Roman" w:eastAsia="Times New Roman" w:hint="default"/>
                <w:sz w:val="18"/>
                <w:szCs w:val="18"/>
              </w:rPr>
            </w:pPr>
            <w:r>
              <w:rPr>
                <w:rFonts w:ascii="Times New Roman"/>
                <w:sz w:val="18"/>
              </w:rPr>
              <w:t>29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-11,80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-11,800</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129,8</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-129,80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129,8</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-129,80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188,8</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117,764</w:t>
            </w:r>
          </w:p>
          <w:p>
            <w:pPr>
              <w:pStyle w:val="TableParagraph"/>
              <w:spacing w:line="240" w:lineRule="auto" w:before="106"/>
              <w:ind w:left="143" w:right="0"/>
              <w:jc w:val="left"/>
              <w:rPr>
                <w:rFonts w:ascii="Times New Roman" w:hAnsi="Times New Roman" w:cs="Times New Roman" w:eastAsia="Times New Roman" w:hint="default"/>
                <w:sz w:val="18"/>
                <w:szCs w:val="18"/>
              </w:rPr>
            </w:pPr>
            <w:r>
              <w:rPr>
                <w:rFonts w:ascii="Times New Roman"/>
                <w:sz w:val="18"/>
              </w:rPr>
              <w:t>,980.13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28,685,</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212.36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217,1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88,03</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7.18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552,43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8,229.6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bl>
    <w:p>
      <w:pPr>
        <w:pStyle w:val="BodyText"/>
        <w:spacing w:line="240" w:lineRule="auto" w:before="51"/>
        <w:ind w:right="1015"/>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3" w:right="12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7" w:right="14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7" w:right="14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4" w:right="0"/>
              <w:jc w:val="left"/>
              <w:rPr>
                <w:rFonts w:ascii="Times New Roman" w:hAnsi="Times New Roman" w:cs="Times New Roman" w:eastAsia="Times New Roman" w:hint="default"/>
                <w:sz w:val="18"/>
                <w:szCs w:val="18"/>
              </w:rPr>
            </w:pPr>
            <w:r>
              <w:rPr>
                <w:rFonts w:ascii="Times New Roman"/>
                <w:sz w:val="18"/>
              </w:rPr>
              <w:t>44,20</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53,104,</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880.13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13,559,</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232.19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8" w:right="0"/>
              <w:jc w:val="left"/>
              <w:rPr>
                <w:rFonts w:ascii="Times New Roman" w:hAnsi="Times New Roman" w:cs="Times New Roman" w:eastAsia="Times New Roman" w:hint="default"/>
                <w:sz w:val="18"/>
                <w:szCs w:val="18"/>
              </w:rPr>
            </w:pPr>
            <w:r>
              <w:rPr>
                <w:rFonts w:ascii="Times New Roman"/>
                <w:sz w:val="18"/>
              </w:rPr>
              <w:t>101,1</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35,96</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9.66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212,00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0,081.9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4" w:right="0"/>
              <w:jc w:val="left"/>
              <w:rPr>
                <w:rFonts w:ascii="Times New Roman" w:hAnsi="Times New Roman" w:cs="Times New Roman" w:eastAsia="Times New Roman" w:hint="default"/>
                <w:sz w:val="18"/>
                <w:szCs w:val="18"/>
              </w:rPr>
            </w:pPr>
            <w:r>
              <w:rPr>
                <w:rFonts w:ascii="Times New Roman"/>
                <w:sz w:val="18"/>
              </w:rPr>
              <w:t>44,20</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53,104,</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880.13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13,559,</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232.19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8" w:right="0"/>
              <w:jc w:val="left"/>
              <w:rPr>
                <w:rFonts w:ascii="Times New Roman" w:hAnsi="Times New Roman" w:cs="Times New Roman" w:eastAsia="Times New Roman" w:hint="default"/>
                <w:sz w:val="18"/>
                <w:szCs w:val="18"/>
              </w:rPr>
            </w:pPr>
            <w:r>
              <w:rPr>
                <w:rFonts w:ascii="Times New Roman"/>
                <w:sz w:val="18"/>
              </w:rPr>
              <w:t>101,1</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35,96</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9.66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212,00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0,081.9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66"/>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4" w:right="0"/>
              <w:jc w:val="left"/>
              <w:rPr>
                <w:rFonts w:ascii="Times New Roman" w:hAnsi="Times New Roman" w:cs="Times New Roman" w:eastAsia="Times New Roman" w:hint="default"/>
                <w:sz w:val="18"/>
                <w:szCs w:val="18"/>
              </w:rPr>
            </w:pPr>
            <w:r>
              <w:rPr>
                <w:rFonts w:ascii="Times New Roman"/>
                <w:sz w:val="18"/>
              </w:rPr>
              <w:t>14,80</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194,46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0,100.0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9,350,7</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12.88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8" w:right="0"/>
              <w:jc w:val="left"/>
              <w:rPr>
                <w:rFonts w:ascii="Times New Roman" w:hAnsi="Times New Roman" w:cs="Times New Roman" w:eastAsia="Times New Roman" w:hint="default"/>
                <w:sz w:val="18"/>
                <w:szCs w:val="18"/>
              </w:rPr>
            </w:pPr>
            <w:r>
              <w:rPr>
                <w:rFonts w:ascii="Times New Roman"/>
                <w:sz w:val="18"/>
              </w:rPr>
              <w:t>75,87</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4,661.</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96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294,48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5,474.8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8" w:right="0"/>
              <w:jc w:val="left"/>
              <w:rPr>
                <w:rFonts w:ascii="Times New Roman" w:hAnsi="Times New Roman" w:cs="Times New Roman" w:eastAsia="Times New Roman" w:hint="default"/>
                <w:sz w:val="18"/>
                <w:szCs w:val="18"/>
              </w:rPr>
            </w:pPr>
            <w:r>
              <w:rPr>
                <w:rFonts w:ascii="Times New Roman"/>
                <w:sz w:val="18"/>
              </w:rPr>
              <w:t>93,50</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7,128.</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84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93,507,</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128.84</w:t>
            </w:r>
          </w:p>
        </w:tc>
      </w:tr>
      <w:tr>
        <w:trPr>
          <w:trHeight w:val="715"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74" w:right="0"/>
              <w:jc w:val="left"/>
              <w:rPr>
                <w:rFonts w:ascii="Times New Roman" w:hAnsi="Times New Roman" w:cs="Times New Roman" w:eastAsia="Times New Roman" w:hint="default"/>
                <w:sz w:val="18"/>
                <w:szCs w:val="18"/>
              </w:rPr>
            </w:pPr>
            <w:r>
              <w:rPr>
                <w:rFonts w:ascii="Times New Roman"/>
                <w:sz w:val="18"/>
              </w:rPr>
              <w:t>14,80</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9" w:right="0"/>
              <w:jc w:val="left"/>
              <w:rPr>
                <w:rFonts w:ascii="Times New Roman" w:hAnsi="Times New Roman" w:cs="Times New Roman" w:eastAsia="Times New Roman" w:hint="default"/>
                <w:sz w:val="18"/>
                <w:szCs w:val="18"/>
              </w:rPr>
            </w:pPr>
            <w:r>
              <w:rPr>
                <w:rFonts w:ascii="Times New Roman"/>
                <w:sz w:val="18"/>
              </w:rPr>
              <w:t>194,46</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0,100.0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73" w:right="0"/>
              <w:jc w:val="left"/>
              <w:rPr>
                <w:rFonts w:ascii="Times New Roman" w:hAnsi="Times New Roman" w:cs="Times New Roman" w:eastAsia="Times New Roman" w:hint="default"/>
                <w:sz w:val="18"/>
                <w:szCs w:val="18"/>
              </w:rPr>
            </w:pPr>
            <w:r>
              <w:rPr>
                <w:rFonts w:ascii="Times New Roman"/>
                <w:sz w:val="18"/>
              </w:rPr>
              <w:t>209,26</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0,100.0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14,80</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194,46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0,100.0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209,26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0,100.0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9,350,7</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12.88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-17,6</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32,46</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6.88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-8,281,</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754.00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9,350,7</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12.88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-9,35</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0,712.</w:t>
            </w:r>
          </w:p>
          <w:p>
            <w:pPr>
              <w:pStyle w:val="TableParagraph"/>
              <w:spacing w:line="240" w:lineRule="auto" w:before="106"/>
              <w:ind w:left="279" w:right="0"/>
              <w:jc w:val="center"/>
              <w:rPr>
                <w:rFonts w:ascii="Times New Roman" w:hAnsi="Times New Roman" w:cs="Times New Roman" w:eastAsia="Times New Roman" w:hint="default"/>
                <w:sz w:val="18"/>
                <w:szCs w:val="18"/>
              </w:rPr>
            </w:pPr>
            <w:r>
              <w:rPr>
                <w:rFonts w:ascii="Times New Roman"/>
                <w:sz w:val="18"/>
              </w:rPr>
              <w:t>88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-8,28</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1,754.</w:t>
            </w:r>
          </w:p>
          <w:p>
            <w:pPr>
              <w:pStyle w:val="TableParagraph"/>
              <w:spacing w:line="240" w:lineRule="auto" w:before="106"/>
              <w:ind w:left="279" w:right="0"/>
              <w:jc w:val="center"/>
              <w:rPr>
                <w:rFonts w:ascii="Times New Roman" w:hAnsi="Times New Roman" w:cs="Times New Roman" w:eastAsia="Times New Roman" w:hint="default"/>
                <w:sz w:val="18"/>
                <w:szCs w:val="18"/>
              </w:rPr>
            </w:pPr>
            <w:r>
              <w:rPr>
                <w:rFonts w:ascii="Times New Roman"/>
                <w:sz w:val="18"/>
              </w:rPr>
              <w:t>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-8,281,</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754.00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59,00</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247,56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4,980.1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22,909,</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945.07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177,0</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10,63</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1.62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506,48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5,556.8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Times New Roman" w:hAnsi="Times New Roman" w:cs="Times New Roman" w:eastAsia="Times New Roman" w:hint="default"/>
          <w:sz w:val="23"/>
          <w:szCs w:val="23"/>
        </w:rPr>
      </w:pPr>
    </w:p>
    <w:p>
      <w:pPr>
        <w:pStyle w:val="Heading2"/>
        <w:spacing w:line="240" w:lineRule="auto" w:before="26"/>
        <w:ind w:right="1015"/>
        <w:jc w:val="left"/>
        <w:rPr>
          <w:b w:val="0"/>
          <w:bCs w:val="0"/>
        </w:rPr>
      </w:pPr>
      <w:bookmarkStart w:name="三、公司基本情况" w:id="168"/>
      <w:bookmarkEnd w:id="168"/>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Heading3"/>
        <w:tabs>
          <w:tab w:pos="1974" w:val="left" w:leader="none"/>
        </w:tabs>
        <w:spacing w:line="240" w:lineRule="auto"/>
        <w:ind w:right="1015"/>
        <w:jc w:val="left"/>
        <w:rPr>
          <w:b w:val="0"/>
          <w:bCs w:val="0"/>
        </w:rPr>
      </w:pPr>
      <w:r>
        <w:rPr>
          <w:w w:val="95"/>
        </w:rPr>
        <w:t>一、</w:t>
        <w:tab/>
      </w:r>
      <w:r>
        <w:rPr/>
        <w:t>公司基本情况</w:t>
      </w:r>
      <w:r>
        <w:rPr>
          <w:b w:val="0"/>
          <w:bCs w:val="0"/>
        </w:rPr>
      </w:r>
    </w:p>
    <w:p>
      <w:pPr>
        <w:pStyle w:val="BodyText"/>
        <w:spacing w:line="300" w:lineRule="auto" w:before="62"/>
        <w:ind w:left="1133" w:right="1129"/>
        <w:jc w:val="left"/>
      </w:pPr>
      <w:r>
        <w:rPr>
          <w:rFonts w:ascii="Times New Roman" w:hAnsi="Times New Roman" w:cs="Times New Roman" w:eastAsia="Times New Roman" w:hint="default"/>
          <w:b/>
          <w:bCs/>
        </w:rPr>
        <w:t>(</w:t>
      </w:r>
      <w:r>
        <w:rPr>
          <w:rFonts w:ascii="宋体" w:hAnsi="宋体" w:cs="宋体" w:eastAsia="宋体" w:hint="default"/>
          <w:b/>
          <w:bCs/>
        </w:rPr>
        <w:t>一</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28"/>
        </w:rPr>
        <w:t> </w:t>
      </w:r>
      <w:r>
        <w:rPr>
          <w:rFonts w:ascii="宋体" w:hAnsi="宋体" w:cs="宋体" w:eastAsia="宋体" w:hint="default"/>
          <w:b/>
          <w:bCs/>
        </w:rPr>
        <w:t>公司概况</w:t>
      </w:r>
      <w:r>
        <w:rPr>
          <w:rFonts w:ascii="宋体" w:hAnsi="宋体" w:cs="宋体" w:eastAsia="宋体" w:hint="default"/>
          <w:b/>
          <w:bCs/>
          <w:w w:val="99"/>
        </w:rPr>
        <w:t> </w:t>
      </w:r>
      <w:r>
        <w:rPr>
          <w:spacing w:val="-1"/>
        </w:rPr>
        <w:t>广东乐心医疗电子股份有限公司（以下简称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），是在中山市创源电子有限公司基础上整体变更设立的股份</w:t>
      </w:r>
      <w:r>
        <w:rPr>
          <w:spacing w:val="-80"/>
        </w:rPr>
        <w:t> </w:t>
      </w:r>
      <w:r>
        <w:rPr>
          <w:spacing w:val="-80"/>
        </w:rPr>
      </w:r>
      <w:r>
        <w:rPr>
          <w:spacing w:val="6"/>
        </w:rPr>
        <w:t>公司。创源电子于</w:t>
      </w:r>
      <w:r>
        <w:rPr>
          <w:rFonts w:ascii="Times New Roman" w:hAnsi="Times New Roman" w:cs="Times New Roman" w:eastAsia="Times New Roman" w:hint="default"/>
          <w:spacing w:val="6"/>
        </w:rPr>
        <w:t>2002</w:t>
      </w:r>
      <w:r>
        <w:rPr>
          <w:spacing w:val="6"/>
        </w:rPr>
        <w:t>年</w:t>
      </w:r>
      <w:r>
        <w:rPr>
          <w:rFonts w:ascii="Times New Roman" w:hAnsi="Times New Roman" w:cs="Times New Roman" w:eastAsia="Times New Roman" w:hint="default"/>
          <w:spacing w:val="6"/>
        </w:rPr>
        <w:t>7</w:t>
      </w:r>
      <w:r>
        <w:rPr>
          <w:spacing w:val="6"/>
        </w:rPr>
        <w:t>月</w:t>
      </w:r>
      <w:r>
        <w:rPr>
          <w:rFonts w:ascii="Times New Roman" w:hAnsi="Times New Roman" w:cs="Times New Roman" w:eastAsia="Times New Roman" w:hint="default"/>
          <w:spacing w:val="6"/>
        </w:rPr>
        <w:t>18</w:t>
      </w:r>
      <w:r>
        <w:rPr>
          <w:spacing w:val="6"/>
        </w:rPr>
        <w:t>日经中山市工商行政管理局批准成立，公司初始注册资本为</w:t>
      </w:r>
      <w:r>
        <w:rPr>
          <w:rFonts w:ascii="Times New Roman" w:hAnsi="Times New Roman" w:cs="Times New Roman" w:eastAsia="Times New Roman" w:hint="default"/>
          <w:spacing w:val="6"/>
        </w:rPr>
        <w:t>50</w:t>
      </w:r>
      <w:r>
        <w:rPr>
          <w:spacing w:val="6"/>
        </w:rPr>
        <w:t>万元，营业执照注册号为</w:t>
      </w:r>
      <w:r>
        <w:rPr>
          <w:spacing w:val="-63"/>
        </w:rPr>
        <w:t> </w:t>
      </w:r>
      <w:r>
        <w:rPr>
          <w:spacing w:val="-63"/>
        </w:rPr>
      </w:r>
      <w:r>
        <w:rPr>
          <w:rFonts w:ascii="宋体" w:hAnsi="宋体" w:cs="宋体" w:eastAsia="宋体" w:hint="default"/>
        </w:rPr>
        <w:t>442000000123096</w:t>
      </w:r>
      <w:r>
        <w:rPr/>
        <w:t>。</w:t>
      </w:r>
    </w:p>
    <w:p>
      <w:pPr>
        <w:pStyle w:val="BodyText"/>
        <w:spacing w:line="314" w:lineRule="auto" w:before="31"/>
        <w:ind w:left="1133" w:right="1027"/>
        <w:jc w:val="left"/>
      </w:pPr>
      <w:r>
        <w:rPr>
          <w:rFonts w:ascii="宋体" w:hAnsi="宋体" w:cs="宋体" w:eastAsia="宋体" w:hint="default"/>
          <w:spacing w:val="-2"/>
        </w:rPr>
        <w:t>2016</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26</w:t>
      </w:r>
      <w:r>
        <w:rPr>
          <w:spacing w:val="-2"/>
        </w:rPr>
        <w:t>日，经中国证券监督管理委员会“证监许可【</w:t>
      </w:r>
      <w:r>
        <w:rPr>
          <w:rFonts w:ascii="宋体" w:hAnsi="宋体" w:cs="宋体" w:eastAsia="宋体" w:hint="default"/>
          <w:spacing w:val="-2"/>
        </w:rPr>
        <w:t>2016</w:t>
      </w:r>
      <w:r>
        <w:rPr>
          <w:spacing w:val="-2"/>
        </w:rPr>
        <w:t>】</w:t>
      </w:r>
      <w:r>
        <w:rPr>
          <w:rFonts w:ascii="宋体" w:hAnsi="宋体" w:cs="宋体" w:eastAsia="宋体" w:hint="default"/>
          <w:spacing w:val="-2"/>
        </w:rPr>
        <w:t>2432</w:t>
      </w:r>
      <w:r>
        <w:rPr>
          <w:spacing w:val="-2"/>
        </w:rPr>
        <w:t>号文”《关于核准广东乐心医疗电子股份有限公司首</w:t>
      </w:r>
      <w:r>
        <w:rPr>
          <w:spacing w:val="-53"/>
        </w:rPr>
        <w:t> </w:t>
      </w:r>
      <w:r>
        <w:rPr>
          <w:spacing w:val="-53"/>
        </w:rPr>
      </w:r>
      <w:r>
        <w:rPr>
          <w:spacing w:val="-4"/>
        </w:rPr>
        <w:t>次公开发行股票的批复》核准，</w:t>
      </w:r>
      <w:r>
        <w:rPr>
          <w:rFonts w:ascii="宋体" w:hAnsi="宋体" w:cs="宋体" w:eastAsia="宋体" w:hint="default"/>
          <w:spacing w:val="-4"/>
        </w:rPr>
        <w:t>2016</w:t>
      </w:r>
      <w:r>
        <w:rPr>
          <w:spacing w:val="-4"/>
        </w:rPr>
        <w:t>年</w:t>
      </w:r>
      <w:r>
        <w:rPr>
          <w:rFonts w:ascii="宋体" w:hAnsi="宋体" w:cs="宋体" w:eastAsia="宋体" w:hint="default"/>
          <w:spacing w:val="-4"/>
        </w:rPr>
        <w:t>11</w:t>
      </w:r>
      <w:r>
        <w:rPr>
          <w:spacing w:val="-4"/>
        </w:rPr>
        <w:t>月</w:t>
      </w:r>
      <w:r>
        <w:rPr>
          <w:rFonts w:ascii="宋体" w:hAnsi="宋体" w:cs="宋体" w:eastAsia="宋体" w:hint="default"/>
          <w:spacing w:val="-4"/>
        </w:rPr>
        <w:t>7</w:t>
      </w:r>
      <w:r>
        <w:rPr>
          <w:spacing w:val="-4"/>
        </w:rPr>
        <w:t>日公司向社会公众公开发行</w:t>
      </w:r>
      <w:r>
        <w:rPr>
          <w:rFonts w:ascii="宋体" w:hAnsi="宋体" w:cs="宋体" w:eastAsia="宋体" w:hint="default"/>
          <w:spacing w:val="-4"/>
        </w:rPr>
        <w:t>14,800,000.00</w:t>
      </w:r>
      <w:r>
        <w:rPr>
          <w:spacing w:val="-4"/>
        </w:rPr>
        <w:t>股人民币普通股股票（每股面值</w:t>
      </w:r>
      <w:r>
        <w:rPr>
          <w:rFonts w:ascii="宋体" w:hAnsi="宋体" w:cs="宋体" w:eastAsia="宋体" w:hint="default"/>
          <w:spacing w:val="-4"/>
        </w:rPr>
        <w:t>1</w:t>
      </w:r>
      <w:r>
        <w:rPr>
          <w:spacing w:val="-4"/>
        </w:rPr>
        <w:t>元）。</w:t>
      </w:r>
      <w:r>
        <w:rPr/>
        <w:t> 本次公开发行股票后增加注册资本人民币</w:t>
      </w:r>
      <w:r>
        <w:rPr>
          <w:rFonts w:ascii="宋体" w:hAnsi="宋体" w:cs="宋体" w:eastAsia="宋体" w:hint="default"/>
        </w:rPr>
        <w:t>14,800,000.00</w:t>
      </w:r>
      <w:r>
        <w:rPr/>
        <w:t>元，变更后的注册资本为人民币</w:t>
      </w:r>
      <w:r>
        <w:rPr>
          <w:rFonts w:ascii="宋体" w:hAnsi="宋体" w:cs="宋体" w:eastAsia="宋体" w:hint="default"/>
        </w:rPr>
        <w:t>59,000,000.00</w:t>
      </w:r>
      <w:r>
        <w:rPr/>
        <w:t>元。 </w:t>
      </w:r>
      <w:r>
        <w:rPr>
          <w:rFonts w:ascii="宋体" w:hAnsi="宋体" w:cs="宋体" w:eastAsia="宋体" w:hint="default"/>
        </w:rPr>
        <w:t>2017</w:t>
      </w:r>
      <w:r>
        <w:rPr/>
        <w:t>年</w:t>
      </w:r>
      <w:r>
        <w:rPr>
          <w:rFonts w:ascii="Times New Roman" w:hAnsi="Times New Roman" w:cs="Times New Roman" w:eastAsia="Times New Roman" w:hint="default"/>
        </w:rPr>
        <w:t>4</w:t>
      </w:r>
      <w:r>
        <w:rPr/>
        <w:t>月，根据</w:t>
      </w:r>
      <w:r>
        <w:rPr>
          <w:rFonts w:ascii="宋体" w:hAnsi="宋体" w:cs="宋体" w:eastAsia="宋体" w:hint="default"/>
        </w:rPr>
        <w:t>2016</w:t>
      </w:r>
      <w:r>
        <w:rPr/>
        <w:t>年度股东大会通过的有关决议，公司以截止</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5,900.00</w:t>
      </w:r>
      <w:r>
        <w:rPr/>
        <w:t>万股为基数，以资本公积</w:t>
      </w:r>
      <w:r>
        <w:rPr>
          <w:spacing w:val="-84"/>
        </w:rPr>
        <w:t> </w:t>
      </w:r>
      <w:r>
        <w:rPr>
          <w:spacing w:val="-84"/>
        </w:rPr>
      </w:r>
      <w:r>
        <w:rPr>
          <w:spacing w:val="4"/>
        </w:rPr>
        <w:t>金向全体股东每</w:t>
      </w:r>
      <w:r>
        <w:rPr>
          <w:rFonts w:ascii="宋体" w:hAnsi="宋体" w:cs="宋体" w:eastAsia="宋体" w:hint="default"/>
          <w:spacing w:val="4"/>
        </w:rPr>
        <w:t>10</w:t>
      </w:r>
      <w:r>
        <w:rPr>
          <w:spacing w:val="4"/>
        </w:rPr>
        <w:t>股转增</w:t>
      </w:r>
      <w:r>
        <w:rPr>
          <w:rFonts w:ascii="宋体" w:hAnsi="宋体" w:cs="宋体" w:eastAsia="宋体" w:hint="default"/>
          <w:spacing w:val="4"/>
        </w:rPr>
        <w:t>22</w:t>
      </w:r>
      <w:r>
        <w:rPr>
          <w:spacing w:val="4"/>
        </w:rPr>
        <w:t>股。转增完成后公司股本由</w:t>
      </w:r>
      <w:r>
        <w:rPr>
          <w:rFonts w:ascii="宋体" w:hAnsi="宋体" w:cs="宋体" w:eastAsia="宋体" w:hint="default"/>
          <w:spacing w:val="4"/>
        </w:rPr>
        <w:t>5,900</w:t>
      </w:r>
      <w:r>
        <w:rPr>
          <w:spacing w:val="4"/>
        </w:rPr>
        <w:t>万股增加至</w:t>
      </w:r>
      <w:r>
        <w:rPr>
          <w:rFonts w:ascii="宋体" w:hAnsi="宋体" w:cs="宋体" w:eastAsia="宋体" w:hint="default"/>
          <w:spacing w:val="4"/>
        </w:rPr>
        <w:t>18,880</w:t>
      </w:r>
      <w:r>
        <w:rPr>
          <w:spacing w:val="4"/>
        </w:rPr>
        <w:t>万股，公司注册资本由</w:t>
      </w:r>
      <w:r>
        <w:rPr>
          <w:rFonts w:ascii="宋体" w:hAnsi="宋体" w:cs="宋体" w:eastAsia="宋体" w:hint="default"/>
          <w:spacing w:val="4"/>
        </w:rPr>
        <w:t>5,900</w:t>
      </w:r>
      <w:r>
        <w:rPr>
          <w:spacing w:val="4"/>
        </w:rPr>
        <w:t>万元增加至</w:t>
      </w:r>
      <w:r>
        <w:rPr>
          <w:spacing w:val="-65"/>
        </w:rPr>
        <w:t> </w:t>
      </w:r>
      <w:r>
        <w:rPr>
          <w:spacing w:val="-65"/>
        </w:rPr>
      </w:r>
      <w:r>
        <w:rPr>
          <w:rFonts w:ascii="宋体" w:hAnsi="宋体" w:cs="宋体" w:eastAsia="宋体" w:hint="default"/>
        </w:rPr>
        <w:t>18,880</w:t>
      </w:r>
      <w:r>
        <w:rPr/>
        <w:t>万元。</w:t>
      </w:r>
    </w:p>
    <w:p>
      <w:pPr>
        <w:pStyle w:val="BodyText"/>
        <w:spacing w:line="316" w:lineRule="auto" w:before="20"/>
        <w:ind w:left="1133" w:right="5443"/>
        <w:jc w:val="left"/>
      </w:pPr>
      <w:r>
        <w:rPr/>
        <w:t>公司行业属设备制造业（</w:t>
      </w:r>
      <w:r>
        <w:rPr>
          <w:rFonts w:ascii="宋体" w:hAnsi="宋体" w:cs="宋体" w:eastAsia="宋体" w:hint="default"/>
        </w:rPr>
        <w:t>C35</w:t>
      </w:r>
      <w:r>
        <w:rPr/>
        <w:t>）中的医疗仪器设备及器械制造行业。 公司住所：中山市火炬开发区东利路</w:t>
      </w:r>
      <w:r>
        <w:rPr>
          <w:rFonts w:ascii="Times New Roman" w:hAnsi="Times New Roman" w:cs="Times New Roman" w:eastAsia="Times New Roman" w:hint="default"/>
        </w:rPr>
        <w:t>105</w:t>
      </w:r>
      <w:r>
        <w:rPr/>
        <w:t>号</w:t>
      </w:r>
      <w:r>
        <w:rPr>
          <w:rFonts w:ascii="Times New Roman" w:hAnsi="Times New Roman" w:cs="Times New Roman" w:eastAsia="Times New Roman" w:hint="default"/>
        </w:rPr>
        <w:t>A</w:t>
      </w:r>
      <w:r>
        <w:rPr/>
        <w:t>区</w:t>
      </w:r>
    </w:p>
    <w:p>
      <w:pPr>
        <w:pStyle w:val="BodyText"/>
        <w:spacing w:line="316" w:lineRule="auto"/>
        <w:ind w:left="1133" w:right="8053"/>
        <w:jc w:val="left"/>
        <w:rPr>
          <w:rFonts w:ascii="Times New Roman" w:hAnsi="Times New Roman" w:cs="Times New Roman" w:eastAsia="Times New Roman" w:hint="default"/>
        </w:rPr>
      </w:pPr>
      <w:r>
        <w:rPr/>
        <w:t>法定代表人：潘伟潮 公司注册号：</w:t>
      </w:r>
      <w:r>
        <w:rPr>
          <w:rFonts w:ascii="Times New Roman" w:hAnsi="Times New Roman" w:cs="Times New Roman" w:eastAsia="Times New Roman" w:hint="default"/>
        </w:rPr>
        <w:t>914420007408365594</w:t>
      </w:r>
    </w:p>
    <w:p>
      <w:pPr>
        <w:pStyle w:val="BodyText"/>
        <w:spacing w:line="312" w:lineRule="auto"/>
        <w:ind w:left="1133" w:right="1015"/>
        <w:jc w:val="left"/>
      </w:pPr>
      <w:r>
        <w:rPr/>
        <w:t>公司注册资本：人民币</w:t>
      </w:r>
      <w:r>
        <w:rPr>
          <w:rFonts w:ascii="Times New Roman" w:hAnsi="Times New Roman" w:cs="Times New Roman" w:eastAsia="Times New Roman" w:hint="default"/>
        </w:rPr>
        <w:t>18880</w:t>
      </w:r>
      <w:r>
        <w:rPr/>
        <w:t>万元 </w:t>
      </w:r>
      <w:r>
        <w:rPr>
          <w:spacing w:val="-2"/>
        </w:rPr>
        <w:t>公司经营范围：软件开发和销售；研发：医疗器械；第二、三类医疗器械生产企业；研发、生产、销售：电子产品、无线通</w:t>
      </w:r>
      <w:r>
        <w:rPr>
          <w:spacing w:val="-71"/>
        </w:rPr>
        <w:t> </w:t>
      </w:r>
      <w:r>
        <w:rPr>
          <w:spacing w:val="-71"/>
        </w:rPr>
      </w:r>
      <w:r>
        <w:rPr>
          <w:spacing w:val="-7"/>
        </w:rPr>
        <w:t>信器材；相关产品的技术推广和咨询服务；货物和技术进出口（依法须经批准的项目，经相关部门批准后方可开展经营活动）。</w:t>
      </w:r>
      <w:r>
        <w:rPr>
          <w:spacing w:val="-52"/>
        </w:rPr>
        <w:t> </w:t>
      </w:r>
      <w:r>
        <w:rPr>
          <w:spacing w:val="-52"/>
        </w:rPr>
      </w:r>
      <w:r>
        <w:rPr/>
        <w:t>本财务报表业经公司全体董事（董事会）于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日批准报出。</w:t>
      </w:r>
    </w:p>
    <w:p>
      <w:pPr>
        <w:pStyle w:val="Heading3"/>
        <w:spacing w:line="268" w:lineRule="exact"/>
        <w:ind w:left="1133" w:right="1015"/>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合并财务报表范围</w:t>
      </w:r>
      <w:r>
        <w:rPr>
          <w:b w:val="0"/>
          <w:bCs w:val="0"/>
        </w:rPr>
      </w:r>
    </w:p>
    <w:p>
      <w:pPr>
        <w:pStyle w:val="BodyText"/>
        <w:spacing w:line="240" w:lineRule="auto" w:before="47"/>
        <w:ind w:left="1133" w:right="1015"/>
        <w:jc w:val="left"/>
      </w:pPr>
      <w:r>
        <w:rPr/>
        <w:t>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日，本公司合并财务报表范围内子公司如下：</w:t>
      </w:r>
    </w:p>
    <w:p>
      <w:pPr>
        <w:spacing w:line="240" w:lineRule="auto" w:before="10"/>
        <w:rPr>
          <w:rFonts w:ascii="宋体" w:hAnsi="宋体" w:cs="宋体" w:eastAsia="宋体" w:hint="default"/>
          <w:sz w:val="12"/>
          <w:szCs w:val="12"/>
        </w:rPr>
      </w:pPr>
    </w:p>
    <w:p>
      <w:pPr>
        <w:spacing w:line="5100" w:lineRule="exact"/>
        <w:ind w:left="1134" w:right="0" w:firstLine="0"/>
        <w:rPr>
          <w:rFonts w:ascii="宋体" w:hAnsi="宋体" w:cs="宋体" w:eastAsia="宋体" w:hint="default"/>
          <w:sz w:val="20"/>
          <w:szCs w:val="20"/>
        </w:rPr>
      </w:pPr>
      <w:r>
        <w:rPr>
          <w:rFonts w:ascii="宋体" w:hAnsi="宋体" w:cs="宋体" w:eastAsia="宋体" w:hint="default"/>
          <w:position w:val="-101"/>
          <w:sz w:val="20"/>
          <w:szCs w:val="20"/>
        </w:rPr>
        <w:drawing>
          <wp:inline distT="0" distB="0" distL="0" distR="0">
            <wp:extent cx="5077460" cy="3238500"/>
            <wp:effectExtent l="0" t="0" r="0" b="0"/>
            <wp:docPr id="23" name="image13.png" descr=""/>
            <wp:cNvGraphicFramePr>
              <a:graphicFrameLocks noChangeAspect="1"/>
            </wp:cNvGraphicFramePr>
            <a:graphic>
              <a:graphicData uri="http://schemas.openxmlformats.org/drawingml/2006/picture">
                <pic:pic>
                  <pic:nvPicPr>
                    <pic:cNvPr id="24" name="image13.png"/>
                    <pic:cNvPicPr/>
                  </pic:nvPicPr>
                  <pic:blipFill>
                    <a:blip r:embed="rId26" cstate="print"/>
                    <a:stretch>
                      <a:fillRect/>
                    </a:stretch>
                  </pic:blipFill>
                  <pic:spPr>
                    <a:xfrm>
                      <a:off x="0" y="0"/>
                      <a:ext cx="5077460" cy="3238500"/>
                    </a:xfrm>
                    <a:prstGeom prst="rect">
                      <a:avLst/>
                    </a:prstGeom>
                  </pic:spPr>
                </pic:pic>
              </a:graphicData>
            </a:graphic>
          </wp:inline>
        </w:drawing>
      </w:r>
      <w:r>
        <w:rPr>
          <w:rFonts w:ascii="宋体" w:hAnsi="宋体" w:cs="宋体" w:eastAsia="宋体" w:hint="default"/>
          <w:position w:val="-101"/>
          <w:sz w:val="20"/>
          <w:szCs w:val="20"/>
        </w:rPr>
      </w:r>
    </w:p>
    <w:p>
      <w:pPr>
        <w:pStyle w:val="Heading2"/>
        <w:spacing w:line="240" w:lineRule="auto" w:before="64"/>
        <w:ind w:right="1015"/>
        <w:jc w:val="left"/>
        <w:rPr>
          <w:b w:val="0"/>
          <w:bCs w:val="0"/>
        </w:rPr>
      </w:pPr>
      <w:r>
        <w:rPr/>
        <w:t>四、财务报表的编制基础</w:t>
      </w:r>
      <w:r>
        <w:rPr>
          <w:b w:val="0"/>
          <w:bCs w:val="0"/>
        </w:rPr>
      </w:r>
    </w:p>
    <w:p>
      <w:pPr>
        <w:spacing w:after="0" w:line="240" w:lineRule="auto"/>
        <w:jc w:val="left"/>
        <w:sectPr>
          <w:pgSz w:w="11910" w:h="16840"/>
          <w:pgMar w:header="907" w:footer="1019" w:top="1100" w:bottom="1200" w:left="0" w:right="0"/>
        </w:sectPr>
      </w:pPr>
    </w:p>
    <w:p>
      <w:pPr>
        <w:spacing w:line="240" w:lineRule="auto" w:before="13"/>
        <w:rPr>
          <w:rFonts w:ascii="宋体" w:hAnsi="宋体" w:cs="宋体" w:eastAsia="宋体" w:hint="default"/>
          <w:b/>
          <w:bCs/>
          <w:sz w:val="22"/>
          <w:szCs w:val="22"/>
        </w:rPr>
      </w:pPr>
    </w:p>
    <w:p>
      <w:pPr>
        <w:pStyle w:val="Heading6"/>
        <w:spacing w:line="240" w:lineRule="auto" w:before="44"/>
        <w:ind w:left="1134" w:right="1015"/>
        <w:jc w:val="left"/>
        <w:rPr>
          <w:b w:val="0"/>
          <w:bCs w:val="0"/>
        </w:rPr>
      </w:pPr>
      <w:bookmarkStart w:name="1、编制基础" w:id="169"/>
      <w:bookmarkEnd w:id="169"/>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0"/>
        <w:rPr>
          <w:rFonts w:ascii="宋体" w:hAnsi="宋体" w:cs="宋体" w:eastAsia="宋体" w:hint="default"/>
          <w:b/>
          <w:bCs/>
          <w:sz w:val="18"/>
          <w:szCs w:val="18"/>
        </w:rPr>
      </w:pPr>
    </w:p>
    <w:p>
      <w:pPr>
        <w:pStyle w:val="BodyText"/>
        <w:spacing w:line="319" w:lineRule="auto" w:before="127"/>
        <w:ind w:left="1133" w:right="1130" w:firstLine="117"/>
        <w:jc w:val="both"/>
      </w:pPr>
      <w:r>
        <w:rPr>
          <w:spacing w:val="-1"/>
        </w:rPr>
        <w:t>公司以持续经营为基础，根据实际发生的交易和事项，按照财政部颁布的《企业会计准则——基本准则》和各项具体会计</w:t>
      </w:r>
      <w:r>
        <w:rPr/>
        <w:t> 准则、企业会计准则应用指南、企业会计准则解释及其他相关规定（以下合称“企业会计准则”），以及中国证券监督管 理委员会《公开发行证券的公司信息披露编报规则第</w:t>
      </w:r>
      <w:r>
        <w:rPr>
          <w:rFonts w:ascii="宋体" w:hAnsi="宋体" w:cs="宋体" w:eastAsia="宋体" w:hint="default"/>
        </w:rPr>
        <w:t>15 </w:t>
      </w:r>
      <w:r>
        <w:rPr/>
        <w:t>号——财务报告的一般规定》的披露规定编制财务报表。</w:t>
      </w:r>
    </w:p>
    <w:p>
      <w:pPr>
        <w:spacing w:line="240" w:lineRule="auto" w:before="4"/>
        <w:rPr>
          <w:rFonts w:ascii="宋体" w:hAnsi="宋体" w:cs="宋体" w:eastAsia="宋体" w:hint="default"/>
          <w:sz w:val="24"/>
          <w:szCs w:val="24"/>
        </w:rPr>
      </w:pPr>
    </w:p>
    <w:p>
      <w:pPr>
        <w:pStyle w:val="BodyText"/>
        <w:spacing w:line="590" w:lineRule="auto"/>
        <w:ind w:right="4092"/>
        <w:jc w:val="left"/>
      </w:pPr>
      <w:bookmarkStart w:name="2、持续经营" w:id="170"/>
      <w:bookmarkEnd w:id="170"/>
      <w:r>
        <w:rPr/>
      </w:r>
      <w:r>
        <w:rPr>
          <w:rFonts w:ascii="Times New Roman" w:hAnsi="Times New Roman" w:cs="Times New Roman" w:eastAsia="Times New Roman" w:hint="default"/>
          <w:b/>
          <w:bCs/>
        </w:rPr>
        <w:t>2</w:t>
      </w:r>
      <w:r>
        <w:rPr>
          <w:rFonts w:ascii="宋体" w:hAnsi="宋体" w:cs="宋体" w:eastAsia="宋体" w:hint="default"/>
          <w:b/>
          <w:bCs/>
        </w:rPr>
        <w:t>、持续经营</w:t>
      </w:r>
      <w:r>
        <w:rPr>
          <w:rFonts w:ascii="宋体" w:hAnsi="宋体" w:cs="宋体" w:eastAsia="宋体" w:hint="default"/>
          <w:b/>
          <w:bCs/>
          <w:w w:val="99"/>
        </w:rPr>
        <w:t> </w:t>
      </w:r>
      <w:r>
        <w:rPr/>
        <w:t>公司自报告期末至少</w:t>
      </w:r>
      <w:r>
        <w:rPr>
          <w:rFonts w:ascii="Times New Roman" w:hAnsi="Times New Roman" w:cs="Times New Roman" w:eastAsia="Times New Roman" w:hint="default"/>
        </w:rPr>
        <w:t>12</w:t>
      </w:r>
      <w:r>
        <w:rPr/>
        <w:t>个月内具备持续经营能力，无影响持续经营能力的重大事项。</w:t>
      </w:r>
    </w:p>
    <w:p>
      <w:pPr>
        <w:pStyle w:val="Heading2"/>
        <w:spacing w:line="240" w:lineRule="auto" w:before="24"/>
        <w:ind w:left="1133" w:right="1015"/>
        <w:jc w:val="left"/>
        <w:rPr>
          <w:b w:val="0"/>
          <w:bCs w:val="0"/>
        </w:rPr>
      </w:pPr>
      <w:bookmarkStart w:name="五、重要会计政策及会计估计" w:id="171"/>
      <w:bookmarkEnd w:id="171"/>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133" w:right="7693"/>
        <w:jc w:val="left"/>
      </w:pPr>
      <w:r>
        <w:rPr/>
        <w:t>公司是否需要遵守特殊行业的披露要求 是</w:t>
      </w:r>
    </w:p>
    <w:p>
      <w:pPr>
        <w:pStyle w:val="BodyText"/>
        <w:spacing w:line="357" w:lineRule="auto" w:before="26"/>
        <w:ind w:left="1133" w:right="8233"/>
        <w:jc w:val="left"/>
      </w:pPr>
      <w:r>
        <w:rPr/>
        <w:t>医疗器械业 具体会计政策和会计估计提示：</w:t>
      </w:r>
    </w:p>
    <w:p>
      <w:pPr>
        <w:pStyle w:val="BodyText"/>
        <w:spacing w:line="316" w:lineRule="auto" w:before="28"/>
        <w:ind w:right="1015"/>
        <w:jc w:val="left"/>
      </w:pPr>
      <w:r>
        <w:rPr>
          <w:spacing w:val="-2"/>
        </w:rPr>
        <w:t>本公司及各子公司根据实际生产经营特点，依据相关企业会计准则的规定，对收入确认等交易和事项制定了若干项具体会计</w:t>
      </w:r>
      <w:r>
        <w:rPr>
          <w:spacing w:val="-64"/>
        </w:rPr>
        <w:t> </w:t>
      </w:r>
      <w:r>
        <w:rPr>
          <w:spacing w:val="-64"/>
        </w:rPr>
      </w:r>
      <w:r>
        <w:rPr/>
        <w:t>政策和会计估计，详见本附注“五</w:t>
      </w:r>
      <w:r>
        <w:rPr>
          <w:rFonts w:ascii="宋体" w:hAnsi="宋体" w:cs="宋体" w:eastAsia="宋体" w:hint="default"/>
        </w:rPr>
        <w:t>28</w:t>
      </w:r>
      <w:r>
        <w:rPr/>
        <w:t>、收入”各项描述。</w:t>
      </w:r>
    </w:p>
    <w:p>
      <w:pPr>
        <w:spacing w:line="240" w:lineRule="auto" w:before="7"/>
        <w:rPr>
          <w:rFonts w:ascii="宋体" w:hAnsi="宋体" w:cs="宋体" w:eastAsia="宋体" w:hint="default"/>
          <w:sz w:val="22"/>
          <w:szCs w:val="22"/>
        </w:rPr>
      </w:pPr>
    </w:p>
    <w:p>
      <w:pPr>
        <w:pStyle w:val="Heading3"/>
        <w:spacing w:line="240" w:lineRule="auto"/>
        <w:ind w:right="1015"/>
        <w:jc w:val="left"/>
        <w:rPr>
          <w:b w:val="0"/>
          <w:bCs w:val="0"/>
        </w:rPr>
      </w:pPr>
      <w:bookmarkStart w:name="1、遵循企业会计准则的声明" w:id="172"/>
      <w:bookmarkEnd w:id="172"/>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15"/>
        <w:jc w:val="left"/>
      </w:pPr>
      <w:r>
        <w:rPr>
          <w:spacing w:val="-2"/>
        </w:rPr>
        <w:t>公司所编制的财务报表符合企业会计准则的要求，真实、完整地反映了本期公司的财务状况、经营成果、现金流量等有关信</w:t>
      </w:r>
      <w:r>
        <w:rPr>
          <w:spacing w:val="-66"/>
        </w:rPr>
        <w:t> </w:t>
      </w:r>
      <w:r>
        <w:rPr>
          <w:spacing w:val="-66"/>
        </w:rPr>
      </w:r>
      <w:r>
        <w:rPr/>
        <w:t>息。</w:t>
      </w:r>
    </w:p>
    <w:p>
      <w:pPr>
        <w:spacing w:line="240" w:lineRule="auto" w:before="5"/>
        <w:rPr>
          <w:rFonts w:ascii="宋体" w:hAnsi="宋体" w:cs="宋体" w:eastAsia="宋体" w:hint="default"/>
          <w:sz w:val="22"/>
          <w:szCs w:val="22"/>
        </w:rPr>
      </w:pPr>
    </w:p>
    <w:p>
      <w:pPr>
        <w:pStyle w:val="Heading3"/>
        <w:spacing w:line="240" w:lineRule="auto"/>
        <w:ind w:right="1015"/>
        <w:jc w:val="left"/>
        <w:rPr>
          <w:b w:val="0"/>
          <w:bCs w:val="0"/>
        </w:rPr>
      </w:pPr>
      <w:bookmarkStart w:name="2、会计期间" w:id="173"/>
      <w:bookmarkEnd w:id="173"/>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5"/>
        <w:jc w:val="left"/>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line="240" w:lineRule="auto" w:before="12"/>
        <w:rPr>
          <w:rFonts w:ascii="宋体" w:hAnsi="宋体" w:cs="宋体" w:eastAsia="宋体" w:hint="default"/>
          <w:sz w:val="26"/>
          <w:szCs w:val="26"/>
        </w:rPr>
      </w:pPr>
    </w:p>
    <w:p>
      <w:pPr>
        <w:pStyle w:val="Heading3"/>
        <w:spacing w:line="240" w:lineRule="auto"/>
        <w:ind w:left="1133" w:right="1015"/>
        <w:jc w:val="left"/>
        <w:rPr>
          <w:b w:val="0"/>
          <w:bCs w:val="0"/>
        </w:rPr>
      </w:pPr>
      <w:bookmarkStart w:name="3、营业周期" w:id="174"/>
      <w:bookmarkEnd w:id="174"/>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1015"/>
        <w:jc w:val="left"/>
      </w:pPr>
      <w:r>
        <w:rPr/>
        <w:t>本公司营业周期为</w:t>
      </w:r>
      <w:r>
        <w:rPr>
          <w:rFonts w:ascii="宋体" w:hAnsi="宋体" w:cs="宋体" w:eastAsia="宋体" w:hint="default"/>
        </w:rPr>
        <w:t>12</w:t>
      </w:r>
      <w:r>
        <w:rPr/>
        <w:t>个月。</w:t>
      </w:r>
    </w:p>
    <w:p>
      <w:pPr>
        <w:spacing w:line="240" w:lineRule="auto" w:before="10"/>
        <w:rPr>
          <w:rFonts w:ascii="宋体" w:hAnsi="宋体" w:cs="宋体" w:eastAsia="宋体" w:hint="default"/>
          <w:sz w:val="26"/>
          <w:szCs w:val="26"/>
        </w:rPr>
      </w:pPr>
    </w:p>
    <w:p>
      <w:pPr>
        <w:pStyle w:val="Heading3"/>
        <w:spacing w:line="240" w:lineRule="auto"/>
        <w:ind w:right="1015"/>
        <w:jc w:val="left"/>
        <w:rPr>
          <w:b w:val="0"/>
          <w:bCs w:val="0"/>
        </w:rPr>
      </w:pPr>
      <w:bookmarkStart w:name="4、记账本位币" w:id="175"/>
      <w:bookmarkEnd w:id="175"/>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15"/>
        <w:jc w:val="left"/>
      </w:pPr>
      <w:r>
        <w:rPr/>
        <w:t>采用人民币为记账本位币。</w:t>
      </w:r>
    </w:p>
    <w:p>
      <w:pPr>
        <w:spacing w:line="240" w:lineRule="auto" w:before="12"/>
        <w:rPr>
          <w:rFonts w:ascii="宋体" w:hAnsi="宋体" w:cs="宋体" w:eastAsia="宋体" w:hint="default"/>
          <w:sz w:val="26"/>
          <w:szCs w:val="26"/>
        </w:rPr>
      </w:pPr>
    </w:p>
    <w:p>
      <w:pPr>
        <w:pStyle w:val="Heading3"/>
        <w:spacing w:line="240" w:lineRule="auto"/>
        <w:ind w:right="1015"/>
        <w:jc w:val="left"/>
        <w:rPr>
          <w:b w:val="0"/>
          <w:bCs w:val="0"/>
        </w:rPr>
      </w:pPr>
      <w:bookmarkStart w:name="5、同一控制下和非同一控制下企业合并的会计处理方法" w:id="176"/>
      <w:bookmarkEnd w:id="176"/>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1033"/>
        <w:jc w:val="left"/>
      </w:pPr>
      <w:r>
        <w:rPr>
          <w:spacing w:val="-2"/>
        </w:rPr>
        <w:t>同一控制下企业合并：本公司在企业合并中取得的资产和负债，按照合并日在被合并方资产、负债（包括最终控制方收购被</w:t>
      </w:r>
      <w:r>
        <w:rPr>
          <w:spacing w:val="-66"/>
        </w:rPr>
        <w:t> </w:t>
      </w:r>
      <w:r>
        <w:rPr>
          <w:spacing w:val="-66"/>
        </w:rPr>
      </w:r>
      <w:r>
        <w:rPr>
          <w:spacing w:val="-2"/>
        </w:rPr>
        <w:t>合并方而形成的商誉）在最终控制方合并财务报表中的账面价值计量。在合并中取得的净资产账面价值与支付的合并对价账</w:t>
      </w:r>
      <w:r>
        <w:rPr>
          <w:spacing w:val="-64"/>
        </w:rPr>
        <w:t> </w:t>
      </w:r>
      <w:r>
        <w:rPr>
          <w:spacing w:val="-64"/>
        </w:rPr>
      </w:r>
      <w:r>
        <w:rPr/>
        <w:t>面价值（或发行股份面值总额）的差额，调整资本公积中的股本溢价，资本公积中的股本溢价不足冲减的，调整留存收益。 </w:t>
      </w:r>
      <w:r>
        <w:rPr>
          <w:spacing w:val="-2"/>
        </w:rPr>
        <w:t>非同一控制下企业合并：本公司在购买日对作为企业合并对价付出的资产、发生或承担的负债按照公允价值计量，公允价值</w:t>
      </w:r>
      <w:r>
        <w:rPr>
          <w:spacing w:val="-66"/>
        </w:rPr>
        <w:t> </w:t>
      </w:r>
      <w:r>
        <w:rPr>
          <w:spacing w:val="-66"/>
        </w:rPr>
      </w:r>
      <w:r>
        <w:rPr>
          <w:spacing w:val="-2"/>
        </w:rPr>
        <w:t>与其账面价值的差额，计入当期损益。本公司对合并成本大于合并中取得的被购买方可辨认净资产公允价值份额的差额，确</w:t>
      </w:r>
      <w:r>
        <w:rPr>
          <w:spacing w:val="-65"/>
        </w:rPr>
        <w:t> </w:t>
      </w:r>
      <w:r>
        <w:rPr>
          <w:spacing w:val="-65"/>
        </w:rPr>
      </w:r>
      <w:r>
        <w:rPr/>
        <w:t>认为商誉；合并成本小于合并中取得的被购买方可辨认净资产公允价值份额的差额，经复核后，计入当期损益。</w:t>
      </w:r>
    </w:p>
    <w:p>
      <w:pPr>
        <w:spacing w:after="0" w:line="316"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right="1015"/>
        <w:jc w:val="left"/>
      </w:pPr>
      <w:r>
        <w:rPr>
          <w:spacing w:val="-2"/>
        </w:rPr>
        <w:t>为企业合并发生的审计、法律服务、评估咨询等中介费用以及其他直接相关费用，于发生时计入当期损益；为企业合并而发</w:t>
      </w:r>
      <w:r>
        <w:rPr>
          <w:spacing w:val="-66"/>
        </w:rPr>
        <w:t> </w:t>
      </w:r>
      <w:r>
        <w:rPr>
          <w:spacing w:val="-66"/>
        </w:rPr>
      </w:r>
      <w:r>
        <w:rPr/>
        <w:t>行权益性证券的交易费用，冲减权益。</w:t>
      </w:r>
    </w:p>
    <w:p>
      <w:pPr>
        <w:spacing w:line="240" w:lineRule="auto" w:before="7"/>
        <w:rPr>
          <w:rFonts w:ascii="宋体" w:hAnsi="宋体" w:cs="宋体" w:eastAsia="宋体" w:hint="default"/>
          <w:sz w:val="22"/>
          <w:szCs w:val="22"/>
        </w:rPr>
      </w:pPr>
    </w:p>
    <w:p>
      <w:pPr>
        <w:pStyle w:val="Heading3"/>
        <w:spacing w:line="240" w:lineRule="auto"/>
        <w:ind w:right="1015"/>
        <w:jc w:val="left"/>
        <w:rPr>
          <w:b w:val="0"/>
          <w:bCs w:val="0"/>
        </w:rPr>
      </w:pPr>
      <w:bookmarkStart w:name="6、合并财务报表的编制方法" w:id="177"/>
      <w:bookmarkEnd w:id="177"/>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15"/>
        <w:jc w:val="left"/>
      </w:pPr>
      <w:r>
        <w:rPr>
          <w:spacing w:val="-2"/>
        </w:rPr>
        <w:t>本公司以自身和各子公司的财务报表为基础，根据其他有关资料，编制合并财务报表。本公司编制合并财务报表，将整个企</w:t>
      </w:r>
      <w:r>
        <w:rPr>
          <w:spacing w:val="-66"/>
        </w:rPr>
        <w:t> </w:t>
      </w:r>
      <w:r>
        <w:rPr>
          <w:spacing w:val="-66"/>
        </w:rPr>
      </w:r>
      <w:r>
        <w:rPr>
          <w:spacing w:val="-2"/>
        </w:rPr>
        <w:t>业集团视为一个会计主体，依据相关企业会计准则的确认、计量和列报要求，按照统一的会计政策，反映本企业集团整体财</w:t>
      </w:r>
      <w:r>
        <w:rPr>
          <w:spacing w:val="-66"/>
        </w:rPr>
        <w:t> </w:t>
      </w:r>
      <w:r>
        <w:rPr>
          <w:spacing w:val="-66"/>
        </w:rPr>
      </w:r>
      <w:r>
        <w:rPr/>
        <w:t>务状况、经营成果和现金流量。 </w:t>
      </w:r>
      <w:r>
        <w:rPr>
          <w:spacing w:val="-2"/>
        </w:rPr>
        <w:t>所有纳入合并财务报表合并范围的子公司所采用的会计政策、会计期间与本公司一致，如子公司采用的会计政策、会计期间</w:t>
      </w:r>
      <w:r>
        <w:rPr>
          <w:spacing w:val="-66"/>
        </w:rPr>
        <w:t> </w:t>
      </w:r>
      <w:r>
        <w:rPr>
          <w:spacing w:val="-66"/>
        </w:rPr>
      </w:r>
      <w:r>
        <w:rPr>
          <w:spacing w:val="-2"/>
        </w:rPr>
        <w:t>与本公司不一致的，在编制合并财务报表时，按本公司的会计政策、会计期间进行必要的调整。对于非同一控制下企业合并</w:t>
      </w:r>
      <w:r>
        <w:rPr>
          <w:spacing w:val="-66"/>
        </w:rPr>
        <w:t> </w:t>
      </w:r>
      <w:r>
        <w:rPr>
          <w:spacing w:val="-66"/>
        </w:rPr>
      </w:r>
      <w:r>
        <w:rPr>
          <w:spacing w:val="-2"/>
        </w:rPr>
        <w:t>取得的子公司，以购买日可辨认净资产公允价值为基础对其财务报表进行调整。对于同一控制下企业合并取得的子公司，以</w:t>
      </w:r>
      <w:r>
        <w:rPr>
          <w:spacing w:val="-66"/>
        </w:rPr>
        <w:t> </w:t>
      </w:r>
      <w:r>
        <w:rPr>
          <w:spacing w:val="-66"/>
        </w:rPr>
      </w:r>
      <w:r>
        <w:rPr>
          <w:spacing w:val="-2"/>
        </w:rPr>
        <w:t>其资产、负债（包括最终控制方收购该子公司而形成的商誉）在最终控制方财务报表中的账面价值为基础对其财务报表进行</w:t>
      </w:r>
      <w:r>
        <w:rPr>
          <w:spacing w:val="-66"/>
        </w:rPr>
        <w:t> </w:t>
      </w:r>
      <w:r>
        <w:rPr>
          <w:spacing w:val="-66"/>
        </w:rPr>
      </w:r>
      <w:r>
        <w:rPr/>
        <w:t>调整。 </w:t>
      </w:r>
      <w:r>
        <w:rPr>
          <w:spacing w:val="-2"/>
        </w:rPr>
        <w:t>子公司所有者权益、当期净损益和当期综合收益中属于少数股东的份额分别在合并资产负债表中所有者权益项目下、合并利</w:t>
      </w:r>
      <w:r>
        <w:rPr>
          <w:spacing w:val="-64"/>
        </w:rPr>
        <w:t> </w:t>
      </w:r>
      <w:r>
        <w:rPr>
          <w:spacing w:val="-64"/>
        </w:rPr>
      </w:r>
      <w:r>
        <w:rPr>
          <w:spacing w:val="-2"/>
        </w:rPr>
        <w:t>润表中净利润项目下和综合收益总额项目下单独列示。子公司少数股东分担的当期亏损超过了少数股东在该子公司期初所有</w:t>
      </w:r>
      <w:r>
        <w:rPr>
          <w:spacing w:val="-64"/>
        </w:rPr>
        <w:t> </w:t>
      </w:r>
      <w:r>
        <w:rPr>
          <w:spacing w:val="-64"/>
        </w:rPr>
      </w:r>
      <w:r>
        <w:rPr/>
        <w:t>者权益中所享有份额而形成的余额，冲减少数股东权益。</w:t>
      </w:r>
    </w:p>
    <w:p>
      <w:pPr>
        <w:pStyle w:val="BodyText"/>
        <w:spacing w:line="316" w:lineRule="auto" w:before="19"/>
        <w:ind w:left="1133" w:right="1015"/>
        <w:jc w:val="left"/>
      </w:pPr>
      <w:r>
        <w:rPr/>
        <w:t>（</w:t>
      </w:r>
      <w:r>
        <w:rPr>
          <w:rFonts w:ascii="Times New Roman" w:hAnsi="Times New Roman" w:cs="Times New Roman" w:eastAsia="Times New Roman" w:hint="default"/>
        </w:rPr>
        <w:t>1</w:t>
      </w:r>
      <w:r>
        <w:rPr/>
        <w:t>）增加子公司或业务 </w:t>
      </w:r>
      <w:r>
        <w:rPr>
          <w:spacing w:val="-2"/>
        </w:rPr>
        <w:t>在本期内，若因同一控制下企业合并增加子公司或业务的，则调整合并资产负债表的期初数；将子公司或业务合并当期期初</w:t>
      </w:r>
      <w:r>
        <w:rPr>
          <w:spacing w:val="-66"/>
        </w:rPr>
        <w:t> </w:t>
      </w:r>
      <w:r>
        <w:rPr>
          <w:spacing w:val="-66"/>
        </w:rPr>
      </w:r>
      <w:r>
        <w:rPr>
          <w:spacing w:val="-2"/>
        </w:rPr>
        <w:t>至本期末的收入、费用、利润纳入合并利润表；将子公司或业务合并当期期初至本期末的现金流量纳入合并现金流量表，同</w:t>
      </w:r>
      <w:r>
        <w:rPr>
          <w:spacing w:val="-66"/>
        </w:rPr>
        <w:t> </w:t>
      </w:r>
      <w:r>
        <w:rPr>
          <w:spacing w:val="-66"/>
        </w:rPr>
      </w:r>
      <w:r>
        <w:rPr/>
        <w:t>时对比较报表的相关项目进行调整，视同合并后的报告主体自最终控制方开始控制时点起一直存在。 </w:t>
      </w:r>
      <w:r>
        <w:rPr>
          <w:spacing w:val="-2"/>
        </w:rPr>
        <w:t>因追加投资等原因能够对同一控制下的被投资方实施控制的，视同参与合并的各方在最终控制方开始控制时即以目前的状态</w:t>
      </w:r>
      <w:r>
        <w:rPr>
          <w:spacing w:val="-64"/>
        </w:rPr>
        <w:t> </w:t>
      </w:r>
      <w:r>
        <w:rPr>
          <w:spacing w:val="-64"/>
        </w:rPr>
      </w:r>
      <w:r>
        <w:rPr>
          <w:spacing w:val="-2"/>
        </w:rPr>
        <w:t>存在进行调整。在取得被合并方控制权之前持有的股权投资，在取得原股权之日与合并方和被合并方同处于同一控制之日孰</w:t>
      </w:r>
      <w:r>
        <w:rPr>
          <w:spacing w:val="-64"/>
        </w:rPr>
        <w:t> </w:t>
      </w:r>
      <w:r>
        <w:rPr>
          <w:spacing w:val="-64"/>
        </w:rPr>
      </w:r>
      <w:r>
        <w:rPr>
          <w:spacing w:val="-2"/>
        </w:rPr>
        <w:t>晚日起至合并日之间已确认有关损益、其他综合收益以及其他净资产变动，分别冲减比较报表期间的期初留存收益或当期损</w:t>
      </w:r>
      <w:r>
        <w:rPr>
          <w:spacing w:val="-64"/>
        </w:rPr>
        <w:t> </w:t>
      </w:r>
      <w:r>
        <w:rPr>
          <w:spacing w:val="-64"/>
        </w:rPr>
      </w:r>
      <w:r>
        <w:rPr/>
        <w:t>益。 </w:t>
      </w:r>
      <w:r>
        <w:rPr>
          <w:spacing w:val="-2"/>
        </w:rPr>
        <w:t>在本期内，若因非同一控制下企业合并增加子公司或业务的，则不调整合并资产负债表期初数；将该子公司或业务自购买日</w:t>
      </w:r>
      <w:r>
        <w:rPr>
          <w:spacing w:val="-66"/>
        </w:rPr>
        <w:t> </w:t>
      </w:r>
      <w:r>
        <w:rPr>
          <w:spacing w:val="-66"/>
        </w:rPr>
      </w:r>
      <w:r>
        <w:rPr/>
        <w:t>至本期末的收入、费用、利润纳入合并利润表；该子公司或业务自购买日至本期末的现金流量纳入合并现金流量表。 </w:t>
      </w:r>
      <w:r>
        <w:rPr>
          <w:spacing w:val="-2"/>
        </w:rPr>
        <w:t>因追加投资等原因能够对非同一控制下的被投资方实施控制的，对于购买日之前持有的被购买方的股权，本公司按照该股权</w:t>
      </w:r>
      <w:r>
        <w:rPr>
          <w:spacing w:val="-64"/>
        </w:rPr>
        <w:t> </w:t>
      </w:r>
      <w:r>
        <w:rPr>
          <w:spacing w:val="-64"/>
        </w:rPr>
      </w:r>
      <w:r>
        <w:rPr>
          <w:spacing w:val="-2"/>
        </w:rPr>
        <w:t>在购买日的公允价值进行重新计量，公允价值与其账面价值的差额计入当期投资收益。购买日之前持有的被购买方的股权涉</w:t>
      </w:r>
      <w:r>
        <w:rPr>
          <w:spacing w:val="-64"/>
        </w:rPr>
        <w:t> </w:t>
      </w:r>
      <w:r>
        <w:rPr>
          <w:spacing w:val="-64"/>
        </w:rPr>
      </w:r>
      <w:r>
        <w:rPr>
          <w:spacing w:val="-2"/>
        </w:rPr>
        <w:t>及权益法核算下的其他综合收益以及除净损益、其他综合收益和利润分配之外的其他所有者权益变动的，与其相关的其他综</w:t>
      </w:r>
      <w:r>
        <w:rPr>
          <w:spacing w:val="-64"/>
        </w:rPr>
        <w:t> </w:t>
      </w:r>
      <w:r>
        <w:rPr>
          <w:spacing w:val="-64"/>
        </w:rPr>
      </w:r>
      <w:r>
        <w:rPr>
          <w:spacing w:val="-2"/>
        </w:rPr>
        <w:t>合收益、其他所有者权益变动转为购买日所属当期投资收益，由于被投资方重新计量设定受益计划净负债或净资产变动而产</w:t>
      </w:r>
      <w:r>
        <w:rPr>
          <w:spacing w:val="-64"/>
        </w:rPr>
        <w:t> </w:t>
      </w:r>
      <w:r>
        <w:rPr>
          <w:spacing w:val="-64"/>
        </w:rPr>
      </w:r>
      <w:r>
        <w:rPr/>
        <w:t>生的其他综合收益除外。</w:t>
      </w:r>
    </w:p>
    <w:p>
      <w:pPr>
        <w:pStyle w:val="BodyText"/>
        <w:spacing w:line="240" w:lineRule="auto" w:before="19"/>
        <w:ind w:right="1015"/>
        <w:jc w:val="left"/>
      </w:pPr>
      <w:r>
        <w:rPr/>
        <w:t>（</w:t>
      </w:r>
      <w:r>
        <w:rPr>
          <w:rFonts w:ascii="Times New Roman" w:hAnsi="Times New Roman" w:cs="Times New Roman" w:eastAsia="Times New Roman" w:hint="default"/>
        </w:rPr>
        <w:t>2</w:t>
      </w:r>
      <w:r>
        <w:rPr/>
        <w:t>）处置子公司或业务</w:t>
      </w:r>
    </w:p>
    <w:p>
      <w:pPr>
        <w:pStyle w:val="BodyText"/>
        <w:spacing w:line="316" w:lineRule="auto" w:before="63"/>
        <w:ind w:left="1133" w:right="1015"/>
        <w:jc w:val="left"/>
      </w:pPr>
      <w:r>
        <w:rPr/>
        <w:t>①一般处理方法 </w:t>
      </w:r>
      <w:r>
        <w:rPr>
          <w:spacing w:val="-2"/>
        </w:rPr>
        <w:t>在本期内，本公司处置子公司或业务，则该子公司或业务期初至处置日的收入、费用、利润纳入合并利润表；该子公司或业</w:t>
      </w:r>
      <w:r>
        <w:rPr>
          <w:spacing w:val="-66"/>
        </w:rPr>
        <w:t> </w:t>
      </w:r>
      <w:r>
        <w:rPr>
          <w:spacing w:val="-66"/>
        </w:rPr>
      </w:r>
      <w:r>
        <w:rPr/>
        <w:t>务期初至处置日的现金流量纳入合并现金流量表。 </w:t>
      </w:r>
      <w:r>
        <w:rPr>
          <w:spacing w:val="-2"/>
        </w:rPr>
        <w:t>因处置部分股权投资或其他原因丧失了对被投资方控制权时，对于处置后的剩余股权投资，本公司按照其在丧失控制权日的</w:t>
      </w:r>
      <w:r>
        <w:rPr>
          <w:spacing w:val="-64"/>
        </w:rPr>
        <w:t> </w:t>
      </w:r>
      <w:r>
        <w:rPr>
          <w:spacing w:val="-64"/>
        </w:rPr>
      </w:r>
      <w:r>
        <w:rPr>
          <w:spacing w:val="-2"/>
        </w:rPr>
        <w:t>公允价值进行重新计量。处置股权取得的对价与剩余股权公允价值之和，减去按原持股比例计算应享有原有子公司自购买日</w:t>
      </w:r>
      <w:r>
        <w:rPr>
          <w:spacing w:val="-64"/>
        </w:rPr>
        <w:t> </w:t>
      </w:r>
      <w:r>
        <w:rPr>
          <w:spacing w:val="-64"/>
        </w:rPr>
      </w:r>
      <w:r>
        <w:rPr>
          <w:spacing w:val="-2"/>
        </w:rPr>
        <w:t>或合并日开始持续计算的净资产的份额与商誉之和的差额，计入丧失控制权当期的投资收益。与原有子公司股权投资相关的</w:t>
      </w:r>
      <w:r>
        <w:rPr>
          <w:spacing w:val="-63"/>
        </w:rPr>
        <w:t> </w:t>
      </w:r>
      <w:r>
        <w:rPr>
          <w:spacing w:val="-63"/>
        </w:rPr>
      </w:r>
      <w:r>
        <w:rPr>
          <w:spacing w:val="-2"/>
        </w:rPr>
        <w:t>其他综合收益或除净损益、其他综合收益及利润分配之外的其他所有者权益变动，在丧失控制权时转为当期投资收益，由于</w:t>
      </w:r>
      <w:r>
        <w:rPr>
          <w:spacing w:val="-66"/>
        </w:rPr>
        <w:t> </w:t>
      </w:r>
      <w:r>
        <w:rPr>
          <w:spacing w:val="-66"/>
        </w:rPr>
      </w:r>
      <w:r>
        <w:rPr/>
        <w:t>被投资方重新计量设定受益计划净负债或净资产变动而产生的其他综合收益除外。 因其他投资方对子公司增资而导致本公司持股比例下降从而丧失控制权的，按照上述原则进行会计处理。</w:t>
      </w:r>
    </w:p>
    <w:p>
      <w:pPr>
        <w:pStyle w:val="BodyText"/>
        <w:spacing w:line="316" w:lineRule="auto" w:before="19"/>
        <w:ind w:left="1133" w:right="1015"/>
        <w:jc w:val="left"/>
      </w:pPr>
      <w:r>
        <w:rPr/>
        <w:t>②分步处置子公司 </w:t>
      </w:r>
      <w:r>
        <w:rPr>
          <w:spacing w:val="-2"/>
        </w:rPr>
        <w:t>通过多次交易分步处置对子公司股权投资直至丧失控制权的，处置对子公司股权投资的各项交易的条款、条件以及经济影响</w:t>
      </w:r>
      <w:r>
        <w:rPr>
          <w:spacing w:val="-64"/>
        </w:rPr>
        <w:t> </w:t>
      </w:r>
      <w:r>
        <w:rPr>
          <w:spacing w:val="-64"/>
        </w:rPr>
      </w:r>
      <w:r>
        <w:rPr/>
        <w:t>符合以下一种或多种情况，通常表明应将多次交易事项作为一揽子交易进行会计处理：</w:t>
      </w:r>
    </w:p>
    <w:p>
      <w:pPr>
        <w:spacing w:after="0" w:line="316"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right="4992"/>
        <w:jc w:val="left"/>
      </w:pPr>
      <w:r>
        <w:rPr/>
        <w:t>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316" w:lineRule="auto" w:before="19"/>
        <w:ind w:left="1133" w:right="1015"/>
        <w:jc w:val="left"/>
      </w:pPr>
      <w:r>
        <w:rPr>
          <w:spacing w:val="-2"/>
        </w:rPr>
        <w:t>处置对子公司股权投资直至丧失控制权的各项交易属于一揽子交易的，本公司将各项交易作为一项处置子公司并丧失控制权</w:t>
      </w:r>
      <w:r>
        <w:rPr>
          <w:spacing w:val="-64"/>
        </w:rPr>
        <w:t> </w:t>
      </w:r>
      <w:r>
        <w:rPr>
          <w:spacing w:val="-64"/>
        </w:rPr>
      </w:r>
      <w:r>
        <w:rPr>
          <w:spacing w:val="-2"/>
        </w:rPr>
        <w:t>的交易进行会计处理；但是，在丧失控制权之前每一次处置价款与处置投资对应的享有该子公司净资产份额的差额，在合并</w:t>
      </w:r>
      <w:r>
        <w:rPr>
          <w:spacing w:val="-66"/>
        </w:rPr>
        <w:t> </w:t>
      </w:r>
      <w:r>
        <w:rPr>
          <w:spacing w:val="-66"/>
        </w:rPr>
      </w:r>
      <w:r>
        <w:rPr/>
        <w:t>财务报表中确认为其他综合收益，在丧失控制权时一并转入丧失控制权当期的损益。 </w:t>
      </w:r>
      <w:r>
        <w:rPr>
          <w:spacing w:val="-2"/>
        </w:rPr>
        <w:t>处置对子公司股权投资直至丧失控制权的各项交易不属于一揽子交易的，在丧失控制权之前，按不丧失控制权的情况下部分</w:t>
      </w:r>
      <w:r>
        <w:rPr>
          <w:spacing w:val="-64"/>
        </w:rPr>
        <w:t> </w:t>
      </w:r>
      <w:r>
        <w:rPr>
          <w:spacing w:val="-64"/>
        </w:rPr>
      </w:r>
      <w:r>
        <w:rPr/>
        <w:t>处置对子公司的股权投资的相关政策进行会计处理；在丧失控制权时，按处置子公司一般处理方法进行会计处理。</w:t>
      </w:r>
    </w:p>
    <w:p>
      <w:pPr>
        <w:pStyle w:val="BodyText"/>
        <w:spacing w:line="312" w:lineRule="auto" w:before="19"/>
        <w:ind w:right="1015"/>
        <w:jc w:val="left"/>
      </w:pPr>
      <w:r>
        <w:rPr/>
        <w:t>（</w:t>
      </w:r>
      <w:r>
        <w:rPr>
          <w:rFonts w:ascii="Times New Roman" w:hAnsi="Times New Roman" w:cs="Times New Roman" w:eastAsia="Times New Roman" w:hint="default"/>
        </w:rPr>
        <w:t>3</w:t>
      </w:r>
      <w:r>
        <w:rPr/>
        <w:t>）购买子公司少数股权 </w:t>
      </w:r>
      <w:r>
        <w:rPr>
          <w:spacing w:val="-2"/>
        </w:rPr>
        <w:t>本公司因购买少数股权新取得的长期股权投资与按照新增持股比例计算应享有子公司自购买日（或合并日）开始持续计算的</w:t>
      </w:r>
      <w:r>
        <w:rPr>
          <w:spacing w:val="-64"/>
        </w:rPr>
        <w:t> </w:t>
      </w:r>
      <w:r>
        <w:rPr>
          <w:spacing w:val="-64"/>
        </w:rPr>
      </w:r>
      <w:r>
        <w:rPr>
          <w:spacing w:val="-2"/>
        </w:rPr>
        <w:t>净资产份额之间的差额，调整合并资产负债表中的资本公积中的股本溢价，资本公积中的股本溢价不足冲减的，调整留存收</w:t>
      </w:r>
      <w:r>
        <w:rPr>
          <w:spacing w:val="-66"/>
        </w:rPr>
        <w:t> </w:t>
      </w:r>
      <w:r>
        <w:rPr>
          <w:spacing w:val="-66"/>
        </w:rPr>
      </w:r>
      <w:r>
        <w:rPr/>
        <w:t>益。</w:t>
      </w:r>
    </w:p>
    <w:p>
      <w:pPr>
        <w:pStyle w:val="BodyText"/>
        <w:spacing w:line="312" w:lineRule="auto" w:before="22"/>
        <w:ind w:right="1015"/>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在不丧失控制权的情况下因部分处置对子公司的长期股权投资而取得的处置价款与处置长期股权投资相对应享有子公司自</w:t>
      </w:r>
      <w:r>
        <w:rPr>
          <w:spacing w:val="-8"/>
        </w:rPr>
        <w:t> </w:t>
      </w:r>
      <w:r>
        <w:rPr>
          <w:spacing w:val="-8"/>
        </w:rPr>
      </w:r>
      <w:r>
        <w:rPr>
          <w:spacing w:val="-2"/>
        </w:rPr>
        <w:t>购买日或合并日开始持续计算的净资产份额之间的差额，调整合并资产负债表中的资本公积中的股本溢价，资本公积中的股</w:t>
      </w:r>
      <w:r>
        <w:rPr>
          <w:spacing w:val="-64"/>
        </w:rPr>
        <w:t> </w:t>
      </w:r>
      <w:r>
        <w:rPr>
          <w:spacing w:val="-64"/>
        </w:rPr>
      </w:r>
      <w:r>
        <w:rPr/>
        <w:t>本溢价不足冲减的，调整留存收益。</w:t>
      </w:r>
    </w:p>
    <w:p>
      <w:pPr>
        <w:spacing w:line="240" w:lineRule="auto" w:before="10"/>
        <w:rPr>
          <w:rFonts w:ascii="宋体" w:hAnsi="宋体" w:cs="宋体" w:eastAsia="宋体" w:hint="default"/>
          <w:sz w:val="22"/>
          <w:szCs w:val="22"/>
        </w:rPr>
      </w:pPr>
    </w:p>
    <w:p>
      <w:pPr>
        <w:pStyle w:val="Heading3"/>
        <w:spacing w:line="240" w:lineRule="auto"/>
        <w:ind w:right="1015"/>
        <w:jc w:val="left"/>
        <w:rPr>
          <w:b w:val="0"/>
          <w:bCs w:val="0"/>
        </w:rPr>
      </w:pPr>
      <w:bookmarkStart w:name="7、合营安排分类及共同经营会计处理方法" w:id="178"/>
      <w:bookmarkEnd w:id="178"/>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3" w:right="2833"/>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17"/>
        <w:ind w:left="1133" w:right="1015"/>
        <w:jc w:val="left"/>
      </w:pPr>
      <w:r>
        <w:rPr/>
        <w:t>（</w:t>
      </w:r>
      <w:r>
        <w:rPr>
          <w:rFonts w:ascii="宋体" w:hAnsi="宋体" w:cs="宋体" w:eastAsia="宋体" w:hint="default"/>
        </w:rPr>
        <w:t>1</w:t>
      </w:r>
      <w:r>
        <w:rPr/>
        <w:t>）确认本公司单独所持有的资产，以及按本公司份额确认共同持有的资产；</w:t>
      </w:r>
    </w:p>
    <w:p>
      <w:pPr>
        <w:pStyle w:val="BodyText"/>
        <w:spacing w:line="240" w:lineRule="auto" w:before="76"/>
        <w:ind w:left="1133" w:right="1015"/>
        <w:jc w:val="left"/>
      </w:pPr>
      <w:r>
        <w:rPr/>
        <w:t>（</w:t>
      </w:r>
      <w:r>
        <w:rPr>
          <w:rFonts w:ascii="宋体" w:hAnsi="宋体" w:cs="宋体" w:eastAsia="宋体" w:hint="default"/>
        </w:rPr>
        <w:t>2</w:t>
      </w:r>
      <w:r>
        <w:rPr/>
        <w:t>）确认本公司单独所承担的负债，以及按本公司份额确认共同承担的负债；</w:t>
      </w:r>
    </w:p>
    <w:p>
      <w:pPr>
        <w:pStyle w:val="BodyText"/>
        <w:spacing w:line="240" w:lineRule="auto" w:before="76"/>
        <w:ind w:left="1133" w:right="1015"/>
        <w:jc w:val="left"/>
      </w:pPr>
      <w:r>
        <w:rPr/>
        <w:t>（</w:t>
      </w:r>
      <w:r>
        <w:rPr>
          <w:rFonts w:ascii="宋体" w:hAnsi="宋体" w:cs="宋体" w:eastAsia="宋体" w:hint="default"/>
        </w:rPr>
        <w:t>3</w:t>
      </w:r>
      <w:r>
        <w:rPr/>
        <w:t>）确认出售本公司享有的共同经营产出份额所产生的收入；</w:t>
      </w:r>
    </w:p>
    <w:p>
      <w:pPr>
        <w:pStyle w:val="BodyText"/>
        <w:spacing w:line="240" w:lineRule="auto" w:before="76"/>
        <w:ind w:right="1015"/>
        <w:jc w:val="left"/>
      </w:pPr>
      <w:r>
        <w:rPr/>
        <w:t>（</w:t>
      </w:r>
      <w:r>
        <w:rPr>
          <w:rFonts w:ascii="宋体" w:hAnsi="宋体" w:cs="宋体" w:eastAsia="宋体" w:hint="default"/>
        </w:rPr>
        <w:t>4</w:t>
      </w:r>
      <w:r>
        <w:rPr/>
        <w:t>）按本公司份额确认共同经营因出售产出所产生的收入；</w:t>
      </w:r>
    </w:p>
    <w:p>
      <w:pPr>
        <w:pStyle w:val="BodyText"/>
        <w:spacing w:line="316" w:lineRule="auto" w:before="76"/>
        <w:ind w:left="1133" w:right="4723"/>
        <w:jc w:val="left"/>
      </w:pPr>
      <w:r>
        <w:rPr/>
        <w:t>（</w:t>
      </w:r>
      <w:r>
        <w:rPr>
          <w:rFonts w:ascii="宋体" w:hAnsi="宋体" w:cs="宋体" w:eastAsia="宋体" w:hint="default"/>
        </w:rPr>
        <w:t>5</w:t>
      </w:r>
      <w:r>
        <w:rPr/>
        <w:t>）确认单独所发生的费用，以及按本公司份额确认共同经营发生的费用。 本公司对合营企业投资的会计政策见本附注“五  </w:t>
      </w:r>
      <w:r>
        <w:rPr>
          <w:rFonts w:ascii="宋体" w:hAnsi="宋体" w:cs="宋体" w:eastAsia="宋体" w:hint="default"/>
        </w:rPr>
        <w:t>14</w:t>
      </w:r>
      <w:r>
        <w:rPr/>
        <w:t>、长期股权投资”。</w:t>
      </w:r>
    </w:p>
    <w:p>
      <w:pPr>
        <w:spacing w:line="240" w:lineRule="auto" w:before="7"/>
        <w:rPr>
          <w:rFonts w:ascii="宋体" w:hAnsi="宋体" w:cs="宋体" w:eastAsia="宋体" w:hint="default"/>
          <w:sz w:val="22"/>
          <w:szCs w:val="22"/>
        </w:rPr>
      </w:pPr>
    </w:p>
    <w:p>
      <w:pPr>
        <w:pStyle w:val="Heading3"/>
        <w:spacing w:line="240" w:lineRule="auto"/>
        <w:ind w:left="1133" w:right="1015"/>
        <w:jc w:val="left"/>
        <w:rPr>
          <w:b w:val="0"/>
          <w:bCs w:val="0"/>
        </w:rPr>
      </w:pPr>
      <w:bookmarkStart w:name="8、现金及现金等价物的确定标准" w:id="179"/>
      <w:bookmarkEnd w:id="179"/>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292" w:lineRule="auto"/>
        <w:ind w:left="1133" w:right="1015"/>
        <w:jc w:val="left"/>
        <w:rPr>
          <w:sz w:val="21"/>
          <w:szCs w:val="21"/>
        </w:rPr>
      </w:pPr>
      <w:r>
        <w:rPr>
          <w:spacing w:val="-2"/>
        </w:rPr>
        <w:t>在编制现金流量表时，将本公司库存现金以及可以随时用于支付的存款确认为现金。将同时具备期限短（从购买日起三个月</w:t>
      </w:r>
      <w:r>
        <w:rPr>
          <w:spacing w:val="-66"/>
        </w:rPr>
        <w:t> </w:t>
      </w:r>
      <w:r>
        <w:rPr>
          <w:spacing w:val="-66"/>
        </w:rPr>
      </w:r>
      <w:r>
        <w:rPr/>
        <w:t>内到期）、流动性强、易于转换为已知现金、价值变动风险很小四个条件的投资，确定为现金等价物</w:t>
      </w:r>
      <w:r>
        <w:rPr>
          <w:sz w:val="21"/>
          <w:szCs w:val="21"/>
        </w:rPr>
        <w:t>。</w:t>
      </w:r>
    </w:p>
    <w:p>
      <w:pPr>
        <w:spacing w:line="240" w:lineRule="auto" w:before="4"/>
        <w:rPr>
          <w:rFonts w:ascii="宋体" w:hAnsi="宋体" w:cs="宋体" w:eastAsia="宋体" w:hint="default"/>
          <w:sz w:val="22"/>
          <w:szCs w:val="22"/>
        </w:rPr>
      </w:pPr>
    </w:p>
    <w:p>
      <w:pPr>
        <w:pStyle w:val="Heading3"/>
        <w:spacing w:line="240" w:lineRule="auto"/>
        <w:ind w:left="1133" w:right="1015"/>
        <w:jc w:val="left"/>
        <w:rPr>
          <w:b w:val="0"/>
          <w:bCs w:val="0"/>
        </w:rPr>
      </w:pPr>
      <w:bookmarkStart w:name="9、外币业务和外币报表折算" w:id="180"/>
      <w:bookmarkEnd w:id="180"/>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left="1133" w:right="1123"/>
        <w:jc w:val="left"/>
      </w:pP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99"/>
        </w:rPr>
        <w:t> </w:t>
      </w:r>
      <w:r>
        <w:rPr/>
        <w:t>外币业务采用交易发生日当月第</w:t>
      </w:r>
      <w:r>
        <w:rPr>
          <w:rFonts w:ascii="Times New Roman" w:hAnsi="Times New Roman" w:cs="Times New Roman" w:eastAsia="Times New Roman" w:hint="default"/>
        </w:rPr>
        <w:t>1</w:t>
      </w:r>
      <w:r>
        <w:rPr/>
        <w:t>个工作日国家外管局公布的汇率中间价作为折算汇率将外币金额折合成人民币记账。 </w:t>
      </w:r>
      <w:r>
        <w:rPr>
          <w:spacing w:val="-2"/>
        </w:rPr>
        <w:t>外币货币性项目余额按资产负债表日国家外管局公布的汇率中间价汇率折算，由此产生的汇兑差额，除属于与购建符合资本</w:t>
      </w:r>
      <w:r>
        <w:rPr>
          <w:spacing w:val="-64"/>
        </w:rPr>
        <w:t> </w:t>
      </w:r>
      <w:r>
        <w:rPr>
          <w:spacing w:val="-64"/>
        </w:rPr>
      </w:r>
      <w:r>
        <w:rPr/>
        <w:t>化条件的资产相关的外币专门借款产生的汇兑差额按照借款费用资本化的原则处理外，均计入当期损益。 </w:t>
      </w:r>
      <w:r>
        <w:rPr>
          <w:rFonts w:ascii="Times New Roman" w:hAnsi="Times New Roman" w:cs="Times New Roman" w:eastAsia="Times New Roman" w:hint="default"/>
          <w:b/>
          <w:bCs/>
        </w:rPr>
        <w:t>(2)</w:t>
      </w:r>
      <w:r>
        <w:rPr>
          <w:rFonts w:ascii="宋体" w:hAnsi="宋体" w:cs="宋体" w:eastAsia="宋体" w:hint="default"/>
          <w:b/>
          <w:bCs/>
        </w:rPr>
        <w:t>外币财务报表的折算</w:t>
      </w:r>
      <w:r>
        <w:rPr>
          <w:rFonts w:ascii="宋体" w:hAnsi="宋体" w:cs="宋体" w:eastAsia="宋体" w:hint="default"/>
          <w:b/>
          <w:bCs/>
          <w:w w:val="99"/>
        </w:rPr>
        <w:t> </w:t>
      </w:r>
      <w:r>
        <w:rPr>
          <w:spacing w:val="-2"/>
        </w:rPr>
        <w:t>资产负债表中的资产和负债项目，采用资产负债表日的国家外管局公布的汇率中间价折算；所有者权益项目除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 </w:t>
      </w:r>
      <w:r>
        <w:rPr/>
        <w:t>项目外，其他项目采用交易发生时当月第</w:t>
      </w:r>
      <w:r>
        <w:rPr>
          <w:rFonts w:ascii="Times New Roman" w:hAnsi="Times New Roman" w:cs="Times New Roman" w:eastAsia="Times New Roman" w:hint="default"/>
        </w:rPr>
        <w:t>1</w:t>
      </w:r>
      <w:r>
        <w:rPr/>
        <w:t>个工作日国家外管局公布的汇率中间价折算。利润表中的收入和费用项目，采用</w:t>
      </w:r>
      <w:r>
        <w:rPr>
          <w:spacing w:val="-83"/>
        </w:rPr>
        <w:t> </w:t>
      </w:r>
      <w:r>
        <w:rPr>
          <w:spacing w:val="-83"/>
        </w:rPr>
      </w:r>
      <w:r>
        <w:rPr/>
        <w:t>交易发生时当月第</w:t>
      </w:r>
      <w:r>
        <w:rPr>
          <w:rFonts w:ascii="Times New Roman" w:hAnsi="Times New Roman" w:cs="Times New Roman" w:eastAsia="Times New Roman" w:hint="default"/>
        </w:rPr>
        <w:t>1</w:t>
      </w:r>
      <w:r>
        <w:rPr/>
        <w:t>个工作日国家外管局公布的汇率中间价折算。</w:t>
      </w:r>
    </w:p>
    <w:p>
      <w:pPr>
        <w:spacing w:after="0" w:line="304"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right="1015"/>
        <w:jc w:val="left"/>
      </w:pPr>
      <w:r>
        <w:rPr>
          <w:spacing w:val="-2"/>
        </w:rPr>
        <w:t>处置境外经营时，将与该境外经营相关的外币财务报表折算差额，自所有者权益项目转入处置当期损益；部分处置境外经营</w:t>
      </w:r>
      <w:r>
        <w:rPr>
          <w:spacing w:val="-66"/>
        </w:rPr>
        <w:t> </w:t>
      </w:r>
      <w:r>
        <w:rPr>
          <w:spacing w:val="-66"/>
        </w:rPr>
      </w:r>
      <w:r>
        <w:rPr/>
        <w:t>的，按处置的比例计算处置部分的外币财务报表折算差额，转入处置当期损益。</w:t>
      </w:r>
    </w:p>
    <w:p>
      <w:pPr>
        <w:spacing w:line="240" w:lineRule="auto" w:before="7"/>
        <w:rPr>
          <w:rFonts w:ascii="宋体" w:hAnsi="宋体" w:cs="宋体" w:eastAsia="宋体" w:hint="default"/>
          <w:sz w:val="22"/>
          <w:szCs w:val="22"/>
        </w:rPr>
      </w:pPr>
    </w:p>
    <w:p>
      <w:pPr>
        <w:pStyle w:val="Heading3"/>
        <w:spacing w:line="240" w:lineRule="auto"/>
        <w:ind w:left="1133" w:right="1015"/>
        <w:jc w:val="left"/>
        <w:rPr>
          <w:b w:val="0"/>
          <w:bCs w:val="0"/>
        </w:rPr>
      </w:pPr>
      <w:bookmarkStart w:name="10、金融工具" w:id="181"/>
      <w:bookmarkEnd w:id="181"/>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5"/>
        <w:jc w:val="left"/>
      </w:pPr>
      <w:r>
        <w:rPr/>
        <w:t>金融工具包括金融资产、金融负债和权益工具。</w:t>
      </w:r>
    </w:p>
    <w:p>
      <w:pPr>
        <w:spacing w:line="312" w:lineRule="auto" w:before="76"/>
        <w:ind w:left="1134" w:right="1015"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金融工具的分类</w:t>
      </w:r>
      <w:r>
        <w:rPr>
          <w:rFonts w:ascii="宋体" w:hAnsi="宋体" w:cs="宋体" w:eastAsia="宋体" w:hint="default"/>
          <w:b/>
          <w:bCs/>
          <w:w w:val="99"/>
          <w:sz w:val="18"/>
          <w:szCs w:val="18"/>
        </w:rPr>
        <w:t> </w:t>
      </w:r>
      <w:r>
        <w:rPr>
          <w:rFonts w:ascii="宋体" w:hAnsi="宋体" w:cs="宋体" w:eastAsia="宋体" w:hint="default"/>
          <w:spacing w:val="-2"/>
          <w:sz w:val="18"/>
          <w:szCs w:val="18"/>
        </w:rPr>
        <w:t>管理层按照取得持有金融资产和承担金融负债的目的，将其划分为：以公允价值计量且其变动计入当期损益的金融资产或金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融负债，包括交易性金融资产或金融负债；持有至到期投资；应收款项；可供出售金融资产；其他金融负债等。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金融工具的确认依据和计量方法</w:t>
      </w:r>
      <w:r>
        <w:rPr>
          <w:rFonts w:ascii="宋体" w:hAnsi="宋体" w:cs="宋体" w:eastAsia="宋体" w:hint="default"/>
          <w:sz w:val="18"/>
          <w:szCs w:val="18"/>
        </w:rPr>
      </w:r>
    </w:p>
    <w:p>
      <w:pPr>
        <w:pStyle w:val="BodyText"/>
        <w:spacing w:line="312" w:lineRule="auto" w:before="3"/>
        <w:ind w:left="1133" w:right="1015"/>
        <w:jc w:val="left"/>
      </w:pPr>
      <w:r>
        <w:rPr>
          <w:rFonts w:ascii="Times New Roman" w:hAnsi="Times New Roman" w:cs="Times New Roman" w:eastAsia="Times New Roman"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取得时以公允价值（扣除已宣告但尚未发放的现金股利或已到付息期但尚未领取的债券利息）作为初始确认金额，相关的交</w:t>
      </w:r>
      <w:r>
        <w:rPr>
          <w:spacing w:val="-66"/>
        </w:rPr>
        <w:t> </w:t>
      </w:r>
      <w:r>
        <w:rPr>
          <w:spacing w:val="-66"/>
        </w:rPr>
      </w:r>
      <w:r>
        <w:rPr/>
        <w:t>易费用计入当期损益。 </w:t>
      </w:r>
      <w:r>
        <w:rPr>
          <w:spacing w:val="-2"/>
        </w:rPr>
        <w:t>持有期间将取得的利息或现金股利确认为投资收益，期末将公允价值变动计入当期损益。其中，计算套期工具远期外汇结汇</w:t>
      </w:r>
    </w:p>
    <w:p>
      <w:pPr>
        <w:pStyle w:val="BodyText"/>
        <w:spacing w:line="316" w:lineRule="auto" w:before="22"/>
        <w:ind w:left="1133" w:right="1015"/>
        <w:jc w:val="left"/>
      </w:pPr>
      <w:r>
        <w:rPr>
          <w:spacing w:val="-2"/>
        </w:rPr>
        <w:t>（售汇）合约的期末公允价值适用汇率时按照资产负债表日国家外管局公布的汇率中间价与各银行外汇买入平均价孰高（孰</w:t>
      </w:r>
      <w:r>
        <w:rPr>
          <w:spacing w:val="-64"/>
        </w:rPr>
        <w:t> </w:t>
      </w:r>
      <w:r>
        <w:rPr>
          <w:spacing w:val="-64"/>
        </w:rPr>
      </w:r>
      <w:r>
        <w:rPr/>
        <w:t>低）确定。</w:t>
      </w:r>
    </w:p>
    <w:p>
      <w:pPr>
        <w:pStyle w:val="BodyText"/>
        <w:spacing w:line="309" w:lineRule="auto" w:before="19"/>
        <w:ind w:left="1133" w:right="2653"/>
        <w:jc w:val="left"/>
      </w:pPr>
      <w:r>
        <w:rPr/>
        <w:t>处置时，其公允价值与初始入账金额之间的差额确认为投资收益，同时调整公允价值变动损益。 </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w:t>
      </w:r>
    </w:p>
    <w:p>
      <w:pPr>
        <w:pStyle w:val="BodyText"/>
        <w:spacing w:line="316" w:lineRule="auto" w:before="24"/>
        <w:ind w:left="1133" w:right="1015"/>
        <w:jc w:val="left"/>
      </w:pPr>
      <w:r>
        <w:rPr>
          <w:spacing w:val="-2"/>
        </w:rPr>
        <w:t>持有期间按照摊余成本和实际利率计算确认利息收入，计入投资收益。实际利率在取得时确定，在该预期存续期间或适用的</w:t>
      </w:r>
      <w:r>
        <w:rPr>
          <w:spacing w:val="-66"/>
        </w:rPr>
        <w:t> </w:t>
      </w:r>
      <w:r>
        <w:rPr>
          <w:spacing w:val="-66"/>
        </w:rPr>
      </w:r>
      <w:r>
        <w:rPr/>
        <w:t>更短期间内保持不变。</w:t>
      </w:r>
    </w:p>
    <w:p>
      <w:pPr>
        <w:pStyle w:val="BodyText"/>
        <w:spacing w:line="240" w:lineRule="auto" w:before="19"/>
        <w:ind w:left="1133" w:right="1015"/>
        <w:jc w:val="left"/>
      </w:pPr>
      <w:r>
        <w:rPr/>
        <w:t>处置时，将所取得价款与该投资账面价值之间的差额计入投资收益。</w:t>
      </w:r>
    </w:p>
    <w:p>
      <w:pPr>
        <w:pStyle w:val="BodyText"/>
        <w:spacing w:line="312" w:lineRule="auto" w:before="77"/>
        <w:ind w:left="1133" w:right="1033"/>
        <w:jc w:val="left"/>
      </w:pPr>
      <w:r>
        <w:rPr>
          <w:rFonts w:ascii="Times New Roman" w:hAnsi="Times New Roman" w:cs="Times New Roman" w:eastAsia="Times New Roman" w:hint="default"/>
        </w:rPr>
        <w:t>3</w:t>
      </w:r>
      <w:r>
        <w:rPr/>
        <w:t>）应收款项 公司对外销售商品或提供劳务形成的应收债权，以及公司持有的其他企业的不包括在活跃市场上有报价的债务工具的债权， </w:t>
      </w:r>
      <w:r>
        <w:rPr>
          <w:spacing w:val="-2"/>
        </w:rPr>
        <w:t>包括应收账款、其他应收款等，以向购货方应收的合同或协议价款作为初始确认金额；具有融资性质的，按其现值进行初始</w:t>
      </w:r>
      <w:r>
        <w:rPr>
          <w:spacing w:val="-66"/>
        </w:rPr>
        <w:t> </w:t>
      </w:r>
      <w:r>
        <w:rPr>
          <w:spacing w:val="-66"/>
        </w:rPr>
      </w:r>
      <w:r>
        <w:rPr/>
        <w:t>确认。</w:t>
      </w:r>
    </w:p>
    <w:p>
      <w:pPr>
        <w:pStyle w:val="BodyText"/>
        <w:spacing w:line="240" w:lineRule="auto" w:before="22"/>
        <w:ind w:right="1015"/>
        <w:jc w:val="left"/>
      </w:pPr>
      <w:r>
        <w:rPr/>
        <w:t>收回或处置时，将取得的价款与该应收款项账面价值之间的差额计入当期损益。</w:t>
      </w:r>
    </w:p>
    <w:p>
      <w:pPr>
        <w:pStyle w:val="BodyText"/>
        <w:spacing w:line="314" w:lineRule="auto" w:before="76"/>
        <w:ind w:left="1133" w:right="1015"/>
        <w:jc w:val="left"/>
      </w:pPr>
      <w:r>
        <w:rPr>
          <w:rFonts w:ascii="Times New Roman" w:hAnsi="Times New Roman" w:cs="Times New Roman" w:eastAsia="Times New Roman" w:hint="default"/>
        </w:rPr>
        <w:t>4</w:t>
      </w:r>
      <w:r>
        <w:rPr/>
        <w:t>）可供出售金融资产 </w:t>
      </w:r>
      <w:r>
        <w:rPr>
          <w:spacing w:val="-2"/>
        </w:rPr>
        <w:t>取得时按公允价值（扣除已宣告但尚未发放的现金股利或已到付息期但尚未领取的债券利息）和相关交易费用之和作为初始</w:t>
      </w:r>
      <w:r>
        <w:rPr>
          <w:spacing w:val="-64"/>
        </w:rPr>
        <w:t> </w:t>
      </w:r>
      <w:r>
        <w:rPr>
          <w:spacing w:val="-64"/>
        </w:rPr>
      </w:r>
      <w:r>
        <w:rPr/>
        <w:t>确认金额。 </w:t>
      </w:r>
      <w:r>
        <w:rPr>
          <w:spacing w:val="-2"/>
        </w:rPr>
        <w:t>持有期间将取得的利息或现金股利确认为投资收益。期末以公允价值计量且将公允价值变动计入其他综合收益。但是，在活</w:t>
      </w:r>
      <w:r>
        <w:rPr>
          <w:spacing w:val="-66"/>
        </w:rPr>
        <w:t> </w:t>
      </w:r>
      <w:r>
        <w:rPr>
          <w:spacing w:val="-66"/>
        </w:rPr>
      </w:r>
      <w:r>
        <w:rPr>
          <w:spacing w:val="-2"/>
        </w:rPr>
        <w:t>跃市场中没有报价且其公允价值不能可靠计量的权益工具投资，以及与该权益工具挂钩并须通过交付该权益工具结算的衍生</w:t>
      </w:r>
      <w:r>
        <w:rPr>
          <w:spacing w:val="-64"/>
        </w:rPr>
        <w:t> </w:t>
      </w:r>
      <w:r>
        <w:rPr>
          <w:spacing w:val="-64"/>
        </w:rPr>
      </w:r>
      <w:r>
        <w:rPr/>
        <w:t>金融资产，按照成本计量。 </w:t>
      </w:r>
      <w:r>
        <w:rPr>
          <w:spacing w:val="-2"/>
        </w:rPr>
        <w:t>处置时，将取得的价款与该金融资产账面价值之间的差额，计入投资损益；同时，将原直接计入其他综合收益的公允价值变</w:t>
      </w:r>
      <w:r>
        <w:rPr>
          <w:spacing w:val="-66"/>
        </w:rPr>
        <w:t> </w:t>
      </w:r>
      <w:r>
        <w:rPr>
          <w:spacing w:val="-66"/>
        </w:rPr>
      </w:r>
      <w:r>
        <w:rPr/>
        <w:t>动累计额对应处置部分的金额转出，计入当期损益。</w:t>
      </w:r>
    </w:p>
    <w:p>
      <w:pPr>
        <w:spacing w:line="309" w:lineRule="auto" w:before="20"/>
        <w:ind w:left="1133" w:right="40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）其他金融负债 按其公允价值和相关交易费用之和作为初始确认金额。采用摊余成本进行后续计量。 </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金融资产转移的确认依据和计量方法</w:t>
      </w:r>
      <w:r>
        <w:rPr>
          <w:rFonts w:ascii="宋体" w:hAnsi="宋体" w:cs="宋体" w:eastAsia="宋体" w:hint="default"/>
          <w:sz w:val="18"/>
          <w:szCs w:val="18"/>
        </w:rPr>
      </w:r>
    </w:p>
    <w:p>
      <w:pPr>
        <w:pStyle w:val="BodyText"/>
        <w:spacing w:line="319" w:lineRule="auto" w:before="5"/>
        <w:ind w:left="1133" w:right="1015"/>
        <w:jc w:val="left"/>
      </w:pPr>
      <w:r>
        <w:rPr>
          <w:spacing w:val="-2"/>
        </w:rPr>
        <w:t>公司发生金融资产转移时，如已将金融资产所有权上几乎所有的风险和报酬转移给转入方，则终止确认该金融资产；如保留</w:t>
      </w:r>
      <w:r>
        <w:rPr>
          <w:spacing w:val="-66"/>
        </w:rPr>
        <w:t> </w:t>
      </w:r>
      <w:r>
        <w:rPr>
          <w:spacing w:val="-66"/>
        </w:rPr>
      </w:r>
      <w:r>
        <w:rPr/>
        <w:t>了金融资产所有权上几乎所有的风险和报酬的，则不终止确认该金融资产。 </w:t>
      </w:r>
      <w:r>
        <w:rPr>
          <w:spacing w:val="-2"/>
        </w:rPr>
        <w:t>在判断金融资产转移是否满足上述金融资产终止确认条件时，采用实质重于形式的原则。公司将金融资产转移区分为金融资</w:t>
      </w:r>
      <w:r>
        <w:rPr>
          <w:spacing w:val="-64"/>
        </w:rPr>
        <w:t> </w:t>
      </w:r>
      <w:r>
        <w:rPr>
          <w:spacing w:val="-64"/>
        </w:rPr>
      </w:r>
      <w:r>
        <w:rPr/>
        <w:t>产整体转移和部分转移。金融资产整体转移满足终止确认条件的，将下列两项金额的差额计入当期损益： </w:t>
      </w:r>
      <w:r>
        <w:rPr>
          <w:rFonts w:ascii="Times New Roman" w:hAnsi="Times New Roman" w:cs="Times New Roman" w:eastAsia="Times New Roman" w:hint="default"/>
        </w:rPr>
        <w:t>1</w:t>
      </w:r>
      <w:r>
        <w:rPr/>
        <w:t>）所转移金融资产的账面价值；</w:t>
      </w:r>
    </w:p>
    <w:p>
      <w:pPr>
        <w:pStyle w:val="BodyText"/>
        <w:spacing w:line="246" w:lineRule="exact"/>
        <w:ind w:left="1133" w:right="1015"/>
        <w:jc w:val="left"/>
      </w:pP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）因转移而收到的对价，与原直接计入所有者权益的公允价值变动累计额（涉及转移的金融资产为可供出售金融资产的情</w:t>
      </w:r>
    </w:p>
    <w:p>
      <w:pPr>
        <w:spacing w:after="0" w:line="246" w:lineRule="exact"/>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right="1015"/>
        <w:jc w:val="left"/>
      </w:pPr>
      <w:r>
        <w:rPr/>
        <w:t>形）之和。 </w:t>
      </w:r>
      <w:r>
        <w:rPr>
          <w:spacing w:val="-2"/>
        </w:rPr>
        <w:t>金融资产部分转移满足终止确认条件的，将所转移金融资产整体的账面价值，在终止确认部分和未终止确认部分之间，按照</w:t>
      </w:r>
      <w:r>
        <w:rPr>
          <w:spacing w:val="-66"/>
        </w:rPr>
        <w:t> </w:t>
      </w:r>
      <w:r>
        <w:rPr>
          <w:spacing w:val="-66"/>
        </w:rPr>
      </w:r>
      <w:r>
        <w:rPr/>
        <w:t>各自的相对公允价值进行分摊，并将下列两项金额的差额计入当期损益：</w:t>
      </w:r>
    </w:p>
    <w:p>
      <w:pPr>
        <w:pStyle w:val="BodyText"/>
        <w:spacing w:line="240" w:lineRule="auto" w:before="19"/>
        <w:ind w:right="1015"/>
        <w:jc w:val="left"/>
      </w:pPr>
      <w:r>
        <w:rPr/>
        <w:t>（</w:t>
      </w:r>
      <w:r>
        <w:rPr>
          <w:rFonts w:ascii="Times New Roman" w:hAnsi="Times New Roman" w:cs="Times New Roman" w:eastAsia="Times New Roman" w:hint="default"/>
        </w:rPr>
        <w:t>1</w:t>
      </w:r>
      <w:r>
        <w:rPr/>
        <w:t>）终止确认部分的账面价值；</w:t>
      </w:r>
    </w:p>
    <w:p>
      <w:pPr>
        <w:pStyle w:val="BodyText"/>
        <w:spacing w:line="314" w:lineRule="auto" w:before="63"/>
        <w:ind w:left="1133" w:right="1033"/>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）终止确认部分的对价，与原直接计入所有者权益的公允价值变动累计额中对应终止确认部分的金额（涉及转移的金融</w:t>
      </w:r>
      <w:r>
        <w:rPr>
          <w:spacing w:val="-83"/>
        </w:rPr>
        <w:t> </w:t>
      </w:r>
      <w:r>
        <w:rPr>
          <w:spacing w:val="-83"/>
        </w:rPr>
      </w:r>
      <w:r>
        <w:rPr/>
        <w:t>资产为可供出售金融资产的情形）之和。 金融资产转移不满足终止确认条件的，继续确认该金融资产，所收到的对价确认为一项金融负债。 </w:t>
      </w:r>
      <w:r>
        <w:rPr>
          <w:rFonts w:ascii="Times New Roman" w:hAnsi="Times New Roman" w:cs="Times New Roman" w:eastAsia="Times New Roman" w:hint="default"/>
          <w:b/>
          <w:bCs/>
        </w:rPr>
        <w:t>(4)</w:t>
      </w:r>
      <w:r>
        <w:rPr>
          <w:rFonts w:ascii="宋体" w:hAnsi="宋体" w:cs="宋体" w:eastAsia="宋体" w:hint="default"/>
          <w:b/>
          <w:bCs/>
        </w:rPr>
        <w:t>金融负债终止确认条件</w:t>
      </w:r>
      <w:r>
        <w:rPr>
          <w:rFonts w:ascii="宋体" w:hAnsi="宋体" w:cs="宋体" w:eastAsia="宋体" w:hint="default"/>
          <w:b/>
          <w:bCs/>
          <w:w w:val="99"/>
        </w:rPr>
        <w:t> </w:t>
      </w:r>
      <w:r>
        <w:rPr>
          <w:spacing w:val="-2"/>
        </w:rPr>
        <w:t>金融负债的现时义务全部或部分已经解除的，则终止确认该金融负债或其一部分；本公司若与债权人签定协议，以承担新金</w:t>
      </w:r>
      <w:r>
        <w:rPr>
          <w:spacing w:val="-66"/>
        </w:rPr>
        <w:t> </w:t>
      </w:r>
      <w:r>
        <w:rPr>
          <w:spacing w:val="-66"/>
        </w:rPr>
      </w:r>
      <w:r>
        <w:rPr>
          <w:spacing w:val="-2"/>
        </w:rPr>
        <w:t>融负债方式替换现存金融负债，且新金融负债与现存金融负债的合同条款实质上不同的，则终止确认现存金融负债，并同时</w:t>
      </w:r>
      <w:r>
        <w:rPr>
          <w:spacing w:val="-66"/>
        </w:rPr>
        <w:t> </w:t>
      </w:r>
      <w:r>
        <w:rPr>
          <w:spacing w:val="-66"/>
        </w:rPr>
      </w:r>
      <w:r>
        <w:rPr/>
        <w:t>确认新金融负债。 </w:t>
      </w:r>
      <w:r>
        <w:rPr>
          <w:spacing w:val="-2"/>
        </w:rPr>
        <w:t>对现存金融负债全部或部分合同条款作出实质性修改的，则终止确认现存金融负债或其一部分，同时将修改条款后的金融负</w:t>
      </w:r>
      <w:r>
        <w:rPr>
          <w:spacing w:val="-64"/>
        </w:rPr>
        <w:t> </w:t>
      </w:r>
      <w:r>
        <w:rPr>
          <w:spacing w:val="-64"/>
        </w:rPr>
      </w:r>
      <w:r>
        <w:rPr/>
        <w:t>债确认为一项新金融负债。 金融负债全部或部分终止确认时，终止确认的金融负债账面价值与支付对价（包括转出的非现金资产或承担的新金融负债） 之间的差额，计入当期损益。 </w:t>
      </w:r>
      <w:r>
        <w:rPr>
          <w:spacing w:val="-2"/>
        </w:rPr>
        <w:t>本公司若回购部分金融负债的，在回购日按照继续确认部分与终止确认部分的相对公允价值，将该金融负债整体的账面价值</w:t>
      </w:r>
      <w:r>
        <w:rPr>
          <w:spacing w:val="-64"/>
        </w:rPr>
        <w:t> </w:t>
      </w:r>
      <w:r>
        <w:rPr>
          <w:spacing w:val="-64"/>
        </w:rPr>
      </w:r>
      <w:r>
        <w:rPr>
          <w:spacing w:val="-2"/>
        </w:rPr>
        <w:t>进行分配。分配给终止确认部分的账面价值与支付的对价（包括转出的非现金资产或承担的新金融负债）之间的差额，计入</w:t>
      </w:r>
      <w:r>
        <w:rPr>
          <w:spacing w:val="-66"/>
        </w:rPr>
        <w:t> </w:t>
      </w:r>
      <w:r>
        <w:rPr>
          <w:spacing w:val="-66"/>
        </w:rPr>
      </w:r>
      <w:r>
        <w:rPr/>
        <w:t>当期损益。</w:t>
      </w:r>
    </w:p>
    <w:p>
      <w:pPr>
        <w:spacing w:line="309" w:lineRule="auto" w:before="20"/>
        <w:ind w:left="1133" w:right="1115"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金融资产和金融负债公允价值的确定方法</w:t>
      </w:r>
      <w:r>
        <w:rPr>
          <w:rFonts w:ascii="宋体" w:hAnsi="宋体" w:cs="宋体" w:eastAsia="宋体" w:hint="default"/>
          <w:b/>
          <w:bCs/>
          <w:w w:val="99"/>
          <w:sz w:val="18"/>
          <w:szCs w:val="18"/>
        </w:rPr>
        <w:t> </w:t>
      </w:r>
      <w:r>
        <w:rPr>
          <w:rFonts w:ascii="宋体" w:hAnsi="宋体" w:cs="宋体" w:eastAsia="宋体" w:hint="default"/>
          <w:sz w:val="18"/>
          <w:szCs w:val="18"/>
        </w:rPr>
        <w:t>本公司采用公允价值计量的金融资产和金融负债全部直接参考活跃市场中的报价 </w:t>
      </w: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金融资产（不含应收款项）减值准备计提</w:t>
      </w:r>
      <w:r>
        <w:rPr>
          <w:rFonts w:ascii="宋体" w:hAnsi="宋体" w:cs="宋体" w:eastAsia="宋体" w:hint="default"/>
          <w:b/>
          <w:bCs/>
          <w:w w:val="99"/>
          <w:sz w:val="18"/>
          <w:szCs w:val="18"/>
        </w:rPr>
        <w:t> </w:t>
      </w:r>
      <w:r>
        <w:rPr>
          <w:rFonts w:ascii="宋体" w:hAnsi="宋体" w:cs="宋体" w:eastAsia="宋体" w:hint="default"/>
          <w:spacing w:val="-2"/>
          <w:sz w:val="18"/>
          <w:szCs w:val="18"/>
        </w:rPr>
        <w:t>除以公允价值计量且其变动计入当期损益的金融资产外，本公司于资产负债表日对金融资产的账面价值进行检查，如果有客</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观证据表明某项金融资产发生减值的，计提减值准备。</w:t>
      </w:r>
    </w:p>
    <w:p>
      <w:pPr>
        <w:pStyle w:val="BodyText"/>
        <w:spacing w:line="314" w:lineRule="auto" w:before="24"/>
        <w:ind w:left="1133" w:right="1033"/>
        <w:jc w:val="left"/>
      </w:pPr>
      <w:r>
        <w:rPr>
          <w:rFonts w:ascii="Times New Roman" w:hAnsi="Times New Roman" w:cs="Times New Roman" w:eastAsia="Times New Roman" w:hint="default"/>
        </w:rPr>
        <w:t>1</w:t>
      </w:r>
      <w:r>
        <w:rPr/>
        <w:t>）可供出售金融资产的减值准备： 期末如果可供出售金融资产的公允价值发生严重下降，或在综合考虑各种相关因素后，预期这种下降趋势属于非暂时性的， 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对于已确认减值损失的可供出售债务工具，在随后的会计期间公允价值已上升且客观上与确认原减值损失确认后发生的事项</w:t>
      </w:r>
      <w:r>
        <w:rPr>
          <w:spacing w:val="-64"/>
        </w:rPr>
        <w:t> </w:t>
      </w:r>
      <w:r>
        <w:rPr>
          <w:spacing w:val="-64"/>
        </w:rPr>
      </w:r>
      <w:r>
        <w:rPr/>
        <w:t>有关的，原确认的减值损失予以转回，计入当期损益。</w:t>
      </w:r>
    </w:p>
    <w:p>
      <w:pPr>
        <w:pStyle w:val="BodyText"/>
        <w:spacing w:line="309" w:lineRule="auto" w:before="20"/>
        <w:ind w:left="1133" w:right="5173"/>
        <w:jc w:val="left"/>
      </w:pPr>
      <w:r>
        <w:rPr/>
        <w:t>可供出售权益工具投资发生的减值损失，不得通过损益转回。 </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12"/>
        <w:rPr>
          <w:rFonts w:ascii="宋体" w:hAnsi="宋体" w:cs="宋体" w:eastAsia="宋体" w:hint="default"/>
          <w:sz w:val="22"/>
          <w:szCs w:val="22"/>
        </w:rPr>
      </w:pPr>
    </w:p>
    <w:p>
      <w:pPr>
        <w:pStyle w:val="Heading3"/>
        <w:spacing w:line="240" w:lineRule="auto"/>
        <w:ind w:left="1133" w:right="1015"/>
        <w:jc w:val="left"/>
        <w:rPr>
          <w:b w:val="0"/>
          <w:bCs w:val="0"/>
        </w:rPr>
      </w:pPr>
      <w:bookmarkStart w:name="11、应收款项" w:id="182"/>
      <w:bookmarkEnd w:id="182"/>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1）单项金额重大并单独计提坏账准备的应收款项" w:id="183"/>
      <w:bookmarkEnd w:id="183"/>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占期末应收款项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以上且账面余额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万元以上的款项</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按应收款项个别认定及账龄分析法相结合计提</w:t>
            </w:r>
          </w:p>
        </w:tc>
      </w:tr>
    </w:tbl>
    <w:p>
      <w:pPr>
        <w:spacing w:line="240" w:lineRule="auto" w:before="2"/>
        <w:rPr>
          <w:rFonts w:ascii="宋体" w:hAnsi="宋体" w:cs="宋体" w:eastAsia="宋体" w:hint="default"/>
          <w:b/>
          <w:bCs/>
          <w:sz w:val="19"/>
          <w:szCs w:val="19"/>
        </w:rPr>
      </w:pPr>
    </w:p>
    <w:p>
      <w:pPr>
        <w:pStyle w:val="Heading3"/>
        <w:spacing w:line="240" w:lineRule="auto" w:before="35"/>
        <w:ind w:right="1015"/>
        <w:jc w:val="left"/>
        <w:rPr>
          <w:b w:val="0"/>
          <w:bCs w:val="0"/>
        </w:rPr>
      </w:pPr>
      <w:bookmarkStart w:name="（2）按信用风险特征组合计提坏账准备的应收款项" w:id="184"/>
      <w:bookmarkEnd w:id="184"/>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按账龄分析法计提坏账准备的应收款项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内部及关联方应收款项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right="1015"/>
        <w:jc w:val="left"/>
      </w:pPr>
      <w:r>
        <w:rPr/>
        <w:t>组合中，采用账龄分析法计提坏账准备的：</w:t>
      </w:r>
    </w:p>
    <w:p>
      <w:pPr>
        <w:pStyle w:val="BodyText"/>
        <w:spacing w:line="240" w:lineRule="auto" w:before="117"/>
        <w:ind w:right="1015"/>
        <w:jc w:val="left"/>
      </w:pPr>
      <w:r>
        <w:rPr/>
        <w:t>√ 适用 □ 不适用</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69"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1015"/>
        <w:jc w:val="left"/>
      </w:pPr>
      <w:r>
        <w:rPr/>
        <w:t>组合中，采用余额百分比法计提坏账准备的：</w:t>
      </w:r>
    </w:p>
    <w:p>
      <w:pPr>
        <w:pStyle w:val="BodyText"/>
        <w:spacing w:line="360" w:lineRule="auto" w:before="116"/>
        <w:ind w:right="7512"/>
        <w:jc w:val="left"/>
      </w:pPr>
      <w:r>
        <w:rPr/>
        <w:t>□ 适用 √ 不适用 组合中，采用其他方法计提坏账准备的：</w:t>
      </w:r>
    </w:p>
    <w:p>
      <w:pPr>
        <w:pStyle w:val="BodyText"/>
        <w:spacing w:line="240" w:lineRule="auto" w:before="26"/>
        <w:ind w:right="1015"/>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015"/>
        <w:jc w:val="left"/>
        <w:rPr>
          <w:b w:val="0"/>
          <w:bCs w:val="0"/>
        </w:rPr>
      </w:pPr>
      <w:bookmarkStart w:name="（3）单项金额不重大但单独计提坏账准备的应收款项" w:id="185"/>
      <w:bookmarkEnd w:id="185"/>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涉及诉讼或对应收款项金额存在争议的应收款项。</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8"/>
              <w:jc w:val="left"/>
              <w:rPr>
                <w:rFonts w:ascii="宋体" w:hAnsi="宋体" w:cs="宋体" w:eastAsia="宋体" w:hint="default"/>
                <w:sz w:val="18"/>
                <w:szCs w:val="18"/>
              </w:rPr>
            </w:pPr>
            <w:r>
              <w:rPr>
                <w:rFonts w:ascii="宋体" w:hAnsi="宋体" w:cs="宋体" w:eastAsia="宋体" w:hint="default"/>
                <w:sz w:val="18"/>
                <w:szCs w:val="18"/>
              </w:rPr>
              <w:t>单独进行减值测试，如果客观证据表明其发生了减值的， 根据其未来现金流量低于其账面价值的差额确认减值损 失。</w:t>
            </w:r>
          </w:p>
        </w:tc>
      </w:tr>
    </w:tbl>
    <w:p>
      <w:pPr>
        <w:spacing w:line="240" w:lineRule="auto" w:before="2"/>
        <w:rPr>
          <w:rFonts w:ascii="宋体" w:hAnsi="宋体" w:cs="宋体" w:eastAsia="宋体" w:hint="default"/>
          <w:b/>
          <w:bCs/>
          <w:sz w:val="19"/>
          <w:szCs w:val="19"/>
        </w:rPr>
      </w:pPr>
    </w:p>
    <w:p>
      <w:pPr>
        <w:pStyle w:val="Heading3"/>
        <w:spacing w:line="240" w:lineRule="auto" w:before="35"/>
        <w:ind w:right="1015"/>
        <w:jc w:val="left"/>
        <w:rPr>
          <w:b w:val="0"/>
          <w:bCs w:val="0"/>
        </w:rPr>
      </w:pPr>
      <w:bookmarkStart w:name="12、存货" w:id="186"/>
      <w:bookmarkEnd w:id="186"/>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1015"/>
        <w:jc w:val="left"/>
      </w:pPr>
      <w:r>
        <w:rPr/>
        <w:t>医疗器械业</w:t>
      </w:r>
    </w:p>
    <w:p>
      <w:pPr>
        <w:spacing w:line="309" w:lineRule="auto" w:before="115"/>
        <w:ind w:left="1190" w:right="169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存货的分类</w:t>
      </w:r>
      <w:r>
        <w:rPr>
          <w:rFonts w:ascii="宋体" w:hAnsi="宋体" w:cs="宋体" w:eastAsia="宋体" w:hint="default"/>
          <w:b/>
          <w:bCs/>
          <w:w w:val="99"/>
          <w:sz w:val="18"/>
          <w:szCs w:val="18"/>
        </w:rPr>
        <w:t> </w:t>
      </w:r>
      <w:r>
        <w:rPr>
          <w:rFonts w:ascii="宋体" w:hAnsi="宋体" w:cs="宋体" w:eastAsia="宋体" w:hint="default"/>
          <w:sz w:val="18"/>
          <w:szCs w:val="18"/>
        </w:rPr>
        <w:t>存货分类为：在途物资、原材料、周转材料、库存商品、在产品、发出商品、委托加工物资、消耗性生物资产等。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发出存货的计价方法</w:t>
      </w:r>
      <w:r>
        <w:rPr>
          <w:rFonts w:ascii="宋体" w:hAnsi="宋体" w:cs="宋体" w:eastAsia="宋体" w:hint="default"/>
          <w:sz w:val="18"/>
          <w:szCs w:val="18"/>
        </w:rPr>
      </w:r>
    </w:p>
    <w:p>
      <w:pPr>
        <w:spacing w:line="309" w:lineRule="auto" w:before="5"/>
        <w:ind w:left="1190" w:right="3676" w:firstLine="3"/>
        <w:jc w:val="left"/>
        <w:rPr>
          <w:rFonts w:ascii="宋体" w:hAnsi="宋体" w:cs="宋体" w:eastAsia="宋体" w:hint="default"/>
          <w:sz w:val="18"/>
          <w:szCs w:val="18"/>
        </w:rPr>
      </w:pPr>
      <w:r>
        <w:rPr>
          <w:rFonts w:ascii="宋体" w:hAnsi="宋体" w:cs="宋体" w:eastAsia="宋体" w:hint="default"/>
          <w:sz w:val="18"/>
          <w:szCs w:val="18"/>
        </w:rPr>
        <w:t>存货发出时按加权平均法计价。 </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存货可变现净值的确定依据及存货跌价准备的计提方法</w:t>
      </w:r>
      <w:r>
        <w:rPr>
          <w:rFonts w:ascii="宋体" w:hAnsi="宋体" w:cs="宋体" w:eastAsia="宋体" w:hint="default"/>
          <w:b/>
          <w:bCs/>
          <w:w w:val="99"/>
          <w:sz w:val="18"/>
          <w:szCs w:val="18"/>
        </w:rPr>
        <w:t> </w:t>
      </w:r>
      <w:r>
        <w:rPr>
          <w:rFonts w:ascii="宋体" w:hAnsi="宋体" w:cs="宋体" w:eastAsia="宋体" w:hint="default"/>
          <w:sz w:val="18"/>
          <w:szCs w:val="18"/>
        </w:rPr>
        <w:t>期末对存货进行全面清查后，按存货的成本与可变现净值孰低提取或调整存货跌价准备。</w:t>
      </w:r>
    </w:p>
    <w:p>
      <w:pPr>
        <w:pStyle w:val="BodyText"/>
        <w:spacing w:line="316" w:lineRule="auto" w:before="24"/>
        <w:ind w:left="1193" w:right="1015"/>
        <w:jc w:val="left"/>
      </w:pPr>
      <w:r>
        <w:rPr/>
        <w:t>产成品、库存商品和用于出售的材料等直接用于出售的商品存货，在正常生产经营过程中，以该存货的估计售价减去估计</w:t>
      </w:r>
      <w:r>
        <w:rPr>
          <w:spacing w:val="-54"/>
        </w:rPr>
        <w:t> </w:t>
      </w:r>
      <w:r>
        <w:rPr>
          <w:spacing w:val="-54"/>
        </w:rPr>
      </w:r>
      <w:r>
        <w:rPr/>
        <w:t>的销售费用和相关税费后的金额，确定其可变现净值；需要经过加工的材料存货，在正常生产经营过程中，以所生产的产</w:t>
      </w:r>
      <w:r>
        <w:rPr>
          <w:spacing w:val="-57"/>
        </w:rPr>
        <w:t> </w:t>
      </w:r>
      <w:r>
        <w:rPr>
          <w:spacing w:val="-57"/>
        </w:rPr>
      </w:r>
      <w:r>
        <w:rPr/>
        <w:t>成品的估计售价减去至完工时估计将要发生的成本、估计的销售费用和相关税费后的金额，确定其可变现净值；为执行销</w:t>
      </w:r>
      <w:r>
        <w:rPr>
          <w:spacing w:val="-57"/>
        </w:rPr>
        <w:t> </w:t>
      </w:r>
      <w:r>
        <w:rPr>
          <w:spacing w:val="-57"/>
        </w:rPr>
      </w:r>
      <w:r>
        <w:rPr/>
        <w:t>售合同或者劳务合同而持有的存货，其可变现净值以合同价格为基础计算，若持有存货的数量多于销售合同订购数量的，</w:t>
      </w:r>
      <w:r>
        <w:rPr>
          <w:spacing w:val="-57"/>
        </w:rPr>
        <w:t> </w:t>
      </w:r>
      <w:r>
        <w:rPr>
          <w:spacing w:val="-57"/>
        </w:rPr>
      </w:r>
      <w:r>
        <w:rPr/>
        <w:t>超出部分的存货的可变现净值以一般销售价格为基础计算。 期末按照单个存货项目计提存货跌价准备；但对于数量繁多、单价较低的存货，按照存货类别计提存货跌价准备；与在同</w:t>
      </w:r>
      <w:r>
        <w:rPr>
          <w:spacing w:val="-53"/>
        </w:rPr>
        <w:t> </w:t>
      </w:r>
      <w:r>
        <w:rPr>
          <w:spacing w:val="-53"/>
        </w:rPr>
      </w:r>
      <w:r>
        <w:rPr/>
        <w:t>一地区生产和销售的产品系列相关、具有相同或类似最终用途或目的，且难以与其他项目分开计量的存货，则合并计提存</w:t>
      </w:r>
      <w:r>
        <w:rPr>
          <w:spacing w:val="-57"/>
        </w:rPr>
        <w:t> </w:t>
      </w:r>
      <w:r>
        <w:rPr>
          <w:spacing w:val="-57"/>
        </w:rPr>
      </w:r>
      <w:r>
        <w:rPr/>
        <w:t>货跌价准备。 以前减记存货价值的影响因素已经消失的，减记的金额予以恢复，并在原已计提的存货跌价准备金额内转回，转回的金额</w:t>
      </w:r>
    </w:p>
    <w:p>
      <w:pPr>
        <w:spacing w:after="0" w:line="316"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left="1194" w:right="1872"/>
        <w:jc w:val="left"/>
      </w:pPr>
      <w:r>
        <w:rPr/>
        <w:t>计入当期损益。 除有明确证据表明资产负债表日市场价格异常外，存货项目的可变现净值以资产负债表日市场价格为基础确定。 资产负债表日市场价格异常的判断依据为： 本期期末存货项目的可变现净值以资产负债表日市场价格为基础确定。</w:t>
      </w:r>
    </w:p>
    <w:p>
      <w:pPr>
        <w:spacing w:line="307" w:lineRule="auto" w:before="19"/>
        <w:ind w:left="1190" w:right="795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采用永续盘存制。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低值易耗品和包装物的摊销方法</w:t>
      </w:r>
      <w:r>
        <w:rPr>
          <w:rFonts w:ascii="宋体" w:hAnsi="宋体" w:cs="宋体" w:eastAsia="宋体" w:hint="default"/>
          <w:b/>
          <w:bCs/>
          <w:w w:val="9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）低值易耗品采用一次转销法；</w:t>
      </w:r>
    </w:p>
    <w:p>
      <w:pPr>
        <w:pStyle w:val="BodyText"/>
        <w:spacing w:line="240" w:lineRule="auto" w:before="7"/>
        <w:ind w:left="1193" w:right="1015"/>
        <w:jc w:val="left"/>
      </w:pPr>
      <w:r>
        <w:rPr>
          <w:rFonts w:ascii="Times New Roman" w:hAnsi="Times New Roman" w:cs="Times New Roman" w:eastAsia="Times New Roman" w:hint="default"/>
        </w:rPr>
        <w:t>2</w:t>
      </w:r>
      <w:r>
        <w:rPr/>
        <w:t>）包装物采用一次转销法。</w:t>
      </w:r>
    </w:p>
    <w:p>
      <w:pPr>
        <w:spacing w:line="240" w:lineRule="auto" w:before="11"/>
        <w:rPr>
          <w:rFonts w:ascii="宋体" w:hAnsi="宋体" w:cs="宋体" w:eastAsia="宋体" w:hint="default"/>
          <w:sz w:val="25"/>
          <w:szCs w:val="25"/>
        </w:rPr>
      </w:pPr>
    </w:p>
    <w:p>
      <w:pPr>
        <w:pStyle w:val="Heading3"/>
        <w:spacing w:line="240" w:lineRule="auto"/>
        <w:ind w:right="1015"/>
        <w:jc w:val="left"/>
        <w:rPr>
          <w:b w:val="0"/>
          <w:bCs w:val="0"/>
        </w:rPr>
      </w:pPr>
      <w:bookmarkStart w:name="13、持有待售资产" w:id="187"/>
      <w:bookmarkEnd w:id="187"/>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251" w:right="1015"/>
        <w:jc w:val="left"/>
      </w:pPr>
      <w:r>
        <w:rPr/>
        <w:t>本公司将同时满足下列条件的非流动资产或处置组划分为持有待售类别：</w:t>
      </w:r>
    </w:p>
    <w:p>
      <w:pPr>
        <w:pStyle w:val="BodyText"/>
        <w:spacing w:line="240" w:lineRule="auto" w:before="76"/>
        <w:ind w:left="1251" w:right="1015"/>
        <w:jc w:val="left"/>
      </w:pPr>
      <w:r>
        <w:rPr/>
        <w:t>（</w:t>
      </w:r>
      <w:r>
        <w:rPr>
          <w:rFonts w:ascii="宋体" w:hAnsi="宋体" w:cs="宋体" w:eastAsia="宋体" w:hint="default"/>
        </w:rPr>
        <w:t>1</w:t>
      </w:r>
      <w:r>
        <w:rPr/>
        <w:t>）根据类似交易中出售此类资产或处置组的惯例，在当前状况下即可立即出售；</w:t>
      </w:r>
    </w:p>
    <w:p>
      <w:pPr>
        <w:pStyle w:val="BodyText"/>
        <w:spacing w:line="316" w:lineRule="auto" w:before="76"/>
        <w:ind w:left="1251" w:right="1015"/>
        <w:jc w:val="left"/>
      </w:pPr>
      <w:r>
        <w:rPr/>
        <w:t>（</w:t>
      </w:r>
      <w:r>
        <w:rPr>
          <w:rFonts w:ascii="宋体" w:hAnsi="宋体" w:cs="宋体" w:eastAsia="宋体" w:hint="default"/>
        </w:rPr>
        <w:t>2</w:t>
      </w:r>
      <w:r>
        <w:rPr/>
        <w:t>）出售极可能发生，即本公司已经就一项出售计划作出决议且获得确定的购买承诺，预计出售将在一年内完成。有关</w:t>
      </w:r>
      <w:r>
        <w:rPr>
          <w:spacing w:val="-31"/>
        </w:rPr>
        <w:t> </w:t>
      </w:r>
      <w:r>
        <w:rPr>
          <w:spacing w:val="-31"/>
        </w:rPr>
      </w:r>
      <w:r>
        <w:rPr/>
        <w:t>规定要求本公司相关权力机构或者监管部门批准后方可出售的，已经获得批准。</w:t>
      </w:r>
    </w:p>
    <w:p>
      <w:pPr>
        <w:spacing w:line="240" w:lineRule="auto" w:before="7"/>
        <w:rPr>
          <w:rFonts w:ascii="宋体" w:hAnsi="宋体" w:cs="宋体" w:eastAsia="宋体" w:hint="default"/>
          <w:sz w:val="22"/>
          <w:szCs w:val="22"/>
        </w:rPr>
      </w:pPr>
    </w:p>
    <w:p>
      <w:pPr>
        <w:pStyle w:val="Heading3"/>
        <w:spacing w:line="240" w:lineRule="auto"/>
        <w:ind w:left="1133" w:right="1015"/>
        <w:jc w:val="left"/>
        <w:rPr>
          <w:b w:val="0"/>
          <w:bCs w:val="0"/>
        </w:rPr>
      </w:pPr>
      <w:bookmarkStart w:name="14、长期股权投资" w:id="188"/>
      <w:bookmarkEnd w:id="188"/>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left="1194" w:right="1015" w:firstLine="45"/>
        <w:jc w:val="left"/>
      </w:pPr>
      <w:r>
        <w:rPr>
          <w:rFonts w:ascii="Times New Roman" w:hAnsi="Times New Roman" w:cs="Times New Roman" w:eastAsia="Times New Roman" w:hint="default"/>
          <w:b/>
          <w:bCs/>
        </w:rPr>
        <w:t>(1)</w:t>
      </w:r>
      <w:r>
        <w:rPr>
          <w:rFonts w:ascii="宋体" w:hAnsi="宋体" w:cs="宋体" w:eastAsia="宋体" w:hint="default"/>
          <w:b/>
          <w:bCs/>
        </w:rPr>
        <w:t>共同控制、重大影响的判断标准</w:t>
      </w:r>
      <w:r>
        <w:rPr>
          <w:rFonts w:ascii="宋体" w:hAnsi="宋体" w:cs="宋体" w:eastAsia="宋体" w:hint="default"/>
          <w:b/>
          <w:bCs/>
          <w:w w:val="99"/>
        </w:rPr>
        <w:t> </w:t>
      </w:r>
      <w:r>
        <w:rPr/>
        <w:t>共同控制，是指按照相关约定对某项安排所共有的控制，并且该安排的相关活动必须经过分享控制权的参与方一致同意后</w:t>
      </w:r>
      <w:r>
        <w:rPr>
          <w:spacing w:val="-56"/>
        </w:rPr>
        <w:t> </w:t>
      </w:r>
      <w:r>
        <w:rPr>
          <w:spacing w:val="-56"/>
        </w:rPr>
      </w:r>
      <w:r>
        <w:rPr/>
        <w:t>才能决策。本公司与其他合营方一同对被投资单位实施共同控制且对被投资单位净资产享有权利的，被投资单位为本公司</w:t>
      </w:r>
      <w:r>
        <w:rPr>
          <w:spacing w:val="-57"/>
        </w:rPr>
        <w:t> </w:t>
      </w:r>
      <w:r>
        <w:rPr>
          <w:spacing w:val="-57"/>
        </w:rPr>
      </w:r>
      <w:r>
        <w:rPr/>
        <w:t>的合营企业。 重大影响，是指对一个企业的财务和经营决策有参与决策的权力，但并不能够控制或者与其他方一起共同控制这些政策的</w:t>
      </w:r>
      <w:r>
        <w:rPr>
          <w:spacing w:val="-57"/>
        </w:rPr>
        <w:t> </w:t>
      </w:r>
      <w:r>
        <w:rPr>
          <w:spacing w:val="-57"/>
        </w:rPr>
      </w:r>
      <w:r>
        <w:rPr/>
        <w:t>制定。能够对被投资单位施加重大影响的，被投资单位为本公司联营企业。</w:t>
      </w:r>
    </w:p>
    <w:p>
      <w:pPr>
        <w:pStyle w:val="Heading6"/>
        <w:spacing w:line="240" w:lineRule="auto" w:before="20"/>
        <w:ind w:left="1134" w:right="1015"/>
        <w:jc w:val="left"/>
        <w:rPr>
          <w:b w:val="0"/>
          <w:bCs w:val="0"/>
        </w:rPr>
      </w:pPr>
      <w:r>
        <w:rPr>
          <w:rFonts w:ascii="Times New Roman" w:hAnsi="Times New Roman" w:cs="Times New Roman" w:eastAsia="Times New Roman" w:hint="default"/>
        </w:rPr>
        <w:t>(2)</w:t>
      </w:r>
      <w:r>
        <w:rPr/>
        <w:t>初始投资成本的确定</w:t>
      </w:r>
      <w:r>
        <w:rPr>
          <w:b w:val="0"/>
          <w:bCs w:val="0"/>
        </w:rPr>
      </w:r>
    </w:p>
    <w:p>
      <w:pPr>
        <w:pStyle w:val="BodyText"/>
        <w:spacing w:line="316" w:lineRule="auto" w:before="63"/>
        <w:ind w:left="1193" w:right="1015"/>
        <w:jc w:val="left"/>
      </w:pPr>
      <w:r>
        <w:rPr>
          <w:rFonts w:ascii="Times New Roman" w:hAnsi="Times New Roman" w:cs="Times New Roman" w:eastAsia="Times New Roman" w:hint="default"/>
        </w:rPr>
        <w:t>1</w:t>
      </w:r>
      <w:r>
        <w:rPr/>
        <w:t>）企业合并形成的长期股权投资 同一控制下的企业合并：公司以支付现金、转让非现金资产或承担债务方式以及以发行权益性证券作为合并对价的，在合</w:t>
      </w:r>
      <w:r>
        <w:rPr>
          <w:spacing w:val="-53"/>
        </w:rPr>
        <w:t> </w:t>
      </w:r>
      <w:r>
        <w:rPr>
          <w:spacing w:val="-53"/>
        </w:rPr>
      </w:r>
      <w:r>
        <w:rPr/>
        <w:t>并日按照取得被合并方所有者权益在最终控制方合并财务报表中的账面价值的份额作为长期股权投资的初始投资成本。因</w:t>
      </w:r>
      <w:r>
        <w:rPr>
          <w:spacing w:val="-57"/>
        </w:rPr>
        <w:t> </w:t>
      </w:r>
      <w:r>
        <w:rPr>
          <w:spacing w:val="-57"/>
        </w:rPr>
      </w:r>
      <w:r>
        <w:rPr/>
        <w:t>追加投资等原因能够对同一控制下的被投资单位实施控制的，在合并日根据合并后应享有被合并方净资产在最终控制方合</w:t>
      </w:r>
      <w:r>
        <w:rPr>
          <w:spacing w:val="-57"/>
        </w:rPr>
        <w:t> </w:t>
      </w:r>
      <w:r>
        <w:rPr>
          <w:spacing w:val="-57"/>
        </w:rPr>
      </w:r>
      <w:r>
        <w:rPr/>
        <w:t>并财务报表中的账面价值的份额，确定长期股权投资的初始投资成本。合并日长期股权投资的初始投资成本，与达到合并</w:t>
      </w:r>
      <w:r>
        <w:rPr>
          <w:spacing w:val="-57"/>
        </w:rPr>
        <w:t> </w:t>
      </w:r>
      <w:r>
        <w:rPr>
          <w:spacing w:val="-57"/>
        </w:rPr>
      </w:r>
      <w:r>
        <w:rPr/>
        <w:t>前的长期股权投资账面价值加上合并日进一步取得股份新支付对价的账面价值之和的差额，调整股本溢价，股本溢价不足</w:t>
      </w:r>
      <w:r>
        <w:rPr>
          <w:spacing w:val="-57"/>
        </w:rPr>
        <w:t> </w:t>
      </w:r>
      <w:r>
        <w:rPr>
          <w:spacing w:val="-57"/>
        </w:rPr>
      </w:r>
      <w:r>
        <w:rPr/>
        <w:t>冲减的，冲减留存收益。 非同一控制下的企业合并：公司按照购买日确定的合并成本作为长期股权投资的初始投资成本。因追加投资等原因能够对</w:t>
      </w:r>
      <w:r>
        <w:rPr>
          <w:spacing w:val="-55"/>
        </w:rPr>
        <w:t> </w:t>
      </w:r>
      <w:r>
        <w:rPr>
          <w:spacing w:val="-55"/>
        </w:rPr>
      </w:r>
      <w:r>
        <w:rPr/>
        <w:t>非同一控制下的被投资单位实施控制的，按照原持有的股权投资账面价值加上新增投资成本之和，作为改按成本法核算的</w:t>
      </w:r>
      <w:r>
        <w:rPr>
          <w:spacing w:val="-57"/>
        </w:rPr>
        <w:t> </w:t>
      </w:r>
      <w:r>
        <w:rPr>
          <w:spacing w:val="-57"/>
        </w:rPr>
      </w:r>
      <w:r>
        <w:rPr/>
        <w:t>初始投资成本。</w:t>
      </w:r>
    </w:p>
    <w:p>
      <w:pPr>
        <w:pStyle w:val="BodyText"/>
        <w:spacing w:line="309" w:lineRule="auto" w:before="19"/>
        <w:ind w:left="1193" w:right="3313"/>
        <w:jc w:val="left"/>
      </w:pP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w:t>
      </w:r>
    </w:p>
    <w:p>
      <w:pPr>
        <w:pStyle w:val="BodyText"/>
        <w:spacing w:line="319" w:lineRule="auto" w:before="24"/>
        <w:ind w:left="1193" w:right="1132"/>
        <w:jc w:val="both"/>
      </w:pPr>
      <w:r>
        <w:rPr/>
        <w:t>在非货币性资产交换具备商业实质和换入资产或换出资产的公允价值能够可靠计量的前提下，非货币性资产交换换入的长</w:t>
      </w:r>
      <w:r>
        <w:rPr>
          <w:spacing w:val="-57"/>
        </w:rPr>
        <w:t> </w:t>
      </w:r>
      <w:r>
        <w:rPr>
          <w:spacing w:val="-57"/>
        </w:rPr>
      </w:r>
      <w:r>
        <w:rPr/>
        <w:t>期股权投资以换出资产的公允价值和应支付的相关税费确定其初始投资成本，除非有确凿证据表明换入资产的公允价值更</w:t>
      </w:r>
      <w:r>
        <w:rPr>
          <w:spacing w:val="-56"/>
        </w:rPr>
        <w:t> </w:t>
      </w:r>
      <w:r>
        <w:rPr>
          <w:spacing w:val="-56"/>
        </w:rPr>
      </w:r>
      <w:r>
        <w:rPr/>
        <w:t>加可靠；不满足上述前提的非货币性资产交换，以换出资产的账面价值和应支付的相关税费作为换入长期股权投资的初始</w:t>
      </w:r>
      <w:r>
        <w:rPr>
          <w:spacing w:val="-57"/>
        </w:rPr>
        <w:t> </w:t>
      </w:r>
      <w:r>
        <w:rPr>
          <w:spacing w:val="-57"/>
        </w:rPr>
      </w:r>
      <w:r>
        <w:rPr/>
        <w:t>投资成本。</w:t>
      </w:r>
    </w:p>
    <w:p>
      <w:pPr>
        <w:pStyle w:val="BodyText"/>
        <w:spacing w:line="240" w:lineRule="auto" w:before="17"/>
        <w:ind w:left="1193" w:right="1015"/>
        <w:jc w:val="left"/>
      </w:pPr>
      <w:r>
        <w:rPr/>
        <w:t>通过债务重组取得的长期股权投资，其初始投资成本按照公允价值为基础确定。</w:t>
      </w:r>
    </w:p>
    <w:p>
      <w:pPr>
        <w:pStyle w:val="Heading6"/>
        <w:spacing w:line="240" w:lineRule="auto" w:before="76"/>
        <w:ind w:left="1190" w:right="1015"/>
        <w:jc w:val="left"/>
        <w:rPr>
          <w:b w:val="0"/>
          <w:bCs w:val="0"/>
        </w:rPr>
      </w:pPr>
      <w:r>
        <w:rPr>
          <w:rFonts w:ascii="Times New Roman" w:hAnsi="Times New Roman" w:cs="Times New Roman" w:eastAsia="Times New Roman" w:hint="default"/>
        </w:rPr>
        <w:t>(3)</w:t>
      </w:r>
      <w:r>
        <w:rPr/>
        <w:t>后续计量及损益确认方法</w:t>
      </w:r>
      <w:r>
        <w:rPr>
          <w:b w:val="0"/>
          <w:bCs w:val="0"/>
        </w:rPr>
      </w:r>
    </w:p>
    <w:p>
      <w:pPr>
        <w:spacing w:after="0" w:line="240" w:lineRule="auto"/>
        <w:jc w:val="left"/>
        <w:sectPr>
          <w:pgSz w:w="11910" w:h="16840"/>
          <w:pgMar w:header="907" w:footer="1019" w:top="1100" w:bottom="1200" w:left="0" w:right="0"/>
        </w:sectPr>
      </w:pPr>
    </w:p>
    <w:p>
      <w:pPr>
        <w:spacing w:line="240" w:lineRule="auto" w:before="11"/>
        <w:rPr>
          <w:rFonts w:ascii="宋体" w:hAnsi="宋体" w:cs="宋体" w:eastAsia="宋体" w:hint="default"/>
          <w:b/>
          <w:bCs/>
          <w:sz w:val="22"/>
          <w:szCs w:val="22"/>
        </w:rPr>
      </w:pPr>
    </w:p>
    <w:p>
      <w:pPr>
        <w:pStyle w:val="BodyText"/>
        <w:spacing w:line="309" w:lineRule="auto" w:before="44"/>
        <w:ind w:left="1194" w:right="1015"/>
        <w:jc w:val="left"/>
      </w:pPr>
      <w:r>
        <w:rPr>
          <w:rFonts w:ascii="Times New Roman" w:hAnsi="Times New Roman" w:cs="Times New Roman" w:eastAsia="Times New Roman" w:hint="default"/>
        </w:rPr>
        <w:t>1</w:t>
      </w:r>
      <w:r>
        <w:rPr/>
        <w:t>）成本法核算的长期股权投资 公司对子公司的长期股权投资，采用成本法核算。除取得投资时实际支付的价款或对价中包含的已宣告但尚未发放的现金</w:t>
      </w:r>
      <w:r>
        <w:rPr>
          <w:spacing w:val="-57"/>
        </w:rPr>
        <w:t> </w:t>
      </w:r>
      <w:r>
        <w:rPr>
          <w:spacing w:val="-57"/>
        </w:rPr>
      </w:r>
      <w:r>
        <w:rPr/>
        <w:t>股利或利润外，公司按照享有被投资单位宣告发放的现金股利或利润确认当期投资收益。</w:t>
      </w:r>
    </w:p>
    <w:p>
      <w:pPr>
        <w:pStyle w:val="BodyText"/>
        <w:spacing w:line="314" w:lineRule="auto" w:before="24"/>
        <w:ind w:left="1193" w:right="1127"/>
        <w:jc w:val="left"/>
      </w:pPr>
      <w:r>
        <w:rPr>
          <w:rFonts w:ascii="Times New Roman" w:hAnsi="Times New Roman" w:cs="Times New Roman" w:eastAsia="Times New Roman" w:hint="default"/>
        </w:rPr>
        <w:t>2</w:t>
      </w:r>
      <w:r>
        <w:rPr/>
        <w:t>）权益法核算的长期股权投资 对联营企业和合营企业的长期股权投资，采用权益法核算。初始投资成本大于投资时应享有被投资单位可辨认净资产公允</w:t>
      </w:r>
      <w:r>
        <w:rPr>
          <w:spacing w:val="-57"/>
        </w:rPr>
        <w:t> </w:t>
      </w:r>
      <w:r>
        <w:rPr>
          <w:spacing w:val="-57"/>
        </w:rPr>
      </w:r>
      <w:r>
        <w:rPr/>
        <w:t>价值份额的差额，不调整长期股权投资的初始投资成本；初始投资成本小于投资时应享有被投资单位可辨认净资产公允价</w:t>
      </w:r>
      <w:r>
        <w:rPr>
          <w:spacing w:val="-57"/>
        </w:rPr>
        <w:t> </w:t>
      </w:r>
      <w:r>
        <w:rPr>
          <w:spacing w:val="-57"/>
        </w:rPr>
      </w:r>
      <w:r>
        <w:rPr/>
        <w:t>值份额的差额，计入当期损益。 公司按照应享有或应分担的被投资单位实现的净损益和其他综合收益的份额，分别确认投资收益和其他综合收益，同时调</w:t>
      </w:r>
      <w:r>
        <w:rPr>
          <w:spacing w:val="-57"/>
        </w:rPr>
        <w:t> </w:t>
      </w:r>
      <w:r>
        <w:rPr>
          <w:spacing w:val="-57"/>
        </w:rPr>
      </w:r>
      <w:r>
        <w:rPr/>
        <w:t>整长期股权投资的账面价值；按照被投资单位宣告分派的利润或现金股利计算应享有的部分，相应减少长期股权投资的账</w:t>
      </w:r>
      <w:r>
        <w:rPr>
          <w:spacing w:val="-57"/>
        </w:rPr>
        <w:t> </w:t>
      </w:r>
      <w:r>
        <w:rPr>
          <w:spacing w:val="-57"/>
        </w:rPr>
      </w:r>
      <w:r>
        <w:rPr/>
        <w:t>面价值；对于被投资单位除净损益、其他综合收益和利润分配以外所有者权益的其他变动，调整长期股权投资的账面价值</w:t>
      </w:r>
      <w:r>
        <w:rPr>
          <w:spacing w:val="-56"/>
        </w:rPr>
        <w:t> </w:t>
      </w:r>
      <w:r>
        <w:rPr>
          <w:spacing w:val="-56"/>
        </w:rPr>
      </w:r>
      <w:r>
        <w:rPr/>
        <w:t>并计入所有者权益。 在确认应享有被投资单位净损益的份额时，以取得投资时被投资单位可辨认净资产的公允价值为基础，并按照公司的会计</w:t>
      </w:r>
      <w:r>
        <w:rPr>
          <w:spacing w:val="-57"/>
        </w:rPr>
        <w:t> </w:t>
      </w:r>
      <w:r>
        <w:rPr>
          <w:spacing w:val="-57"/>
        </w:rPr>
      </w:r>
      <w:r>
        <w:rPr/>
        <w:t>政策及会计期间，对被投资单位的净利润进行调整后确认。在持有投资期间，被投资单位编制合并财务报表的，以合并财</w:t>
      </w:r>
      <w:r>
        <w:rPr>
          <w:spacing w:val="-57"/>
        </w:rPr>
        <w:t> </w:t>
      </w:r>
      <w:r>
        <w:rPr>
          <w:spacing w:val="-57"/>
        </w:rPr>
      </w:r>
      <w:r>
        <w:rPr/>
        <w:t>务报表中的净利润、其他综合收益和其他所有者权益变动中归属于被投资单位的金额为基础进行核算。 公司与联营企业、合营企业之间发生的未实现内部交易损益按照应享有的比例计算归属于公司的部分，予以抵销，在此基</w:t>
      </w:r>
      <w:r>
        <w:rPr>
          <w:spacing w:val="-57"/>
        </w:rPr>
        <w:t> </w:t>
      </w:r>
      <w:r>
        <w:rPr>
          <w:spacing w:val="-57"/>
        </w:rPr>
      </w:r>
      <w:r>
        <w:rPr/>
        <w:t>础上确认投资收益。与被投资单位发生的未实现内部交易损失，属于资产减值损失的，全额确认。公司与联营企业、合营</w:t>
      </w:r>
      <w:r>
        <w:rPr>
          <w:spacing w:val="-57"/>
        </w:rPr>
        <w:t> </w:t>
      </w:r>
      <w:r>
        <w:rPr>
          <w:spacing w:val="-57"/>
        </w:rPr>
      </w:r>
      <w:r>
        <w:rPr>
          <w:spacing w:val="-1"/>
        </w:rPr>
        <w:t>企业之间发生投出或出售资产的交易，该资产构成业务的，按照本附注</w:t>
      </w:r>
      <w:r>
        <w:rPr>
          <w:rFonts w:ascii="Times New Roman" w:hAnsi="Times New Roman" w:cs="Times New Roman" w:eastAsia="Times New Roman" w:hint="default"/>
          <w:spacing w:val="-1"/>
        </w:rPr>
        <w:t>“</w:t>
      </w:r>
      <w:r>
        <w:rPr>
          <w:spacing w:val="-1"/>
        </w:rPr>
        <w:t>三、（五）同一控制下和非同一控制下企业合并的</w:t>
      </w:r>
      <w:r>
        <w:rPr>
          <w:spacing w:val="-80"/>
        </w:rPr>
        <w:t> </w:t>
      </w:r>
      <w:r>
        <w:rPr>
          <w:spacing w:val="-80"/>
        </w:rPr>
      </w:r>
      <w:r>
        <w:rPr/>
        <w:t>会计处理方法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三、（六）合并财务报表的编制方法</w:t>
      </w:r>
      <w:r>
        <w:rPr>
          <w:rFonts w:ascii="Times New Roman" w:hAnsi="Times New Roman" w:cs="Times New Roman" w:eastAsia="Times New Roman" w:hint="default"/>
        </w:rPr>
        <w:t>”</w:t>
      </w:r>
      <w:r>
        <w:rPr/>
        <w:t>中披露的相关政策进行会计处理。 在公司确认应分担被投资单位发生的亏损时，按照以下顺序进行处理：首先，冲减长期股权投资的账面价值。其次，长期</w:t>
      </w:r>
      <w:r>
        <w:rPr>
          <w:spacing w:val="-57"/>
        </w:rPr>
        <w:t> </w:t>
      </w:r>
      <w:r>
        <w:rPr>
          <w:spacing w:val="-57"/>
        </w:rPr>
      </w:r>
      <w:r>
        <w:rPr/>
        <w:t>股权投资的账面价值不足以冲减的，以其他实质上构成对被投资单位净投资的长期权益账面价值为限继续确认投资损失，</w:t>
      </w:r>
      <w:r>
        <w:rPr>
          <w:spacing w:val="-57"/>
        </w:rPr>
        <w:t> </w:t>
      </w:r>
      <w:r>
        <w:rPr>
          <w:spacing w:val="-57"/>
        </w:rPr>
      </w:r>
      <w:r>
        <w:rPr/>
        <w:t>冲减长期应收项目等的账面价值。最后，经过上述处理，按照投资合同或协议约定企业仍承担额外义务的，按预计承担的</w:t>
      </w:r>
      <w:r>
        <w:rPr>
          <w:spacing w:val="-57"/>
        </w:rPr>
        <w:t> </w:t>
      </w:r>
      <w:r>
        <w:rPr>
          <w:spacing w:val="-57"/>
        </w:rPr>
      </w:r>
      <w:r>
        <w:rPr/>
        <w:t>义务确认预计负债，计入当期投资损失。</w:t>
      </w:r>
    </w:p>
    <w:p>
      <w:pPr>
        <w:pStyle w:val="BodyText"/>
        <w:spacing w:line="300" w:lineRule="auto" w:before="21"/>
        <w:ind w:left="1194" w:right="4932"/>
        <w:jc w:val="left"/>
      </w:pP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316" w:lineRule="auto" w:before="31"/>
        <w:ind w:left="1193" w:right="1027"/>
        <w:jc w:val="left"/>
      </w:pPr>
      <w:r>
        <w:rPr/>
        <w:t>采用权益法核算的长期股权投资，在处置该项投资时，采用与被投资单位直接处置相关资产或负债相同的基础，按相应比</w:t>
      </w:r>
      <w:r>
        <w:rPr>
          <w:spacing w:val="-57"/>
        </w:rPr>
        <w:t> </w:t>
      </w:r>
      <w:r>
        <w:rPr>
          <w:spacing w:val="-57"/>
        </w:rPr>
      </w:r>
      <w:r>
        <w:rPr/>
        <w:t>例对原计入其他综合收益的部分进行会计处理。因被投资单位除净损益、其他综合收益和利润分配以外的其他所有者权益</w:t>
      </w:r>
      <w:r>
        <w:rPr>
          <w:spacing w:val="-57"/>
        </w:rPr>
        <w:t> </w:t>
      </w:r>
      <w:r>
        <w:rPr>
          <w:spacing w:val="-57"/>
        </w:rPr>
      </w:r>
      <w:r>
        <w:rPr/>
        <w:t>变动而确认的所有者权益，按比例结转入当期损益，由于被投资方重新计量设定受益计划净负债或净资产变动而产生的其</w:t>
      </w:r>
      <w:r>
        <w:rPr>
          <w:spacing w:val="-54"/>
        </w:rPr>
        <w:t> </w:t>
      </w:r>
      <w:r>
        <w:rPr>
          <w:spacing w:val="-54"/>
        </w:rPr>
      </w:r>
      <w:r>
        <w:rPr/>
        <w:t>他综合收益除外。 因处置部分股权投资等原因丧失了对被投资单位的共同控制或重大影响的，处置后的剩余股权改按金融工具确认和计量准</w:t>
      </w:r>
      <w:r>
        <w:rPr>
          <w:spacing w:val="-57"/>
        </w:rPr>
        <w:t> </w:t>
      </w:r>
      <w:r>
        <w:rPr>
          <w:spacing w:val="-57"/>
        </w:rPr>
      </w:r>
      <w:r>
        <w:rPr/>
        <w:t>则核算，其在丧失共同控制或重大影响之日的公允价值与账面价值之间的差额计入当期损益。原股权投资因采用权益法核</w:t>
      </w:r>
      <w:r>
        <w:rPr>
          <w:spacing w:val="-57"/>
        </w:rPr>
        <w:t> </w:t>
      </w:r>
      <w:r>
        <w:rPr>
          <w:spacing w:val="-57"/>
        </w:rPr>
      </w:r>
      <w:r>
        <w:rPr>
          <w:spacing w:val="-1"/>
        </w:rPr>
        <w:t>算而确认的其他综合收益，在终止采用权益法核算时采用与被投资单位直接处置相关资产或负债相同的基础进行会计处理。</w:t>
      </w:r>
      <w:r>
        <w:rPr>
          <w:spacing w:val="-88"/>
        </w:rPr>
        <w:t> </w:t>
      </w:r>
      <w:r>
        <w:rPr>
          <w:spacing w:val="-88"/>
        </w:rPr>
      </w:r>
      <w:r>
        <w:rPr/>
        <w:t>因被投资方除净损益、其他综合收益和利润分配以外的其他所有者权益变动而确认的所有者权益，在终止采用权益法核算</w:t>
      </w:r>
      <w:r>
        <w:rPr>
          <w:spacing w:val="-57"/>
        </w:rPr>
        <w:t> </w:t>
      </w:r>
      <w:r>
        <w:rPr>
          <w:spacing w:val="-57"/>
        </w:rPr>
      </w:r>
      <w:r>
        <w:rPr/>
        <w:t>时全部转入当期损益。 因处置部分股权投资、因其他投资方对子公司增资而导致本公司持股比例下降等原因丧失了对被投资单位控制权的，在编</w:t>
      </w:r>
      <w:r>
        <w:rPr>
          <w:spacing w:val="-56"/>
        </w:rPr>
        <w:t> </w:t>
      </w:r>
      <w:r>
        <w:rPr>
          <w:spacing w:val="-56"/>
        </w:rPr>
      </w:r>
      <w:r>
        <w:rPr/>
        <w:t>制个别财务报表时，剩余股权能够对被投资单位实施共同控制或重大影响的，改按权益法核算，并对该剩余股权视同自取</w:t>
      </w:r>
      <w:r>
        <w:rPr>
          <w:spacing w:val="-57"/>
        </w:rPr>
        <w:t> </w:t>
      </w:r>
      <w:r>
        <w:rPr>
          <w:spacing w:val="-57"/>
        </w:rPr>
      </w:r>
      <w:r>
        <w:rPr/>
        <w:t>得时即采用权益法核算进行调整；剩余股权不能对被投资单位实施共同控制或施加重大影响的，改按金融工具确认和计量</w:t>
      </w:r>
      <w:r>
        <w:rPr>
          <w:spacing w:val="-57"/>
        </w:rPr>
        <w:t> </w:t>
      </w:r>
      <w:r>
        <w:rPr>
          <w:spacing w:val="-57"/>
        </w:rPr>
      </w:r>
      <w:r>
        <w:rPr/>
        <w:t>准则的有关规定进行会计处理，其在丧失控制之日的公允价值与账面价值间的差额计入当期损益。 处置的股权是因追加投资等原因通过企业合并取得的，在编制个别财务报表时，处置后的剩余股权采用成本法或权益法核</w:t>
      </w:r>
      <w:r>
        <w:rPr>
          <w:spacing w:val="-57"/>
        </w:rPr>
        <w:t> </w:t>
      </w:r>
      <w:r>
        <w:rPr>
          <w:spacing w:val="-57"/>
        </w:rPr>
      </w:r>
      <w:r>
        <w:rPr/>
        <w:t>算的，购买日之前持有的股权投资因采用权益法核算而确认的其他综合收益和其他所有者权益按比例结转；处置后的剩余</w:t>
      </w:r>
      <w:r>
        <w:rPr>
          <w:spacing w:val="-56"/>
        </w:rPr>
        <w:t> </w:t>
      </w:r>
      <w:r>
        <w:rPr>
          <w:spacing w:val="-56"/>
        </w:rPr>
      </w:r>
      <w:r>
        <w:rPr/>
        <w:t>股权改按金融工具确认和计量准则进行会计处理的，其他综合收益和其他所有者权益全部结转。</w:t>
      </w:r>
    </w:p>
    <w:p>
      <w:pPr>
        <w:spacing w:line="240" w:lineRule="auto" w:before="7"/>
        <w:rPr>
          <w:rFonts w:ascii="宋体" w:hAnsi="宋体" w:cs="宋体" w:eastAsia="宋体" w:hint="default"/>
          <w:sz w:val="22"/>
          <w:szCs w:val="22"/>
        </w:rPr>
      </w:pPr>
    </w:p>
    <w:p>
      <w:pPr>
        <w:pStyle w:val="Heading3"/>
        <w:spacing w:line="240" w:lineRule="auto"/>
        <w:ind w:left="1133" w:right="1015"/>
        <w:jc w:val="left"/>
        <w:rPr>
          <w:b w:val="0"/>
          <w:bCs w:val="0"/>
        </w:rPr>
      </w:pPr>
      <w:bookmarkStart w:name="15、投资性房地产" w:id="189"/>
      <w:bookmarkEnd w:id="189"/>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15"/>
        <w:jc w:val="left"/>
      </w:pPr>
      <w:r>
        <w:rPr/>
        <w:t>投资性房地产计量模式</w:t>
      </w:r>
    </w:p>
    <w:p>
      <w:pPr>
        <w:spacing w:after="0" w:line="240" w:lineRule="auto"/>
        <w:jc w:val="left"/>
        <w:sectPr>
          <w:footerReference w:type="default" r:id="rId27"/>
          <w:pgSz w:w="11910" w:h="16840"/>
          <w:pgMar w:footer="1019" w:header="907" w:top="1100" w:bottom="1200" w:left="0" w:right="0"/>
          <w:pgNumType w:start="122"/>
        </w:sectPr>
      </w:pPr>
    </w:p>
    <w:p>
      <w:pPr>
        <w:spacing w:line="240" w:lineRule="auto" w:before="13"/>
        <w:rPr>
          <w:rFonts w:ascii="宋体" w:hAnsi="宋体" w:cs="宋体" w:eastAsia="宋体" w:hint="default"/>
          <w:sz w:val="22"/>
          <w:szCs w:val="22"/>
        </w:rPr>
      </w:pPr>
    </w:p>
    <w:p>
      <w:pPr>
        <w:pStyle w:val="BodyText"/>
        <w:spacing w:line="357" w:lineRule="auto" w:before="44"/>
        <w:ind w:right="9492"/>
        <w:jc w:val="left"/>
      </w:pPr>
      <w:r>
        <w:rPr/>
        <w:t>成本法计量 折旧或摊销方法</w:t>
      </w:r>
    </w:p>
    <w:p>
      <w:pPr>
        <w:pStyle w:val="BodyText"/>
        <w:spacing w:line="319" w:lineRule="auto" w:before="28"/>
        <w:ind w:right="1015"/>
        <w:jc w:val="left"/>
      </w:pPr>
      <w:r>
        <w:rPr>
          <w:spacing w:val="-2"/>
        </w:rPr>
        <w:t>投资性房地产是指为赚取租金或资本增值，或两者兼有而持有的房地产，包括已出租的土地使用权、持有并准备增值后转让</w:t>
      </w:r>
      <w:r>
        <w:rPr>
          <w:spacing w:val="-66"/>
        </w:rPr>
        <w:t> </w:t>
      </w:r>
      <w:r>
        <w:rPr>
          <w:spacing w:val="-66"/>
        </w:rPr>
      </w:r>
      <w:r>
        <w:rPr>
          <w:spacing w:val="-2"/>
        </w:rPr>
        <w:t>的土地使用权、已出租的建筑物（含自行建造或开发活动完成后用于出租的建筑物以及正在建造或开发过程中将来用于出租</w:t>
      </w:r>
      <w:r>
        <w:rPr>
          <w:spacing w:val="-64"/>
        </w:rPr>
        <w:t> </w:t>
      </w:r>
      <w:r>
        <w:rPr>
          <w:spacing w:val="-64"/>
        </w:rPr>
      </w:r>
      <w:r>
        <w:rPr/>
        <w:t>的建筑物）。 </w:t>
      </w:r>
      <w:r>
        <w:rPr>
          <w:spacing w:val="-2"/>
        </w:rPr>
        <w:t>公司对现有投资性房地产采用成本模式计量。对按照成本模式计量的投资性房地产－出租用建筑物采用与本公司固定资产相</w:t>
      </w:r>
      <w:r>
        <w:rPr>
          <w:spacing w:val="-64"/>
        </w:rPr>
        <w:t> </w:t>
      </w:r>
      <w:r>
        <w:rPr>
          <w:spacing w:val="-64"/>
        </w:rPr>
      </w:r>
      <w:r>
        <w:rPr/>
        <w:t>同的折旧政策，出租用土地使用权按与无形资产相同的摊销政策执行。</w:t>
      </w:r>
    </w:p>
    <w:p>
      <w:pPr>
        <w:spacing w:line="240" w:lineRule="auto" w:before="5"/>
        <w:rPr>
          <w:rFonts w:ascii="宋体" w:hAnsi="宋体" w:cs="宋体" w:eastAsia="宋体" w:hint="default"/>
          <w:sz w:val="22"/>
          <w:szCs w:val="22"/>
        </w:rPr>
      </w:pPr>
    </w:p>
    <w:p>
      <w:pPr>
        <w:pStyle w:val="Heading3"/>
        <w:spacing w:line="240" w:lineRule="auto"/>
        <w:ind w:right="1015"/>
        <w:jc w:val="left"/>
        <w:rPr>
          <w:b w:val="0"/>
          <w:bCs w:val="0"/>
        </w:rPr>
      </w:pPr>
      <w:bookmarkStart w:name="16、固定资产" w:id="190"/>
      <w:bookmarkEnd w:id="190"/>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1）确认条件" w:id="191"/>
      <w:bookmarkEnd w:id="191"/>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15"/>
        <w:jc w:val="left"/>
      </w:pPr>
      <w:r>
        <w:rPr>
          <w:spacing w:val="-2"/>
        </w:rPr>
        <w:t>固定资产指为生产商品、提供劳务、出租或经营管理而持有，并且使用寿命超过一个会计年度的有形资产。固定资产在同时</w:t>
      </w:r>
      <w:r>
        <w:rPr>
          <w:spacing w:val="-66"/>
        </w:rPr>
        <w:t> </w:t>
      </w:r>
      <w:r>
        <w:rPr>
          <w:spacing w:val="-66"/>
        </w:rPr>
      </w:r>
      <w:r>
        <w:rPr/>
        <w:t>满足下列条件时予以确认：</w:t>
      </w:r>
    </w:p>
    <w:p>
      <w:pPr>
        <w:pStyle w:val="BodyText"/>
        <w:spacing w:line="240" w:lineRule="auto" w:before="56"/>
        <w:ind w:right="1015"/>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102"/>
        <w:ind w:right="1015"/>
        <w:jc w:val="left"/>
      </w:pPr>
      <w:r>
        <w:rPr/>
        <w:t>（</w:t>
      </w:r>
      <w:r>
        <w:rPr>
          <w:rFonts w:ascii="Times New Roman" w:hAnsi="Times New Roman" w:cs="Times New Roman" w:eastAsia="Times New Roman" w:hint="default"/>
        </w:rPr>
        <w:t>2</w:t>
      </w:r>
      <w:r>
        <w:rPr/>
        <w:t>）该固定资产的成本能够可靠地计量。</w:t>
      </w:r>
    </w:p>
    <w:p>
      <w:pPr>
        <w:spacing w:line="240" w:lineRule="auto" w:before="10"/>
        <w:rPr>
          <w:rFonts w:ascii="宋体" w:hAnsi="宋体" w:cs="宋体" w:eastAsia="宋体" w:hint="default"/>
          <w:sz w:val="25"/>
          <w:szCs w:val="25"/>
        </w:rPr>
      </w:pPr>
    </w:p>
    <w:p>
      <w:pPr>
        <w:pStyle w:val="Heading3"/>
        <w:spacing w:line="240" w:lineRule="auto"/>
        <w:ind w:right="1015"/>
        <w:jc w:val="left"/>
        <w:rPr>
          <w:b w:val="0"/>
          <w:bCs w:val="0"/>
        </w:rPr>
      </w:pPr>
      <w:bookmarkStart w:name="（2）折旧方法" w:id="192"/>
      <w:bookmarkEnd w:id="192"/>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2.25%-4.50%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18.00%-30.00%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18.00%-22.50%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30.00%</w:t>
            </w:r>
          </w:p>
        </w:tc>
      </w:tr>
    </w:tbl>
    <w:p>
      <w:pPr>
        <w:spacing w:line="240" w:lineRule="auto" w:before="2"/>
        <w:rPr>
          <w:rFonts w:ascii="宋体" w:hAnsi="宋体" w:cs="宋体" w:eastAsia="宋体" w:hint="default"/>
          <w:b/>
          <w:bCs/>
          <w:sz w:val="19"/>
          <w:szCs w:val="19"/>
        </w:rPr>
      </w:pPr>
    </w:p>
    <w:p>
      <w:pPr>
        <w:pStyle w:val="Heading3"/>
        <w:spacing w:line="240" w:lineRule="auto" w:before="35"/>
        <w:ind w:right="1015"/>
        <w:jc w:val="left"/>
        <w:rPr>
          <w:b w:val="0"/>
          <w:bCs w:val="0"/>
        </w:rPr>
      </w:pPr>
      <w:bookmarkStart w:name="（3）融资租入固定资产的认定依据、计价和折旧方法" w:id="193"/>
      <w:bookmarkEnd w:id="193"/>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15"/>
        <w:jc w:val="left"/>
      </w:pPr>
      <w:r>
        <w:rPr/>
        <w:t>公司与租赁方所签订的租赁协议条款中规定了下列条件之一的，确认为融资租入资产：</w:t>
      </w:r>
    </w:p>
    <w:p>
      <w:pPr>
        <w:pStyle w:val="BodyText"/>
        <w:spacing w:line="240" w:lineRule="auto" w:before="116"/>
        <w:ind w:left="1133" w:right="1015"/>
        <w:jc w:val="left"/>
      </w:pPr>
      <w:r>
        <w:rPr/>
        <w:t>（</w:t>
      </w:r>
      <w:r>
        <w:rPr>
          <w:rFonts w:ascii="Times New Roman" w:hAnsi="Times New Roman" w:cs="Times New Roman" w:eastAsia="Times New Roman" w:hint="default"/>
        </w:rPr>
        <w:t>1</w:t>
      </w:r>
      <w:r>
        <w:rPr/>
        <w:t>）租赁期满后租赁资产的所有权归属于本公司；</w:t>
      </w:r>
    </w:p>
    <w:p>
      <w:pPr>
        <w:pStyle w:val="BodyText"/>
        <w:spacing w:line="240" w:lineRule="auto" w:before="103"/>
        <w:ind w:right="1015"/>
        <w:jc w:val="left"/>
      </w:pPr>
      <w:r>
        <w:rPr/>
        <w:t>（</w:t>
      </w:r>
      <w:r>
        <w:rPr>
          <w:rFonts w:ascii="Times New Roman" w:hAnsi="Times New Roman" w:cs="Times New Roman" w:eastAsia="Times New Roman" w:hint="default"/>
        </w:rPr>
        <w:t>2</w:t>
      </w:r>
      <w:r>
        <w:rPr/>
        <w:t>）公司具有购买资产的选择权，购买价款远低于行使选择权时该资产的公允价值；</w:t>
      </w:r>
    </w:p>
    <w:p>
      <w:pPr>
        <w:pStyle w:val="BodyText"/>
        <w:spacing w:line="240" w:lineRule="auto" w:before="102"/>
        <w:ind w:left="1133" w:right="1015"/>
        <w:jc w:val="left"/>
      </w:pPr>
      <w:r>
        <w:rPr/>
        <w:t>（</w:t>
      </w:r>
      <w:r>
        <w:rPr>
          <w:rFonts w:ascii="Times New Roman" w:hAnsi="Times New Roman" w:cs="Times New Roman" w:eastAsia="Times New Roman" w:hint="default"/>
        </w:rPr>
        <w:t>3</w:t>
      </w:r>
      <w:r>
        <w:rPr/>
        <w:t>）租赁期占所租赁资产使用寿命的大部分；</w:t>
      </w:r>
    </w:p>
    <w:p>
      <w:pPr>
        <w:pStyle w:val="BodyText"/>
        <w:spacing w:line="328" w:lineRule="auto" w:before="102"/>
        <w:ind w:left="1133" w:right="1015"/>
        <w:jc w:val="left"/>
      </w:pPr>
      <w:r>
        <w:rPr/>
        <w:t>（</w:t>
      </w:r>
      <w:r>
        <w:rPr>
          <w:rFonts w:ascii="Times New Roman" w:hAnsi="Times New Roman" w:cs="Times New Roman" w:eastAsia="Times New Roman" w:hint="default"/>
        </w:rPr>
        <w:t>4</w:t>
      </w:r>
      <w:r>
        <w:rPr/>
        <w:t>）租赁开始日的最低租赁付款额现值，与该资产的公允价值不存在较大的差异。 </w:t>
      </w:r>
      <w:r>
        <w:rPr>
          <w:spacing w:val="-2"/>
        </w:rPr>
        <w:t>公司在承租开始日，将租赁资产公允价值与最低租赁付款额现值两者中较低者作为租入资产的入账价值，将最低租赁付款额</w:t>
      </w:r>
      <w:r>
        <w:rPr>
          <w:spacing w:val="-64"/>
        </w:rPr>
        <w:t> </w:t>
      </w:r>
      <w:r>
        <w:rPr>
          <w:spacing w:val="-64"/>
        </w:rPr>
      </w:r>
      <w:r>
        <w:rPr/>
        <w:t>作为长期应付款的入账价值，其差额作为未确认的融资费。</w:t>
      </w:r>
    </w:p>
    <w:p>
      <w:pPr>
        <w:spacing w:line="240" w:lineRule="auto" w:before="8"/>
        <w:rPr>
          <w:rFonts w:ascii="宋体" w:hAnsi="宋体" w:cs="宋体" w:eastAsia="宋体" w:hint="default"/>
          <w:sz w:val="21"/>
          <w:szCs w:val="21"/>
        </w:rPr>
      </w:pPr>
    </w:p>
    <w:p>
      <w:pPr>
        <w:pStyle w:val="Heading3"/>
        <w:spacing w:line="240" w:lineRule="auto"/>
        <w:ind w:right="1015"/>
        <w:jc w:val="left"/>
        <w:rPr>
          <w:b w:val="0"/>
          <w:bCs w:val="0"/>
        </w:rPr>
      </w:pPr>
      <w:bookmarkStart w:name="17、在建工程" w:id="194"/>
      <w:bookmarkEnd w:id="194"/>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8"/>
        <w:ind w:right="1015"/>
        <w:jc w:val="left"/>
      </w:pPr>
      <w:r>
        <w:rPr/>
        <w:t>医疗器械业</w:t>
      </w:r>
    </w:p>
    <w:p>
      <w:pPr>
        <w:spacing w:after="0" w:line="240"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spacing w:line="309" w:lineRule="auto" w:before="44"/>
        <w:ind w:left="1190" w:right="277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在建工程的类别</w:t>
      </w:r>
      <w:r>
        <w:rPr>
          <w:rFonts w:ascii="宋体" w:hAnsi="宋体" w:cs="宋体" w:eastAsia="宋体" w:hint="default"/>
          <w:b/>
          <w:bCs/>
          <w:w w:val="99"/>
          <w:sz w:val="18"/>
          <w:szCs w:val="18"/>
        </w:rPr>
        <w:t> </w:t>
      </w:r>
      <w:r>
        <w:rPr>
          <w:rFonts w:ascii="宋体" w:hAnsi="宋体" w:cs="宋体" w:eastAsia="宋体" w:hint="default"/>
          <w:sz w:val="18"/>
          <w:szCs w:val="18"/>
        </w:rPr>
        <w:t>在建工程主要以立项项目分类核算；将购入需安装或尚未验收的固定资产在长期设备和资产中核算。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在建工程结转为固定资产的标准和时点</w:t>
      </w:r>
      <w:r>
        <w:rPr>
          <w:rFonts w:ascii="宋体" w:hAnsi="宋体" w:cs="宋体" w:eastAsia="宋体" w:hint="default"/>
          <w:sz w:val="18"/>
          <w:szCs w:val="18"/>
        </w:rPr>
      </w:r>
    </w:p>
    <w:p>
      <w:pPr>
        <w:pStyle w:val="BodyText"/>
        <w:spacing w:line="319" w:lineRule="auto" w:before="5"/>
        <w:ind w:left="1193" w:right="1133"/>
        <w:jc w:val="both"/>
      </w:pPr>
      <w:r>
        <w:rPr/>
        <w:t>在建工程项目按建造该项资产达到预定可使用状态前所发生的全部支出，作为固定资产的入账价值。所建造的固定资产在</w:t>
      </w:r>
      <w:r>
        <w:rPr>
          <w:spacing w:val="-57"/>
        </w:rPr>
        <w:t> </w:t>
      </w:r>
      <w:r>
        <w:rPr>
          <w:spacing w:val="-57"/>
        </w:rPr>
      </w:r>
      <w:r>
        <w:rPr/>
        <w:t>建工程已达到预定可使用状态，但尚未办理竣工决算的，自达到预定可使用状态之日起，根据工程预算、造价或者工程实</w:t>
      </w:r>
      <w:r>
        <w:rPr>
          <w:spacing w:val="-57"/>
        </w:rPr>
        <w:t> </w:t>
      </w:r>
      <w:r>
        <w:rPr>
          <w:spacing w:val="-57"/>
        </w:rPr>
      </w:r>
      <w:r>
        <w:rPr/>
        <w:t>际成本等，按估计的价值转入固定资产，并按本公司固定资产折旧政策计提固定资产的折旧，待办理竣工决算后，再按实</w:t>
      </w:r>
      <w:r>
        <w:rPr>
          <w:spacing w:val="-57"/>
        </w:rPr>
        <w:t> </w:t>
      </w:r>
      <w:r>
        <w:rPr>
          <w:spacing w:val="-57"/>
        </w:rPr>
      </w:r>
      <w:r>
        <w:rPr/>
        <w:t>际成本调整原来的暂估价值，但不调整原已计提的折旧额。</w:t>
      </w:r>
    </w:p>
    <w:p>
      <w:pPr>
        <w:spacing w:line="300" w:lineRule="auto" w:before="17"/>
        <w:ind w:left="1193" w:right="6013" w:hanging="4"/>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在建工程的减值测试方法、减值准备计提方法</w:t>
      </w:r>
      <w:r>
        <w:rPr>
          <w:rFonts w:ascii="宋体" w:hAnsi="宋体" w:cs="宋体" w:eastAsia="宋体" w:hint="default"/>
          <w:b/>
          <w:bCs/>
          <w:w w:val="99"/>
          <w:sz w:val="18"/>
          <w:szCs w:val="18"/>
        </w:rPr>
        <w:t> </w:t>
      </w:r>
      <w:r>
        <w:rPr>
          <w:rFonts w:ascii="宋体" w:hAnsi="宋体" w:cs="宋体" w:eastAsia="宋体" w:hint="default"/>
          <w:sz w:val="18"/>
          <w:szCs w:val="18"/>
        </w:rPr>
        <w:t>公司在每期末判断在建工程是否存在可能发生减值的迹象。</w:t>
      </w:r>
    </w:p>
    <w:p>
      <w:pPr>
        <w:pStyle w:val="BodyText"/>
        <w:spacing w:line="316" w:lineRule="auto" w:before="31"/>
        <w:ind w:left="1193" w:right="1015"/>
        <w:jc w:val="left"/>
      </w:pPr>
      <w:r>
        <w:rPr/>
        <w:t>在建工程存在减值迹象的，估计其可收回金额。有迹象表明一项在建工程可能发生减值的，企业以单项在建工程为基础估</w:t>
      </w:r>
      <w:r>
        <w:rPr>
          <w:spacing w:val="-55"/>
        </w:rPr>
        <w:t> </w:t>
      </w:r>
      <w:r>
        <w:rPr>
          <w:spacing w:val="-55"/>
        </w:rPr>
      </w:r>
      <w:r>
        <w:rPr/>
        <w:t>计其可收回金额。企业难以对单项在建工程的可收回金额进行估计的，以该在建工程所属的资产组为基础确定资产组的可</w:t>
      </w:r>
      <w:r>
        <w:rPr>
          <w:spacing w:val="-57"/>
        </w:rPr>
        <w:t> </w:t>
      </w:r>
      <w:r>
        <w:rPr>
          <w:spacing w:val="-57"/>
        </w:rPr>
      </w:r>
      <w:r>
        <w:rPr/>
        <w:t>收回金额。 可收回金额根据在建工程的公允价值减去处置费用后的净额与在建工程预计未来现金流量的现值两者之间较高者确定。 当在建工程的可收回金额低于其账面价值的，将在建工程的账面价值减记至可收回金额，减记的金额确认为在建工程减值</w:t>
      </w:r>
      <w:r>
        <w:rPr>
          <w:spacing w:val="-57"/>
        </w:rPr>
        <w:t> </w:t>
      </w:r>
      <w:r>
        <w:rPr>
          <w:spacing w:val="-57"/>
        </w:rPr>
      </w:r>
      <w:r>
        <w:rPr/>
        <w:t>损失，计入当期损益，同时计提相应的在建工程减值准备。</w:t>
      </w:r>
    </w:p>
    <w:p>
      <w:pPr>
        <w:pStyle w:val="BodyText"/>
        <w:spacing w:line="240" w:lineRule="auto" w:before="19"/>
        <w:ind w:left="1194" w:right="1015"/>
        <w:jc w:val="left"/>
      </w:pPr>
      <w:r>
        <w:rPr/>
        <w:t>在建工程的减值损失一经确认，在以后会计期间不再转回。</w:t>
      </w:r>
    </w:p>
    <w:p>
      <w:pPr>
        <w:spacing w:line="240" w:lineRule="auto" w:before="12"/>
        <w:rPr>
          <w:rFonts w:ascii="宋体" w:hAnsi="宋体" w:cs="宋体" w:eastAsia="宋体" w:hint="default"/>
          <w:sz w:val="26"/>
          <w:szCs w:val="26"/>
        </w:rPr>
      </w:pPr>
    </w:p>
    <w:p>
      <w:pPr>
        <w:pStyle w:val="Heading3"/>
        <w:spacing w:line="240" w:lineRule="auto"/>
        <w:ind w:right="1015"/>
        <w:jc w:val="left"/>
        <w:rPr>
          <w:b w:val="0"/>
          <w:bCs w:val="0"/>
        </w:rPr>
      </w:pPr>
      <w:bookmarkStart w:name="18、借款费用" w:id="195"/>
      <w:bookmarkEnd w:id="195"/>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left="1193" w:right="1015" w:hanging="4"/>
        <w:jc w:val="left"/>
      </w:pPr>
      <w:r>
        <w:rPr>
          <w:rFonts w:ascii="Times New Roman" w:hAnsi="Times New Roman" w:cs="Times New Roman" w:eastAsia="Times New Roman" w:hint="default"/>
          <w:b/>
          <w:bCs/>
        </w:rPr>
        <w:t>(1)</w:t>
      </w:r>
      <w:r>
        <w:rPr>
          <w:rFonts w:ascii="宋体" w:hAnsi="宋体" w:cs="宋体" w:eastAsia="宋体" w:hint="default"/>
          <w:b/>
          <w:bCs/>
        </w:rPr>
        <w:t>借款费用资本化的确认原则</w:t>
      </w:r>
      <w:r>
        <w:rPr>
          <w:rFonts w:ascii="宋体" w:hAnsi="宋体" w:cs="宋体" w:eastAsia="宋体" w:hint="default"/>
          <w:b/>
          <w:bCs/>
          <w:w w:val="99"/>
        </w:rPr>
        <w:t> </w:t>
      </w:r>
      <w:r>
        <w:rPr/>
        <w:t>借款费用，包括借款利息、折价或者溢价的摊销、辅助费用以及因外币借款而发生的汇兑差额等。 公司发生的借款费用，可直接归属于符合资本化条件的资产的购建或者生产的，予以资本化，计入相关资产成本；其他借</w:t>
      </w:r>
      <w:r>
        <w:rPr>
          <w:spacing w:val="-61"/>
        </w:rPr>
        <w:t> </w:t>
      </w:r>
      <w:r>
        <w:rPr>
          <w:spacing w:val="-61"/>
        </w:rPr>
      </w:r>
      <w:r>
        <w:rPr/>
        <w:t>款费用，在发生时根据其发生额确认为费用，计入当期损益。 符合资本化条件的资产，是指需要经过相当长时间的购建或者生产活动才能达到预定可使用或者可销售状态的固定资产、</w:t>
      </w:r>
      <w:r>
        <w:rPr>
          <w:spacing w:val="-61"/>
        </w:rPr>
        <w:t> </w:t>
      </w:r>
      <w:r>
        <w:rPr>
          <w:spacing w:val="-61"/>
        </w:rPr>
      </w:r>
      <w:r>
        <w:rPr/>
        <w:t>投资性房地产和存货等资产。</w:t>
      </w:r>
    </w:p>
    <w:p>
      <w:pPr>
        <w:pStyle w:val="BodyText"/>
        <w:spacing w:line="309" w:lineRule="auto" w:before="20"/>
        <w:ind w:left="1194" w:right="1116"/>
        <w:jc w:val="left"/>
      </w:pPr>
      <w:r>
        <w:rPr/>
        <w:t>借款费用同时满足下列条件时开始资本化： </w:t>
      </w:r>
      <w:r>
        <w:rPr>
          <w:rFonts w:ascii="Times New Roman" w:hAnsi="Times New Roman" w:cs="Times New Roman" w:eastAsia="Times New Roman" w:hint="default"/>
          <w:spacing w:val="-1"/>
        </w:rPr>
        <w:t>1</w:t>
      </w:r>
      <w:r>
        <w:rPr>
          <w:spacing w:val="-1"/>
        </w:rPr>
        <w:t>）资产支出已经发生，资产支出包括为购建或者生产符合资本化条件的资产而以支付现金、转移非现金资产或者承担带息</w:t>
      </w:r>
      <w:r>
        <w:rPr>
          <w:spacing w:val="-87"/>
        </w:rPr>
        <w:t> </w:t>
      </w:r>
      <w:r>
        <w:rPr>
          <w:spacing w:val="-87"/>
        </w:rPr>
      </w:r>
      <w:r>
        <w:rPr/>
        <w:t>债务形式发生的支出；</w:t>
      </w:r>
    </w:p>
    <w:p>
      <w:pPr>
        <w:pStyle w:val="BodyText"/>
        <w:spacing w:line="240" w:lineRule="auto" w:before="24"/>
        <w:ind w:left="1194" w:right="1015"/>
        <w:jc w:val="left"/>
      </w:pPr>
      <w:r>
        <w:rPr>
          <w:rFonts w:ascii="Times New Roman" w:hAnsi="Times New Roman" w:cs="Times New Roman" w:eastAsia="Times New Roman" w:hint="default"/>
        </w:rPr>
        <w:t>2</w:t>
      </w:r>
      <w:r>
        <w:rPr/>
        <w:t>）借款费用已经发生；</w:t>
      </w:r>
    </w:p>
    <w:p>
      <w:pPr>
        <w:pStyle w:val="BodyText"/>
        <w:spacing w:line="240" w:lineRule="auto" w:before="63"/>
        <w:ind w:left="1194" w:right="1015"/>
        <w:jc w:val="left"/>
      </w:pPr>
      <w:r>
        <w:rPr>
          <w:rFonts w:ascii="Times New Roman" w:hAnsi="Times New Roman" w:cs="Times New Roman" w:eastAsia="Times New Roman" w:hint="default"/>
        </w:rPr>
        <w:t>3</w:t>
      </w:r>
      <w:r>
        <w:rPr/>
        <w:t>）为使资产达到预定可使用或者可销售状态所必要的购建或者生产活动已经开始。</w:t>
      </w:r>
    </w:p>
    <w:p>
      <w:pPr>
        <w:pStyle w:val="BodyText"/>
        <w:spacing w:line="314" w:lineRule="auto" w:before="63"/>
        <w:ind w:left="1193" w:right="1015" w:hanging="4"/>
        <w:jc w:val="left"/>
      </w:pP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购建或者生产的资产的各部分分别完工，但必须等到整体完工后才可使用或可对外销售的，在该资产整体完工时停止借款</w:t>
      </w:r>
      <w:r>
        <w:rPr>
          <w:spacing w:val="-60"/>
        </w:rPr>
        <w:t> </w:t>
      </w:r>
      <w:r>
        <w:rPr>
          <w:spacing w:val="-60"/>
        </w:rPr>
      </w:r>
      <w:r>
        <w:rPr/>
        <w:t>费用资本化。</w:t>
      </w:r>
    </w:p>
    <w:p>
      <w:pPr>
        <w:pStyle w:val="BodyText"/>
        <w:spacing w:line="309" w:lineRule="auto" w:before="20"/>
        <w:ind w:left="1190" w:right="1120"/>
        <w:jc w:val="left"/>
      </w:pP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spacing w:val="-1"/>
        </w:rPr>
        <w:t>符合资本化条件的资产在购建或生产过程中发生的非正常中断、且中断时间连续超过</w:t>
      </w:r>
      <w:r>
        <w:rPr>
          <w:rFonts w:ascii="Times New Roman" w:hAnsi="Times New Roman" w:cs="Times New Roman" w:eastAsia="Times New Roman" w:hint="default"/>
          <w:spacing w:val="-1"/>
        </w:rPr>
        <w:t>3</w:t>
      </w:r>
      <w:r>
        <w:rPr>
          <w:spacing w:val="-1"/>
        </w:rPr>
        <w:t>个月的，则借款费用暂停资本化；该</w:t>
      </w:r>
      <w:r>
        <w:rPr>
          <w:spacing w:val="-87"/>
        </w:rPr>
        <w:t> </w:t>
      </w:r>
      <w:r>
        <w:rPr>
          <w:spacing w:val="-87"/>
        </w:rPr>
      </w:r>
      <w:r>
        <w:rPr/>
        <w:t>项中断如是所购建或生产的符合资本化条件的资产达到预定可使用状态或者可销售状态必要的程序，则借款费用继续资本</w:t>
      </w:r>
      <w:r>
        <w:rPr>
          <w:spacing w:val="-57"/>
        </w:rPr>
        <w:t> </w:t>
      </w:r>
      <w:r>
        <w:rPr>
          <w:spacing w:val="-57"/>
        </w:rPr>
      </w:r>
      <w:r>
        <w:rPr/>
        <w:t>化。在中断期间发生的借款费用确认为当期损益，直至资产的购建或者生产活动重新开始后借款费用继续资本化。 </w:t>
      </w:r>
      <w:r>
        <w:rPr>
          <w:rFonts w:ascii="Times New Roman" w:hAnsi="Times New Roman" w:cs="Times New Roman" w:eastAsia="Times New Roman" w:hint="default"/>
          <w:b/>
          <w:bCs/>
        </w:rPr>
        <w:t>(4)</w:t>
      </w:r>
      <w:r>
        <w:rPr>
          <w:rFonts w:ascii="宋体" w:hAnsi="宋体" w:cs="宋体" w:eastAsia="宋体" w:hint="default"/>
          <w:b/>
          <w:bCs/>
        </w:rPr>
        <w:t>借款费用资本化金额的计算方法</w:t>
      </w:r>
      <w:r>
        <w:rPr>
          <w:rFonts w:ascii="宋体" w:hAnsi="宋体" w:cs="宋体" w:eastAsia="宋体" w:hint="default"/>
          <w:b/>
          <w:bCs/>
          <w:w w:val="99"/>
        </w:rPr>
        <w:t> </w:t>
      </w:r>
      <w:r>
        <w:rPr/>
        <w:t>对于为购建或者生产符合资本化条件的资产而借入的专门借款，以专门借款当期实际发生的借款费用，减去尚未动用的借</w:t>
      </w:r>
      <w:r>
        <w:rPr>
          <w:spacing w:val="-56"/>
        </w:rPr>
        <w:t> </w:t>
      </w:r>
      <w:r>
        <w:rPr>
          <w:spacing w:val="-56"/>
        </w:rPr>
      </w:r>
      <w:r>
        <w:rPr/>
        <w:t>款资金存入银行取得的利息收入或进行暂时性投资取得的投资收益后的金额，来确定借款费用的资本化金额。 对于为购建或者生产符合资本化条件的资产而占用的一般借款，根据累计资产支出超过专门借款部分的资产支出加权平均</w:t>
      </w:r>
    </w:p>
    <w:p>
      <w:pPr>
        <w:spacing w:after="0" w:line="309"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left="1194" w:right="1015"/>
        <w:jc w:val="left"/>
      </w:pPr>
      <w:r>
        <w:rPr/>
        <w:t>数乘以所占用一般借款的资本化率，计算确定一般借款应予资本化的利息金额。资本化率根据一般借款加权平均利率计算</w:t>
      </w:r>
      <w:r>
        <w:rPr>
          <w:spacing w:val="-57"/>
        </w:rPr>
        <w:t> </w:t>
      </w:r>
      <w:r>
        <w:rPr>
          <w:spacing w:val="-57"/>
        </w:rPr>
      </w:r>
      <w:r>
        <w:rPr/>
        <w:t>确定。</w:t>
      </w:r>
    </w:p>
    <w:p>
      <w:pPr>
        <w:pStyle w:val="BodyText"/>
        <w:spacing w:line="240" w:lineRule="auto" w:before="19"/>
        <w:ind w:left="1194" w:right="1015"/>
        <w:jc w:val="left"/>
      </w:pPr>
      <w:r>
        <w:rPr/>
        <w:t>借款存在折价或者溢价的，按照实际利率法确定每一会计期间应摊销的折价或者溢价金额，调整每期利息金额。</w:t>
      </w:r>
    </w:p>
    <w:p>
      <w:pPr>
        <w:spacing w:line="240" w:lineRule="auto" w:before="12"/>
        <w:rPr>
          <w:rFonts w:ascii="宋体" w:hAnsi="宋体" w:cs="宋体" w:eastAsia="宋体" w:hint="default"/>
          <w:sz w:val="26"/>
          <w:szCs w:val="26"/>
        </w:rPr>
      </w:pPr>
    </w:p>
    <w:p>
      <w:pPr>
        <w:pStyle w:val="Heading3"/>
        <w:spacing w:line="240" w:lineRule="auto"/>
        <w:ind w:left="1133" w:right="1015"/>
        <w:jc w:val="left"/>
        <w:rPr>
          <w:b w:val="0"/>
          <w:bCs w:val="0"/>
        </w:rPr>
      </w:pPr>
      <w:bookmarkStart w:name="19、生物资产" w:id="196"/>
      <w:bookmarkEnd w:id="196"/>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5"/>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15"/>
        <w:jc w:val="left"/>
        <w:rPr>
          <w:b w:val="0"/>
          <w:bCs w:val="0"/>
        </w:rPr>
      </w:pPr>
      <w:bookmarkStart w:name="20、油气资产" w:id="197"/>
      <w:bookmarkEnd w:id="197"/>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5"/>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15"/>
        <w:jc w:val="left"/>
        <w:rPr>
          <w:b w:val="0"/>
          <w:bCs w:val="0"/>
        </w:rPr>
      </w:pPr>
      <w:bookmarkStart w:name="21、无形资产" w:id="198"/>
      <w:bookmarkEnd w:id="198"/>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1）计价方法、使用寿命、减值测试" w:id="199"/>
      <w:bookmarkEnd w:id="199"/>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357" w:lineRule="auto" w:before="26"/>
        <w:ind w:left="1133" w:right="8863"/>
        <w:jc w:val="left"/>
      </w:pPr>
      <w:r>
        <w:rPr/>
        <w:t>医疗器械业 </w:t>
      </w:r>
      <w:r>
        <w:rPr>
          <w:rFonts w:ascii="宋体" w:hAnsi="宋体" w:cs="宋体" w:eastAsia="宋体" w:hint="default"/>
        </w:rPr>
        <w:t>1</w:t>
      </w:r>
      <w:r>
        <w:rPr/>
        <w:t>）无形资产的计价方法</w:t>
      </w:r>
    </w:p>
    <w:p>
      <w:pPr>
        <w:pStyle w:val="BodyText"/>
        <w:spacing w:line="238" w:lineRule="exact"/>
        <w:ind w:right="1015"/>
        <w:jc w:val="left"/>
      </w:pPr>
      <w:r>
        <w:rPr>
          <w:sz w:val="21"/>
          <w:szCs w:val="21"/>
        </w:rPr>
        <w:t>①</w:t>
      </w:r>
      <w:r>
        <w:rPr/>
        <w:t>公司取得无形资产时按成本进行初始计量；</w:t>
      </w:r>
    </w:p>
    <w:p>
      <w:pPr>
        <w:pStyle w:val="BodyText"/>
        <w:spacing w:line="316" w:lineRule="auto" w:before="62"/>
        <w:ind w:left="1133" w:right="1015"/>
        <w:jc w:val="left"/>
      </w:pPr>
      <w:r>
        <w:rPr>
          <w:spacing w:val="-2"/>
        </w:rPr>
        <w:t>外购无形资产的成本，包括购买价款、相关税费以及直接归属于使该项资产达到预定用途所发生的其他支出。购买无形资产</w:t>
      </w:r>
      <w:r>
        <w:rPr>
          <w:spacing w:val="-66"/>
        </w:rPr>
        <w:t> </w:t>
      </w:r>
      <w:r>
        <w:rPr>
          <w:spacing w:val="-66"/>
        </w:rPr>
      </w:r>
      <w:r>
        <w:rPr/>
        <w:t>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债务重组取得债务人用以抵债的无形资产，以该无形资产的公允价值为基础确定其入账价值，并将重组债务的账面价值与该</w:t>
      </w:r>
      <w:r>
        <w:rPr>
          <w:spacing w:val="-64"/>
        </w:rPr>
        <w:t> </w:t>
      </w:r>
      <w:r>
        <w:rPr>
          <w:spacing w:val="-64"/>
        </w:rPr>
      </w:r>
      <w:r>
        <w:rPr/>
        <w:t>用以抵债的无形资产公允价值之间的差额，计入当期损益； </w:t>
      </w:r>
      <w:r>
        <w:rPr>
          <w:spacing w:val="-2"/>
        </w:rPr>
        <w:t>在非货币性资产交换具备商业实质且换入资产或换出资产的公允价值能够可靠计量的前提下，非货币性资产交换换入的无形</w:t>
      </w:r>
      <w:r>
        <w:rPr>
          <w:spacing w:val="-64"/>
        </w:rPr>
        <w:t> </w:t>
      </w:r>
      <w:r>
        <w:rPr>
          <w:spacing w:val="-64"/>
        </w:rPr>
      </w:r>
      <w:r>
        <w:rPr>
          <w:spacing w:val="-2"/>
        </w:rPr>
        <w:t>资产以换出资产的公允价值为基础确定其入账价值，除非有确凿证据表明换入资产的公允价值更加可靠；不满足上述前提的</w:t>
      </w:r>
      <w:r>
        <w:rPr>
          <w:spacing w:val="-64"/>
        </w:rPr>
        <w:t> </w:t>
      </w:r>
      <w:r>
        <w:rPr>
          <w:spacing w:val="-64"/>
        </w:rPr>
      </w:r>
      <w:r>
        <w:rPr/>
        <w:t>非货币性资产交换，以换出资产的账面价值和应支付的相关税费作为换入无形资产的成本，不确认损益。 </w:t>
      </w:r>
      <w:r>
        <w:rPr>
          <w:spacing w:val="-2"/>
        </w:rPr>
        <w:t>以同一控制下的企业吸收合并方式取得的无形资产按被合并方的账面价值确定其入账价值；以非同一控制下的企业吸收合并</w:t>
      </w:r>
      <w:r>
        <w:rPr>
          <w:spacing w:val="-64"/>
        </w:rPr>
        <w:t> </w:t>
      </w:r>
      <w:r>
        <w:rPr>
          <w:spacing w:val="-64"/>
        </w:rPr>
      </w:r>
      <w:r>
        <w:rPr/>
        <w:t>方式取得的无形资产按公允价值确定其入账价值。 </w:t>
      </w:r>
      <w:r>
        <w:rPr>
          <w:spacing w:val="-2"/>
        </w:rPr>
        <w:t>内部自行开发的无形资产，其成本包括：开发该无形资产时耗用的材料、劳务成本、注册费、在开发过程中使用的其他专利</w:t>
      </w:r>
      <w:r>
        <w:rPr>
          <w:spacing w:val="-66"/>
        </w:rPr>
        <w:t> </w:t>
      </w:r>
      <w:r>
        <w:rPr>
          <w:spacing w:val="-66"/>
        </w:rPr>
      </w:r>
      <w:r>
        <w:rPr/>
        <w:t>权和特许权的摊销以及满足资本化条件的利息费用，以及为使该无形资产达到预定用途前所发生的其他直接费用。</w:t>
      </w:r>
    </w:p>
    <w:p>
      <w:pPr>
        <w:pStyle w:val="BodyText"/>
        <w:spacing w:line="295" w:lineRule="auto"/>
        <w:ind w:left="1133" w:right="7513"/>
        <w:jc w:val="left"/>
      </w:pPr>
      <w:r>
        <w:rPr>
          <w:sz w:val="21"/>
          <w:szCs w:val="21"/>
        </w:rPr>
        <w:t>②</w:t>
      </w:r>
      <w:r>
        <w:rPr/>
        <w:t>后续计量</w:t>
      </w:r>
      <w:r>
        <w:rPr/>
        <w:t> 在取得无形资产时分析判断其使用寿命。</w:t>
      </w:r>
    </w:p>
    <w:p>
      <w:pPr>
        <w:pStyle w:val="BodyText"/>
        <w:spacing w:line="316" w:lineRule="auto" w:before="35"/>
        <w:ind w:left="1133" w:right="1015"/>
        <w:jc w:val="left"/>
      </w:pPr>
      <w:r>
        <w:rPr>
          <w:spacing w:val="-2"/>
        </w:rPr>
        <w:t>对于使用寿命有限的无形资产，在为企业带来经济利益的期限内按直线法摊销；无法预见无形资产为企业带来经济利益期限</w:t>
      </w:r>
      <w:r>
        <w:rPr>
          <w:spacing w:val="-64"/>
        </w:rPr>
        <w:t> </w:t>
      </w:r>
      <w:r>
        <w:rPr>
          <w:spacing w:val="-64"/>
        </w:rPr>
      </w:r>
      <w:r>
        <w:rPr/>
        <w:t>的，视为使用寿命不确定的无形资产，不予摊销。</w:t>
      </w:r>
    </w:p>
    <w:p>
      <w:pPr>
        <w:pStyle w:val="BodyText"/>
        <w:spacing w:line="316" w:lineRule="auto" w:before="19"/>
        <w:ind w:right="1015"/>
        <w:jc w:val="left"/>
      </w:pPr>
      <w:r>
        <w:rPr>
          <w:rFonts w:ascii="宋体" w:hAnsi="宋体" w:cs="宋体" w:eastAsia="宋体" w:hint="default"/>
        </w:rPr>
        <w:t>2</w:t>
      </w:r>
      <w:r>
        <w:rPr/>
        <w:t>）使用寿命有限的无形资产的使用寿命估计情况： </w:t>
      </w:r>
      <w:r>
        <w:rPr>
          <w:spacing w:val="-2"/>
        </w:rPr>
        <w:t>公司对使用寿命有限的无形资产，估计其使用寿命时通常考虑以下因素：①运用该资产生产的产品通常的寿命周期、可获得</w:t>
      </w:r>
      <w:r>
        <w:rPr>
          <w:spacing w:val="-66"/>
        </w:rPr>
        <w:t> </w:t>
      </w:r>
      <w:r>
        <w:rPr>
          <w:spacing w:val="-66"/>
        </w:rPr>
      </w:r>
      <w:r>
        <w:rPr>
          <w:spacing w:val="-2"/>
        </w:rPr>
        <w:t>的类似资产使用寿命的信息；②技术、工艺等方面的现阶段情况及对未来发展趋势的估计；③以该资产生产的产品或提供劳</w:t>
      </w:r>
      <w:r>
        <w:rPr>
          <w:spacing w:val="-66"/>
        </w:rPr>
        <w:t> </w:t>
      </w:r>
      <w:r>
        <w:rPr>
          <w:spacing w:val="-66"/>
        </w:rPr>
      </w:r>
      <w:r>
        <w:rPr>
          <w:spacing w:val="-2"/>
        </w:rPr>
        <w:t>务的市场需求情况；④现在或潜在的竞争者预期采取的行动；⑤为维持该资产带来经济利益能力的预期维护支出，以及公司</w:t>
      </w:r>
      <w:r>
        <w:rPr>
          <w:spacing w:val="-66"/>
        </w:rPr>
        <w:t> </w:t>
      </w:r>
      <w:r>
        <w:rPr>
          <w:spacing w:val="-66"/>
        </w:rPr>
      </w:r>
      <w:r>
        <w:rPr>
          <w:spacing w:val="-2"/>
        </w:rPr>
        <w:t>预计支付有关支出的能力；⑥对该资产控制期限的相关法律规定或类似限制，如特许使用期、租赁期等；⑦与公司持有其他</w:t>
      </w:r>
      <w:r>
        <w:rPr>
          <w:spacing w:val="-66"/>
        </w:rPr>
        <w:t> </w:t>
      </w:r>
      <w:r>
        <w:rPr>
          <w:spacing w:val="-66"/>
        </w:rPr>
      </w:r>
      <w:r>
        <w:rPr/>
        <w:t>资产使用寿命的关联性等。</w:t>
      </w:r>
    </w:p>
    <w:p>
      <w:pPr>
        <w:pStyle w:val="BodyText"/>
        <w:spacing w:line="316" w:lineRule="auto" w:before="19"/>
        <w:ind w:right="4992"/>
        <w:jc w:val="left"/>
      </w:pPr>
      <w:r>
        <w:rPr/>
        <w:t>每期末，对使用寿命有限的无形资产的使用寿命及摊销方法进行复核。 经复核，本年期末无形资产的使用寿命及摊销方法与以前估计未有不同。</w:t>
      </w:r>
    </w:p>
    <w:p>
      <w:pPr>
        <w:spacing w:after="0" w:line="316"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left="1133" w:right="1015"/>
        <w:jc w:val="left"/>
      </w:pPr>
      <w:r>
        <w:rPr>
          <w:rFonts w:ascii="宋体" w:hAnsi="宋体" w:cs="宋体" w:eastAsia="宋体" w:hint="default"/>
        </w:rPr>
        <w:t>3</w:t>
      </w:r>
      <w:r>
        <w:rPr/>
        <w:t>）使用寿命不确定的无形资产的判断依据： 公司将无法预见该资产为公司带来经济利益的期限，或使用期限不确定等无形资产确定为使用寿命不确定的无形资产。 </w:t>
      </w:r>
      <w:r>
        <w:rPr>
          <w:spacing w:val="-2"/>
        </w:rPr>
        <w:t>使用寿命不确定的判断依据：①来源于合同性权利或其他法定权利，但合同规定或法律规定无明确使用年限；②综合同行业</w:t>
      </w:r>
      <w:r>
        <w:rPr>
          <w:spacing w:val="-66"/>
        </w:rPr>
        <w:t> </w:t>
      </w:r>
      <w:r>
        <w:rPr>
          <w:spacing w:val="-66"/>
        </w:rPr>
      </w:r>
      <w:r>
        <w:rPr/>
        <w:t>情况或相关专家论证等，仍无法判断无形资产为公司带来经济利益的期限。 </w:t>
      </w:r>
      <w:r>
        <w:rPr>
          <w:spacing w:val="-2"/>
        </w:rPr>
        <w:t>每年年末，对使用寿命不确定无形资产使用寿命进行复核，主要采取自下而上的方式，由无形资产使用相关部门进行基础复</w:t>
      </w:r>
      <w:r>
        <w:rPr>
          <w:spacing w:val="-66"/>
        </w:rPr>
        <w:t> </w:t>
      </w:r>
      <w:r>
        <w:rPr>
          <w:spacing w:val="-66"/>
        </w:rPr>
      </w:r>
      <w:r>
        <w:rPr/>
        <w:t>核，评价使用寿命不确定判断依据是否存在变化等。</w:t>
      </w:r>
    </w:p>
    <w:p>
      <w:pPr>
        <w:pStyle w:val="BodyText"/>
        <w:spacing w:line="316" w:lineRule="auto" w:before="19"/>
        <w:ind w:left="1133" w:right="4813"/>
        <w:jc w:val="left"/>
      </w:pPr>
      <w:r>
        <w:rPr>
          <w:rFonts w:ascii="宋体" w:hAnsi="宋体" w:cs="宋体" w:eastAsia="宋体" w:hint="default"/>
        </w:rPr>
        <w:t>4</w:t>
      </w:r>
      <w:r>
        <w:rPr/>
        <w:t>）无形资产减值准备的计提 对于使用寿命确定的无形资产，如有明显减值迹象的，期末进行减值测试。 对于使用寿命不确定的无形资产，每期末进行减值测试。</w:t>
      </w:r>
    </w:p>
    <w:p>
      <w:pPr>
        <w:pStyle w:val="BodyText"/>
        <w:spacing w:line="316" w:lineRule="auto" w:before="19"/>
        <w:ind w:left="1133" w:right="1033"/>
        <w:jc w:val="left"/>
      </w:pPr>
      <w:r>
        <w:rPr>
          <w:spacing w:val="-2"/>
        </w:rPr>
        <w:t>对无形资产进行减值测试，估计其可收回金额。有迹象表明一项无形资产可能发生减值的，公司以单项无形资产为基础估计</w:t>
      </w:r>
      <w:r>
        <w:rPr>
          <w:spacing w:val="-66"/>
        </w:rPr>
        <w:t> </w:t>
      </w:r>
      <w:r>
        <w:rPr>
          <w:spacing w:val="-66"/>
        </w:rPr>
      </w:r>
      <w:r>
        <w:rPr>
          <w:spacing w:val="-2"/>
        </w:rPr>
        <w:t>其可收回金额。公司难以对单项资产的可收回金额进行估计的，以该无形资产所属的资产组为基础确定无形资产组的可收回</w:t>
      </w:r>
      <w:r>
        <w:rPr>
          <w:spacing w:val="-64"/>
        </w:rPr>
        <w:t> </w:t>
      </w:r>
      <w:r>
        <w:rPr>
          <w:spacing w:val="-64"/>
        </w:rPr>
      </w:r>
      <w:r>
        <w:rPr/>
        <w:t>金额。 可收回金额根据无形资产的公允价值减去处置费用后的净额与无形资产预计未来现金流量的现值两者之间较高者确定。 </w:t>
      </w:r>
      <w:r>
        <w:rPr>
          <w:spacing w:val="-2"/>
        </w:rPr>
        <w:t>当无形资产的可收回金额低于其账面价值的，将无形资产的账面价值减记至可收回金额，减记的金额确认为无形资产减值损</w:t>
      </w:r>
      <w:r>
        <w:rPr>
          <w:spacing w:val="-64"/>
        </w:rPr>
        <w:t> </w:t>
      </w:r>
      <w:r>
        <w:rPr>
          <w:spacing w:val="-64"/>
        </w:rPr>
      </w:r>
      <w:r>
        <w:rPr/>
        <w:t>失，计入当期损益，同时计提相应的无形资产减值准备。 无形资产减值损失确认后，减值无形资产的折耗或者摊销费用在未来期间作相应调整，以使该无形资产在剩余使用寿命内， 系统地分摊调整后的无形资产账面价值（扣除预计净残值）。</w:t>
      </w:r>
    </w:p>
    <w:p>
      <w:pPr>
        <w:pStyle w:val="BodyText"/>
        <w:spacing w:line="240" w:lineRule="auto" w:before="19"/>
        <w:ind w:right="1015"/>
        <w:jc w:val="left"/>
      </w:pPr>
      <w:r>
        <w:rPr/>
        <w:t>无形资产的减值损失一经确认，在以后会计期间不再转回。</w:t>
      </w:r>
    </w:p>
    <w:p>
      <w:pPr>
        <w:spacing w:line="240" w:lineRule="auto" w:before="12"/>
        <w:rPr>
          <w:rFonts w:ascii="宋体" w:hAnsi="宋体" w:cs="宋体" w:eastAsia="宋体" w:hint="default"/>
          <w:sz w:val="26"/>
          <w:szCs w:val="26"/>
        </w:rPr>
      </w:pPr>
    </w:p>
    <w:p>
      <w:pPr>
        <w:pStyle w:val="Heading3"/>
        <w:spacing w:line="240" w:lineRule="auto"/>
        <w:ind w:right="1015"/>
        <w:jc w:val="left"/>
        <w:rPr>
          <w:b w:val="0"/>
          <w:bCs w:val="0"/>
        </w:rPr>
      </w:pPr>
      <w:bookmarkStart w:name="（2）内部研究开发支出会计政策" w:id="200"/>
      <w:bookmarkEnd w:id="200"/>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493" w:right="1015" w:hanging="360"/>
        <w:jc w:val="left"/>
      </w:pPr>
      <w:r>
        <w:rPr>
          <w:rFonts w:ascii="宋体" w:hAnsi="宋体" w:cs="宋体" w:eastAsia="宋体" w:hint="default"/>
        </w:rPr>
        <w:t>1</w:t>
      </w:r>
      <w:r>
        <w:rPr/>
        <w:t>）划分公司内部研究开发项目的研究阶段和开发阶段具体标准 公司内部研究开发项目的支出分为研究阶段支出和开发阶段支出。 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w:t>
      </w:r>
    </w:p>
    <w:p>
      <w:pPr>
        <w:pStyle w:val="BodyText"/>
        <w:spacing w:line="316" w:lineRule="auto" w:before="17"/>
        <w:ind w:left="1133" w:right="7603"/>
        <w:jc w:val="left"/>
      </w:pPr>
      <w:r>
        <w:rPr/>
        <w:t>进的材料、装置、产品等活动的阶段。 </w:t>
      </w:r>
      <w:r>
        <w:rPr>
          <w:rFonts w:ascii="宋体" w:hAnsi="宋体" w:cs="宋体" w:eastAsia="宋体" w:hint="default"/>
        </w:rPr>
        <w:t>2</w:t>
      </w:r>
      <w:r>
        <w:rPr/>
        <w:t>）开发阶段支出符合资本化的具体标准</w:t>
      </w:r>
    </w:p>
    <w:p>
      <w:pPr>
        <w:pStyle w:val="BodyText"/>
        <w:spacing w:line="240" w:lineRule="auto" w:before="19"/>
        <w:ind w:left="1494" w:right="1015"/>
        <w:jc w:val="left"/>
      </w:pPr>
      <w:r>
        <w:rPr/>
        <w:t>内部研究开发项目开发阶段的支出，同时满足下列条件时确认为无形资产：</w:t>
      </w:r>
    </w:p>
    <w:p>
      <w:pPr>
        <w:pStyle w:val="BodyText"/>
        <w:spacing w:line="240" w:lineRule="auto" w:before="51"/>
        <w:ind w:left="1493" w:right="1015"/>
        <w:jc w:val="left"/>
        <w:rPr>
          <w:rFonts w:ascii="宋体" w:hAnsi="宋体" w:cs="宋体" w:eastAsia="宋体" w:hint="default"/>
        </w:rPr>
      </w:pPr>
      <w:r>
        <w:rPr>
          <w:sz w:val="21"/>
          <w:szCs w:val="21"/>
        </w:rPr>
        <w:t>①</w:t>
      </w:r>
      <w:r>
        <w:rPr/>
        <w:t>完成该无形资产以使其能够使用或出售在技术上具有可行性</w:t>
      </w:r>
      <w:r>
        <w:rPr>
          <w:rFonts w:ascii="宋体" w:hAnsi="宋体" w:cs="宋体" w:eastAsia="宋体" w:hint="default"/>
        </w:rPr>
        <w:t>;</w:t>
      </w:r>
    </w:p>
    <w:p>
      <w:pPr>
        <w:pStyle w:val="BodyText"/>
        <w:spacing w:line="240" w:lineRule="auto" w:before="37"/>
        <w:ind w:left="1494" w:right="1015"/>
        <w:jc w:val="left"/>
      </w:pPr>
      <w:r>
        <w:rPr>
          <w:sz w:val="21"/>
          <w:szCs w:val="21"/>
        </w:rPr>
        <w:t>②</w:t>
      </w:r>
      <w:r>
        <w:rPr/>
        <w:t>具有完成该无形资产并使用或出售的意图</w:t>
      </w:r>
    </w:p>
    <w:p>
      <w:pPr>
        <w:pStyle w:val="Heading4"/>
        <w:spacing w:line="273" w:lineRule="auto" w:before="37"/>
        <w:ind w:right="1152"/>
        <w:jc w:val="left"/>
      </w:pPr>
      <w:r>
        <w:rPr/>
        <w:t>③ 无形资产产生经济利益的方式，包括能够证明运用该无形资产生产的产品存在市场或无形资产自身存 在市场，无形资产将在内部使用的，能够证明其有用性；</w:t>
      </w:r>
    </w:p>
    <w:p>
      <w:pPr>
        <w:pStyle w:val="BodyText"/>
        <w:spacing w:line="240" w:lineRule="auto" w:before="7"/>
        <w:ind w:left="1493" w:right="1015"/>
        <w:jc w:val="left"/>
      </w:pPr>
      <w:r>
        <w:rPr>
          <w:sz w:val="21"/>
          <w:szCs w:val="21"/>
        </w:rPr>
        <w:t>④</w:t>
      </w:r>
      <w:r>
        <w:rPr/>
        <w:t>有足够的技术、财务资源和其他资源支持，以完成该无形资产的开发，并有能力使用或出售该无形资产；</w:t>
      </w:r>
    </w:p>
    <w:p>
      <w:pPr>
        <w:pStyle w:val="BodyText"/>
        <w:spacing w:line="345" w:lineRule="auto" w:before="37"/>
        <w:ind w:left="1133" w:right="2113" w:firstLine="360"/>
        <w:jc w:val="left"/>
      </w:pPr>
      <w:r>
        <w:rPr>
          <w:sz w:val="21"/>
          <w:szCs w:val="21"/>
        </w:rPr>
        <w:t>⑤</w:t>
      </w:r>
      <w:r>
        <w:rPr/>
        <w:t>归属于该无形资产开发阶段的支出能够可靠地计量。</w:t>
      </w:r>
      <w:r>
        <w:rPr/>
        <w:t> 开发阶段的支出，若不满足上列条件的，于发生时计入当期损益。研究阶段的支出，在发生时计入当期损益。 公司需遵守《深圳证券交易所创业板行业信息披露指引第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w:t>
      </w:r>
    </w:p>
    <w:p>
      <w:pPr>
        <w:spacing w:line="240" w:lineRule="auto" w:before="13"/>
        <w:rPr>
          <w:rFonts w:ascii="宋体" w:hAnsi="宋体" w:cs="宋体" w:eastAsia="宋体" w:hint="default"/>
          <w:sz w:val="18"/>
          <w:szCs w:val="18"/>
        </w:rPr>
      </w:pPr>
    </w:p>
    <w:p>
      <w:pPr>
        <w:pStyle w:val="Heading3"/>
        <w:spacing w:line="240" w:lineRule="auto"/>
        <w:ind w:left="1133" w:right="1015"/>
        <w:jc w:val="left"/>
        <w:rPr>
          <w:b w:val="0"/>
          <w:bCs w:val="0"/>
        </w:rPr>
      </w:pPr>
      <w:bookmarkStart w:name="22、长期资产减值" w:id="201"/>
      <w:bookmarkEnd w:id="201"/>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032"/>
        <w:jc w:val="left"/>
      </w:pPr>
      <w:r>
        <w:rPr>
          <w:spacing w:val="-2"/>
        </w:rPr>
        <w:t>长期股权投资、采用成本模式计量的投资性房地产、固定资产、在建工程、无形资产等长期资产，于资产负债表日存在减值</w:t>
      </w:r>
      <w:r>
        <w:rPr>
          <w:spacing w:val="-65"/>
        </w:rPr>
        <w:t> </w:t>
      </w:r>
      <w:r>
        <w:rPr>
          <w:spacing w:val="-65"/>
        </w:rPr>
      </w:r>
      <w:r>
        <w:rPr/>
        <w:t>迹象的，进行减值测试。减值测试结果表明资产的可收回金额低于其账面价值的，按其差额计提减值准备并计入减值损失。 </w:t>
      </w:r>
      <w:r>
        <w:rPr>
          <w:spacing w:val="-2"/>
        </w:rPr>
        <w:t>可收回金额为资产的公允价值减去处置费用后的净额与资产预计未来现金流量的现值两者之间的较高者。资产减值准备按单</w:t>
      </w:r>
      <w:r>
        <w:rPr>
          <w:spacing w:val="-64"/>
        </w:rPr>
        <w:t> </w:t>
      </w:r>
      <w:r>
        <w:rPr>
          <w:spacing w:val="-64"/>
        </w:rPr>
      </w:r>
      <w:r>
        <w:rPr>
          <w:spacing w:val="-4"/>
        </w:rPr>
        <w:t>项资产为基础计算并确认，如果难以对单项资产的可收回金额进行估计的，以该资产所属的资产组确定资产组的可收回金额。</w:t>
      </w:r>
    </w:p>
    <w:p>
      <w:pPr>
        <w:spacing w:after="0" w:line="316"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right="6792"/>
        <w:jc w:val="left"/>
      </w:pPr>
      <w:r>
        <w:rPr/>
        <w:t>资产组是能够独立产生现金流入的最小资产组合。 商誉至少在每年年度终了进行减值测试。</w:t>
      </w:r>
    </w:p>
    <w:p>
      <w:pPr>
        <w:pStyle w:val="BodyText"/>
        <w:spacing w:line="316" w:lineRule="auto" w:before="19"/>
        <w:ind w:left="1133" w:right="1015"/>
        <w:jc w:val="left"/>
      </w:pPr>
      <w:r>
        <w:rPr>
          <w:spacing w:val="-2"/>
        </w:rPr>
        <w:t>本公司进行商誉减值测试，对于因企业合并形成的商誉的账面价值，自购买日起按照合理的方法分摊至相关的资产组；难以</w:t>
      </w:r>
      <w:r>
        <w:rPr>
          <w:spacing w:val="-65"/>
        </w:rPr>
        <w:t> </w:t>
      </w:r>
      <w:r>
        <w:rPr>
          <w:spacing w:val="-65"/>
        </w:rPr>
      </w:r>
      <w:r>
        <w:rPr>
          <w:spacing w:val="-2"/>
        </w:rPr>
        <w:t>分摊至相关的资产组的，将其分摊至相关的资产组组合。在将商誉的账面价值分摊至相关的资产组或者资产组组合时，按照</w:t>
      </w:r>
      <w:r>
        <w:rPr>
          <w:spacing w:val="-66"/>
        </w:rPr>
        <w:t> </w:t>
      </w:r>
      <w:r>
        <w:rPr>
          <w:spacing w:val="-66"/>
        </w:rPr>
      </w:r>
      <w:r>
        <w:rPr/>
        <w:t>各资产组或者资产组组合的公允价值占相关资产组或者资产组组合公允价值总额的比例进行分摊。公允价值难以可靠计量</w:t>
      </w:r>
      <w:r>
        <w:rPr>
          <w:spacing w:val="-9"/>
        </w:rPr>
        <w:t> </w:t>
      </w:r>
      <w:r>
        <w:rPr>
          <w:spacing w:val="-9"/>
        </w:rPr>
      </w:r>
      <w:r>
        <w:rPr/>
        <w:t>的，按照各资产组或者资产组组合的账面价值占相关资产组或者资产组组合账面价值总额的比例进行分摊。 </w:t>
      </w:r>
      <w:r>
        <w:rPr>
          <w:spacing w:val="-2"/>
        </w:rPr>
        <w:t>在对包含商誉的相关资产组或者资产组组合进行减值测试时，如与商誉相关的资产组或者资产组组合存在减值迹象的，先对</w:t>
      </w:r>
      <w:r>
        <w:rPr>
          <w:spacing w:val="-64"/>
        </w:rPr>
        <w:t> </w:t>
      </w:r>
      <w:r>
        <w:rPr>
          <w:spacing w:val="-64"/>
        </w:rPr>
      </w:r>
      <w:r>
        <w:rPr>
          <w:spacing w:val="-2"/>
        </w:rPr>
        <w:t>不包含商誉的资产组或者资产组组合进行减值测试，计算可收回金额，并与相关账面价值相比较，确认相应的减值损失。再</w:t>
      </w:r>
      <w:r>
        <w:rPr>
          <w:spacing w:val="-65"/>
        </w:rPr>
        <w:t> </w:t>
      </w:r>
      <w:r>
        <w:rPr>
          <w:spacing w:val="-65"/>
        </w:rPr>
      </w:r>
      <w:r>
        <w:rPr>
          <w:spacing w:val="-2"/>
        </w:rPr>
        <w:t>对包含商誉的资产组或者资产组组合进行减值测试，比较这些相关资产组或者资产组组合的账面价值（包括所分摊的商誉的</w:t>
      </w:r>
      <w:r>
        <w:rPr>
          <w:spacing w:val="-64"/>
        </w:rPr>
        <w:t> </w:t>
      </w:r>
      <w:r>
        <w:rPr>
          <w:spacing w:val="-64"/>
        </w:rPr>
      </w:r>
      <w:r>
        <w:rPr/>
        <w:t>账面价值部分）与其可收回金额，如相关资产组或者资产组组合的可收回金额低于其账面价值的，确认商誉的减值损失。 上述资产减值损失一经确认，在以后会计期间不予转回。</w:t>
      </w:r>
    </w:p>
    <w:p>
      <w:pPr>
        <w:spacing w:line="240" w:lineRule="auto" w:before="7"/>
        <w:rPr>
          <w:rFonts w:ascii="宋体" w:hAnsi="宋体" w:cs="宋体" w:eastAsia="宋体" w:hint="default"/>
          <w:sz w:val="22"/>
          <w:szCs w:val="22"/>
        </w:rPr>
      </w:pPr>
    </w:p>
    <w:p>
      <w:pPr>
        <w:pStyle w:val="Heading3"/>
        <w:spacing w:line="240" w:lineRule="auto"/>
        <w:ind w:right="1015"/>
        <w:jc w:val="left"/>
        <w:rPr>
          <w:b w:val="0"/>
          <w:bCs w:val="0"/>
        </w:rPr>
      </w:pPr>
      <w:bookmarkStart w:name="23、长期待摊费用" w:id="202"/>
      <w:bookmarkEnd w:id="202"/>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1015"/>
        <w:jc w:val="left"/>
      </w:pPr>
      <w:r>
        <w:rPr/>
        <w:t>长期待摊费用为已经发生但应由本期和以后各期负担的分摊期限在一年以上的各项费用。 </w:t>
      </w:r>
      <w:r>
        <w:rPr>
          <w:spacing w:val="-4"/>
        </w:rPr>
        <w:t>本公司发生的长期待摊费用按实际成本计价，并按预计受益期限平均摊销，对不能使以后会计期间受益的长期待摊费用项目，</w:t>
      </w:r>
      <w:r>
        <w:rPr>
          <w:spacing w:val="-44"/>
        </w:rPr>
        <w:t> </w:t>
      </w:r>
      <w:r>
        <w:rPr>
          <w:spacing w:val="-44"/>
        </w:rPr>
      </w:r>
      <w:r>
        <w:rPr/>
        <w:t>在确定时将该项目的摊余价值全部计入当期损益。</w:t>
      </w:r>
    </w:p>
    <w:p>
      <w:pPr>
        <w:spacing w:line="240" w:lineRule="auto" w:before="7"/>
        <w:rPr>
          <w:rFonts w:ascii="宋体" w:hAnsi="宋体" w:cs="宋体" w:eastAsia="宋体" w:hint="default"/>
          <w:sz w:val="22"/>
          <w:szCs w:val="22"/>
        </w:rPr>
      </w:pPr>
    </w:p>
    <w:p>
      <w:pPr>
        <w:pStyle w:val="Heading3"/>
        <w:spacing w:line="240" w:lineRule="auto"/>
        <w:ind w:left="1133" w:right="1015"/>
        <w:jc w:val="left"/>
        <w:rPr>
          <w:b w:val="0"/>
          <w:bCs w:val="0"/>
        </w:rPr>
      </w:pPr>
      <w:bookmarkStart w:name="24、职工薪酬" w:id="203"/>
      <w:bookmarkEnd w:id="203"/>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1）短期薪酬的会计处理方法" w:id="204"/>
      <w:bookmarkEnd w:id="204"/>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1015"/>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本公司为职工缴纳的社会保险费和住房公积金，以及按规定提取的工会经费和职工教育经费，在职工为本公司提供服务的会</w:t>
      </w:r>
      <w:r>
        <w:rPr>
          <w:spacing w:val="-64"/>
        </w:rPr>
        <w:t> </w:t>
      </w:r>
      <w:r>
        <w:rPr>
          <w:spacing w:val="-64"/>
        </w:rPr>
      </w:r>
      <w:r>
        <w:rPr/>
        <w:t>计期间，根据规定的计提基础和计提比例计算确定相应的职工薪酬金额。 职工福利费为非货币性福利的，如能够可靠计量的，按照公允价值计量。</w:t>
      </w:r>
    </w:p>
    <w:p>
      <w:pPr>
        <w:spacing w:line="240" w:lineRule="auto" w:before="7"/>
        <w:rPr>
          <w:rFonts w:ascii="宋体" w:hAnsi="宋体" w:cs="宋体" w:eastAsia="宋体" w:hint="default"/>
          <w:sz w:val="22"/>
          <w:szCs w:val="22"/>
        </w:rPr>
      </w:pPr>
    </w:p>
    <w:p>
      <w:pPr>
        <w:pStyle w:val="Heading3"/>
        <w:spacing w:line="240" w:lineRule="auto"/>
        <w:ind w:left="1133" w:right="1015"/>
        <w:jc w:val="left"/>
        <w:rPr>
          <w:b w:val="0"/>
          <w:bCs w:val="0"/>
        </w:rPr>
      </w:pPr>
      <w:bookmarkStart w:name="（2）离职后福利的会计处理方法" w:id="205"/>
      <w:bookmarkEnd w:id="205"/>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15"/>
        <w:jc w:val="left"/>
      </w:pPr>
      <w:r>
        <w:rPr>
          <w:rFonts w:ascii="宋体" w:hAnsi="宋体" w:cs="宋体" w:eastAsia="宋体" w:hint="default"/>
        </w:rPr>
        <w:t>1</w:t>
      </w:r>
      <w:r>
        <w:rPr/>
        <w:t>）设定提存计划 </w:t>
      </w:r>
      <w:r>
        <w:rPr>
          <w:spacing w:val="-2"/>
        </w:rPr>
        <w:t>本公司按当地政府的相关规定为职工缴纳基本养老保险和失业保险，在职工为本公司提供服务的会计期间，按以当地规定的</w:t>
      </w:r>
      <w:r>
        <w:rPr>
          <w:spacing w:val="-64"/>
        </w:rPr>
        <w:t> </w:t>
      </w:r>
      <w:r>
        <w:rPr>
          <w:spacing w:val="-64"/>
        </w:rPr>
      </w:r>
      <w:r>
        <w:rPr/>
        <w:t>缴纳基数和比例计算应缴纳金额，确认为负债，并计入当期损益或相关资产成本。</w:t>
      </w:r>
    </w:p>
    <w:p>
      <w:pPr>
        <w:pStyle w:val="BodyText"/>
        <w:spacing w:line="316" w:lineRule="auto" w:before="19"/>
        <w:ind w:left="1133" w:right="1015"/>
        <w:jc w:val="left"/>
      </w:pPr>
      <w:r>
        <w:rPr>
          <w:rFonts w:ascii="宋体" w:hAnsi="宋体" w:cs="宋体" w:eastAsia="宋体" w:hint="default"/>
        </w:rPr>
        <w:t>2</w:t>
      </w:r>
      <w:r>
        <w:rPr/>
        <w:t>）设定受益计划 </w:t>
      </w:r>
      <w:r>
        <w:rPr>
          <w:spacing w:val="-2"/>
        </w:rPr>
        <w:t>本公司根据预期累计福利单位法确定的公式将设定受益计划产生的福利义务归属于职工提供服务的期间，并计入当期损益或</w:t>
      </w:r>
      <w:r>
        <w:rPr>
          <w:spacing w:val="-64"/>
        </w:rPr>
        <w:t> </w:t>
      </w:r>
      <w:r>
        <w:rPr>
          <w:spacing w:val="-64"/>
        </w:rPr>
      </w:r>
      <w:r>
        <w:rPr/>
        <w:t>相关资产成本。 </w:t>
      </w:r>
      <w:r>
        <w:rPr>
          <w:spacing w:val="-2"/>
        </w:rPr>
        <w:t>设定受益计划义务现值减去设定受益计划资产公允价值所形成的赤字或盈余确认为一项设定受益计划净负债或净资产。设定</w:t>
      </w:r>
      <w:r>
        <w:rPr>
          <w:spacing w:val="-64"/>
        </w:rPr>
        <w:t> </w:t>
      </w:r>
      <w:r>
        <w:rPr>
          <w:spacing w:val="-64"/>
        </w:rPr>
      </w:r>
      <w:r>
        <w:rPr/>
        <w:t>受益计划存在盈余的，本公司以设定受益计划的盈余和资产上限两项的孰低者计量设定受益计划净资产。 </w:t>
      </w:r>
      <w:r>
        <w:rPr>
          <w:spacing w:val="-2"/>
        </w:rPr>
        <w:t>所有设定受益计划义务，包括预期在职工提供服务的年度本期间结束后的十二个月内支付的义务，根据资产负债表日与设定</w:t>
      </w:r>
      <w:r>
        <w:rPr>
          <w:spacing w:val="-64"/>
        </w:rPr>
        <w:t> </w:t>
      </w:r>
      <w:r>
        <w:rPr>
          <w:spacing w:val="-64"/>
        </w:rPr>
      </w:r>
      <w:r>
        <w:rPr/>
        <w:t>受益计划义务期限和币种相匹配的国债或活跃市场上的高质量公司债券的市场收益率予以折现。 </w:t>
      </w:r>
      <w:r>
        <w:rPr>
          <w:spacing w:val="-2"/>
        </w:rPr>
        <w:t>设定受益计划产生的服务成本和设定受益计划净负债或净资产的利息净额计入当期损益或相关资产成本；重新计量设定受益</w:t>
      </w:r>
      <w:r>
        <w:rPr>
          <w:spacing w:val="-64"/>
        </w:rPr>
        <w:t> </w:t>
      </w:r>
      <w:r>
        <w:rPr>
          <w:spacing w:val="-64"/>
        </w:rPr>
      </w:r>
      <w:r>
        <w:rPr>
          <w:spacing w:val="-2"/>
        </w:rPr>
        <w:t>计划净负债或净资产所产生的变动计入其他综合收益，并且在后续会计期间不转回至损益，在原设定受益计划终止时在权益</w:t>
      </w:r>
      <w:r>
        <w:rPr>
          <w:spacing w:val="-64"/>
        </w:rPr>
        <w:t> </w:t>
      </w:r>
      <w:r>
        <w:rPr>
          <w:spacing w:val="-64"/>
        </w:rPr>
      </w:r>
      <w:r>
        <w:rPr/>
        <w:t>范围内将原计入其他综合收益的部分全部结转至未分配利润。 在设定受益计划结算时，按在结算日确定的设定受益计划义务现值和结算价格两者的差额，确认结算利得或损失。 详见本附注“七 </w:t>
      </w:r>
      <w:r>
        <w:rPr>
          <w:rFonts w:ascii="宋体" w:hAnsi="宋体" w:cs="宋体" w:eastAsia="宋体" w:hint="default"/>
        </w:rPr>
        <w:t>37</w:t>
      </w:r>
      <w:r>
        <w:rPr/>
        <w:t>、 应付职工薪酬”。</w:t>
      </w:r>
    </w:p>
    <w:p>
      <w:pPr>
        <w:spacing w:after="0" w:line="316" w:lineRule="auto"/>
        <w:jc w:val="left"/>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1015"/>
        <w:jc w:val="left"/>
        <w:rPr>
          <w:b w:val="0"/>
          <w:bCs w:val="0"/>
        </w:rPr>
      </w:pPr>
      <w:bookmarkStart w:name="（3）辞退福利的会计处理方法" w:id="206"/>
      <w:bookmarkEnd w:id="206"/>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15"/>
        <w:jc w:val="left"/>
      </w:pPr>
      <w:r>
        <w:rPr>
          <w:spacing w:val="-2"/>
        </w:rPr>
        <w:t>本公司在不能单方面撤回因解除劳动关系计划或裁减建议所提供的辞退福利时，或确认与涉及支付辞退福利的重组相关的成</w:t>
      </w:r>
      <w:r>
        <w:rPr>
          <w:spacing w:val="-64"/>
        </w:rPr>
        <w:t> </w:t>
      </w:r>
      <w:r>
        <w:rPr>
          <w:spacing w:val="-64"/>
        </w:rPr>
      </w:r>
      <w:r>
        <w:rPr/>
        <w:t>本或费用时（两者孰早），确认辞退福利产生的职工薪酬负债，并计入当期损益。</w:t>
      </w:r>
    </w:p>
    <w:p>
      <w:pPr>
        <w:spacing w:line="240" w:lineRule="auto" w:before="7"/>
        <w:rPr>
          <w:rFonts w:ascii="宋体" w:hAnsi="宋体" w:cs="宋体" w:eastAsia="宋体" w:hint="default"/>
          <w:sz w:val="22"/>
          <w:szCs w:val="22"/>
        </w:rPr>
      </w:pPr>
    </w:p>
    <w:p>
      <w:pPr>
        <w:pStyle w:val="Heading3"/>
        <w:spacing w:line="240" w:lineRule="auto"/>
        <w:ind w:left="1133" w:right="1015"/>
        <w:jc w:val="left"/>
        <w:rPr>
          <w:b w:val="0"/>
          <w:bCs w:val="0"/>
        </w:rPr>
      </w:pPr>
      <w:bookmarkStart w:name="（4）其他长期职工福利的会计处理方法" w:id="207"/>
      <w:bookmarkEnd w:id="207"/>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1015"/>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15"/>
        <w:jc w:val="left"/>
        <w:rPr>
          <w:b w:val="0"/>
          <w:bCs w:val="0"/>
        </w:rPr>
      </w:pPr>
      <w:bookmarkStart w:name="25、预计负债" w:id="208"/>
      <w:bookmarkEnd w:id="208"/>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251" w:right="1015"/>
        <w:jc w:val="left"/>
      </w:pPr>
      <w:r>
        <w:rPr>
          <w:spacing w:val="-1"/>
        </w:rPr>
        <w:t>本公司涉及诉讼、债务担保、亏损合同、重组事项时，如该等事项很可能需要未来以交付资产或提供劳务、其金额能够可</w:t>
      </w:r>
      <w:r>
        <w:rPr>
          <w:spacing w:val="-58"/>
        </w:rPr>
        <w:t> </w:t>
      </w:r>
      <w:r>
        <w:rPr>
          <w:spacing w:val="-58"/>
        </w:rPr>
      </w:r>
      <w:r>
        <w:rPr/>
        <w:t>靠计量的，确认为预计负债。</w:t>
      </w:r>
    </w:p>
    <w:p>
      <w:pPr>
        <w:spacing w:line="300" w:lineRule="auto" w:before="19"/>
        <w:ind w:left="1193" w:right="5113" w:hanging="4"/>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）预计负债的确认标准</w:t>
      </w:r>
      <w:r>
        <w:rPr>
          <w:rFonts w:ascii="宋体" w:hAnsi="宋体" w:cs="宋体" w:eastAsia="宋体" w:hint="default"/>
          <w:b/>
          <w:bCs/>
          <w:w w:val="99"/>
          <w:sz w:val="18"/>
          <w:szCs w:val="18"/>
        </w:rPr>
        <w:t> </w:t>
      </w:r>
      <w:r>
        <w:rPr>
          <w:rFonts w:ascii="宋体" w:hAnsi="宋体" w:cs="宋体" w:eastAsia="宋体" w:hint="default"/>
          <w:sz w:val="18"/>
          <w:szCs w:val="18"/>
        </w:rPr>
        <w:t>与或有事项相关的义务同时满足下列条件时，本公司确认为预计负债：</w:t>
      </w:r>
    </w:p>
    <w:p>
      <w:pPr>
        <w:pStyle w:val="BodyText"/>
        <w:spacing w:line="240" w:lineRule="auto" w:before="31"/>
        <w:ind w:left="1493" w:right="1015"/>
        <w:jc w:val="left"/>
      </w:pPr>
      <w:r>
        <w:rPr>
          <w:rFonts w:ascii="Times New Roman" w:hAnsi="Times New Roman" w:cs="Times New Roman" w:eastAsia="Times New Roman" w:hint="default"/>
        </w:rPr>
        <w:t>1</w:t>
      </w:r>
      <w:r>
        <w:rPr/>
        <w:t>）该义务是本公司承担的现时义务；</w:t>
      </w:r>
    </w:p>
    <w:p>
      <w:pPr>
        <w:pStyle w:val="BodyText"/>
        <w:spacing w:line="240" w:lineRule="auto" w:before="63"/>
        <w:ind w:left="1494" w:right="1015"/>
        <w:jc w:val="left"/>
      </w:pPr>
      <w:r>
        <w:rPr>
          <w:rFonts w:ascii="Times New Roman" w:hAnsi="Times New Roman" w:cs="Times New Roman" w:eastAsia="Times New Roman" w:hint="default"/>
        </w:rPr>
        <w:t>2</w:t>
      </w:r>
      <w:r>
        <w:rPr/>
        <w:t>）履行该义务很可能导致经济利益流出本公司；</w:t>
      </w:r>
    </w:p>
    <w:p>
      <w:pPr>
        <w:pStyle w:val="BodyText"/>
        <w:spacing w:line="240" w:lineRule="auto" w:before="63"/>
        <w:ind w:left="1494" w:right="1015"/>
        <w:jc w:val="left"/>
      </w:pPr>
      <w:r>
        <w:rPr>
          <w:rFonts w:ascii="Times New Roman" w:hAnsi="Times New Roman" w:cs="Times New Roman" w:eastAsia="Times New Roman" w:hint="default"/>
        </w:rPr>
        <w:t>3</w:t>
      </w:r>
      <w:r>
        <w:rPr/>
        <w:t>）该义务的金额能够可靠地计量。</w:t>
      </w:r>
    </w:p>
    <w:p>
      <w:pPr>
        <w:spacing w:line="300" w:lineRule="auto" w:before="63"/>
        <w:ind w:left="1133" w:right="4633" w:firstLine="56"/>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）预计负债的计量方法</w:t>
      </w:r>
      <w:r>
        <w:rPr>
          <w:rFonts w:ascii="宋体" w:hAnsi="宋体" w:cs="宋体" w:eastAsia="宋体" w:hint="default"/>
          <w:b/>
          <w:bCs/>
          <w:w w:val="99"/>
          <w:sz w:val="18"/>
          <w:szCs w:val="18"/>
        </w:rPr>
        <w:t> </w:t>
      </w:r>
      <w:r>
        <w:rPr>
          <w:rFonts w:ascii="宋体" w:hAnsi="宋体" w:cs="宋体" w:eastAsia="宋体" w:hint="default"/>
          <w:sz w:val="18"/>
          <w:szCs w:val="18"/>
        </w:rPr>
        <w:t>本公司预计负债按履行相关现时义务所需的支出的最佳估计数进行初始计量。</w:t>
      </w:r>
    </w:p>
    <w:p>
      <w:pPr>
        <w:pStyle w:val="BodyText"/>
        <w:spacing w:line="316" w:lineRule="auto" w:before="31"/>
        <w:ind w:left="1133" w:right="1015"/>
        <w:jc w:val="left"/>
      </w:pPr>
      <w:r>
        <w:rPr>
          <w:spacing w:val="-2"/>
        </w:rPr>
        <w:t>本公司在确定最佳估计数时，综合考虑与或有事项有关的风险、不确定性和货币时间价值等因素。对于货币时间价值影响重</w:t>
      </w:r>
      <w:r>
        <w:rPr>
          <w:spacing w:val="-66"/>
        </w:rPr>
        <w:t> </w:t>
      </w:r>
      <w:r>
        <w:rPr>
          <w:spacing w:val="-66"/>
        </w:rPr>
      </w:r>
      <w:r>
        <w:rPr/>
        <w:t>大的，通过对相关未来现金流出进行折现后确定最佳估计数。</w:t>
      </w:r>
    </w:p>
    <w:p>
      <w:pPr>
        <w:pStyle w:val="BodyText"/>
        <w:spacing w:line="316" w:lineRule="auto" w:before="19"/>
        <w:ind w:right="1015"/>
        <w:jc w:val="left"/>
      </w:pPr>
      <w:r>
        <w:rPr/>
        <w:t>最佳估计数分别以下情况处理： </w:t>
      </w:r>
      <w:r>
        <w:rPr>
          <w:spacing w:val="-2"/>
        </w:rPr>
        <w:t>所需支出存在一个连续范围（或区间），且该范围内各种结果发生的可能性相同的，则最佳估计数按照该范围的中间值即上</w:t>
      </w:r>
      <w:r>
        <w:rPr>
          <w:spacing w:val="-66"/>
        </w:rPr>
        <w:t> </w:t>
      </w:r>
      <w:r>
        <w:rPr>
          <w:spacing w:val="-66"/>
        </w:rPr>
      </w:r>
      <w:r>
        <w:rPr/>
        <w:t>下限金额的平均数确定。 </w:t>
      </w:r>
      <w:r>
        <w:rPr>
          <w:spacing w:val="-2"/>
        </w:rPr>
        <w:t>所需支出不存在一个连续范围（或区间），或虽然存在一个连续范围但该范围内各种结果发生的可能性不相同的，如或有事</w:t>
      </w:r>
      <w:r>
        <w:rPr>
          <w:spacing w:val="-66"/>
        </w:rPr>
        <w:t> </w:t>
      </w:r>
      <w:r>
        <w:rPr>
          <w:spacing w:val="-66"/>
        </w:rPr>
      </w:r>
      <w:r>
        <w:rPr>
          <w:spacing w:val="-2"/>
        </w:rPr>
        <w:t>项涉及单个项目的，则最佳估计数按照最可能发生金额确定；如或有事项涉及多个项目的，则最佳估计数按各种可能结果及</w:t>
      </w:r>
      <w:r>
        <w:rPr>
          <w:spacing w:val="-66"/>
        </w:rPr>
        <w:t> </w:t>
      </w:r>
      <w:r>
        <w:rPr>
          <w:spacing w:val="-66"/>
        </w:rPr>
      </w:r>
      <w:r>
        <w:rPr/>
        <w:t>相关概率计算确定。 </w:t>
      </w:r>
      <w:r>
        <w:rPr>
          <w:spacing w:val="-2"/>
        </w:rPr>
        <w:t>本公司清偿预计负债所需支出全部或部分预期由第三方补偿的，补偿金额在基本确定能够收到时，作为资产单独确认，确认</w:t>
      </w:r>
      <w:r>
        <w:rPr>
          <w:spacing w:val="-66"/>
        </w:rPr>
        <w:t> </w:t>
      </w:r>
      <w:r>
        <w:rPr>
          <w:spacing w:val="-66"/>
        </w:rPr>
      </w:r>
      <w:r>
        <w:rPr/>
        <w:t>的补偿金额不超过预计负债的账面价值。</w:t>
      </w:r>
    </w:p>
    <w:p>
      <w:pPr>
        <w:spacing w:line="240" w:lineRule="auto" w:before="7"/>
        <w:rPr>
          <w:rFonts w:ascii="宋体" w:hAnsi="宋体" w:cs="宋体" w:eastAsia="宋体" w:hint="default"/>
          <w:sz w:val="22"/>
          <w:szCs w:val="22"/>
        </w:rPr>
      </w:pPr>
    </w:p>
    <w:p>
      <w:pPr>
        <w:pStyle w:val="Heading3"/>
        <w:spacing w:line="240" w:lineRule="auto"/>
        <w:ind w:right="1015"/>
        <w:jc w:val="left"/>
        <w:rPr>
          <w:b w:val="0"/>
          <w:bCs w:val="0"/>
        </w:rPr>
      </w:pPr>
      <w:bookmarkStart w:name="26、股份支付" w:id="209"/>
      <w:bookmarkEnd w:id="209"/>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15"/>
        <w:jc w:val="left"/>
      </w:pPr>
      <w:r>
        <w:rPr>
          <w:spacing w:val="-2"/>
        </w:rPr>
        <w:t>本公司的股份支付是为了获取职工提供服务而授予权益工具或者承担以权益工具为基础确定的负债的交易。本公司的股份支</w:t>
      </w:r>
      <w:r>
        <w:rPr>
          <w:spacing w:val="-64"/>
        </w:rPr>
        <w:t> </w:t>
      </w:r>
      <w:r>
        <w:rPr>
          <w:spacing w:val="-64"/>
        </w:rPr>
      </w:r>
      <w:r>
        <w:rPr/>
        <w:t>付分为以权益结算的股份支付和以现金结算的股份支付。</w:t>
      </w:r>
    </w:p>
    <w:p>
      <w:pPr>
        <w:pStyle w:val="BodyText"/>
        <w:spacing w:line="316" w:lineRule="auto" w:before="19"/>
        <w:ind w:right="1015"/>
        <w:jc w:val="left"/>
      </w:pPr>
      <w:r>
        <w:rPr/>
        <w:t>（</w:t>
      </w:r>
      <w:r>
        <w:rPr>
          <w:rFonts w:ascii="宋体" w:hAnsi="宋体" w:cs="宋体" w:eastAsia="宋体" w:hint="default"/>
        </w:rPr>
        <w:t>1</w:t>
      </w:r>
      <w:r>
        <w:rPr/>
        <w:t>）以权益结算的股份支付及权益工具 </w:t>
      </w:r>
      <w:r>
        <w:rPr>
          <w:spacing w:val="-2"/>
        </w:rPr>
        <w:t>以权益结算的股份支付换取职工提供服务的，以授予职工权益工具的公允价值计量。在等待期内每个资产负债表日，本公司</w:t>
      </w:r>
      <w:r>
        <w:rPr>
          <w:spacing w:val="-66"/>
        </w:rPr>
        <w:t> </w:t>
      </w:r>
      <w:r>
        <w:rPr>
          <w:spacing w:val="-66"/>
        </w:rPr>
      </w:r>
      <w:r>
        <w:rPr>
          <w:spacing w:val="-2"/>
        </w:rPr>
        <w:t>根据最新取得的</w:t>
      </w:r>
      <w:r>
        <w:rPr>
          <w:rFonts w:ascii="宋体" w:hAnsi="宋体" w:cs="宋体" w:eastAsia="宋体" w:hint="default"/>
          <w:spacing w:val="-2"/>
        </w:rPr>
        <w:t>[</w:t>
      </w:r>
      <w:r>
        <w:rPr>
          <w:spacing w:val="-2"/>
        </w:rPr>
        <w:t>可行权职工人数变动</w:t>
      </w:r>
      <w:r>
        <w:rPr>
          <w:rFonts w:ascii="宋体" w:hAnsi="宋体" w:cs="宋体" w:eastAsia="宋体" w:hint="default"/>
          <w:spacing w:val="-2"/>
        </w:rPr>
        <w:t>][</w:t>
      </w:r>
      <w:r>
        <w:rPr>
          <w:spacing w:val="-2"/>
        </w:rPr>
        <w:t>是否达到规定业绩条件</w:t>
      </w:r>
      <w:r>
        <w:rPr>
          <w:rFonts w:ascii="宋体" w:hAnsi="宋体" w:cs="宋体" w:eastAsia="宋体" w:hint="default"/>
          <w:spacing w:val="-2"/>
        </w:rPr>
        <w:t>]</w:t>
      </w:r>
      <w:r>
        <w:rPr>
          <w:spacing w:val="-2"/>
        </w:rPr>
        <w:t>等后续信息对可行权权益工具数量作出最佳估计，以此为基</w:t>
      </w:r>
      <w:r>
        <w:rPr>
          <w:spacing w:val="-60"/>
        </w:rPr>
        <w:t> </w:t>
      </w:r>
      <w:r>
        <w:rPr>
          <w:spacing w:val="-60"/>
        </w:rPr>
      </w:r>
      <w:r>
        <w:rPr>
          <w:spacing w:val="-2"/>
        </w:rPr>
        <w:t>础，按照授予日的公允价值，将当期取得的服务计入相关成本或费用，相应增加资本公积。在可行权日之后不再对已确认的</w:t>
      </w:r>
      <w:r>
        <w:rPr>
          <w:spacing w:val="-66"/>
        </w:rPr>
        <w:t> </w:t>
      </w:r>
      <w:r>
        <w:rPr>
          <w:spacing w:val="-66"/>
        </w:rPr>
      </w:r>
      <w:r>
        <w:rPr>
          <w:spacing w:val="-2"/>
        </w:rPr>
        <w:t>相关成本或费用和所有者权益总额进行调整。但授予后立即可行权的，在授予日按照公允价值计入相关成本或费用，相应增</w:t>
      </w:r>
      <w:r>
        <w:rPr>
          <w:spacing w:val="-66"/>
        </w:rPr>
        <w:t> </w:t>
      </w:r>
      <w:r>
        <w:rPr>
          <w:spacing w:val="-66"/>
        </w:rPr>
      </w:r>
      <w:r>
        <w:rPr/>
        <w:t>加资本公积。 </w:t>
      </w:r>
      <w:r>
        <w:rPr>
          <w:spacing w:val="-2"/>
        </w:rPr>
        <w:t>对于最终未能行权的股份支付，不确认成本或费用，除非行权条件是市场条件或非可行权条件，此时无论是否满足市场条件</w:t>
      </w:r>
      <w:r>
        <w:rPr>
          <w:spacing w:val="-66"/>
        </w:rPr>
        <w:t> </w:t>
      </w:r>
      <w:r>
        <w:rPr>
          <w:spacing w:val="-66"/>
        </w:rPr>
      </w:r>
      <w:r>
        <w:rPr/>
        <w:t>或非可行权条件，只要满足所有可行权条件中的非市场条件，即视为可行权。 </w:t>
      </w:r>
      <w:r>
        <w:rPr>
          <w:spacing w:val="-2"/>
        </w:rPr>
        <w:t>如果取消了以权益结算的股份支付，则于取消日作为加速行权处理，立即确认尚未确认的金额。职工或其他方能够选择满足</w:t>
      </w:r>
      <w:r>
        <w:rPr>
          <w:spacing w:val="-66"/>
        </w:rPr>
        <w:t> </w:t>
      </w:r>
      <w:r>
        <w:rPr>
          <w:spacing w:val="-66"/>
        </w:rPr>
      </w:r>
      <w:r>
        <w:rPr>
          <w:spacing w:val="-2"/>
        </w:rPr>
        <w:t>非可行权条件但在等待期内未满足的，作为取消以权益结算的股份支付处理。但是，如果授予新的权益工具，并在新权益工</w:t>
      </w:r>
    </w:p>
    <w:p>
      <w:pPr>
        <w:spacing w:after="0" w:line="316"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right="1015"/>
        <w:jc w:val="left"/>
      </w:pPr>
      <w:r>
        <w:rPr>
          <w:spacing w:val="-2"/>
        </w:rPr>
        <w:t>具授予日认定所授予的新权益工具是用于替代被取消的权益工具的，则以与处理原权益工具条款和条件修改相同的方式，对</w:t>
      </w:r>
      <w:r>
        <w:rPr>
          <w:spacing w:val="-64"/>
        </w:rPr>
        <w:t> </w:t>
      </w:r>
      <w:r>
        <w:rPr>
          <w:spacing w:val="-64"/>
        </w:rPr>
      </w:r>
      <w:r>
        <w:rPr/>
        <w:t>所授予的替代权益工具进行处理。</w:t>
      </w:r>
    </w:p>
    <w:p>
      <w:pPr>
        <w:pStyle w:val="BodyText"/>
        <w:spacing w:line="316" w:lineRule="auto" w:before="19"/>
        <w:ind w:right="1015"/>
        <w:jc w:val="left"/>
      </w:pPr>
      <w:r>
        <w:rPr/>
        <w:t>（</w:t>
      </w:r>
      <w:r>
        <w:rPr>
          <w:rFonts w:ascii="宋体" w:hAnsi="宋体" w:cs="宋体" w:eastAsia="宋体" w:hint="default"/>
        </w:rPr>
        <w:t>2</w:t>
      </w:r>
      <w:r>
        <w:rPr/>
        <w:t>）以现金结算的股份支付及权益工具 </w:t>
      </w:r>
      <w:r>
        <w:rPr>
          <w:spacing w:val="-2"/>
        </w:rPr>
        <w:t>以现金结算的股份支付，按照本公司承担的以股份或其他权益工具为基础计算确定的负债的公允价值计量。初始采用模型按</w:t>
      </w:r>
      <w:r>
        <w:rPr>
          <w:spacing w:val="-64"/>
        </w:rPr>
        <w:t> </w:t>
      </w:r>
      <w:r>
        <w:rPr>
          <w:spacing w:val="-64"/>
        </w:rPr>
      </w:r>
      <w:r>
        <w:rPr>
          <w:spacing w:val="-2"/>
        </w:rPr>
        <w:t>照授予日的公允价值计量，并考虑授予权益工具的条款和条件。授予后立即可行权的，在授予日以承担负债的公允价值计入</w:t>
      </w:r>
      <w:r>
        <w:rPr>
          <w:spacing w:val="-66"/>
        </w:rPr>
        <w:t> </w:t>
      </w:r>
      <w:r>
        <w:rPr>
          <w:spacing w:val="-66"/>
        </w:rPr>
      </w:r>
      <w:r>
        <w:rPr>
          <w:spacing w:val="-2"/>
        </w:rPr>
        <w:t>成本或费用，相应增加负债；完成等待期内的服务或达到规定业绩条件才可行权的，在等待期内以对可行权情况的最佳估计</w:t>
      </w:r>
      <w:r>
        <w:rPr>
          <w:spacing w:val="-66"/>
        </w:rPr>
        <w:t> </w:t>
      </w:r>
      <w:r>
        <w:rPr>
          <w:spacing w:val="-66"/>
        </w:rPr>
      </w:r>
      <w:r>
        <w:rPr>
          <w:spacing w:val="-2"/>
        </w:rPr>
        <w:t>为基础，按照承担负债的公允价值，将当期取得的服务计入相关成本或费用，增加相应负债。在相关负债结算前的每个资产</w:t>
      </w:r>
      <w:r>
        <w:rPr>
          <w:spacing w:val="-66"/>
        </w:rPr>
        <w:t> </w:t>
      </w:r>
      <w:r>
        <w:rPr>
          <w:spacing w:val="-66"/>
        </w:rPr>
      </w:r>
      <w:r>
        <w:rPr/>
        <w:t>负债表日以及结算日，对负债的公允价值重新计量，其变动计入当期损益。</w:t>
      </w:r>
    </w:p>
    <w:p>
      <w:pPr>
        <w:spacing w:line="240" w:lineRule="auto" w:before="7"/>
        <w:rPr>
          <w:rFonts w:ascii="宋体" w:hAnsi="宋体" w:cs="宋体" w:eastAsia="宋体" w:hint="default"/>
          <w:sz w:val="22"/>
          <w:szCs w:val="22"/>
        </w:rPr>
      </w:pPr>
    </w:p>
    <w:p>
      <w:pPr>
        <w:pStyle w:val="Heading3"/>
        <w:spacing w:line="240" w:lineRule="auto"/>
        <w:ind w:left="1133" w:right="1015"/>
        <w:jc w:val="left"/>
        <w:rPr>
          <w:b w:val="0"/>
          <w:bCs w:val="0"/>
        </w:rPr>
      </w:pPr>
      <w:bookmarkStart w:name="27、优先股、永续债等其他金融工具" w:id="210"/>
      <w:bookmarkEnd w:id="210"/>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1015"/>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15"/>
        <w:jc w:val="left"/>
        <w:rPr>
          <w:b w:val="0"/>
          <w:bCs w:val="0"/>
        </w:rPr>
      </w:pPr>
      <w:bookmarkStart w:name="28、收入" w:id="211"/>
      <w:bookmarkEnd w:id="211"/>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9"/>
        <w:ind w:right="1015"/>
        <w:jc w:val="left"/>
      </w:pPr>
      <w:r>
        <w:rPr/>
        <w:t>医疗器械业</w:t>
      </w:r>
    </w:p>
    <w:p>
      <w:pPr>
        <w:pStyle w:val="BodyText"/>
        <w:spacing w:line="312" w:lineRule="auto" w:before="115"/>
        <w:ind w:left="1193" w:right="1015" w:hanging="4"/>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）销售商品收入确认和计量原则</w:t>
      </w:r>
      <w:r>
        <w:rPr>
          <w:rFonts w:ascii="宋体" w:hAnsi="宋体" w:cs="宋体" w:eastAsia="宋体" w:hint="default"/>
          <w:b/>
          <w:bCs/>
          <w:w w:val="99"/>
        </w:rPr>
        <w:t> </w:t>
      </w:r>
      <w:r>
        <w:rPr/>
        <w:t>公司已将商品所有权上的主要风险和报酬转移给购买方；公司既没有保留与所有权相联系的继续管理权，也没有对已售出</w:t>
      </w:r>
      <w:r>
        <w:rPr>
          <w:spacing w:val="-61"/>
        </w:rPr>
        <w:t> </w:t>
      </w:r>
      <w:r>
        <w:rPr>
          <w:spacing w:val="-61"/>
        </w:rPr>
      </w:r>
      <w:r>
        <w:rPr/>
        <w:t>的商品实施有效控制；收入的金额能够可靠地计量；相关的经济利益很可能流入企业；相关的已发生或将发生的成本能够</w:t>
      </w:r>
      <w:r>
        <w:rPr>
          <w:spacing w:val="-61"/>
        </w:rPr>
        <w:t> </w:t>
      </w:r>
      <w:r>
        <w:rPr>
          <w:spacing w:val="-61"/>
        </w:rPr>
      </w:r>
      <w:r>
        <w:rPr/>
        <w:t>可靠地计量时，确认商品销售收入实现。</w:t>
      </w:r>
    </w:p>
    <w:p>
      <w:pPr>
        <w:pStyle w:val="BodyText"/>
        <w:spacing w:line="240" w:lineRule="auto" w:before="23"/>
        <w:ind w:left="1193" w:right="1015"/>
        <w:jc w:val="left"/>
      </w:pPr>
      <w:r>
        <w:rPr/>
        <w:t>根据上述商品销售收入确认原则，公司产品销售收入确认的具体方法如下：</w:t>
      </w:r>
    </w:p>
    <w:p>
      <w:pPr>
        <w:pStyle w:val="BodyText"/>
        <w:spacing w:line="300" w:lineRule="auto" w:before="76"/>
        <w:ind w:left="1194" w:right="1015"/>
        <w:jc w:val="left"/>
      </w:pPr>
      <w:r>
        <w:rPr>
          <w:rFonts w:ascii="Times New Roman" w:hAnsi="Times New Roman" w:cs="Times New Roman" w:eastAsia="Times New Roman" w:hint="default"/>
        </w:rPr>
        <w:t>1</w:t>
      </w:r>
      <w:r>
        <w:rPr/>
        <w:t>）外销 公司外销主要采用</w:t>
      </w:r>
      <w:r>
        <w:rPr>
          <w:rFonts w:ascii="Times New Roman" w:hAnsi="Times New Roman" w:cs="Times New Roman" w:eastAsia="Times New Roman" w:hint="default"/>
        </w:rPr>
        <w:t>FOB</w:t>
      </w:r>
      <w:r>
        <w:rPr/>
        <w:t>（出口离岸价）方式结算，收到国外客户订单后产品出库并办理报关出口手续后确认销售收入的实</w:t>
      </w:r>
      <w:r>
        <w:rPr>
          <w:spacing w:val="-56"/>
        </w:rPr>
        <w:t> </w:t>
      </w:r>
      <w:r>
        <w:rPr>
          <w:spacing w:val="-56"/>
        </w:rPr>
      </w:r>
      <w:r>
        <w:rPr/>
        <w:t>现，根据出口货物报关单上注明的日期作为主要风险和报酬转移给购买方的时点。</w:t>
      </w:r>
    </w:p>
    <w:p>
      <w:pPr>
        <w:pStyle w:val="BodyText"/>
        <w:spacing w:line="300" w:lineRule="auto" w:before="31"/>
        <w:ind w:left="1194" w:right="6372"/>
        <w:jc w:val="left"/>
      </w:pPr>
      <w:r>
        <w:rPr>
          <w:rFonts w:ascii="Times New Roman" w:hAnsi="Times New Roman" w:cs="Times New Roman" w:eastAsia="Times New Roman" w:hint="default"/>
        </w:rPr>
        <w:t>2</w:t>
      </w:r>
      <w:r>
        <w:rPr/>
        <w:t>）内销 公司内销主要分为直销、买断式经销和代销三种模式。</w:t>
      </w:r>
    </w:p>
    <w:p>
      <w:pPr>
        <w:pStyle w:val="BodyText"/>
        <w:spacing w:line="316" w:lineRule="auto" w:before="31"/>
        <w:ind w:left="1194" w:right="1015"/>
        <w:jc w:val="left"/>
      </w:pPr>
      <w:r>
        <w:rPr/>
        <w:t>直销和买断式经销，销售收入确认的方法一致，公司依据客户订单约定发货并开具相应的送货单，待货物送达后，与客户</w:t>
      </w:r>
      <w:r>
        <w:rPr>
          <w:spacing w:val="-57"/>
        </w:rPr>
        <w:t> </w:t>
      </w:r>
      <w:r>
        <w:rPr>
          <w:spacing w:val="-57"/>
        </w:rPr>
      </w:r>
      <w:r>
        <w:rPr/>
        <w:t>进行对账，核实无误后确认收入。 代销模式，受托代销商每月定期提供代销清单，财务部每月定期与代销商进行对账，核实无误后确认收入。</w:t>
      </w:r>
    </w:p>
    <w:p>
      <w:pPr>
        <w:pStyle w:val="BodyText"/>
        <w:spacing w:line="309" w:lineRule="auto" w:before="19"/>
        <w:ind w:left="1193" w:right="1333" w:hanging="4"/>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）让渡资产使用权收入的确认和计量原则</w:t>
      </w:r>
      <w:r>
        <w:rPr>
          <w:rFonts w:ascii="宋体" w:hAnsi="宋体" w:cs="宋体" w:eastAsia="宋体" w:hint="default"/>
          <w:b/>
          <w:bCs/>
          <w:w w:val="99"/>
        </w:rPr>
        <w:t> </w:t>
      </w:r>
      <w:r>
        <w:rPr/>
        <w:t>与交易相关的经济利益很可能流入企业，收入的金额能够可靠地计量时。分别下列情况确定让渡资产使用权收入金额： </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5"/>
        <w:ind w:left="1193" w:right="1015"/>
        <w:jc w:val="left"/>
      </w:pP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11"/>
        <w:rPr>
          <w:rFonts w:ascii="宋体" w:hAnsi="宋体" w:cs="宋体" w:eastAsia="宋体" w:hint="default"/>
          <w:sz w:val="25"/>
          <w:szCs w:val="25"/>
        </w:rPr>
      </w:pPr>
    </w:p>
    <w:p>
      <w:pPr>
        <w:pStyle w:val="Heading3"/>
        <w:spacing w:line="240" w:lineRule="auto"/>
        <w:ind w:left="1133" w:right="1015"/>
        <w:jc w:val="left"/>
        <w:rPr>
          <w:b w:val="0"/>
          <w:bCs w:val="0"/>
        </w:rPr>
      </w:pPr>
      <w:bookmarkStart w:name="29、政府补助" w:id="212"/>
      <w:bookmarkEnd w:id="212"/>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1）与资产相关的政府补助判断依据及会计处理方法" w:id="213"/>
      <w:bookmarkEnd w:id="213"/>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15"/>
        <w:jc w:val="left"/>
      </w:pPr>
      <w:r>
        <w:rPr>
          <w:spacing w:val="-2"/>
        </w:rPr>
        <w:t>与购建固定资产、无形资产等长期资产相关的政府补助，确认为递延收益，在相关资产达到可供使用状态时，按照所建造或</w:t>
      </w:r>
      <w:r>
        <w:rPr>
          <w:spacing w:val="-65"/>
        </w:rPr>
        <w:t> </w:t>
      </w:r>
      <w:r>
        <w:rPr>
          <w:spacing w:val="-65"/>
        </w:rPr>
      </w:r>
      <w:r>
        <w:rPr/>
        <w:t>购买的资产使用年限分期计入营业外收入。</w:t>
      </w:r>
    </w:p>
    <w:p>
      <w:pPr>
        <w:spacing w:after="0" w:line="316" w:lineRule="auto"/>
        <w:jc w:val="left"/>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1015"/>
        <w:jc w:val="left"/>
        <w:rPr>
          <w:b w:val="0"/>
          <w:bCs w:val="0"/>
        </w:rPr>
      </w:pPr>
      <w:bookmarkStart w:name="（2）与收益相关的政府补助判断依据及会计处理方法" w:id="214"/>
      <w:bookmarkEnd w:id="214"/>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1015"/>
        <w:jc w:val="left"/>
      </w:pPr>
      <w:r>
        <w:rPr>
          <w:spacing w:val="-2"/>
        </w:rPr>
        <w:t>与收益相关的政府补助，用于补偿企业以后期间的相关费用或损失的，取得时确认为递延收益，在确认相关费用的期间计入</w:t>
      </w:r>
      <w:r>
        <w:rPr>
          <w:spacing w:val="-66"/>
        </w:rPr>
        <w:t> </w:t>
      </w:r>
      <w:r>
        <w:rPr>
          <w:spacing w:val="-66"/>
        </w:rPr>
      </w:r>
      <w:r>
        <w:rPr/>
        <w:t>当期营业外收入；用于补偿企业已发生的相关费用或损失的，取得时直接计入当期营业外收入。 对于政府文件未明确规定补助对象的，本公司将该政府补助划分为与资产相关或与收益相关的判断依据为： </w:t>
      </w:r>
      <w:r>
        <w:rPr>
          <w:spacing w:val="-2"/>
        </w:rPr>
        <w:t>公司对于综合性项目政府文件未明确补助具体对象时，将其分解为与资产相关的部分和与收益相关的部分，分别进行会计处</w:t>
      </w:r>
      <w:r>
        <w:rPr>
          <w:spacing w:val="-64"/>
        </w:rPr>
        <w:t> </w:t>
      </w:r>
      <w:r>
        <w:rPr>
          <w:spacing w:val="-64"/>
        </w:rPr>
      </w:r>
      <w:r>
        <w:rPr>
          <w:spacing w:val="-2"/>
        </w:rPr>
        <w:t>理；难以区分的，将政府补助整体归类为与收益相关的政府补助，视情况不同计入当期损益，或者在项目期内分期确认为当</w:t>
      </w:r>
      <w:r>
        <w:rPr>
          <w:spacing w:val="-66"/>
        </w:rPr>
        <w:t> </w:t>
      </w:r>
      <w:r>
        <w:rPr>
          <w:spacing w:val="-66"/>
        </w:rPr>
      </w:r>
      <w:r>
        <w:rPr/>
        <w:t>期收益。</w:t>
      </w:r>
    </w:p>
    <w:p>
      <w:pPr>
        <w:spacing w:line="240" w:lineRule="auto" w:before="7"/>
        <w:rPr>
          <w:rFonts w:ascii="宋体" w:hAnsi="宋体" w:cs="宋体" w:eastAsia="宋体" w:hint="default"/>
          <w:sz w:val="22"/>
          <w:szCs w:val="22"/>
        </w:rPr>
      </w:pPr>
    </w:p>
    <w:p>
      <w:pPr>
        <w:pStyle w:val="Heading3"/>
        <w:spacing w:line="240" w:lineRule="auto"/>
        <w:ind w:left="1133" w:right="1015"/>
        <w:jc w:val="left"/>
        <w:rPr>
          <w:b w:val="0"/>
          <w:bCs w:val="0"/>
        </w:rPr>
      </w:pPr>
      <w:bookmarkStart w:name="30、递延所得税资产/递延所得税负债" w:id="215"/>
      <w:bookmarkEnd w:id="215"/>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93" w:right="1015"/>
        <w:jc w:val="left"/>
      </w:pPr>
      <w:r>
        <w:rPr/>
        <w:t>对于可抵扣暂时性差异确认递延所得税资产，以未来期间很可能取得的用来抵扣可抵扣暂时性差异的应纳税所得额为限。 对于应纳税暂时性差异，除特殊情况外，确认递延所得税负债。 不确认递延所得税资产或递延所得税负债的特殊情况包括：商誉的初始确认；除企业合并以外的发生时既不影响会计利润</w:t>
      </w:r>
      <w:r>
        <w:rPr>
          <w:spacing w:val="-57"/>
        </w:rPr>
        <w:t> </w:t>
      </w:r>
      <w:r>
        <w:rPr>
          <w:spacing w:val="-57"/>
        </w:rPr>
      </w:r>
      <w:r>
        <w:rPr/>
        <w:t>也不影响应纳税所得额（或可抵扣亏损）的其他交易或事项。 当拥有以净额结算的法定权利，且意图以净额结算或取得资产、清偿负债同时进行时，当期所得税资产及当期所得税负债</w:t>
      </w:r>
      <w:r>
        <w:rPr>
          <w:spacing w:val="-56"/>
        </w:rPr>
        <w:t> </w:t>
      </w:r>
      <w:r>
        <w:rPr>
          <w:spacing w:val="-56"/>
        </w:rPr>
      </w:r>
      <w:r>
        <w:rPr/>
        <w:t>以抵销后的净额列报。 当拥有以净额结算当期所得税资产及当期所得税负债的法定权利，且递延所得税资产及递延所得税负债是与同一税收征管</w:t>
      </w:r>
      <w:r>
        <w:rPr>
          <w:spacing w:val="-57"/>
        </w:rPr>
        <w:t> </w:t>
      </w:r>
      <w:r>
        <w:rPr>
          <w:spacing w:val="-57"/>
        </w:rPr>
      </w:r>
      <w:r>
        <w:rPr/>
        <w:t>部门对同一纳税主体征收的所得税相关或者是对不同的纳税主体相关，但在未来每一具有重要性的递延所得税资产及负债</w:t>
      </w:r>
      <w:r>
        <w:rPr>
          <w:spacing w:val="-57"/>
        </w:rPr>
        <w:t> </w:t>
      </w:r>
      <w:r>
        <w:rPr>
          <w:spacing w:val="-57"/>
        </w:rPr>
      </w:r>
      <w:r>
        <w:rPr/>
        <w:t>转回的期间内，涉及的纳税主体意图以净额结算当期所得税资产和负债或是同时取得资产、清偿负债时，递延所得税资产</w:t>
      </w:r>
      <w:r>
        <w:rPr>
          <w:spacing w:val="-57"/>
        </w:rPr>
        <w:t> </w:t>
      </w:r>
      <w:r>
        <w:rPr>
          <w:spacing w:val="-57"/>
        </w:rPr>
      </w:r>
      <w:r>
        <w:rPr/>
        <w:t>及递延所得税负债以抵销后的净额列报。</w:t>
      </w:r>
    </w:p>
    <w:p>
      <w:pPr>
        <w:spacing w:line="240" w:lineRule="auto" w:before="7"/>
        <w:rPr>
          <w:rFonts w:ascii="宋体" w:hAnsi="宋体" w:cs="宋体" w:eastAsia="宋体" w:hint="default"/>
          <w:sz w:val="22"/>
          <w:szCs w:val="22"/>
        </w:rPr>
      </w:pPr>
    </w:p>
    <w:p>
      <w:pPr>
        <w:pStyle w:val="Heading3"/>
        <w:spacing w:line="240" w:lineRule="auto"/>
        <w:ind w:right="1015"/>
        <w:jc w:val="left"/>
        <w:rPr>
          <w:b w:val="0"/>
          <w:bCs w:val="0"/>
        </w:rPr>
      </w:pPr>
      <w:bookmarkStart w:name="31、租赁" w:id="216"/>
      <w:bookmarkEnd w:id="216"/>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1）经营租赁的会计处理方法" w:id="217"/>
      <w:bookmarkEnd w:id="217"/>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left="1133" w:right="1117" w:firstLine="60"/>
        <w:jc w:val="left"/>
      </w:pPr>
      <w:r>
        <w:rPr>
          <w:rFonts w:ascii="Times New Roman" w:hAnsi="Times New Roman" w:cs="Times New Roman" w:eastAsia="Times New Roman" w:hint="default"/>
          <w:spacing w:val="-1"/>
        </w:rPr>
        <w:t>1</w:t>
      </w:r>
      <w:r>
        <w:rPr>
          <w:spacing w:val="-1"/>
        </w:rPr>
        <w:t>）公司租入资产所支付的租赁费，在不扣除免租期的整个租赁期内，按直线法进行分摊，计入当期费用。公司支付的与租</w:t>
      </w:r>
      <w:r>
        <w:rPr/>
        <w:t> 赁交易相关的初始直接费用，计入当期费用。 资产出租方承担了应由公司承担的与租赁相关的费用时，公司将该部分费用从租金总额中扣除，按扣除后的租金费用在租</w:t>
      </w:r>
      <w:r>
        <w:rPr>
          <w:spacing w:val="-57"/>
        </w:rPr>
        <w:t> </w:t>
      </w:r>
      <w:r>
        <w:rPr>
          <w:spacing w:val="-57"/>
        </w:rPr>
      </w:r>
      <w:r>
        <w:rPr/>
        <w:t>赁期内分摊，计入当期费用。 </w:t>
      </w:r>
      <w:r>
        <w:rPr>
          <w:rFonts w:ascii="Times New Roman" w:hAnsi="Times New Roman" w:cs="Times New Roman" w:eastAsia="Times New Roman" w:hint="default"/>
          <w:spacing w:val="-1"/>
        </w:rPr>
        <w:t>2</w:t>
      </w:r>
      <w:r>
        <w:rPr>
          <w:spacing w:val="-1"/>
        </w:rPr>
        <w:t>）公司出租资产所收取的租赁费，在不扣除免租期的整个租赁期内，按直线法进行分摊，确认为租赁相关收入。公司支付</w:t>
      </w:r>
      <w:r>
        <w:rPr/>
        <w:t> 的与租赁交易相关的初始直接费用，计入当期费用；如金额较大的，则予以资本化，在整个租赁期间内按照与租赁相关收</w:t>
      </w:r>
      <w:r>
        <w:rPr>
          <w:spacing w:val="-57"/>
        </w:rPr>
        <w:t> </w:t>
      </w:r>
      <w:r>
        <w:rPr>
          <w:spacing w:val="-57"/>
        </w:rPr>
      </w:r>
      <w:r>
        <w:rPr/>
        <w:t>入确认相同的基础分期计入当期收益。 </w:t>
      </w:r>
      <w:r>
        <w:rPr>
          <w:spacing w:val="-2"/>
        </w:rPr>
        <w:t>公司承担了应由承租方承担的与租赁相关的费用时，公司将该部分费用从租金收入总额中扣除，按扣除后的租金费用在租赁</w:t>
      </w:r>
      <w:r>
        <w:rPr>
          <w:spacing w:val="-64"/>
        </w:rPr>
        <w:t> </w:t>
      </w:r>
      <w:r>
        <w:rPr>
          <w:spacing w:val="-64"/>
        </w:rPr>
      </w:r>
      <w:r>
        <w:rPr/>
        <w:t>期内分配。</w:t>
      </w:r>
    </w:p>
    <w:p>
      <w:pPr>
        <w:spacing w:line="240" w:lineRule="auto" w:before="9"/>
        <w:rPr>
          <w:rFonts w:ascii="宋体" w:hAnsi="宋体" w:cs="宋体" w:eastAsia="宋体" w:hint="default"/>
          <w:sz w:val="22"/>
          <w:szCs w:val="22"/>
        </w:rPr>
      </w:pPr>
    </w:p>
    <w:p>
      <w:pPr>
        <w:pStyle w:val="Heading3"/>
        <w:spacing w:line="240" w:lineRule="auto"/>
        <w:ind w:left="1133" w:right="1015"/>
        <w:jc w:val="left"/>
        <w:rPr>
          <w:b w:val="0"/>
          <w:bCs w:val="0"/>
        </w:rPr>
      </w:pPr>
      <w:bookmarkStart w:name="（2）融资租赁的会计处理方法" w:id="218"/>
      <w:bookmarkEnd w:id="218"/>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193" w:right="1027"/>
        <w:jc w:val="left"/>
      </w:pPr>
      <w:r>
        <w:rPr>
          <w:rFonts w:ascii="Times New Roman" w:hAnsi="Times New Roman" w:cs="Times New Roman" w:eastAsia="Times New Roman" w:hint="default"/>
          <w:spacing w:val="-3"/>
        </w:rPr>
        <w:t>1</w:t>
      </w:r>
      <w:r>
        <w:rPr>
          <w:spacing w:val="-3"/>
        </w:rPr>
        <w:t>）融资租入资产：公司在承租开始日，将租赁资产公允价值与最低租赁付款额现值两者中较低者作为租入资产的入账价值，</w:t>
      </w:r>
      <w:r>
        <w:rPr>
          <w:spacing w:val="-66"/>
        </w:rPr>
        <w:t> </w:t>
      </w:r>
      <w:r>
        <w:rPr>
          <w:spacing w:val="-66"/>
        </w:rPr>
      </w:r>
      <w:r>
        <w:rPr>
          <w:spacing w:val="-1"/>
        </w:rPr>
        <w:t>将最低租赁付款额作为长期应付款的入账价值，其差额作为未确认的融资费用。公司采用实际利率法对未确认的融资费用，</w:t>
      </w:r>
      <w:r>
        <w:rPr/>
        <w:t> 在资产租赁期间内摊销，计入财务费用。公司发生的初始直接费用，计入租入资产价值。 </w:t>
      </w:r>
      <w:r>
        <w:rPr>
          <w:rFonts w:ascii="Times New Roman" w:hAnsi="Times New Roman" w:cs="Times New Roman" w:eastAsia="Times New Roman" w:hint="default"/>
        </w:rPr>
        <w:t>2</w:t>
      </w:r>
      <w:r>
        <w:rPr/>
        <w:t>）融资租出资产：公司在租赁开始日，将应收融资租赁款，未担保余值之和与其现值的差额确认为未实现融资收益，在将 </w:t>
      </w:r>
      <w:r>
        <w:rPr>
          <w:spacing w:val="-1"/>
        </w:rPr>
        <w:t>来收到租金的各期间内确认为租赁收入。公司发生的与出租交易相关的初始直接费用，计入应收融资租赁款的初始计量中，</w:t>
      </w:r>
      <w:r>
        <w:rPr/>
        <w:t> 并减少租赁期内确认的收益金额。</w:t>
      </w:r>
    </w:p>
    <w:p>
      <w:pPr>
        <w:spacing w:after="0" w:line="312" w:lineRule="auto"/>
        <w:jc w:val="left"/>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1015"/>
        <w:jc w:val="left"/>
        <w:rPr>
          <w:b w:val="0"/>
          <w:bCs w:val="0"/>
        </w:rPr>
      </w:pPr>
      <w:bookmarkStart w:name="32、其他重要的会计政策和会计估计" w:id="219"/>
      <w:bookmarkEnd w:id="219"/>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1015"/>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15"/>
        <w:jc w:val="left"/>
        <w:rPr>
          <w:b w:val="0"/>
          <w:bCs w:val="0"/>
        </w:rPr>
      </w:pPr>
      <w:bookmarkStart w:name="33、重要会计政策和会计估计变更" w:id="220"/>
      <w:bookmarkEnd w:id="220"/>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5"/>
        <w:jc w:val="left"/>
        <w:rPr>
          <w:b w:val="0"/>
          <w:bCs w:val="0"/>
        </w:rPr>
      </w:pPr>
      <w:bookmarkStart w:name="（1）重要会计政策变更" w:id="221"/>
      <w:bookmarkEnd w:id="221"/>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1015"/>
        <w:jc w:val="left"/>
      </w:pPr>
      <w:r>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25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309" w:lineRule="auto"/>
              <w:ind w:left="103" w:right="10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）在利润表中分别列示“持续经营 </w:t>
            </w:r>
            <w:r>
              <w:rPr>
                <w:rFonts w:ascii="宋体" w:hAnsi="宋体" w:cs="宋体" w:eastAsia="宋体" w:hint="default"/>
                <w:spacing w:val="-6"/>
                <w:sz w:val="18"/>
                <w:szCs w:val="18"/>
              </w:rPr>
              <w:t>净利润”和“终止经营净利润”。比较</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数据相应调整。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已完成公司内部决策审批程序</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合并利润表：列示持续经营净利润本期</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发生额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17,463,984.61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元，上期发生额</w:t>
            </w:r>
          </w:p>
          <w:p>
            <w:pPr>
              <w:pStyle w:val="TableParagraph"/>
              <w:spacing w:line="24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80,520,70</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.66 </w:t>
            </w:r>
            <w:r>
              <w:rPr>
                <w:rFonts w:ascii="宋体" w:hAnsi="宋体" w:cs="宋体" w:eastAsia="宋体" w:hint="default"/>
                <w:sz w:val="18"/>
                <w:szCs w:val="18"/>
              </w:rPr>
              <w:t>元</w:t>
            </w:r>
            <w:r>
              <w:rPr>
                <w:rFonts w:ascii="宋体" w:hAnsi="宋体" w:cs="宋体" w:eastAsia="宋体" w:hint="default"/>
                <w:spacing w:val="-87"/>
                <w:sz w:val="18"/>
                <w:szCs w:val="18"/>
              </w:rPr>
              <w:t>；</w:t>
            </w:r>
            <w:r>
              <w:rPr>
                <w:rFonts w:ascii="宋体" w:hAnsi="宋体" w:cs="宋体" w:eastAsia="宋体" w:hint="default"/>
                <w:sz w:val="18"/>
                <w:szCs w:val="18"/>
              </w:rPr>
              <w:t>列示终止</w:t>
            </w:r>
            <w:r>
              <w:rPr>
                <w:rFonts w:ascii="宋体" w:hAnsi="宋体" w:cs="宋体" w:eastAsia="宋体" w:hint="default"/>
                <w:spacing w:val="-2"/>
                <w:sz w:val="18"/>
                <w:szCs w:val="18"/>
              </w:rPr>
              <w:t>经</w:t>
            </w:r>
            <w:r>
              <w:rPr>
                <w:rFonts w:ascii="宋体" w:hAnsi="宋体" w:cs="宋体" w:eastAsia="宋体" w:hint="default"/>
                <w:sz w:val="18"/>
                <w:szCs w:val="18"/>
              </w:rPr>
              <w:t>营净利润</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本期发生额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元，上期发生额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0.00</w:t>
            </w:r>
          </w:p>
          <w:p>
            <w:pPr>
              <w:pStyle w:val="TableParagraph"/>
              <w:spacing w:line="338" w:lineRule="auto" w:before="64"/>
              <w:ind w:left="103" w:right="101"/>
              <w:jc w:val="left"/>
              <w:rPr>
                <w:rFonts w:ascii="宋体" w:hAnsi="宋体" w:cs="宋体" w:eastAsia="宋体" w:hint="default"/>
                <w:sz w:val="18"/>
                <w:szCs w:val="18"/>
              </w:rPr>
            </w:pPr>
            <w:r>
              <w:rPr>
                <w:rFonts w:ascii="宋体" w:hAnsi="宋体" w:cs="宋体" w:eastAsia="宋体" w:hint="default"/>
                <w:sz w:val="18"/>
                <w:szCs w:val="18"/>
              </w:rPr>
              <w:t>元。 </w:t>
            </w:r>
            <w:r>
              <w:rPr>
                <w:rFonts w:ascii="宋体" w:hAnsi="宋体" w:cs="宋体" w:eastAsia="宋体" w:hint="default"/>
                <w:spacing w:val="-6"/>
                <w:sz w:val="18"/>
                <w:szCs w:val="18"/>
              </w:rPr>
              <w:t>公司利润表：列示持续经营净利润本期</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发生额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57,752,672.85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元，上期发生额</w:t>
            </w:r>
          </w:p>
          <w:p>
            <w:pPr>
              <w:pStyle w:val="TableParagraph"/>
              <w:spacing w:line="230"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93,507,12</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.84 </w:t>
            </w:r>
            <w:r>
              <w:rPr>
                <w:rFonts w:ascii="宋体" w:hAnsi="宋体" w:cs="宋体" w:eastAsia="宋体" w:hint="default"/>
                <w:sz w:val="18"/>
                <w:szCs w:val="18"/>
              </w:rPr>
              <w:t>元</w:t>
            </w:r>
            <w:r>
              <w:rPr>
                <w:rFonts w:ascii="宋体" w:hAnsi="宋体" w:cs="宋体" w:eastAsia="宋体" w:hint="default"/>
                <w:spacing w:val="-87"/>
                <w:sz w:val="18"/>
                <w:szCs w:val="18"/>
              </w:rPr>
              <w:t>；</w:t>
            </w:r>
            <w:r>
              <w:rPr>
                <w:rFonts w:ascii="宋体" w:hAnsi="宋体" w:cs="宋体" w:eastAsia="宋体" w:hint="default"/>
                <w:sz w:val="18"/>
                <w:szCs w:val="18"/>
              </w:rPr>
              <w:t>列示终止</w:t>
            </w:r>
            <w:r>
              <w:rPr>
                <w:rFonts w:ascii="宋体" w:hAnsi="宋体" w:cs="宋体" w:eastAsia="宋体" w:hint="default"/>
                <w:spacing w:val="-2"/>
                <w:sz w:val="18"/>
                <w:szCs w:val="18"/>
              </w:rPr>
              <w:t>经</w:t>
            </w:r>
            <w:r>
              <w:rPr>
                <w:rFonts w:ascii="宋体" w:hAnsi="宋体" w:cs="宋体" w:eastAsia="宋体" w:hint="default"/>
                <w:sz w:val="18"/>
                <w:szCs w:val="18"/>
              </w:rPr>
              <w:t>营净利润</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本期发生额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元，上期发生额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0.00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137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1"/>
              <w:ind w:left="103" w:right="16"/>
              <w:jc w:val="left"/>
              <w:rPr>
                <w:rFonts w:ascii="宋体" w:hAnsi="宋体" w:cs="宋体" w:eastAsia="宋体" w:hint="default"/>
                <w:sz w:val="18"/>
                <w:szCs w:val="18"/>
              </w:rPr>
            </w:pP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日起，与本公司日</w:t>
            </w:r>
            <w:r>
              <w:rPr>
                <w:rFonts w:ascii="宋体" w:hAnsi="宋体" w:cs="宋体" w:eastAsia="宋体" w:hint="default"/>
                <w:sz w:val="18"/>
                <w:szCs w:val="18"/>
              </w:rPr>
              <w:t> </w:t>
            </w:r>
            <w:r>
              <w:rPr>
                <w:rFonts w:ascii="宋体" w:hAnsi="宋体" w:cs="宋体" w:eastAsia="宋体" w:hint="default"/>
                <w:spacing w:val="-6"/>
                <w:sz w:val="18"/>
                <w:szCs w:val="18"/>
              </w:rPr>
              <w:t>常活动相关的政府补助，从“营业外收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入”项目重分类至“其他收益”项目。 比较数据不调整。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已完成公司内部决策审批程序</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合并利润表：本期其他收益</w:t>
            </w:r>
          </w:p>
          <w:p>
            <w:pPr>
              <w:pStyle w:val="TableParagraph"/>
              <w:spacing w:line="240" w:lineRule="auto" w:before="7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3,098,555.20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公司利润表：本期其他收益</w:t>
            </w:r>
          </w:p>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2,034,540.53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489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14" w:lineRule="auto"/>
              <w:ind w:left="103" w:right="1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）在利润表中新增“资产处置收益”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项目，将部分原列示为“营业外收入” </w:t>
            </w:r>
            <w:r>
              <w:rPr>
                <w:rFonts w:ascii="宋体" w:hAnsi="宋体" w:cs="宋体" w:eastAsia="宋体" w:hint="default"/>
                <w:spacing w:val="-5"/>
                <w:sz w:val="18"/>
                <w:szCs w:val="18"/>
              </w:rPr>
              <w:t>及“营业外支出”的资产处置损益重分</w:t>
            </w:r>
            <w:r>
              <w:rPr>
                <w:rFonts w:ascii="宋体" w:hAnsi="宋体" w:cs="宋体" w:eastAsia="宋体" w:hint="default"/>
                <w:sz w:val="18"/>
                <w:szCs w:val="18"/>
              </w:rPr>
              <w:t> </w:t>
            </w:r>
            <w:r>
              <w:rPr>
                <w:rFonts w:ascii="宋体" w:hAnsi="宋体" w:cs="宋体" w:eastAsia="宋体" w:hint="default"/>
                <w:spacing w:val="-6"/>
                <w:sz w:val="18"/>
                <w:szCs w:val="18"/>
              </w:rPr>
              <w:t>类至“资产处置收益”项目。比较数据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相应调整。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已完成公司内部决策审批程序</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2"/>
              <w:ind w:left="103" w:right="599"/>
              <w:jc w:val="left"/>
              <w:rPr>
                <w:rFonts w:ascii="宋体" w:hAnsi="宋体" w:cs="宋体" w:eastAsia="宋体" w:hint="default"/>
                <w:sz w:val="18"/>
                <w:szCs w:val="18"/>
              </w:rPr>
            </w:pPr>
            <w:r>
              <w:rPr>
                <w:rFonts w:ascii="宋体" w:hAnsi="宋体" w:cs="宋体" w:eastAsia="宋体" w:hint="default"/>
                <w:sz w:val="18"/>
                <w:szCs w:val="18"/>
              </w:rPr>
              <w:t>本期发生额： 合并利润表营业外收入减少 </w:t>
            </w:r>
            <w:r>
              <w:rPr>
                <w:rFonts w:ascii="Times New Roman" w:hAnsi="Times New Roman" w:cs="Times New Roman" w:eastAsia="Times New Roman" w:hint="default"/>
                <w:sz w:val="18"/>
                <w:szCs w:val="18"/>
              </w:rPr>
              <w:t>226,472.05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元，营业外支出减少</w:t>
            </w:r>
          </w:p>
          <w:p>
            <w:pPr>
              <w:pStyle w:val="TableParagraph"/>
              <w:spacing w:line="230"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30,861.48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元，重分类资产处置收益</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195,643.88</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元；公司利润表营业收入减</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153,764.82 </w:t>
            </w:r>
            <w:r>
              <w:rPr>
                <w:rFonts w:ascii="宋体" w:hAnsi="宋体" w:cs="宋体" w:eastAsia="宋体" w:hint="default"/>
                <w:sz w:val="18"/>
                <w:szCs w:val="18"/>
              </w:rPr>
              <w:t>元，营业外支出减少</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18,364.44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元，重分类资产处置收益</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135,400.38 </w:t>
            </w:r>
            <w:r>
              <w:rPr>
                <w:rFonts w:ascii="宋体" w:hAnsi="宋体" w:cs="宋体" w:eastAsia="宋体" w:hint="default"/>
                <w:sz w:val="18"/>
                <w:szCs w:val="18"/>
              </w:rPr>
              <w:t>元。</w:t>
            </w:r>
          </w:p>
          <w:p>
            <w:pPr>
              <w:pStyle w:val="TableParagraph"/>
              <w:spacing w:line="357" w:lineRule="auto" w:before="103"/>
              <w:ind w:left="103" w:right="238"/>
              <w:jc w:val="left"/>
              <w:rPr>
                <w:rFonts w:ascii="Times New Roman" w:hAnsi="Times New Roman" w:cs="Times New Roman" w:eastAsia="Times New Roman" w:hint="default"/>
                <w:sz w:val="18"/>
                <w:szCs w:val="18"/>
              </w:rPr>
            </w:pPr>
            <w:r>
              <w:rPr>
                <w:rFonts w:ascii="宋体" w:hAnsi="宋体" w:cs="宋体" w:eastAsia="宋体" w:hint="default"/>
                <w:sz w:val="18"/>
                <w:szCs w:val="18"/>
              </w:rPr>
              <w:t>上期发生额： 合并利润表营业收入减少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753,334.73</w:t>
            </w:r>
          </w:p>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元，营业外支出减少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170,120.43</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元，重</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分类资产处置收益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583,214.</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87"/>
                <w:sz w:val="18"/>
                <w:szCs w:val="18"/>
              </w:rPr>
              <w:t>；</w:t>
            </w:r>
            <w:r>
              <w:rPr>
                <w:rFonts w:ascii="宋体" w:hAnsi="宋体" w:cs="宋体" w:eastAsia="宋体" w:hint="default"/>
                <w:sz w:val="18"/>
                <w:szCs w:val="18"/>
              </w:rPr>
              <w:t>公司</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利润表营业收入减少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749,016</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87"/>
                <w:sz w:val="18"/>
                <w:szCs w:val="18"/>
              </w:rPr>
              <w:t>，</w:t>
            </w:r>
            <w:r>
              <w:rPr>
                <w:rFonts w:ascii="宋体" w:hAnsi="宋体" w:cs="宋体" w:eastAsia="宋体" w:hint="default"/>
                <w:sz w:val="18"/>
                <w:szCs w:val="18"/>
              </w:rPr>
              <w:t>营</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业外支出减少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109,260.50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87"/>
                <w:sz w:val="18"/>
                <w:szCs w:val="18"/>
              </w:rPr>
              <w:t>，</w:t>
            </w:r>
            <w:r>
              <w:rPr>
                <w:rFonts w:ascii="宋体" w:hAnsi="宋体" w:cs="宋体" w:eastAsia="宋体" w:hint="default"/>
                <w:spacing w:val="-2"/>
                <w:sz w:val="18"/>
                <w:szCs w:val="18"/>
              </w:rPr>
              <w:t>重</w:t>
            </w:r>
            <w:r>
              <w:rPr>
                <w:rFonts w:ascii="宋体" w:hAnsi="宋体" w:cs="宋体" w:eastAsia="宋体" w:hint="default"/>
                <w:sz w:val="18"/>
                <w:szCs w:val="18"/>
              </w:rPr>
              <w:t>分类资</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产处置收益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639,756.05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pStyle w:val="BodyText"/>
        <w:spacing w:line="240" w:lineRule="auto" w:before="10"/>
        <w:ind w:left="1194" w:right="1015"/>
        <w:jc w:val="left"/>
      </w:pPr>
      <w:r>
        <w:rPr/>
        <w:t>执行《企业会计准则第</w:t>
      </w:r>
      <w:r>
        <w:rPr>
          <w:rFonts w:ascii="宋体" w:hAnsi="宋体" w:cs="宋体" w:eastAsia="宋体" w:hint="default"/>
        </w:rPr>
        <w:t>42</w:t>
      </w:r>
      <w:r>
        <w:rPr/>
        <w:t>号——持有待售的非流动资产、处置组和终止经营》、《企业会计准则第</w:t>
      </w:r>
      <w:r>
        <w:rPr>
          <w:rFonts w:ascii="宋体" w:hAnsi="宋体" w:cs="宋体" w:eastAsia="宋体" w:hint="default"/>
        </w:rPr>
        <w:t>16</w:t>
      </w:r>
      <w:r>
        <w:rPr/>
        <w:t>号——政府补助》和</w:t>
      </w:r>
    </w:p>
    <w:p>
      <w:pPr>
        <w:pStyle w:val="BodyText"/>
        <w:spacing w:line="316" w:lineRule="auto" w:before="76"/>
        <w:ind w:left="1193" w:right="1123"/>
        <w:jc w:val="left"/>
      </w:pPr>
      <w:r>
        <w:rPr/>
        <w:t>《财政部关于修订印发一般企业财务报表格式的通知》 </w:t>
      </w:r>
      <w:r>
        <w:rPr>
          <w:spacing w:val="-1"/>
        </w:rPr>
        <w:t>财政部于</w:t>
      </w:r>
      <w:r>
        <w:rPr>
          <w:rFonts w:ascii="宋体" w:hAnsi="宋体" w:cs="宋体" w:eastAsia="宋体" w:hint="default"/>
          <w:spacing w:val="-1"/>
        </w:rPr>
        <w:t>2017</w:t>
      </w:r>
      <w:r>
        <w:rPr>
          <w:spacing w:val="-1"/>
        </w:rPr>
        <w:t>年度发布了《企业会计准则第</w:t>
      </w:r>
      <w:r>
        <w:rPr>
          <w:rFonts w:ascii="宋体" w:hAnsi="宋体" w:cs="宋体" w:eastAsia="宋体" w:hint="default"/>
          <w:spacing w:val="-1"/>
        </w:rPr>
        <w:t>42</w:t>
      </w:r>
      <w:r>
        <w:rPr>
          <w:spacing w:val="-1"/>
        </w:rPr>
        <w:t>号——持有待售的非流动资产、处置组和终止经营》，自</w:t>
      </w:r>
      <w:r>
        <w:rPr>
          <w:rFonts w:ascii="宋体" w:hAnsi="宋体" w:cs="宋体" w:eastAsia="宋体" w:hint="default"/>
          <w:spacing w:val="-1"/>
        </w:rPr>
        <w:t>2017</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28</w:t>
      </w:r>
      <w:r>
        <w:rPr>
          <w:spacing w:val="-1"/>
        </w:rPr>
        <w:t>日起施</w:t>
      </w:r>
      <w:r>
        <w:rPr>
          <w:spacing w:val="-86"/>
        </w:rPr>
        <w:t> </w:t>
      </w:r>
      <w:r>
        <w:rPr/>
        <w:t>行，对于施行日存在的持有待售的非流动资产、处置组和终止经营，要求采用未来适用法处理。</w:t>
      </w:r>
    </w:p>
    <w:p>
      <w:pPr>
        <w:spacing w:after="0" w:line="316"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9" w:lineRule="auto" w:before="44"/>
        <w:ind w:left="1193" w:right="1126"/>
        <w:jc w:val="left"/>
      </w:pPr>
      <w:r>
        <w:rPr>
          <w:spacing w:val="-1"/>
        </w:rPr>
        <w:t>财政部于</w:t>
      </w:r>
      <w:r>
        <w:rPr>
          <w:rFonts w:ascii="宋体" w:hAnsi="宋体" w:cs="宋体" w:eastAsia="宋体" w:hint="default"/>
          <w:spacing w:val="-1"/>
        </w:rPr>
        <w:t>2017</w:t>
      </w:r>
      <w:r>
        <w:rPr>
          <w:spacing w:val="-1"/>
        </w:rPr>
        <w:t>年度修订了《企业会计准则第</w:t>
      </w:r>
      <w:r>
        <w:rPr>
          <w:rFonts w:ascii="宋体" w:hAnsi="宋体" w:cs="宋体" w:eastAsia="宋体" w:hint="default"/>
          <w:spacing w:val="-1"/>
        </w:rPr>
        <w:t>16</w:t>
      </w:r>
      <w:r>
        <w:rPr>
          <w:spacing w:val="-1"/>
        </w:rPr>
        <w:t>号——政府补助》，修订后的准则自</w:t>
      </w:r>
      <w:r>
        <w:rPr>
          <w:rFonts w:ascii="宋体" w:hAnsi="宋体" w:cs="宋体" w:eastAsia="宋体" w:hint="default"/>
          <w:spacing w:val="-1"/>
        </w:rPr>
        <w:t>2017</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12</w:t>
      </w:r>
      <w:r>
        <w:rPr>
          <w:spacing w:val="-1"/>
        </w:rPr>
        <w:t>日起施行，对于</w:t>
      </w:r>
      <w:r>
        <w:rPr>
          <w:rFonts w:ascii="宋体" w:hAnsi="宋体" w:cs="宋体" w:eastAsia="宋体" w:hint="default"/>
          <w:spacing w:val="-1"/>
        </w:rPr>
        <w:t>2017</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rFonts w:ascii="宋体" w:hAnsi="宋体" w:cs="宋体" w:eastAsia="宋体" w:hint="default"/>
          <w:spacing w:val="-86"/>
        </w:rPr>
        <w:t> </w:t>
      </w:r>
      <w:r>
        <w:rPr/>
        <w:t>日存在的政府补助，要求采用未来适用法处理；对于</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日至施行日新增的政府补助，也要求按照修订后的准则进</w:t>
      </w:r>
      <w:r>
        <w:rPr>
          <w:spacing w:val="-56"/>
        </w:rPr>
        <w:t> </w:t>
      </w:r>
      <w:r>
        <w:rPr>
          <w:spacing w:val="-56"/>
        </w:rPr>
      </w:r>
      <w:r>
        <w:rPr/>
        <w:t>行调整。 财政部于</w:t>
      </w:r>
      <w:r>
        <w:rPr>
          <w:rFonts w:ascii="宋体" w:hAnsi="宋体" w:cs="宋体" w:eastAsia="宋体" w:hint="default"/>
        </w:rPr>
        <w:t>2017</w:t>
      </w:r>
      <w:r>
        <w:rPr/>
        <w:t>年度发布了《财政部关于修订印发一般企业财务报表格式的通知》，对一般企业财务报表格式进行了修订，</w:t>
      </w:r>
      <w:r>
        <w:rPr>
          <w:spacing w:val="-57"/>
        </w:rPr>
        <w:t> </w:t>
      </w:r>
      <w:r>
        <w:rPr>
          <w:spacing w:val="-57"/>
        </w:rPr>
      </w:r>
      <w:r>
        <w:rPr/>
        <w:t>适用于</w:t>
      </w:r>
      <w:r>
        <w:rPr>
          <w:rFonts w:ascii="宋体" w:hAnsi="宋体" w:cs="宋体" w:eastAsia="宋体" w:hint="default"/>
        </w:rPr>
        <w:t>2017</w:t>
      </w:r>
      <w:r>
        <w:rPr/>
        <w:t>年度及以后期间的财务报表。</w:t>
      </w:r>
    </w:p>
    <w:p>
      <w:pPr>
        <w:spacing w:line="240" w:lineRule="auto" w:before="5"/>
        <w:rPr>
          <w:rFonts w:ascii="宋体" w:hAnsi="宋体" w:cs="宋体" w:eastAsia="宋体" w:hint="default"/>
          <w:sz w:val="22"/>
          <w:szCs w:val="22"/>
        </w:rPr>
      </w:pPr>
    </w:p>
    <w:p>
      <w:pPr>
        <w:pStyle w:val="Heading3"/>
        <w:spacing w:line="240" w:lineRule="auto"/>
        <w:ind w:left="1133" w:right="1015"/>
        <w:jc w:val="left"/>
        <w:rPr>
          <w:b w:val="0"/>
          <w:bCs w:val="0"/>
        </w:rPr>
      </w:pPr>
      <w:bookmarkStart w:name="（2）重要会计估计变更" w:id="222"/>
      <w:bookmarkEnd w:id="222"/>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1015"/>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015"/>
        <w:jc w:val="left"/>
        <w:rPr>
          <w:b w:val="0"/>
          <w:bCs w:val="0"/>
        </w:rPr>
      </w:pPr>
      <w:bookmarkStart w:name="34、其他" w:id="223"/>
      <w:bookmarkEnd w:id="223"/>
      <w:r>
        <w:rPr>
          <w:b w:val="0"/>
          <w:bCs w:val="0"/>
        </w:rPr>
      </w:r>
      <w:r>
        <w:rPr>
          <w:rFonts w:ascii="Times New Roman" w:hAnsi="Times New Roman" w:cs="Times New Roman" w:eastAsia="Times New Roman" w:hint="default"/>
        </w:rPr>
        <w:t>34</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15"/>
        <w:jc w:val="left"/>
      </w:pPr>
      <w:r>
        <w:rPr/>
        <w:t>无</w:t>
      </w:r>
    </w:p>
    <w:p>
      <w:pPr>
        <w:spacing w:line="240" w:lineRule="auto" w:before="2"/>
        <w:rPr>
          <w:rFonts w:ascii="宋体" w:hAnsi="宋体" w:cs="宋体" w:eastAsia="宋体" w:hint="default"/>
          <w:sz w:val="25"/>
          <w:szCs w:val="25"/>
        </w:rPr>
      </w:pPr>
    </w:p>
    <w:p>
      <w:pPr>
        <w:pStyle w:val="Heading2"/>
        <w:spacing w:line="240" w:lineRule="auto"/>
        <w:ind w:right="1015"/>
        <w:jc w:val="left"/>
        <w:rPr>
          <w:b w:val="0"/>
          <w:bCs w:val="0"/>
        </w:rPr>
      </w:pPr>
      <w:bookmarkStart w:name="六、税项" w:id="224"/>
      <w:bookmarkEnd w:id="224"/>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1、主要税种及税率" w:id="225"/>
      <w:bookmarkEnd w:id="225"/>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33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1" w:right="102"/>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 </w:t>
            </w:r>
            <w:r>
              <w:rPr>
                <w:rFonts w:ascii="宋体" w:hAnsi="宋体" w:cs="宋体" w:eastAsia="宋体" w:hint="default"/>
                <w:spacing w:val="-6"/>
                <w:sz w:val="18"/>
                <w:szCs w:val="18"/>
              </w:rPr>
              <w:t>务收入为基础计算销项税额，在扣除当</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6"/>
                <w:sz w:val="18"/>
                <w:szCs w:val="18"/>
              </w:rPr>
              <w:t>期允许抵扣的进项税额后，差额部分为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应交增值税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17%</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1"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103" w:right="113"/>
              <w:jc w:val="left"/>
              <w:rPr>
                <w:rFonts w:ascii="宋体" w:hAnsi="宋体" w:cs="宋体" w:eastAsia="宋体" w:hint="default"/>
                <w:sz w:val="18"/>
                <w:szCs w:val="18"/>
              </w:rPr>
            </w:pPr>
            <w:r>
              <w:rPr>
                <w:rFonts w:ascii="宋体" w:hAnsi="宋体" w:cs="宋体" w:eastAsia="宋体" w:hint="default"/>
                <w:sz w:val="18"/>
                <w:szCs w:val="18"/>
              </w:rPr>
              <w:t>公司与其他国内子公司税率为</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7%</w:t>
            </w:r>
            <w:r>
              <w:rPr>
                <w:rFonts w:ascii="宋体" w:hAnsi="宋体" w:cs="宋体" w:eastAsia="宋体" w:hint="default"/>
                <w:spacing w:val="-6"/>
                <w:sz w:val="18"/>
                <w:szCs w:val="18"/>
              </w:rPr>
              <w:t>，中</w:t>
            </w:r>
            <w:r>
              <w:rPr>
                <w:rFonts w:ascii="宋体" w:hAnsi="宋体" w:cs="宋体" w:eastAsia="宋体" w:hint="default"/>
                <w:spacing w:val="-11"/>
                <w:sz w:val="18"/>
                <w:szCs w:val="18"/>
              </w:rPr>
              <w:t> </w:t>
            </w:r>
            <w:r>
              <w:rPr>
                <w:rFonts w:ascii="宋体" w:hAnsi="宋体" w:cs="宋体" w:eastAsia="宋体" w:hint="default"/>
                <w:sz w:val="18"/>
                <w:szCs w:val="18"/>
              </w:rPr>
              <w:t>山乐心电子有限公司及中山市创源传</w:t>
            </w:r>
            <w:r>
              <w:rPr>
                <w:rFonts w:ascii="宋体" w:hAnsi="宋体" w:cs="宋体" w:eastAsia="宋体" w:hint="default"/>
                <w:sz w:val="18"/>
                <w:szCs w:val="18"/>
              </w:rPr>
              <w:t> 感器有限公司税率为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r>
      <w:tr>
        <w:trPr>
          <w:trHeight w:val="383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101"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2"/>
              <w:ind w:left="103" w:right="45"/>
              <w:jc w:val="left"/>
              <w:rPr>
                <w:rFonts w:ascii="宋体" w:hAnsi="宋体" w:cs="宋体" w:eastAsia="宋体" w:hint="default"/>
                <w:sz w:val="18"/>
                <w:szCs w:val="18"/>
              </w:rPr>
            </w:pPr>
            <w:r>
              <w:rPr>
                <w:rFonts w:ascii="宋体" w:hAnsi="宋体" w:cs="宋体" w:eastAsia="宋体" w:hint="default"/>
                <w:sz w:val="18"/>
                <w:szCs w:val="18"/>
              </w:rPr>
              <w:t>公司属高新技术企业，适用的税率为 </w:t>
            </w:r>
            <w:r>
              <w:rPr>
                <w:rFonts w:ascii="Times New Roman" w:hAnsi="Times New Roman" w:cs="Times New Roman" w:eastAsia="Times New Roman" w:hint="default"/>
                <w:sz w:val="18"/>
                <w:szCs w:val="18"/>
              </w:rPr>
              <w:t>15%</w:t>
            </w:r>
            <w:r>
              <w:rPr>
                <w:rFonts w:ascii="宋体" w:hAnsi="宋体" w:cs="宋体" w:eastAsia="宋体" w:hint="default"/>
                <w:sz w:val="18"/>
                <w:szCs w:val="18"/>
              </w:rPr>
              <w:t>；子公司中山乐心电子有限公司、 广州动心信息科技有限公司和深圳市 瑞康宏业科技开发有限公司属高新技 术企业，适用的税率为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；其他国 内子公司税率为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；美国子公司应 纳税所得额在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美元及以下 税率为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23.84%</w:t>
            </w:r>
            <w:r>
              <w:rPr>
                <w:rFonts w:ascii="宋体" w:hAnsi="宋体" w:cs="宋体" w:eastAsia="宋体" w:hint="default"/>
                <w:sz w:val="18"/>
                <w:szCs w:val="18"/>
              </w:rPr>
              <w:t>，应纳税所得额在 </w:t>
            </w:r>
            <w:r>
              <w:rPr>
                <w:rFonts w:ascii="Times New Roman" w:hAnsi="Times New Roman" w:cs="Times New Roman" w:eastAsia="Times New Roman" w:hint="default"/>
                <w:sz w:val="18"/>
                <w:szCs w:val="18"/>
              </w:rPr>
              <w:t>500,000.00 </w:t>
            </w:r>
            <w:r>
              <w:rPr>
                <w:rFonts w:ascii="宋体" w:hAnsi="宋体" w:cs="宋体" w:eastAsia="宋体" w:hint="default"/>
                <w:sz w:val="18"/>
                <w:szCs w:val="18"/>
              </w:rPr>
              <w:t>美元以上税率为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43.84%</w:t>
            </w:r>
            <w:r>
              <w:rPr>
                <w:rFonts w:ascii="宋体" w:hAnsi="宋体" w:cs="宋体" w:eastAsia="宋体" w:hint="default"/>
                <w:sz w:val="18"/>
                <w:szCs w:val="18"/>
              </w:rPr>
              <w:t>， 香港子公司税率为</w:t>
            </w:r>
            <w:r>
              <w:rPr>
                <w:rFonts w:ascii="宋体" w:hAnsi="宋体" w:cs="宋体" w:eastAsia="宋体" w:hint="default"/>
                <w:spacing w:val="-43"/>
                <w:sz w:val="18"/>
                <w:szCs w:val="18"/>
              </w:rPr>
              <w:t> </w:t>
            </w:r>
            <w:r>
              <w:rPr>
                <w:rFonts w:ascii="Times New Roman" w:hAnsi="Times New Roman" w:cs="Times New Roman" w:eastAsia="Times New Roman" w:hint="default"/>
                <w:spacing w:val="-6"/>
                <w:sz w:val="18"/>
                <w:szCs w:val="18"/>
              </w:rPr>
              <w:t>16.5%</w:t>
            </w:r>
            <w:r>
              <w:rPr>
                <w:rFonts w:ascii="宋体" w:hAnsi="宋体" w:cs="宋体" w:eastAsia="宋体" w:hint="default"/>
                <w:spacing w:val="-6"/>
                <w:sz w:val="18"/>
                <w:szCs w:val="18"/>
              </w:rPr>
              <w:t>；新加坡子公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司在公司新设前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年税前利润在</w:t>
            </w:r>
          </w:p>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 </w:t>
            </w:r>
            <w:r>
              <w:rPr>
                <w:rFonts w:ascii="宋体" w:hAnsi="宋体" w:cs="宋体" w:eastAsia="宋体" w:hint="default"/>
                <w:spacing w:val="-6"/>
                <w:sz w:val="18"/>
                <w:szCs w:val="18"/>
              </w:rPr>
              <w:t>美元以内免税，基本税率</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p>
        </w:tc>
      </w:tr>
    </w:tbl>
    <w:p>
      <w:pPr>
        <w:pStyle w:val="BodyText"/>
        <w:spacing w:line="240" w:lineRule="auto" w:before="51"/>
        <w:ind w:right="1015"/>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中山市创源传感器有限公司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中山市创源贸易有限公司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中山市乐恒电子有限公司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福州乐医成信息技术服务有限公司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 w:right="0"/>
              <w:jc w:val="left"/>
              <w:rPr>
                <w:rFonts w:ascii="Times New Roman" w:hAnsi="Times New Roman" w:cs="Times New Roman" w:eastAsia="Times New Roman" w:hint="default"/>
                <w:sz w:val="18"/>
                <w:szCs w:val="18"/>
              </w:rPr>
            </w:pPr>
            <w:r>
              <w:rPr>
                <w:rFonts w:ascii="Times New Roman"/>
                <w:sz w:val="18"/>
              </w:rPr>
              <w:t>Lifesense Health</w:t>
            </w:r>
            <w:r>
              <w:rPr>
                <w:rFonts w:ascii="Times New Roman"/>
                <w:spacing w:val="-3"/>
                <w:sz w:val="18"/>
              </w:rPr>
              <w:t> </w:t>
            </w:r>
            <w:r>
              <w:rPr>
                <w:rFonts w:ascii="Times New Roman"/>
                <w:sz w:val="18"/>
              </w:rPr>
              <w:t>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10"/>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应纳税所得额在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500,000.00 </w:t>
            </w:r>
            <w:r>
              <w:rPr>
                <w:rFonts w:ascii="宋体" w:hAnsi="宋体" w:cs="宋体" w:eastAsia="宋体" w:hint="default"/>
                <w:sz w:val="18"/>
                <w:szCs w:val="18"/>
              </w:rPr>
              <w:t>美元及以下税率为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23.84%</w:t>
            </w:r>
            <w:r>
              <w:rPr>
                <w:rFonts w:ascii="宋体" w:hAnsi="宋体" w:cs="宋体" w:eastAsia="宋体" w:hint="default"/>
                <w:sz w:val="18"/>
                <w:szCs w:val="18"/>
              </w:rPr>
              <w:t>，应 纳税所得额在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美元以上税率为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43.84%</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Lifesense Singapore   Pte.</w:t>
            </w:r>
            <w:r>
              <w:rPr>
                <w:rFonts w:ascii="Times New Roman"/>
                <w:spacing w:val="-5"/>
                <w:sz w:val="18"/>
              </w:rPr>
              <w:t> </w:t>
            </w:r>
            <w:r>
              <w:rPr>
                <w:rFonts w:ascii="Times New Roman"/>
                <w:sz w:val="18"/>
              </w:rPr>
              <w:t>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在公司新设前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年税前利润在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100000 </w:t>
            </w:r>
            <w:r>
              <w:rPr>
                <w:rFonts w:ascii="宋体" w:hAnsi="宋体" w:cs="宋体" w:eastAsia="宋体" w:hint="default"/>
                <w:spacing w:val="-3"/>
                <w:sz w:val="18"/>
                <w:szCs w:val="18"/>
              </w:rPr>
              <w:t>美元以内免税，基本</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税率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2、税收优惠" w:id="226"/>
      <w:bookmarkEnd w:id="226"/>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190" w:right="1015"/>
        <w:jc w:val="left"/>
        <w:rPr>
          <w:b w:val="0"/>
          <w:bCs w:val="0"/>
        </w:rPr>
      </w:pPr>
      <w:r>
        <w:rPr/>
        <w:t>（</w:t>
      </w:r>
      <w:r>
        <w:rPr>
          <w:rFonts w:ascii="Times New Roman" w:hAnsi="Times New Roman" w:cs="Times New Roman" w:eastAsia="Times New Roman" w:hint="default"/>
        </w:rPr>
        <w:t>1</w:t>
      </w:r>
      <w:r>
        <w:rPr/>
        <w:t>）企业所得税</w:t>
      </w:r>
      <w:r>
        <w:rPr>
          <w:b w:val="0"/>
          <w:bCs w:val="0"/>
        </w:rPr>
      </w:r>
    </w:p>
    <w:p>
      <w:pPr>
        <w:pStyle w:val="BodyText"/>
        <w:spacing w:line="307" w:lineRule="auto" w:before="46"/>
        <w:ind w:left="1193" w:right="1120"/>
        <w:jc w:val="left"/>
      </w:pPr>
      <w:r>
        <w:rPr/>
        <w:t>根据《企业所得税法》的有关规定，国家重点扶持的高新技术企业减按</w:t>
      </w:r>
      <w:r>
        <w:rPr>
          <w:rFonts w:ascii="Times New Roman" w:hAnsi="Times New Roman" w:cs="Times New Roman" w:eastAsia="Times New Roman" w:hint="default"/>
        </w:rPr>
        <w:t>15%</w:t>
      </w:r>
      <w:r>
        <w:rPr/>
        <w:t>的税率征收企业所得税。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日，公司通过了广东省科学技术厅、广东省财政厅、广东省国家税务局及广东省地方税务局组织的高新技术</w:t>
      </w:r>
      <w:r>
        <w:rPr>
          <w:spacing w:val="-61"/>
        </w:rPr>
        <w:t> </w:t>
      </w:r>
      <w:r>
        <w:rPr>
          <w:spacing w:val="-61"/>
        </w:rPr>
      </w:r>
      <w:r>
        <w:rPr/>
        <w:t>企</w:t>
      </w:r>
      <w:r>
        <w:rPr>
          <w:spacing w:val="-64"/>
        </w:rPr>
        <w:t> </w:t>
      </w:r>
      <w:r>
        <w:rPr/>
        <w:t>业</w:t>
      </w:r>
      <w:r>
        <w:rPr>
          <w:spacing w:val="-64"/>
        </w:rPr>
        <w:t> </w:t>
      </w:r>
      <w:r>
        <w:rPr/>
        <w:t>复</w:t>
      </w:r>
      <w:r>
        <w:rPr>
          <w:spacing w:val="-64"/>
        </w:rPr>
        <w:t> </w:t>
      </w:r>
      <w:r>
        <w:rPr/>
        <w:t>审</w:t>
      </w:r>
      <w:r>
        <w:rPr>
          <w:spacing w:val="-64"/>
        </w:rPr>
        <w:t> </w:t>
      </w:r>
      <w:r>
        <w:rPr/>
        <w:t>，</w:t>
      </w:r>
      <w:r>
        <w:rPr>
          <w:spacing w:val="-65"/>
        </w:rPr>
        <w:t> </w:t>
      </w:r>
      <w:r>
        <w:rPr/>
        <w:t>自</w:t>
      </w:r>
      <w:r>
        <w:rPr>
          <w:spacing w:val="-6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9"/>
        </w:rPr>
        <w:t> </w:t>
      </w:r>
      <w:r>
        <w:rPr/>
        <w:t>年</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月</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spacing w:val="17"/>
        </w:rPr>
        <w:t>日起至</w:t>
      </w:r>
      <w:r>
        <w:rPr>
          <w:spacing w:val="-6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0"/>
        </w:rPr>
        <w:t> </w:t>
      </w:r>
      <w:r>
        <w:rPr/>
        <w:t>年</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19"/>
        </w:rPr>
        <w:t> </w:t>
      </w:r>
      <w:r>
        <w:rPr/>
        <w:t>月</w:t>
      </w:r>
      <w:r>
        <w:rPr>
          <w:spacing w:val="-64"/>
        </w:rPr>
        <w:t> </w:t>
      </w:r>
      <w:r>
        <w:rPr>
          <w:rFonts w:ascii="Times New Roman" w:hAnsi="Times New Roman" w:cs="Times New Roman" w:eastAsia="Times New Roman" w:hint="default"/>
        </w:rPr>
        <w:t>31</w:t>
      </w:r>
      <w:r>
        <w:rPr>
          <w:rFonts w:ascii="Times New Roman" w:hAnsi="Times New Roman" w:cs="Times New Roman" w:eastAsia="Times New Roman" w:hint="default"/>
          <w:spacing w:val="-19"/>
        </w:rPr>
        <w:t> </w:t>
      </w:r>
      <w:r>
        <w:rPr/>
        <w:t>日</w:t>
      </w:r>
      <w:r>
        <w:rPr>
          <w:spacing w:val="-65"/>
        </w:rPr>
        <w:t> </w:t>
      </w:r>
      <w:r>
        <w:rPr/>
        <w:t>止</w:t>
      </w:r>
      <w:r>
        <w:rPr>
          <w:spacing w:val="-64"/>
        </w:rPr>
        <w:t> </w:t>
      </w:r>
      <w:r>
        <w:rPr/>
        <w:t>按</w:t>
      </w:r>
      <w:r>
        <w:rPr>
          <w:spacing w:val="-64"/>
        </w:rPr>
        <w:t> </w:t>
      </w:r>
      <w:r>
        <w:rPr/>
        <w:t>照</w:t>
      </w:r>
      <w:r>
        <w:rPr>
          <w:spacing w:val="-64"/>
        </w:rPr>
        <w:t> </w:t>
      </w:r>
      <w:r>
        <w:rPr>
          <w:rFonts w:ascii="Times New Roman" w:hAnsi="Times New Roman" w:cs="Times New Roman" w:eastAsia="Times New Roman" w:hint="default"/>
        </w:rPr>
        <w:t>15%</w:t>
      </w:r>
      <w:r>
        <w:rPr>
          <w:rFonts w:ascii="Times New Roman" w:hAnsi="Times New Roman" w:cs="Times New Roman" w:eastAsia="Times New Roman" w:hint="default"/>
          <w:spacing w:val="-19"/>
        </w:rPr>
        <w:t> </w:t>
      </w:r>
      <w:r>
        <w:rPr/>
        <w:t>的</w:t>
      </w:r>
      <w:r>
        <w:rPr>
          <w:spacing w:val="-65"/>
        </w:rPr>
        <w:t> </w:t>
      </w:r>
      <w:r>
        <w:rPr/>
        <w:t>税</w:t>
      </w:r>
      <w:r>
        <w:rPr>
          <w:spacing w:val="-64"/>
        </w:rPr>
        <w:t> </w:t>
      </w:r>
      <w:r>
        <w:rPr/>
        <w:t>率</w:t>
      </w:r>
      <w:r>
        <w:rPr>
          <w:spacing w:val="-64"/>
        </w:rPr>
        <w:t> </w:t>
      </w:r>
      <w:r>
        <w:rPr/>
        <w:t>征</w:t>
      </w:r>
      <w:r>
        <w:rPr>
          <w:spacing w:val="-64"/>
        </w:rPr>
        <w:t> </w:t>
      </w:r>
      <w:r>
        <w:rPr/>
        <w:t>收</w:t>
      </w:r>
      <w:r>
        <w:rPr>
          <w:spacing w:val="-64"/>
        </w:rPr>
        <w:t> </w:t>
      </w:r>
      <w:r>
        <w:rPr/>
        <w:t>企</w:t>
      </w:r>
      <w:r>
        <w:rPr>
          <w:spacing w:val="-65"/>
        </w:rPr>
        <w:t> </w:t>
      </w:r>
      <w:r>
        <w:rPr/>
        <w:t>业</w:t>
      </w:r>
      <w:r>
        <w:rPr>
          <w:spacing w:val="-64"/>
        </w:rPr>
        <w:t> </w:t>
      </w:r>
      <w:r>
        <w:rPr/>
        <w:t>所</w:t>
      </w:r>
      <w:r>
        <w:rPr>
          <w:spacing w:val="-64"/>
        </w:rPr>
        <w:t> </w:t>
      </w:r>
      <w:r>
        <w:rPr/>
        <w:t>得</w:t>
      </w:r>
      <w:r>
        <w:rPr>
          <w:spacing w:val="-64"/>
        </w:rPr>
        <w:t> </w:t>
      </w:r>
      <w:r>
        <w:rPr/>
        <w:t>税</w:t>
      </w:r>
      <w:r>
        <w:rPr>
          <w:spacing w:val="-64"/>
        </w:rPr>
        <w:t> </w:t>
      </w:r>
      <w:r>
        <w:rPr/>
        <w:t>。</w:t>
      </w:r>
      <w:r>
        <w:rPr>
          <w:spacing w:val="-65"/>
        </w:rPr>
        <w:t> </w:t>
      </w:r>
      <w:r>
        <w:rPr/>
        <w:t>高</w:t>
      </w:r>
      <w:r>
        <w:rPr>
          <w:spacing w:val="-64"/>
        </w:rPr>
        <w:t> </w:t>
      </w:r>
      <w:r>
        <w:rPr/>
        <w:t>新</w:t>
      </w:r>
      <w:r>
        <w:rPr>
          <w:spacing w:val="-64"/>
        </w:rPr>
        <w:t> </w:t>
      </w:r>
      <w:r>
        <w:rPr/>
        <w:t>技</w:t>
      </w:r>
      <w:r>
        <w:rPr>
          <w:spacing w:val="-64"/>
        </w:rPr>
        <w:t> </w:t>
      </w:r>
      <w:r>
        <w:rPr/>
        <w:t>术</w:t>
      </w:r>
      <w:r>
        <w:rPr>
          <w:spacing w:val="-64"/>
        </w:rPr>
        <w:t> </w:t>
      </w:r>
      <w:r>
        <w:rPr/>
        <w:t>企</w:t>
      </w:r>
      <w:r>
        <w:rPr>
          <w:spacing w:val="-65"/>
        </w:rPr>
        <w:t> </w:t>
      </w:r>
      <w:r>
        <w:rPr/>
        <w:t>业</w:t>
      </w:r>
      <w:r>
        <w:rPr>
          <w:spacing w:val="-64"/>
        </w:rPr>
        <w:t> </w:t>
      </w:r>
      <w:r>
        <w:rPr/>
        <w:t>证</w:t>
      </w:r>
      <w:r>
        <w:rPr>
          <w:spacing w:val="-64"/>
        </w:rPr>
        <w:t> </w:t>
      </w:r>
      <w:r>
        <w:rPr/>
        <w:t>书</w:t>
      </w:r>
      <w:r>
        <w:rPr>
          <w:spacing w:val="-64"/>
        </w:rPr>
        <w:t> </w:t>
      </w:r>
      <w:r>
        <w:rPr/>
        <w:t>编</w:t>
      </w:r>
      <w:r>
        <w:rPr>
          <w:spacing w:val="-65"/>
        </w:rPr>
        <w:t> </w:t>
      </w:r>
      <w:r>
        <w:rPr/>
        <w:t>号</w:t>
      </w:r>
      <w:r>
        <w:rPr/>
        <w:t> </w:t>
      </w:r>
      <w:r>
        <w:rPr>
          <w:rFonts w:ascii="Times New Roman" w:hAnsi="Times New Roman" w:cs="Times New Roman" w:eastAsia="Times New Roman" w:hint="default"/>
          <w:spacing w:val="-2"/>
        </w:rPr>
        <w:t>GF201244000581</w:t>
      </w:r>
      <w:r>
        <w:rPr>
          <w:spacing w:val="-2"/>
        </w:rPr>
        <w:t>，有效期三年。</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10</w:t>
      </w:r>
      <w:r>
        <w:rPr>
          <w:spacing w:val="-2"/>
        </w:rPr>
        <w:t>日，公司继续获得高新技术企业认定，并获得编号为</w:t>
      </w:r>
      <w:r>
        <w:rPr>
          <w:rFonts w:ascii="Times New Roman" w:hAnsi="Times New Roman" w:cs="Times New Roman" w:eastAsia="Times New Roman" w:hint="default"/>
          <w:spacing w:val="-2"/>
        </w:rPr>
        <w:t>GR201544000728</w:t>
      </w:r>
      <w:r>
        <w:rPr>
          <w:spacing w:val="-2"/>
        </w:rPr>
        <w:t>的高新</w:t>
      </w:r>
      <w:r>
        <w:rPr>
          <w:spacing w:val="-34"/>
        </w:rPr>
        <w:t> </w:t>
      </w:r>
      <w:r>
        <w:rPr/>
        <w:t>技术企业证书，有效期三年。 </w:t>
      </w:r>
      <w:r>
        <w:rPr>
          <w:rFonts w:ascii="宋体" w:hAnsi="宋体" w:cs="宋体" w:eastAsia="宋体" w:hint="default"/>
          <w:spacing w:val="-1"/>
        </w:rPr>
        <w:t>2</w:t>
      </w:r>
      <w:r>
        <w:rPr>
          <w:rFonts w:ascii="Times New Roman" w:hAnsi="Times New Roman" w:cs="Times New Roman" w:eastAsia="Times New Roman" w:hint="default"/>
          <w:spacing w:val="-1"/>
        </w:rPr>
        <w:t>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9</w:t>
      </w:r>
      <w:r>
        <w:rPr>
          <w:spacing w:val="-1"/>
        </w:rPr>
        <w:t>日，子公司广州动心信息科技有限公司通过了广东省科学技术厅、广东省财政厅、广东省国家税务局及广东省</w:t>
      </w:r>
      <w:r>
        <w:rPr>
          <w:spacing w:val="-88"/>
        </w:rPr>
        <w:t> </w:t>
      </w:r>
      <w:r>
        <w:rPr>
          <w:spacing w:val="-88"/>
        </w:rPr>
      </w:r>
      <w:r>
        <w:rPr>
          <w:spacing w:val="-1"/>
        </w:rPr>
        <w:t>地方税务局组织的高新技术企业认证，自</w:t>
      </w:r>
      <w:r>
        <w:rPr>
          <w:rFonts w:ascii="宋体" w:hAnsi="宋体" w:cs="宋体" w:eastAsia="宋体" w:hint="default"/>
          <w:spacing w:val="-1"/>
        </w:rPr>
        <w:t>2</w:t>
      </w:r>
      <w:r>
        <w:rPr>
          <w:rFonts w:ascii="Times New Roman" w:hAnsi="Times New Roman" w:cs="Times New Roman" w:eastAsia="Times New Roman" w:hint="default"/>
          <w:spacing w:val="-1"/>
        </w:rPr>
        <w:t>017</w:t>
      </w:r>
      <w:r>
        <w:rPr>
          <w:spacing w:val="-1"/>
        </w:rPr>
        <w:t>年享受</w:t>
      </w:r>
      <w:r>
        <w:rPr>
          <w:rFonts w:ascii="宋体" w:hAnsi="宋体" w:cs="宋体" w:eastAsia="宋体" w:hint="default"/>
          <w:spacing w:val="-1"/>
        </w:rPr>
        <w:t>1</w:t>
      </w:r>
      <w:r>
        <w:rPr>
          <w:rFonts w:ascii="Times New Roman" w:hAnsi="Times New Roman" w:cs="Times New Roman" w:eastAsia="Times New Roman" w:hint="default"/>
          <w:spacing w:val="-1"/>
        </w:rPr>
        <w:t>5</w:t>
      </w:r>
      <w:r>
        <w:rPr>
          <w:rFonts w:ascii="宋体" w:hAnsi="宋体" w:cs="宋体" w:eastAsia="宋体" w:hint="default"/>
          <w:spacing w:val="-1"/>
        </w:rPr>
        <w:t>%</w:t>
      </w:r>
      <w:r>
        <w:rPr>
          <w:spacing w:val="-1"/>
        </w:rPr>
        <w:t>的税率征收企业所得税。截止报告日广州动心信息科技有限公司尚</w:t>
      </w:r>
      <w:r>
        <w:rPr>
          <w:spacing w:val="-87"/>
        </w:rPr>
        <w:t> </w:t>
      </w:r>
      <w:r>
        <w:rPr>
          <w:spacing w:val="-87"/>
        </w:rPr>
      </w:r>
      <w:r>
        <w:rPr/>
        <w:t>未取得高新证书，高新批复已获得网络公示。 </w:t>
      </w:r>
      <w:r>
        <w:rPr>
          <w:rFonts w:ascii="宋体" w:hAnsi="宋体" w:cs="宋体" w:eastAsia="宋体" w:hint="default"/>
        </w:rPr>
        <w:t>2</w:t>
      </w:r>
      <w:r>
        <w:rPr>
          <w:rFonts w:ascii="Times New Roman" w:hAnsi="Times New Roman" w:cs="Times New Roman" w:eastAsia="Times New Roman" w:hint="default"/>
        </w:rPr>
        <w:t>017</w:t>
      </w:r>
      <w:r>
        <w:rPr/>
        <w:t>年</w:t>
      </w:r>
      <w:r>
        <w:rPr>
          <w:rFonts w:ascii="宋体" w:hAnsi="宋体" w:cs="宋体" w:eastAsia="宋体" w:hint="default"/>
        </w:rPr>
        <w:t>12</w:t>
      </w:r>
      <w:r>
        <w:rPr/>
        <w:t>月</w:t>
      </w:r>
      <w:r>
        <w:rPr>
          <w:rFonts w:ascii="宋体" w:hAnsi="宋体" w:cs="宋体" w:eastAsia="宋体" w:hint="default"/>
        </w:rPr>
        <w:t>11</w:t>
      </w:r>
      <w:r>
        <w:rPr/>
        <w:t>日，子公司中山乐心电子有限公司通过了广东省科学技术厅、广东省财政厅、广东省国家税务局及广东省地</w:t>
      </w:r>
      <w:r>
        <w:rPr>
          <w:spacing w:val="-57"/>
        </w:rPr>
        <w:t> </w:t>
      </w:r>
      <w:r>
        <w:rPr>
          <w:spacing w:val="-57"/>
        </w:rPr>
      </w:r>
      <w:r>
        <w:rPr>
          <w:spacing w:val="-1"/>
        </w:rPr>
        <w:t>方税务局组织的高新技术企业认证，自</w:t>
      </w:r>
      <w:r>
        <w:rPr>
          <w:rFonts w:ascii="宋体" w:hAnsi="宋体" w:cs="宋体" w:eastAsia="宋体" w:hint="default"/>
          <w:spacing w:val="-1"/>
        </w:rPr>
        <w:t>2</w:t>
      </w:r>
      <w:r>
        <w:rPr>
          <w:rFonts w:ascii="Times New Roman" w:hAnsi="Times New Roman" w:cs="Times New Roman" w:eastAsia="Times New Roman" w:hint="default"/>
          <w:spacing w:val="-1"/>
        </w:rPr>
        <w:t>017</w:t>
      </w:r>
      <w:r>
        <w:rPr>
          <w:spacing w:val="-1"/>
        </w:rPr>
        <w:t>年享受</w:t>
      </w:r>
      <w:r>
        <w:rPr>
          <w:rFonts w:ascii="宋体" w:hAnsi="宋体" w:cs="宋体" w:eastAsia="宋体" w:hint="default"/>
          <w:spacing w:val="-1"/>
        </w:rPr>
        <w:t>1</w:t>
      </w:r>
      <w:r>
        <w:rPr>
          <w:rFonts w:ascii="Times New Roman" w:hAnsi="Times New Roman" w:cs="Times New Roman" w:eastAsia="Times New Roman" w:hint="default"/>
          <w:spacing w:val="-1"/>
        </w:rPr>
        <w:t>5</w:t>
      </w:r>
      <w:r>
        <w:rPr>
          <w:rFonts w:ascii="宋体" w:hAnsi="宋体" w:cs="宋体" w:eastAsia="宋体" w:hint="default"/>
          <w:spacing w:val="-1"/>
        </w:rPr>
        <w:t>%</w:t>
      </w:r>
      <w:r>
        <w:rPr>
          <w:spacing w:val="-1"/>
        </w:rPr>
        <w:t>的税率征收企业所得税。截止报告日中山乐心电子有限公司尚未取得</w:t>
      </w:r>
      <w:r>
        <w:rPr>
          <w:spacing w:val="-87"/>
        </w:rPr>
        <w:t> </w:t>
      </w:r>
      <w:r>
        <w:rPr>
          <w:spacing w:val="-87"/>
        </w:rPr>
      </w:r>
      <w:r>
        <w:rPr/>
        <w:t>高新证书，高新批复已获得网络公示。 </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31</w:t>
      </w:r>
      <w:r>
        <w:rPr/>
        <w:t>日，子公司深圳市瑞康宏业科技开发有限公司通过了深圳市科技创新委员会、深圳市财政委员会、深圳市国</w:t>
      </w:r>
      <w:r>
        <w:rPr>
          <w:spacing w:val="-57"/>
        </w:rPr>
        <w:t> </w:t>
      </w:r>
      <w:r>
        <w:rPr>
          <w:spacing w:val="-57"/>
        </w:rPr>
      </w:r>
      <w:r>
        <w:rPr>
          <w:spacing w:val="13"/>
        </w:rPr>
        <w:t>家税务局及深圳市地方税务局组织的高新技术企业认证，自</w:t>
      </w:r>
      <w:r>
        <w:rPr>
          <w:spacing w:val="-65"/>
        </w:rPr>
        <w:t> </w:t>
      </w:r>
      <w:r>
        <w:rPr>
          <w:rFonts w:ascii="宋体" w:hAnsi="宋体" w:cs="宋体" w:eastAsia="宋体" w:hint="default"/>
          <w:spacing w:val="10"/>
        </w:rPr>
        <w:t>2017</w:t>
      </w:r>
      <w:r>
        <w:rPr>
          <w:spacing w:val="10"/>
        </w:rPr>
        <w:t>年享受</w:t>
      </w:r>
      <w:r>
        <w:rPr>
          <w:rFonts w:ascii="宋体" w:hAnsi="宋体" w:cs="宋体" w:eastAsia="宋体" w:hint="default"/>
          <w:spacing w:val="10"/>
        </w:rPr>
        <w:t>15%</w:t>
      </w:r>
      <w:r>
        <w:rPr>
          <w:spacing w:val="10"/>
        </w:rPr>
        <w:t>的税率征收企业所得税，高新证书编号</w:t>
      </w:r>
      <w:r>
        <w:rPr>
          <w:spacing w:val="-78"/>
        </w:rPr>
        <w:t> </w:t>
      </w:r>
      <w:r>
        <w:rPr>
          <w:spacing w:val="-78"/>
        </w:rPr>
      </w:r>
      <w:r>
        <w:rPr>
          <w:rFonts w:ascii="宋体" w:hAnsi="宋体" w:cs="宋体" w:eastAsia="宋体" w:hint="default"/>
        </w:rPr>
        <w:t>GR201744203771</w:t>
      </w:r>
      <w:r>
        <w:rPr/>
        <w:t>，有效期三年。</w:t>
      </w:r>
    </w:p>
    <w:p>
      <w:pPr>
        <w:pStyle w:val="BodyText"/>
        <w:spacing w:line="300" w:lineRule="auto"/>
        <w:ind w:left="1193" w:right="1015" w:hanging="4"/>
        <w:jc w:val="left"/>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）增值税</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出口货物退（免）税</w:t>
      </w:r>
      <w:r>
        <w:rPr>
          <w:rFonts w:ascii="宋体" w:hAnsi="宋体" w:cs="宋体" w:eastAsia="宋体" w:hint="default"/>
          <w:b/>
          <w:bCs/>
          <w:w w:val="99"/>
          <w:sz w:val="21"/>
          <w:szCs w:val="21"/>
        </w:rPr>
        <w:t> </w:t>
      </w:r>
      <w:r>
        <w:rPr/>
        <w:t>根据《中华人民共和国增值税暂行条例》和《财政部、国家税务总局关于出口货物劳务增值税和消费税政策的通知》财税</w:t>
      </w:r>
      <w:r>
        <w:rPr>
          <w:spacing w:val="-61"/>
        </w:rPr>
        <w:t> </w:t>
      </w:r>
      <w:r>
        <w:rPr>
          <w:spacing w:val="-61"/>
        </w:rPr>
      </w:r>
      <w:r>
        <w:rPr>
          <w:spacing w:val="-2"/>
        </w:rPr>
        <w:t>发</w:t>
      </w:r>
      <w:r>
        <w:rPr>
          <w:rFonts w:ascii="Times New Roman" w:hAnsi="Times New Roman" w:cs="Times New Roman" w:eastAsia="Times New Roman" w:hint="default"/>
          <w:spacing w:val="-2"/>
        </w:rPr>
        <w:t>[2012]39</w:t>
      </w:r>
      <w:r>
        <w:rPr>
          <w:spacing w:val="-2"/>
        </w:rPr>
        <w:t>号文件的规定：生产企业出口自产货物和视同自产货物及对外提供加工修理修配劳务，以及列名生产企业出口非</w:t>
      </w:r>
      <w:r>
        <w:rPr>
          <w:spacing w:val="-61"/>
        </w:rPr>
        <w:t> </w:t>
      </w:r>
      <w:r>
        <w:rPr>
          <w:spacing w:val="-61"/>
        </w:rPr>
      </w:r>
      <w:r>
        <w:rPr>
          <w:spacing w:val="-5"/>
        </w:rPr>
        <w:t>自产货物，免征增值税，相应的进项税额抵减应纳增值税额（不包括适用增值税即征即退、先征后退政策的应纳增值税额），</w:t>
      </w:r>
    </w:p>
    <w:p>
      <w:pPr>
        <w:pStyle w:val="BodyText"/>
        <w:spacing w:line="316" w:lineRule="auto" w:before="31"/>
        <w:ind w:left="1193" w:right="1015"/>
        <w:jc w:val="left"/>
      </w:pPr>
      <w:r>
        <w:rPr/>
        <w:t>未抵减完的部分予以退还。不具有生产能力的出口企业（以下称外贸企业）或其他单位出口货物劳务，免征增值税，相应</w:t>
      </w:r>
      <w:r>
        <w:rPr>
          <w:spacing w:val="-57"/>
        </w:rPr>
        <w:t> </w:t>
      </w:r>
      <w:r>
        <w:rPr>
          <w:spacing w:val="-57"/>
        </w:rPr>
      </w:r>
      <w:r>
        <w:rPr/>
        <w:t>的进项税额予以退还。 本期内，公司血压测量仪、体重脂肪测试仪</w:t>
      </w:r>
      <w:r>
        <w:rPr>
          <w:rFonts w:ascii="Times New Roman" w:hAnsi="Times New Roman" w:cs="Times New Roman" w:eastAsia="Times New Roman" w:hint="default"/>
        </w:rPr>
        <w:t>/</w:t>
      </w:r>
      <w:r>
        <w:rPr/>
        <w:t>身高测量仪、人体秤</w:t>
      </w:r>
      <w:r>
        <w:rPr>
          <w:rFonts w:ascii="Times New Roman" w:hAnsi="Times New Roman" w:cs="Times New Roman" w:eastAsia="Times New Roman" w:hint="default"/>
        </w:rPr>
        <w:t>/</w:t>
      </w:r>
      <w:r>
        <w:rPr/>
        <w:t>厨房秤、计步器、电子配件出口退税率的情况如下：</w:t>
      </w:r>
    </w:p>
    <w:p>
      <w:pPr>
        <w:spacing w:line="240" w:lineRule="auto" w:before="5"/>
        <w:rPr>
          <w:rFonts w:ascii="宋体" w:hAnsi="宋体" w:cs="宋体" w:eastAsia="宋体" w:hint="default"/>
          <w:sz w:val="8"/>
          <w:szCs w:val="8"/>
        </w:rPr>
      </w:pPr>
    </w:p>
    <w:p>
      <w:pPr>
        <w:spacing w:line="3810" w:lineRule="exact"/>
        <w:ind w:left="1134" w:right="0" w:firstLine="0"/>
        <w:rPr>
          <w:rFonts w:ascii="宋体" w:hAnsi="宋体" w:cs="宋体" w:eastAsia="宋体" w:hint="default"/>
          <w:sz w:val="20"/>
          <w:szCs w:val="20"/>
        </w:rPr>
      </w:pPr>
      <w:r>
        <w:rPr>
          <w:rFonts w:ascii="宋体" w:hAnsi="宋体" w:cs="宋体" w:eastAsia="宋体" w:hint="default"/>
          <w:position w:val="-75"/>
          <w:sz w:val="20"/>
          <w:szCs w:val="20"/>
        </w:rPr>
        <w:drawing>
          <wp:inline distT="0" distB="0" distL="0" distR="0">
            <wp:extent cx="5744210" cy="2419350"/>
            <wp:effectExtent l="0" t="0" r="0" b="0"/>
            <wp:docPr id="25" name="image14.png" descr=""/>
            <wp:cNvGraphicFramePr>
              <a:graphicFrameLocks noChangeAspect="1"/>
            </wp:cNvGraphicFramePr>
            <a:graphic>
              <a:graphicData uri="http://schemas.openxmlformats.org/drawingml/2006/picture">
                <pic:pic>
                  <pic:nvPicPr>
                    <pic:cNvPr id="26" name="image14.png"/>
                    <pic:cNvPicPr/>
                  </pic:nvPicPr>
                  <pic:blipFill>
                    <a:blip r:embed="rId28" cstate="print"/>
                    <a:stretch>
                      <a:fillRect/>
                    </a:stretch>
                  </pic:blipFill>
                  <pic:spPr>
                    <a:xfrm>
                      <a:off x="0" y="0"/>
                      <a:ext cx="5744210" cy="2419350"/>
                    </a:xfrm>
                    <a:prstGeom prst="rect">
                      <a:avLst/>
                    </a:prstGeom>
                  </pic:spPr>
                </pic:pic>
              </a:graphicData>
            </a:graphic>
          </wp:inline>
        </w:drawing>
      </w:r>
      <w:r>
        <w:rPr>
          <w:rFonts w:ascii="宋体" w:hAnsi="宋体" w:cs="宋体" w:eastAsia="宋体" w:hint="default"/>
          <w:position w:val="-75"/>
          <w:sz w:val="20"/>
          <w:szCs w:val="20"/>
        </w:rPr>
      </w:r>
    </w:p>
    <w:p>
      <w:pPr>
        <w:spacing w:after="0" w:line="3810" w:lineRule="exact"/>
        <w:rPr>
          <w:rFonts w:ascii="宋体" w:hAnsi="宋体" w:cs="宋体" w:eastAsia="宋体" w:hint="default"/>
          <w:sz w:val="20"/>
          <w:szCs w:val="20"/>
        </w:rPr>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1015"/>
        <w:jc w:val="left"/>
        <w:rPr>
          <w:b w:val="0"/>
          <w:bCs w:val="0"/>
        </w:rPr>
      </w:pPr>
      <w:bookmarkStart w:name="3、其他" w:id="227"/>
      <w:bookmarkEnd w:id="227"/>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5"/>
        <w:jc w:val="left"/>
      </w:pP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pStyle w:val="Heading2"/>
        <w:spacing w:line="240" w:lineRule="auto"/>
        <w:ind w:right="1015"/>
        <w:jc w:val="left"/>
        <w:rPr>
          <w:b w:val="0"/>
          <w:bCs w:val="0"/>
        </w:rPr>
      </w:pPr>
      <w:bookmarkStart w:name="七、合并财务报表项目注释" w:id="228"/>
      <w:bookmarkEnd w:id="228"/>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5"/>
        <w:jc w:val="left"/>
        <w:rPr>
          <w:b w:val="0"/>
          <w:bCs w:val="0"/>
        </w:rPr>
      </w:pPr>
      <w:bookmarkStart w:name="1、货币资金" w:id="229"/>
      <w:bookmarkEnd w:id="229"/>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9,109.00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119,050,256.53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319,902,598.40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30,244,018.95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149,303,384.48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319,902,598.40</w:t>
            </w:r>
          </w:p>
        </w:tc>
      </w:tr>
    </w:tbl>
    <w:p>
      <w:pPr>
        <w:pStyle w:val="BodyText"/>
        <w:spacing w:line="357" w:lineRule="auto" w:before="51"/>
        <w:ind w:left="1133"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015"/>
        <w:jc w:val="left"/>
        <w:rPr>
          <w:b w:val="0"/>
          <w:bCs w:val="0"/>
        </w:rPr>
      </w:pPr>
      <w:bookmarkStart w:name="2、以公允价值计量且其变动计入当期损益的金融资产" w:id="230"/>
      <w:bookmarkEnd w:id="230"/>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95"/>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 期损益的金融资产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934,600.00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934,600.00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934,600.00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015"/>
        <w:jc w:val="left"/>
      </w:pPr>
      <w:r>
        <w:rPr/>
        <w:t>其他说明：</w:t>
      </w:r>
    </w:p>
    <w:p>
      <w:pPr>
        <w:pStyle w:val="Heading5"/>
        <w:spacing w:line="240" w:lineRule="auto" w:before="106"/>
        <w:ind w:right="1015"/>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日，公司为规避汇率波动可能导致的汇兑损失风险，已签订但尚未交割的远期外汇合约标的金额为</w:t>
      </w:r>
    </w:p>
    <w:p>
      <w:pPr>
        <w:pStyle w:val="Heading5"/>
        <w:spacing w:line="240" w:lineRule="auto" w:before="49"/>
        <w:ind w:left="1134" w:right="1015"/>
        <w:jc w:val="left"/>
      </w:pPr>
      <w:r>
        <w:rPr>
          <w:rFonts w:ascii="Times New Roman" w:hAnsi="Times New Roman" w:cs="Times New Roman" w:eastAsia="Times New Roman" w:hint="default"/>
        </w:rPr>
        <w:t>600</w:t>
      </w:r>
      <w:r>
        <w:rPr/>
        <w:t>万美元，在资产负债表日的公允价值为</w:t>
      </w:r>
      <w:r>
        <w:rPr>
          <w:rFonts w:ascii="Times New Roman" w:hAnsi="Times New Roman" w:cs="Times New Roman" w:eastAsia="Times New Roman" w:hint="default"/>
        </w:rPr>
        <w:t>934,600.00</w:t>
      </w:r>
      <w:r>
        <w:rPr/>
        <w:t>元</w:t>
      </w:r>
    </w:p>
    <w:p>
      <w:pPr>
        <w:spacing w:line="240" w:lineRule="auto" w:before="6"/>
        <w:rPr>
          <w:rFonts w:ascii="宋体" w:hAnsi="宋体" w:cs="宋体" w:eastAsia="宋体" w:hint="default"/>
          <w:sz w:val="25"/>
          <w:szCs w:val="25"/>
        </w:rPr>
      </w:pPr>
    </w:p>
    <w:p>
      <w:pPr>
        <w:pStyle w:val="Heading3"/>
        <w:spacing w:line="240" w:lineRule="auto"/>
        <w:ind w:right="1015"/>
        <w:jc w:val="left"/>
        <w:rPr>
          <w:b w:val="0"/>
          <w:bCs w:val="0"/>
        </w:rPr>
      </w:pPr>
      <w:bookmarkStart w:name="3、衍生金融资产" w:id="231"/>
      <w:bookmarkEnd w:id="231"/>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15"/>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1015"/>
        <w:jc w:val="left"/>
        <w:rPr>
          <w:b w:val="0"/>
          <w:bCs w:val="0"/>
        </w:rPr>
      </w:pPr>
      <w:bookmarkStart w:name="4、应收票据" w:id="232"/>
      <w:bookmarkEnd w:id="232"/>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15"/>
        <w:jc w:val="left"/>
        <w:rPr>
          <w:b w:val="0"/>
          <w:bCs w:val="0"/>
        </w:rPr>
      </w:pPr>
      <w:bookmarkStart w:name="（1）应收票据分类列示" w:id="233"/>
      <w:bookmarkEnd w:id="233"/>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2）期末公司已质押的应收票据" w:id="234"/>
      <w:bookmarkEnd w:id="234"/>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3）期末公司已背书或贴现且在资产负债表日尚未到期的应收票据" w:id="235"/>
      <w:bookmarkEnd w:id="235"/>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69"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3"/>
        <w:spacing w:line="240" w:lineRule="auto" w:before="35"/>
        <w:ind w:right="1015"/>
        <w:jc w:val="left"/>
        <w:rPr>
          <w:b w:val="0"/>
          <w:bCs w:val="0"/>
        </w:rPr>
      </w:pPr>
      <w:bookmarkStart w:name="（4）期末公司因出票人未履约而将其转应收账款的票据" w:id="236"/>
      <w:bookmarkEnd w:id="236"/>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2"/>
        <w:ind w:right="1015"/>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3" w:right="1015"/>
        <w:jc w:val="left"/>
        <w:rPr>
          <w:b w:val="0"/>
          <w:bCs w:val="0"/>
        </w:rPr>
      </w:pPr>
      <w:bookmarkStart w:name="5、应收账款" w:id="237"/>
      <w:bookmarkEnd w:id="237"/>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15"/>
        <w:jc w:val="left"/>
        <w:rPr>
          <w:b w:val="0"/>
          <w:bCs w:val="0"/>
        </w:rPr>
      </w:pPr>
      <w:bookmarkStart w:name="（1）应收账款分类披露" w:id="238"/>
      <w:bookmarkEnd w:id="23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140,79</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6,438.0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7,329,1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75.45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133,46</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7,262.6</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center"/>
              <w:rPr>
                <w:rFonts w:ascii="Times New Roman" w:hAnsi="Times New Roman" w:cs="Times New Roman" w:eastAsia="Times New Roman" w:hint="default"/>
                <w:sz w:val="18"/>
                <w:szCs w:val="18"/>
              </w:rPr>
            </w:pPr>
            <w:r>
              <w:rPr>
                <w:rFonts w:ascii="Times New Roman"/>
                <w:sz w:val="18"/>
              </w:rPr>
              <w:t>93,99</w:t>
            </w:r>
          </w:p>
          <w:p>
            <w:pPr>
              <w:pStyle w:val="TableParagraph"/>
              <w:spacing w:line="240" w:lineRule="auto" w:before="104"/>
              <w:ind w:left="34" w:right="0"/>
              <w:jc w:val="center"/>
              <w:rPr>
                <w:rFonts w:ascii="Times New Roman" w:hAnsi="Times New Roman" w:cs="Times New Roman" w:eastAsia="Times New Roman" w:hint="default"/>
                <w:sz w:val="18"/>
                <w:szCs w:val="18"/>
              </w:rPr>
            </w:pPr>
            <w:r>
              <w:rPr>
                <w:rFonts w:ascii="Times New Roman"/>
                <w:sz w:val="18"/>
              </w:rPr>
              <w:t>4,914</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4,818,5</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77.15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89,176,3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37.22</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140,79</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6,438.0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7,329,1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75.45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133,46</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7,262.6</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center"/>
              <w:rPr>
                <w:rFonts w:ascii="Times New Roman" w:hAnsi="Times New Roman" w:cs="Times New Roman" w:eastAsia="Times New Roman" w:hint="default"/>
                <w:sz w:val="18"/>
                <w:szCs w:val="18"/>
              </w:rPr>
            </w:pPr>
            <w:r>
              <w:rPr>
                <w:rFonts w:ascii="Times New Roman"/>
                <w:sz w:val="18"/>
              </w:rPr>
              <w:t>93,99</w:t>
            </w:r>
          </w:p>
          <w:p>
            <w:pPr>
              <w:pStyle w:val="TableParagraph"/>
              <w:spacing w:line="240" w:lineRule="auto" w:before="104"/>
              <w:ind w:left="34" w:right="0"/>
              <w:jc w:val="center"/>
              <w:rPr>
                <w:rFonts w:ascii="Times New Roman" w:hAnsi="Times New Roman" w:cs="Times New Roman" w:eastAsia="Times New Roman" w:hint="default"/>
                <w:sz w:val="18"/>
                <w:szCs w:val="18"/>
              </w:rPr>
            </w:pPr>
            <w:r>
              <w:rPr>
                <w:rFonts w:ascii="Times New Roman"/>
                <w:sz w:val="18"/>
              </w:rPr>
              <w:t>4,914</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4,818,5</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77.15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89,176,3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37.22</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pStyle w:val="BodyText"/>
        <w:spacing w:line="240" w:lineRule="auto" w:before="51"/>
        <w:ind w:right="-20"/>
        <w:jc w:val="left"/>
      </w:pPr>
      <w:r>
        <w:rPr/>
        <w:t>期末单项金额重大并单项计提坏账准备的应收账款：</w:t>
      </w:r>
    </w:p>
    <w:p>
      <w:pPr>
        <w:pStyle w:val="BodyText"/>
        <w:spacing w:line="360" w:lineRule="auto" w:before="116"/>
        <w:ind w:right="160"/>
        <w:jc w:val="left"/>
      </w:pPr>
      <w:r>
        <w:rPr/>
        <w:t>□ 适用 √ 不适用 组合中，按账龄分析法计提坏账准备的应收账款：</w:t>
      </w:r>
    </w:p>
    <w:p>
      <w:pPr>
        <w:pStyle w:val="BodyText"/>
        <w:spacing w:line="240" w:lineRule="auto" w:before="26"/>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100" w:bottom="1200" w:left="0" w:right="0"/>
          <w:cols w:num="2" w:equalWidth="0">
            <w:col w:w="5275" w:space="355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4"/>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139,758,393.24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6,987,919.66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342,764.51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34,276.45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140,101,157.75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7,022,196.11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135,536.07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27,107.21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559,744.26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279,872.13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140,796,438.08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7,329,175.45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5.21%</w:t>
            </w:r>
          </w:p>
        </w:tc>
      </w:tr>
    </w:tbl>
    <w:p>
      <w:pPr>
        <w:pStyle w:val="BodyText"/>
        <w:spacing w:line="360" w:lineRule="auto" w:before="51"/>
        <w:ind w:right="6432"/>
        <w:jc w:val="left"/>
      </w:pPr>
      <w:r>
        <w:rPr/>
        <w:t>确定该组合依据的说明： 组合中，采用余额百分比法计提坏账准备的应收账款：</w:t>
      </w:r>
    </w:p>
    <w:p>
      <w:pPr>
        <w:pStyle w:val="BodyText"/>
        <w:spacing w:line="360" w:lineRule="auto" w:before="26"/>
        <w:ind w:right="6792"/>
        <w:jc w:val="left"/>
      </w:pPr>
      <w:r>
        <w:rPr/>
        <w:t>□ 适用 √ 不适用 组合中，采用其他方法计提坏账准备的应收账款：</w:t>
      </w:r>
    </w:p>
    <w:p>
      <w:pPr>
        <w:spacing w:line="240" w:lineRule="auto" w:before="11"/>
        <w:rPr>
          <w:rFonts w:ascii="宋体" w:hAnsi="宋体" w:cs="宋体" w:eastAsia="宋体" w:hint="default"/>
          <w:sz w:val="19"/>
          <w:szCs w:val="19"/>
        </w:rPr>
      </w:pPr>
    </w:p>
    <w:p>
      <w:pPr>
        <w:pStyle w:val="Heading3"/>
        <w:spacing w:line="240" w:lineRule="auto"/>
        <w:ind w:right="1015"/>
        <w:jc w:val="left"/>
        <w:rPr>
          <w:b w:val="0"/>
          <w:bCs w:val="0"/>
        </w:rPr>
      </w:pPr>
      <w:bookmarkStart w:name="（2）本期计提、收回或转回的坏账准备情况" w:id="239"/>
      <w:bookmarkEnd w:id="23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0" w:right="0"/>
        </w:sectPr>
      </w:pPr>
    </w:p>
    <w:p>
      <w:pPr>
        <w:pStyle w:val="BodyText"/>
        <w:spacing w:line="338" w:lineRule="auto" w:before="44"/>
        <w:ind w:left="1133" w:right="-12"/>
        <w:jc w:val="left"/>
      </w:pPr>
      <w:r>
        <w:rPr/>
        <w:t>本期计提坏账准备金额</w:t>
      </w:r>
      <w:r>
        <w:rPr>
          <w:spacing w:val="-47"/>
        </w:rPr>
        <w:t> </w:t>
      </w:r>
      <w:r>
        <w:rPr>
          <w:rFonts w:ascii="Times New Roman" w:hAnsi="Times New Roman" w:cs="Times New Roman" w:eastAsia="Times New Roman" w:hint="default"/>
        </w:rPr>
        <w:t>2,574,516.05</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100" w:bottom="1200" w:left="0" w:right="0"/>
          <w:cols w:num="2" w:equalWidth="0">
            <w:col w:w="7434" w:space="1395"/>
            <w:col w:w="308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right="1015"/>
        <w:jc w:val="left"/>
        <w:rPr>
          <w:b w:val="0"/>
          <w:bCs w:val="0"/>
        </w:rPr>
      </w:pPr>
      <w:bookmarkStart w:name="（3）本期实际核销的应收账款情况" w:id="240"/>
      <w:bookmarkEnd w:id="240"/>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64,667.73</w:t>
            </w:r>
          </w:p>
        </w:tc>
      </w:tr>
    </w:tbl>
    <w:p>
      <w:pPr>
        <w:pStyle w:val="BodyText"/>
        <w:spacing w:line="240" w:lineRule="auto" w:before="51"/>
        <w:ind w:right="1015"/>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1" w:right="161"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pStyle w:val="BodyText"/>
        <w:spacing w:line="240" w:lineRule="auto" w:before="51"/>
        <w:ind w:right="1015"/>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right="1015"/>
        <w:jc w:val="left"/>
        <w:rPr>
          <w:b w:val="0"/>
          <w:bCs w:val="0"/>
        </w:rPr>
      </w:pPr>
      <w:bookmarkStart w:name="（4）按欠款方归集的期末余额前五名的应收账款情况" w:id="241"/>
      <w:bookmarkEnd w:id="241"/>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8"/>
        <w:ind w:right="1015"/>
        <w:jc w:val="left"/>
      </w:pPr>
      <w:r>
        <w:rPr/>
        <w:t>医疗器械业</w:t>
      </w:r>
    </w:p>
    <w:p>
      <w:pPr>
        <w:spacing w:after="0" w:line="240" w:lineRule="auto"/>
        <w:jc w:val="left"/>
        <w:sectPr>
          <w:type w:val="continuous"/>
          <w:pgSz w:w="11910" w:h="16840"/>
          <w:pgMar w:top="1100" w:bottom="1200" w:left="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line="3165" w:lineRule="exact"/>
        <w:ind w:left="1141" w:right="0" w:firstLine="0"/>
        <w:rPr>
          <w:rFonts w:ascii="宋体" w:hAnsi="宋体" w:cs="宋体" w:eastAsia="宋体" w:hint="default"/>
          <w:sz w:val="20"/>
          <w:szCs w:val="20"/>
        </w:rPr>
      </w:pPr>
      <w:r>
        <w:rPr>
          <w:rFonts w:ascii="宋体" w:hAnsi="宋体" w:cs="宋体" w:eastAsia="宋体" w:hint="default"/>
          <w:position w:val="-62"/>
          <w:sz w:val="20"/>
          <w:szCs w:val="20"/>
        </w:rPr>
        <w:drawing>
          <wp:inline distT="0" distB="0" distL="0" distR="0">
            <wp:extent cx="5069762" cy="2009775"/>
            <wp:effectExtent l="0" t="0" r="0" b="0"/>
            <wp:docPr id="27" name="image15.png" descr=""/>
            <wp:cNvGraphicFramePr>
              <a:graphicFrameLocks noChangeAspect="1"/>
            </wp:cNvGraphicFramePr>
            <a:graphic>
              <a:graphicData uri="http://schemas.openxmlformats.org/drawingml/2006/picture">
                <pic:pic>
                  <pic:nvPicPr>
                    <pic:cNvPr id="28" name="image15.png"/>
                    <pic:cNvPicPr/>
                  </pic:nvPicPr>
                  <pic:blipFill>
                    <a:blip r:embed="rId29" cstate="print"/>
                    <a:stretch>
                      <a:fillRect/>
                    </a:stretch>
                  </pic:blipFill>
                  <pic:spPr>
                    <a:xfrm>
                      <a:off x="0" y="0"/>
                      <a:ext cx="5069762" cy="2009775"/>
                    </a:xfrm>
                    <a:prstGeom prst="rect">
                      <a:avLst/>
                    </a:prstGeom>
                  </pic:spPr>
                </pic:pic>
              </a:graphicData>
            </a:graphic>
          </wp:inline>
        </w:drawing>
      </w:r>
      <w:r>
        <w:rPr>
          <w:rFonts w:ascii="宋体" w:hAnsi="宋体" w:cs="宋体" w:eastAsia="宋体" w:hint="default"/>
          <w:position w:val="-62"/>
          <w:sz w:val="20"/>
          <w:szCs w:val="20"/>
        </w:rPr>
      </w:r>
    </w:p>
    <w:p>
      <w:pPr>
        <w:spacing w:line="240" w:lineRule="auto" w:before="6"/>
        <w:rPr>
          <w:rFonts w:ascii="宋体" w:hAnsi="宋体" w:cs="宋体" w:eastAsia="宋体" w:hint="default"/>
          <w:sz w:val="29"/>
          <w:szCs w:val="29"/>
        </w:rPr>
      </w:pPr>
    </w:p>
    <w:p>
      <w:pPr>
        <w:pStyle w:val="Heading3"/>
        <w:spacing w:line="240" w:lineRule="auto" w:before="35"/>
        <w:ind w:right="1015"/>
        <w:jc w:val="left"/>
        <w:rPr>
          <w:b w:val="0"/>
          <w:bCs w:val="0"/>
        </w:rPr>
      </w:pPr>
      <w:bookmarkStart w:name="（5）因金融资产转移而终止确认的应收账款" w:id="242"/>
      <w:bookmarkEnd w:id="242"/>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5"/>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15"/>
        <w:jc w:val="left"/>
        <w:rPr>
          <w:b w:val="0"/>
          <w:bCs w:val="0"/>
        </w:rPr>
      </w:pPr>
      <w:bookmarkStart w:name="（6）转移应收账款且继续涉入形成的资产、负债金额" w:id="243"/>
      <w:bookmarkEnd w:id="243"/>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133" w:right="9853"/>
        <w:jc w:val="left"/>
      </w:pPr>
      <w:r>
        <w:rPr/>
        <w:t>无 其他说明： 无</w:t>
      </w:r>
    </w:p>
    <w:p>
      <w:pPr>
        <w:spacing w:line="240" w:lineRule="auto" w:before="1"/>
        <w:rPr>
          <w:rFonts w:ascii="宋体" w:hAnsi="宋体" w:cs="宋体" w:eastAsia="宋体" w:hint="default"/>
          <w:sz w:val="20"/>
          <w:szCs w:val="20"/>
        </w:rPr>
      </w:pPr>
    </w:p>
    <w:p>
      <w:pPr>
        <w:pStyle w:val="Heading3"/>
        <w:spacing w:line="240" w:lineRule="auto"/>
        <w:ind w:right="1015"/>
        <w:jc w:val="left"/>
        <w:rPr>
          <w:b w:val="0"/>
          <w:bCs w:val="0"/>
        </w:rPr>
      </w:pPr>
      <w:bookmarkStart w:name="6、预付款项" w:id="244"/>
      <w:bookmarkEnd w:id="244"/>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1）预付款项按账龄列示" w:id="245"/>
      <w:bookmarkEnd w:id="245"/>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9,836,207.94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97.84%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4,378,908.62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89.33%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128,032.94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470,507.52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74,275.62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15,465.00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0.32%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0.11%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36,828.00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0.75%</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10,053,516.50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4,901,709.14</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15"/>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1015"/>
        <w:jc w:val="left"/>
        <w:rPr>
          <w:b w:val="0"/>
          <w:bCs w:val="0"/>
        </w:rPr>
      </w:pPr>
      <w:bookmarkStart w:name="（2）按预付对象归集的期末余额前五名的预付款情况" w:id="246"/>
      <w:bookmarkEnd w:id="246"/>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spacing w:line="4080" w:lineRule="exact"/>
        <w:ind w:left="1769" w:right="0" w:firstLine="0"/>
        <w:rPr>
          <w:rFonts w:ascii="宋体" w:hAnsi="宋体" w:cs="宋体" w:eastAsia="宋体" w:hint="default"/>
          <w:sz w:val="20"/>
          <w:szCs w:val="20"/>
        </w:rPr>
      </w:pPr>
      <w:r>
        <w:rPr>
          <w:rFonts w:ascii="宋体" w:hAnsi="宋体" w:cs="宋体" w:eastAsia="宋体" w:hint="default"/>
          <w:position w:val="-81"/>
          <w:sz w:val="20"/>
          <w:szCs w:val="20"/>
        </w:rPr>
        <w:drawing>
          <wp:inline distT="0" distB="0" distL="0" distR="0">
            <wp:extent cx="5315617" cy="2590800"/>
            <wp:effectExtent l="0" t="0" r="0" b="0"/>
            <wp:docPr id="29" name="image16.png" descr=""/>
            <wp:cNvGraphicFramePr>
              <a:graphicFrameLocks noChangeAspect="1"/>
            </wp:cNvGraphicFramePr>
            <a:graphic>
              <a:graphicData uri="http://schemas.openxmlformats.org/drawingml/2006/picture">
                <pic:pic>
                  <pic:nvPicPr>
                    <pic:cNvPr id="30" name="image16.png"/>
                    <pic:cNvPicPr/>
                  </pic:nvPicPr>
                  <pic:blipFill>
                    <a:blip r:embed="rId30" cstate="print"/>
                    <a:stretch>
                      <a:fillRect/>
                    </a:stretch>
                  </pic:blipFill>
                  <pic:spPr>
                    <a:xfrm>
                      <a:off x="0" y="0"/>
                      <a:ext cx="5315617" cy="2590800"/>
                    </a:xfrm>
                    <a:prstGeom prst="rect">
                      <a:avLst/>
                    </a:prstGeom>
                  </pic:spPr>
                </pic:pic>
              </a:graphicData>
            </a:graphic>
          </wp:inline>
        </w:drawing>
      </w:r>
      <w:r>
        <w:rPr>
          <w:rFonts w:ascii="宋体" w:hAnsi="宋体" w:cs="宋体" w:eastAsia="宋体" w:hint="default"/>
          <w:position w:val="-81"/>
          <w:sz w:val="20"/>
          <w:szCs w:val="20"/>
        </w:rPr>
      </w:r>
    </w:p>
    <w:p>
      <w:pPr>
        <w:spacing w:line="240" w:lineRule="auto" w:before="8"/>
        <w:rPr>
          <w:rFonts w:ascii="宋体" w:hAnsi="宋体" w:cs="宋体" w:eastAsia="宋体" w:hint="default"/>
          <w:b/>
          <w:bCs/>
          <w:sz w:val="11"/>
          <w:szCs w:val="11"/>
        </w:rPr>
      </w:pPr>
    </w:p>
    <w:p>
      <w:pPr>
        <w:pStyle w:val="BodyText"/>
        <w:spacing w:line="357" w:lineRule="auto" w:before="44"/>
        <w:ind w:left="1133"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015"/>
        <w:jc w:val="left"/>
        <w:rPr>
          <w:b w:val="0"/>
          <w:bCs w:val="0"/>
        </w:rPr>
      </w:pPr>
      <w:bookmarkStart w:name="7、应收利息" w:id="247"/>
      <w:bookmarkEnd w:id="247"/>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1）应收利息分类" w:id="248"/>
      <w:bookmarkEnd w:id="248"/>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89"/>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理财产品持有期间收益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2,488,107.50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2,488,107.50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2）重要逾期利息" w:id="249"/>
      <w:bookmarkEnd w:id="249"/>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1" w:right="140"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pStyle w:val="BodyText"/>
        <w:spacing w:line="357" w:lineRule="auto" w:before="51"/>
        <w:ind w:left="1133"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015"/>
        <w:jc w:val="left"/>
        <w:rPr>
          <w:b w:val="0"/>
          <w:bCs w:val="0"/>
        </w:rPr>
      </w:pPr>
      <w:bookmarkStart w:name="8、应收股利" w:id="250"/>
      <w:bookmarkEnd w:id="250"/>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1）应收股利" w:id="251"/>
      <w:bookmarkEnd w:id="251"/>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中山市易恩自动化科技有限公司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322,530.36</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322,530.36</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2）重要的账龄超过1年的应收股利" w:id="252"/>
      <w:bookmarkEnd w:id="252"/>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1" w:right="140"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pStyle w:val="BodyText"/>
        <w:spacing w:line="357" w:lineRule="auto" w:before="51"/>
        <w:ind w:left="1133"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015"/>
        <w:jc w:val="left"/>
        <w:rPr>
          <w:b w:val="0"/>
          <w:bCs w:val="0"/>
        </w:rPr>
      </w:pPr>
      <w:bookmarkStart w:name="9、其他应收款" w:id="253"/>
      <w:bookmarkEnd w:id="253"/>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1）其他应收款分类披露" w:id="254"/>
      <w:bookmarkEnd w:id="254"/>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12,595,</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181.87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1,630,2</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82.84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12.94</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10,964,</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899.03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center"/>
              <w:rPr>
                <w:rFonts w:ascii="Times New Roman" w:hAnsi="Times New Roman" w:cs="Times New Roman" w:eastAsia="Times New Roman" w:hint="default"/>
                <w:sz w:val="18"/>
                <w:szCs w:val="18"/>
              </w:rPr>
            </w:pPr>
            <w:r>
              <w:rPr>
                <w:rFonts w:ascii="Times New Roman"/>
                <w:sz w:val="18"/>
              </w:rPr>
              <w:t>13,94</w:t>
            </w:r>
          </w:p>
          <w:p>
            <w:pPr>
              <w:pStyle w:val="TableParagraph"/>
              <w:spacing w:line="240" w:lineRule="auto" w:before="104"/>
              <w:ind w:left="34" w:right="0"/>
              <w:jc w:val="center"/>
              <w:rPr>
                <w:rFonts w:ascii="Times New Roman" w:hAnsi="Times New Roman" w:cs="Times New Roman" w:eastAsia="Times New Roman" w:hint="default"/>
                <w:sz w:val="18"/>
                <w:szCs w:val="18"/>
              </w:rPr>
            </w:pPr>
            <w:r>
              <w:rPr>
                <w:rFonts w:ascii="Times New Roman"/>
                <w:sz w:val="18"/>
              </w:rPr>
              <w:t>6,254</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1,462,8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22.28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10.49%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12,483,4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32.34</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12,595,</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181.87</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1,630,2</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82.84</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10,964,</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899.03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center"/>
              <w:rPr>
                <w:rFonts w:ascii="Times New Roman" w:hAnsi="Times New Roman" w:cs="Times New Roman" w:eastAsia="Times New Roman" w:hint="default"/>
                <w:sz w:val="18"/>
                <w:szCs w:val="18"/>
              </w:rPr>
            </w:pPr>
            <w:r>
              <w:rPr>
                <w:rFonts w:ascii="Times New Roman"/>
                <w:sz w:val="18"/>
              </w:rPr>
              <w:t>13,94</w:t>
            </w:r>
          </w:p>
          <w:p>
            <w:pPr>
              <w:pStyle w:val="TableParagraph"/>
              <w:spacing w:line="240" w:lineRule="auto" w:before="104"/>
              <w:ind w:left="34" w:right="0"/>
              <w:jc w:val="center"/>
              <w:rPr>
                <w:rFonts w:ascii="Times New Roman" w:hAnsi="Times New Roman" w:cs="Times New Roman" w:eastAsia="Times New Roman" w:hint="default"/>
                <w:sz w:val="18"/>
                <w:szCs w:val="18"/>
              </w:rPr>
            </w:pPr>
            <w:r>
              <w:rPr>
                <w:rFonts w:ascii="Times New Roman"/>
                <w:sz w:val="18"/>
              </w:rPr>
              <w:t>6,254</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1,462,8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22.28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10.49%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12,483,4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32.34</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pStyle w:val="BodyText"/>
        <w:spacing w:line="240" w:lineRule="auto" w:before="51"/>
        <w:ind w:right="-20"/>
        <w:jc w:val="left"/>
      </w:pPr>
      <w:r>
        <w:rPr/>
        <w:t>期末单项金额重大并单项计提坏账准备的其他应收款：</w:t>
      </w:r>
    </w:p>
    <w:p>
      <w:pPr>
        <w:pStyle w:val="BodyText"/>
        <w:spacing w:line="360" w:lineRule="auto" w:before="116"/>
        <w:ind w:right="160"/>
        <w:jc w:val="left"/>
      </w:pPr>
      <w:r>
        <w:rPr/>
        <w:t>□ 适用 √ 不适用 组合中，按账龄分析法计提坏账准备的其他应收款：</w:t>
      </w:r>
    </w:p>
    <w:p>
      <w:pPr>
        <w:pStyle w:val="BodyText"/>
        <w:spacing w:line="240" w:lineRule="auto" w:before="26"/>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100" w:bottom="1200" w:left="0" w:right="0"/>
          <w:cols w:num="2" w:equalWidth="0">
            <w:col w:w="5455" w:space="337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9,838,990.57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491,949.55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460,188.96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46,018.90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10,299,179.53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537,968.45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1,245,938.90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249,187.78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413,873.67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206,936.84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636,189.77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636,189.77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12,595,181.87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1,630,282.84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252"/>
        <w:jc w:val="left"/>
      </w:pPr>
      <w:r>
        <w:rPr/>
        <w:t>确定该组合依据的说明： 组合中，采用余额百分比法计提坏账准备的其他应收款：</w:t>
      </w:r>
    </w:p>
    <w:p>
      <w:pPr>
        <w:pStyle w:val="BodyText"/>
        <w:spacing w:line="360" w:lineRule="auto" w:before="26"/>
        <w:ind w:right="6612"/>
        <w:jc w:val="left"/>
      </w:pPr>
      <w:r>
        <w:rPr/>
        <w:t>□ 适用 √ 不适用 组合中，采用其他方法计提坏账准备的其他应收款：</w:t>
      </w:r>
    </w:p>
    <w:p>
      <w:pPr>
        <w:pStyle w:val="BodyText"/>
        <w:spacing w:line="240" w:lineRule="auto" w:before="26"/>
        <w:ind w:right="1015"/>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015"/>
        <w:jc w:val="left"/>
        <w:rPr>
          <w:b w:val="0"/>
          <w:bCs w:val="0"/>
        </w:rPr>
      </w:pPr>
      <w:bookmarkStart w:name="（2）本期计提、收回或转回的坏账准备情况" w:id="255"/>
      <w:bookmarkEnd w:id="25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0" w:right="0"/>
        </w:sectPr>
      </w:pPr>
    </w:p>
    <w:p>
      <w:pPr>
        <w:pStyle w:val="BodyText"/>
        <w:spacing w:line="338" w:lineRule="auto" w:before="44"/>
        <w:ind w:left="1133" w:right="-15"/>
        <w:jc w:val="left"/>
      </w:pPr>
      <w:r>
        <w:rPr/>
        <w:t>本期计提坏账准备金额</w:t>
      </w:r>
      <w:r>
        <w:rPr>
          <w:spacing w:val="-46"/>
        </w:rPr>
        <w:t> </w:t>
      </w:r>
      <w:r>
        <w:rPr>
          <w:rFonts w:ascii="Times New Roman" w:hAnsi="Times New Roman" w:cs="Times New Roman" w:eastAsia="Times New Roman" w:hint="default"/>
        </w:rPr>
        <w:t>141,441.22</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100" w:bottom="1200" w:left="0" w:right="0"/>
          <w:cols w:num="2" w:equalWidth="0">
            <w:col w:w="7300" w:space="1530"/>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3）本期实际核销的其他应收款情况" w:id="256"/>
      <w:bookmarkEnd w:id="256"/>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1015"/>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0" w:right="162"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pStyle w:val="BodyText"/>
        <w:spacing w:line="240" w:lineRule="auto" w:before="51"/>
        <w:ind w:right="1015"/>
        <w:jc w:val="left"/>
      </w:pPr>
      <w:r>
        <w:rPr/>
        <w:t>其他应收款核销说明：</w:t>
      </w:r>
    </w:p>
    <w:p>
      <w:pPr>
        <w:spacing w:line="240" w:lineRule="auto" w:before="11"/>
        <w:rPr>
          <w:rFonts w:ascii="宋体" w:hAnsi="宋体" w:cs="宋体" w:eastAsia="宋体" w:hint="default"/>
          <w:sz w:val="26"/>
          <w:szCs w:val="26"/>
        </w:rPr>
      </w:pPr>
    </w:p>
    <w:p>
      <w:pPr>
        <w:pStyle w:val="Heading3"/>
        <w:spacing w:line="240" w:lineRule="auto"/>
        <w:ind w:right="1015"/>
        <w:jc w:val="left"/>
        <w:rPr>
          <w:b w:val="0"/>
          <w:bCs w:val="0"/>
        </w:rPr>
      </w:pPr>
      <w:bookmarkStart w:name="（4）其他应收款按款项性质分类情况" w:id="257"/>
      <w:bookmarkEnd w:id="257"/>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员工借款及备用金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474,910.93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1,060,193.93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2,500,787.18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2,853,726.16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4,685,341.89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7,814,259.54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1,144,073.19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1,092,367.43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3,790,068.68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1,125,707.56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12,595,181.87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13,946,254.62</w:t>
            </w:r>
          </w:p>
        </w:tc>
      </w:tr>
    </w:tbl>
    <w:p>
      <w:pPr>
        <w:spacing w:line="240" w:lineRule="auto" w:before="3"/>
        <w:rPr>
          <w:rFonts w:ascii="宋体" w:hAnsi="宋体" w:cs="宋体" w:eastAsia="宋体" w:hint="default"/>
          <w:sz w:val="19"/>
          <w:szCs w:val="19"/>
        </w:rPr>
      </w:pPr>
    </w:p>
    <w:p>
      <w:pPr>
        <w:pStyle w:val="Heading3"/>
        <w:spacing w:line="240" w:lineRule="auto" w:before="35"/>
        <w:ind w:right="1015"/>
        <w:jc w:val="left"/>
        <w:rPr>
          <w:b w:val="0"/>
          <w:bCs w:val="0"/>
        </w:rPr>
      </w:pPr>
      <w:bookmarkStart w:name="（5）按欠款方归集的期末余额前五名的其他应收款情况" w:id="258"/>
      <w:bookmarkEnd w:id="258"/>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102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11"/>
              <w:jc w:val="right"/>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2" w:right="162"/>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0" w:right="16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即征即退税额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2,993,748.71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24"/>
              <w:jc w:val="righ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23.77%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149,687.44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4,685,341.89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24"/>
              <w:jc w:val="righ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37.20%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234,267.09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员工个人社会保 险费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766,056.59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24"/>
              <w:jc w:val="righ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38,302.83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员工个人住房公 积金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378,016.60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24"/>
              <w:jc w:val="righ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18,900.83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中山市创彩达塑 胶制品有限公司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24"/>
              <w:jc w:val="righ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20,250.00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9,228,163.79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73.27%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461,408.19</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6）涉及政府补助的应收款项" w:id="259"/>
      <w:bookmarkEnd w:id="259"/>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2" w:right="143" w:hanging="450"/>
              <w:jc w:val="left"/>
              <w:rPr>
                <w:rFonts w:ascii="宋体" w:hAnsi="宋体" w:cs="宋体" w:eastAsia="宋体" w:hint="default"/>
                <w:sz w:val="18"/>
                <w:szCs w:val="18"/>
              </w:rPr>
            </w:pPr>
            <w:r>
              <w:rPr>
                <w:rFonts w:ascii="宋体" w:hAnsi="宋体" w:cs="宋体" w:eastAsia="宋体" w:hint="default"/>
                <w:sz w:val="18"/>
                <w:szCs w:val="18"/>
              </w:rPr>
              <w:t>预计收取的时间、金 额及依据</w:t>
            </w:r>
          </w:p>
        </w:tc>
      </w:tr>
      <w:tr>
        <w:trPr>
          <w:trHeight w:val="1650"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中山市火炬开发区国 家税务局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103" w:right="179"/>
              <w:jc w:val="left"/>
              <w:rPr>
                <w:rFonts w:ascii="宋体" w:hAnsi="宋体" w:cs="宋体" w:eastAsia="宋体" w:hint="default"/>
                <w:sz w:val="18"/>
                <w:szCs w:val="18"/>
              </w:rPr>
            </w:pPr>
            <w:r>
              <w:rPr>
                <w:rFonts w:ascii="宋体" w:hAnsi="宋体" w:cs="宋体" w:eastAsia="宋体" w:hint="default"/>
                <w:sz w:val="18"/>
                <w:szCs w:val="18"/>
              </w:rPr>
              <w:t>软件产品销售实际增 值税税负超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部分 即征即退税额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2,852,370.37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7" w:lineRule="auto" w:before="61"/>
              <w:ind w:left="103"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前收回；</w:t>
            </w:r>
            <w:r>
              <w:rPr>
                <w:rFonts w:ascii="Times New Roman" w:hAnsi="Times New Roman" w:cs="Times New Roman" w:eastAsia="Times New Roman" w:hint="default"/>
                <w:sz w:val="18"/>
                <w:szCs w:val="18"/>
              </w:rPr>
              <w:t>2</w:t>
            </w:r>
            <w:r>
              <w:rPr>
                <w:rFonts w:ascii="宋体" w:hAnsi="宋体" w:cs="宋体" w:eastAsia="宋体" w:hint="default"/>
                <w:sz w:val="18"/>
                <w:szCs w:val="18"/>
              </w:rPr>
              <w:t>、依据： 财税</w:t>
            </w:r>
            <w:r>
              <w:rPr>
                <w:rFonts w:ascii="Times New Roman" w:hAnsi="Times New Roman" w:cs="Times New Roman" w:eastAsia="Times New Roman" w:hint="default"/>
                <w:sz w:val="18"/>
                <w:szCs w:val="18"/>
              </w:rPr>
              <w:t>[2011]100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号《关 于软件产品增值税政 策的通知》</w:t>
            </w:r>
          </w:p>
        </w:tc>
      </w:tr>
      <w:tr>
        <w:trPr>
          <w:trHeight w:val="227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03" w:right="177"/>
              <w:jc w:val="left"/>
              <w:rPr>
                <w:rFonts w:ascii="宋体" w:hAnsi="宋体" w:cs="宋体" w:eastAsia="宋体" w:hint="default"/>
                <w:sz w:val="18"/>
                <w:szCs w:val="18"/>
              </w:rPr>
            </w:pPr>
            <w:r>
              <w:rPr>
                <w:rFonts w:ascii="宋体" w:hAnsi="宋体" w:cs="宋体" w:eastAsia="宋体" w:hint="default"/>
                <w:sz w:val="18"/>
                <w:szCs w:val="18"/>
              </w:rPr>
              <w:t>广州市海珠区国家税 务局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9" w:lineRule="auto"/>
              <w:ind w:left="103" w:right="179"/>
              <w:jc w:val="left"/>
              <w:rPr>
                <w:rFonts w:ascii="宋体" w:hAnsi="宋体" w:cs="宋体" w:eastAsia="宋体" w:hint="default"/>
                <w:sz w:val="18"/>
                <w:szCs w:val="18"/>
              </w:rPr>
            </w:pPr>
            <w:r>
              <w:rPr>
                <w:rFonts w:ascii="宋体" w:hAnsi="宋体" w:cs="宋体" w:eastAsia="宋体" w:hint="default"/>
                <w:sz w:val="18"/>
                <w:szCs w:val="18"/>
              </w:rPr>
              <w:t>软件产品销售实际增 值税税负超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部分 即征即退税额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141,378.34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号即征即退税额</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141,378.34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元已经收</w:t>
            </w:r>
          </w:p>
          <w:p>
            <w:pPr>
              <w:pStyle w:val="TableParagraph"/>
              <w:spacing w:line="307" w:lineRule="auto" w:before="63"/>
              <w:ind w:left="103" w:right="113"/>
              <w:jc w:val="left"/>
              <w:rPr>
                <w:rFonts w:ascii="宋体" w:hAnsi="宋体" w:cs="宋体" w:eastAsia="宋体" w:hint="default"/>
                <w:sz w:val="18"/>
                <w:szCs w:val="18"/>
              </w:rPr>
            </w:pPr>
            <w:r>
              <w:rPr>
                <w:rFonts w:ascii="宋体" w:hAnsi="宋体" w:cs="宋体" w:eastAsia="宋体" w:hint="default"/>
                <w:sz w:val="18"/>
                <w:szCs w:val="18"/>
              </w:rPr>
              <w:t>到；</w:t>
            </w:r>
            <w:r>
              <w:rPr>
                <w:rFonts w:ascii="Times New Roman" w:hAnsi="Times New Roman" w:cs="Times New Roman" w:eastAsia="Times New Roman" w:hint="default"/>
                <w:sz w:val="18"/>
                <w:szCs w:val="18"/>
              </w:rPr>
              <w:t>2</w:t>
            </w:r>
            <w:r>
              <w:rPr>
                <w:rFonts w:ascii="宋体" w:hAnsi="宋体" w:cs="宋体" w:eastAsia="宋体" w:hint="default"/>
                <w:sz w:val="18"/>
                <w:szCs w:val="18"/>
              </w:rPr>
              <w:t>、依据：财税 </w:t>
            </w:r>
            <w:r>
              <w:rPr>
                <w:rFonts w:ascii="Times New Roman" w:hAnsi="Times New Roman" w:cs="Times New Roman" w:eastAsia="Times New Roman" w:hint="default"/>
                <w:sz w:val="18"/>
                <w:szCs w:val="18"/>
              </w:rPr>
              <w:t>[2011]100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号《关于软 件产品增值税政策的 通知》</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2,993,748.71</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7）因金融资产转移而终止确认的其他应收款" w:id="260"/>
      <w:bookmarkEnd w:id="260"/>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5"/>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15"/>
        <w:jc w:val="left"/>
        <w:rPr>
          <w:b w:val="0"/>
          <w:bCs w:val="0"/>
        </w:rPr>
      </w:pPr>
      <w:bookmarkStart w:name="（8）转移其他应收款且继续涉入形成的资产、负债金额" w:id="261"/>
      <w:bookmarkEnd w:id="261"/>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133" w:right="9853"/>
        <w:jc w:val="left"/>
      </w:pPr>
      <w:r>
        <w:rPr/>
        <w:t>无 其他说明： 无</w:t>
      </w:r>
    </w:p>
    <w:p>
      <w:pPr>
        <w:spacing w:after="0" w:line="360" w:lineRule="auto"/>
        <w:jc w:val="left"/>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1015"/>
        <w:jc w:val="left"/>
        <w:rPr>
          <w:b w:val="0"/>
          <w:bCs w:val="0"/>
        </w:rPr>
      </w:pPr>
      <w:bookmarkStart w:name="10、存货" w:id="262"/>
      <w:bookmarkEnd w:id="262"/>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512"/>
        <w:jc w:val="left"/>
      </w:pPr>
      <w:r>
        <w:rPr/>
        <w:t>公司是否需要遵守房地产行业的披露要求 否</w:t>
      </w:r>
    </w:p>
    <w:p>
      <w:pPr>
        <w:spacing w:line="240" w:lineRule="auto" w:before="1"/>
        <w:rPr>
          <w:rFonts w:ascii="宋体" w:hAnsi="宋体" w:cs="宋体" w:eastAsia="宋体" w:hint="default"/>
          <w:sz w:val="20"/>
          <w:szCs w:val="20"/>
        </w:rPr>
      </w:pPr>
    </w:p>
    <w:p>
      <w:pPr>
        <w:pStyle w:val="Heading3"/>
        <w:spacing w:line="240" w:lineRule="auto"/>
        <w:ind w:right="1015"/>
        <w:jc w:val="left"/>
        <w:rPr>
          <w:b w:val="0"/>
          <w:bCs w:val="0"/>
        </w:rPr>
      </w:pPr>
      <w:bookmarkStart w:name="（1）存货分类" w:id="263"/>
      <w:bookmarkEnd w:id="263"/>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23,984,643.12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23,984,643.12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20,757,972.24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20,757,972.24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2,065,459.80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2,065,459.80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13,115,124.99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13,115,124.99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43,400,233.96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43,400,233.96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26,389,206.97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26,389,206.97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6,830,000.46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6,830,000.46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8,511,930.94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8,511,930.94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5,152,867.89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5,152,867.89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6,851,974.67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6,851,974.67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81,433,205.23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81,433,205.23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75,626,209.81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75,626,209.81</w:t>
            </w:r>
          </w:p>
        </w:tc>
      </w:tr>
    </w:tbl>
    <w:p>
      <w:pPr>
        <w:pStyle w:val="BodyText"/>
        <w:spacing w:line="340"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号—上市公司从事种业、种植业务》的披露要求 否</w:t>
      </w:r>
    </w:p>
    <w:p>
      <w:pPr>
        <w:pStyle w:val="BodyText"/>
        <w:spacing w:line="338" w:lineRule="auto" w:before="40"/>
        <w:ind w:left="1133" w:right="1574"/>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号——上市公司从事广播电影电视业务》的披露要求 否</w:t>
      </w:r>
    </w:p>
    <w:p>
      <w:pPr>
        <w:pStyle w:val="BodyText"/>
        <w:spacing w:line="338" w:lineRule="auto" w:before="43"/>
        <w:ind w:left="1133" w:right="175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号——上市公司从事互联网游戏业务》的披露要求 否</w:t>
      </w:r>
    </w:p>
    <w:p>
      <w:pPr>
        <w:spacing w:line="240" w:lineRule="auto" w:before="1"/>
        <w:rPr>
          <w:rFonts w:ascii="宋体" w:hAnsi="宋体" w:cs="宋体" w:eastAsia="宋体" w:hint="default"/>
          <w:sz w:val="21"/>
          <w:szCs w:val="21"/>
        </w:rPr>
      </w:pPr>
    </w:p>
    <w:p>
      <w:pPr>
        <w:pStyle w:val="Heading3"/>
        <w:spacing w:line="240" w:lineRule="auto"/>
        <w:ind w:right="1015"/>
        <w:jc w:val="left"/>
        <w:rPr>
          <w:b w:val="0"/>
          <w:bCs w:val="0"/>
        </w:rPr>
      </w:pPr>
      <w:bookmarkStart w:name="（2）存货跌价准备" w:id="264"/>
      <w:bookmarkEnd w:id="264"/>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3）存货期末余额含有借款费用资本化金额的说明" w:id="265"/>
      <w:bookmarkEnd w:id="265"/>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5"/>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15"/>
        <w:jc w:val="left"/>
        <w:rPr>
          <w:b w:val="0"/>
          <w:bCs w:val="0"/>
        </w:rPr>
      </w:pPr>
      <w:bookmarkStart w:name="（4）期末建造合同形成的已完工未结算资产情况" w:id="266"/>
      <w:bookmarkEnd w:id="266"/>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357" w:lineRule="auto" w:before="52"/>
        <w:ind w:left="1133" w:right="9853"/>
        <w:jc w:val="left"/>
      </w:pPr>
      <w:r>
        <w:rPr/>
        <w:t>其他说明： 无</w:t>
      </w:r>
    </w:p>
    <w:p>
      <w:pPr>
        <w:spacing w:after="0" w:line="357" w:lineRule="auto"/>
        <w:jc w:val="left"/>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1015"/>
        <w:jc w:val="left"/>
        <w:rPr>
          <w:b w:val="0"/>
          <w:bCs w:val="0"/>
        </w:rPr>
      </w:pPr>
      <w:bookmarkStart w:name="11、持有待售的资产" w:id="267"/>
      <w:bookmarkEnd w:id="267"/>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1"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1"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357" w:lineRule="auto" w:before="52"/>
        <w:ind w:left="1133"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015"/>
        <w:jc w:val="left"/>
        <w:rPr>
          <w:b w:val="0"/>
          <w:bCs w:val="0"/>
        </w:rPr>
      </w:pPr>
      <w:bookmarkStart w:name="12、一年内到期的非流动资产" w:id="268"/>
      <w:bookmarkEnd w:id="268"/>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1"/>
        <w:ind w:left="1133"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015"/>
        <w:jc w:val="left"/>
        <w:rPr>
          <w:b w:val="0"/>
          <w:bCs w:val="0"/>
        </w:rPr>
      </w:pPr>
      <w:bookmarkStart w:name="13、其他流动资产" w:id="269"/>
      <w:bookmarkEnd w:id="269"/>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待抵扣税金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11,900,849.60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7,258,046.11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预交企业所得税</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695,427.56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91,900,849.60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7,953,473.67</w:t>
            </w:r>
          </w:p>
        </w:tc>
      </w:tr>
    </w:tbl>
    <w:p>
      <w:pPr>
        <w:pStyle w:val="BodyText"/>
        <w:spacing w:line="240" w:lineRule="auto" w:before="51"/>
        <w:ind w:right="1015"/>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3" w:right="1015"/>
        <w:jc w:val="left"/>
        <w:rPr>
          <w:b w:val="0"/>
          <w:bCs w:val="0"/>
        </w:rPr>
      </w:pPr>
      <w:bookmarkStart w:name="14、可供出售金融资产" w:id="270"/>
      <w:bookmarkEnd w:id="270"/>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1015"/>
        <w:jc w:val="left"/>
        <w:rPr>
          <w:b w:val="0"/>
          <w:bCs w:val="0"/>
        </w:rPr>
      </w:pPr>
      <w:bookmarkStart w:name="（1）可供出售金融资产情况" w:id="271"/>
      <w:bookmarkEnd w:id="271"/>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402" w:hRule="exact"/>
        </w:trPr>
        <w:tc>
          <w:tcPr>
            <w:tcW w:w="2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001"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35,954,516.0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35,954,516.0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35,954,516.0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35,954,516.0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35,954,516.0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35,954,516.0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1015"/>
        <w:jc w:val="left"/>
        <w:rPr>
          <w:b w:val="0"/>
          <w:bCs w:val="0"/>
        </w:rPr>
      </w:pPr>
      <w:bookmarkStart w:name="（2）期末按公允价值计量的可供出售金融资产" w:id="272"/>
      <w:bookmarkEnd w:id="272"/>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62" w:right="141" w:hanging="721"/>
              <w:jc w:val="left"/>
              <w:rPr>
                <w:rFonts w:ascii="宋体" w:hAnsi="宋体" w:cs="宋体" w:eastAsia="宋体" w:hint="default"/>
                <w:sz w:val="18"/>
                <w:szCs w:val="18"/>
              </w:rPr>
            </w:pPr>
            <w:r>
              <w:rPr>
                <w:rFonts w:ascii="宋体" w:hAnsi="宋体" w:cs="宋体" w:eastAsia="宋体" w:hint="default"/>
                <w:sz w:val="18"/>
                <w:szCs w:val="18"/>
              </w:rPr>
              <w:t>可供出售金融资产分 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3）期末按成本计量的可供出售金融资产" w:id="273"/>
      <w:bookmarkEnd w:id="273"/>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5" w:right="155"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59" w:right="158"/>
              <w:jc w:val="center"/>
              <w:rPr>
                <w:rFonts w:ascii="宋体" w:hAnsi="宋体" w:cs="宋体" w:eastAsia="宋体" w:hint="default"/>
                <w:sz w:val="18"/>
                <w:szCs w:val="18"/>
              </w:rPr>
            </w:pPr>
            <w:r>
              <w:rPr>
                <w:rFonts w:ascii="宋体" w:hAnsi="宋体" w:cs="宋体" w:eastAsia="宋体" w:hint="default"/>
                <w:sz w:val="18"/>
                <w:szCs w:val="18"/>
              </w:rPr>
              <w:t>在被投 资单位 持股比 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59" w:right="158"/>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936"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127"/>
              <w:jc w:val="left"/>
              <w:rPr>
                <w:rFonts w:ascii="Times New Roman" w:hAnsi="Times New Roman" w:cs="Times New Roman" w:eastAsia="Times New Roman" w:hint="default"/>
                <w:sz w:val="18"/>
                <w:szCs w:val="18"/>
              </w:rPr>
            </w:pPr>
            <w:r>
              <w:rPr>
                <w:rFonts w:ascii="Times New Roman"/>
                <w:sz w:val="18"/>
              </w:rPr>
              <w:t>Heuristi</w:t>
            </w:r>
            <w:r>
              <w:rPr>
                <w:rFonts w:ascii="Times New Roman"/>
                <w:w w:val="99"/>
                <w:sz w:val="18"/>
              </w:rPr>
              <w:t> </w:t>
            </w:r>
            <w:r>
              <w:rPr>
                <w:rFonts w:ascii="Times New Roman"/>
                <w:sz w:val="18"/>
              </w:rPr>
              <w:t>c</w:t>
            </w:r>
            <w:r>
              <w:rPr>
                <w:rFonts w:ascii="Times New Roman"/>
                <w:w w:val="99"/>
                <w:sz w:val="18"/>
              </w:rPr>
              <w:t> </w:t>
            </w:r>
            <w:r>
              <w:rPr>
                <w:rFonts w:ascii="Times New Roman"/>
                <w:sz w:val="18"/>
              </w:rPr>
              <w:t>CapitalP</w:t>
            </w:r>
            <w:r>
              <w:rPr>
                <w:rFonts w:ascii="Times New Roman"/>
                <w:w w:val="99"/>
                <w:sz w:val="18"/>
              </w:rPr>
              <w:t> </w:t>
            </w:r>
            <w:r>
              <w:rPr>
                <w:rFonts w:ascii="Times New Roman"/>
                <w:sz w:val="18"/>
              </w:rPr>
              <w:t>artnersI,</w:t>
            </w:r>
            <w:r>
              <w:rPr>
                <w:rFonts w:ascii="Times New Roman"/>
                <w:w w:val="99"/>
                <w:sz w:val="18"/>
              </w:rPr>
              <w:t> </w:t>
            </w:r>
            <w:r>
              <w:rPr>
                <w:rFonts w:ascii="Times New Roman"/>
                <w:sz w:val="18"/>
              </w:rPr>
              <w:t>LP</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3,283,51</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6.07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3,283,51</w:t>
            </w:r>
          </w:p>
          <w:p>
            <w:pPr>
              <w:pStyle w:val="TableParagraph"/>
              <w:spacing w:line="240" w:lineRule="auto" w:before="106"/>
              <w:ind w:left="443" w:right="0"/>
              <w:jc w:val="left"/>
              <w:rPr>
                <w:rFonts w:ascii="Times New Roman" w:hAnsi="Times New Roman" w:cs="Times New Roman" w:eastAsia="Times New Roman" w:hint="default"/>
                <w:sz w:val="18"/>
                <w:szCs w:val="18"/>
              </w:rPr>
            </w:pPr>
            <w:r>
              <w:rPr>
                <w:rFonts w:ascii="Times New Roman"/>
                <w:sz w:val="18"/>
              </w:rPr>
              <w:t>6.07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2.94%</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91"/>
              <w:ind w:left="103" w:right="12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Ambiq Micro</w:t>
            </w:r>
            <w:r>
              <w:rPr>
                <w:rFonts w:ascii="宋体" w:hAnsi="宋体" w:cs="宋体" w:eastAsia="宋体" w:hint="default"/>
                <w:sz w:val="18"/>
                <w:szCs w:val="18"/>
              </w:rPr>
              <w:t>， </w:t>
            </w:r>
            <w:r>
              <w:rPr>
                <w:rFonts w:ascii="Times New Roman" w:hAnsi="Times New Roman" w:cs="Times New Roman" w:eastAsia="Times New Roman" w:hint="default"/>
                <w:sz w:val="18"/>
                <w:szCs w:val="18"/>
              </w:rPr>
              <w:t>Inc</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32,671,0</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32,671,0</w:t>
            </w:r>
          </w:p>
          <w:p>
            <w:pPr>
              <w:pStyle w:val="TableParagraph"/>
              <w:spacing w:line="240" w:lineRule="auto" w:before="106"/>
              <w:ind w:left="353"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4.03%</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35,954,5</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16.07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35,954,5</w:t>
            </w:r>
          </w:p>
          <w:p>
            <w:pPr>
              <w:pStyle w:val="TableParagraph"/>
              <w:spacing w:line="240" w:lineRule="auto" w:before="106"/>
              <w:ind w:left="353" w:right="0"/>
              <w:jc w:val="left"/>
              <w:rPr>
                <w:rFonts w:ascii="Times New Roman" w:hAnsi="Times New Roman" w:cs="Times New Roman" w:eastAsia="Times New Roman" w:hint="default"/>
                <w:sz w:val="18"/>
                <w:szCs w:val="18"/>
              </w:rPr>
            </w:pPr>
            <w:r>
              <w:rPr>
                <w:rFonts w:ascii="Times New Roman"/>
                <w:sz w:val="18"/>
              </w:rPr>
              <w:t>16.07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4）报告期内可供出售金融资产减值的变动情况" w:id="274"/>
      <w:bookmarkEnd w:id="274"/>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2" w:right="141" w:hanging="721"/>
              <w:jc w:val="left"/>
              <w:rPr>
                <w:rFonts w:ascii="宋体" w:hAnsi="宋体" w:cs="宋体" w:eastAsia="宋体" w:hint="default"/>
                <w:sz w:val="18"/>
                <w:szCs w:val="18"/>
              </w:rPr>
            </w:pPr>
            <w:r>
              <w:rPr>
                <w:rFonts w:ascii="宋体" w:hAnsi="宋体" w:cs="宋体" w:eastAsia="宋体" w:hint="default"/>
                <w:sz w:val="18"/>
                <w:szCs w:val="18"/>
              </w:rPr>
              <w:t>可供出售金融资产分 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5）可供出售权益工具期末公允价值严重下跌或非暂时性下跌但未计提减值准备的相关说" w:id="275"/>
      <w:bookmarkEnd w:id="275"/>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19" w:right="137" w:hanging="180"/>
              <w:jc w:val="left"/>
              <w:rPr>
                <w:rFonts w:ascii="宋体" w:hAnsi="宋体" w:cs="宋体" w:eastAsia="宋体" w:hint="default"/>
                <w:sz w:val="18"/>
                <w:szCs w:val="18"/>
              </w:rPr>
            </w:pPr>
            <w:r>
              <w:rPr>
                <w:rFonts w:ascii="宋体" w:hAnsi="宋体" w:cs="宋体" w:eastAsia="宋体" w:hint="default"/>
                <w:sz w:val="18"/>
                <w:szCs w:val="18"/>
              </w:rPr>
              <w:t>可供出售权益 工具项目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7" w:right="137"/>
              <w:jc w:val="center"/>
              <w:rPr>
                <w:rFonts w:ascii="宋体" w:hAnsi="宋体" w:cs="宋体" w:eastAsia="宋体" w:hint="default"/>
                <w:sz w:val="18"/>
                <w:szCs w:val="18"/>
              </w:rPr>
            </w:pPr>
            <w:r>
              <w:rPr>
                <w:rFonts w:ascii="宋体" w:hAnsi="宋体" w:cs="宋体" w:eastAsia="宋体" w:hint="default"/>
                <w:sz w:val="18"/>
                <w:szCs w:val="18"/>
              </w:rPr>
              <w:t>公允价值相对 于成本的下跌 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87" w:right="138" w:hanging="451"/>
              <w:jc w:val="left"/>
              <w:rPr>
                <w:rFonts w:ascii="宋体" w:hAnsi="宋体" w:cs="宋体" w:eastAsia="宋体" w:hint="default"/>
                <w:sz w:val="18"/>
                <w:szCs w:val="18"/>
              </w:rPr>
            </w:pPr>
            <w:r>
              <w:rPr>
                <w:rFonts w:ascii="宋体" w:hAnsi="宋体" w:cs="宋体" w:eastAsia="宋体" w:hint="default"/>
                <w:sz w:val="18"/>
                <w:szCs w:val="18"/>
              </w:rPr>
              <w:t>已计提减值金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87" w:right="137" w:hanging="450"/>
              <w:jc w:val="left"/>
              <w:rPr>
                <w:rFonts w:ascii="宋体" w:hAnsi="宋体" w:cs="宋体" w:eastAsia="宋体" w:hint="default"/>
                <w:sz w:val="18"/>
                <w:szCs w:val="18"/>
              </w:rPr>
            </w:pPr>
            <w:r>
              <w:rPr>
                <w:rFonts w:ascii="宋体" w:hAnsi="宋体" w:cs="宋体" w:eastAsia="宋体" w:hint="default"/>
                <w:sz w:val="18"/>
                <w:szCs w:val="18"/>
              </w:rPr>
              <w:t>未计提减值原 因</w:t>
            </w:r>
          </w:p>
        </w:tc>
      </w:tr>
    </w:tbl>
    <w:p>
      <w:pPr>
        <w:pStyle w:val="BodyText"/>
        <w:spacing w:line="357" w:lineRule="auto" w:before="51"/>
        <w:ind w:left="1133" w:right="10033"/>
        <w:jc w:val="left"/>
      </w:pPr>
      <w:r>
        <w:rPr/>
        <w:t>其他说明 无</w:t>
      </w:r>
    </w:p>
    <w:p>
      <w:pPr>
        <w:spacing w:after="0" w:line="357" w:lineRule="auto"/>
        <w:jc w:val="left"/>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1015"/>
        <w:jc w:val="left"/>
        <w:rPr>
          <w:b w:val="0"/>
          <w:bCs w:val="0"/>
        </w:rPr>
      </w:pPr>
      <w:bookmarkStart w:name="15、持有至到期投资" w:id="276"/>
      <w:bookmarkEnd w:id="276"/>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5"/>
        <w:jc w:val="left"/>
        <w:rPr>
          <w:b w:val="0"/>
          <w:bCs w:val="0"/>
        </w:rPr>
      </w:pPr>
      <w:bookmarkStart w:name="（1）持有至到期投资情况" w:id="277"/>
      <w:bookmarkEnd w:id="277"/>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1015"/>
        <w:jc w:val="left"/>
        <w:rPr>
          <w:b w:val="0"/>
          <w:bCs w:val="0"/>
        </w:rPr>
      </w:pPr>
      <w:bookmarkStart w:name="（2）期末重要的持有至到期投资" w:id="278"/>
      <w:bookmarkEnd w:id="278"/>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3"/>
        <w:spacing w:line="240" w:lineRule="auto" w:before="35"/>
        <w:ind w:right="1015"/>
        <w:jc w:val="left"/>
        <w:rPr>
          <w:b w:val="0"/>
          <w:bCs w:val="0"/>
        </w:rPr>
      </w:pPr>
      <w:bookmarkStart w:name="（3）本期重分类的持有至到期投资" w:id="279"/>
      <w:bookmarkEnd w:id="279"/>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10032"/>
        <w:jc w:val="left"/>
      </w:pPr>
      <w:r>
        <w:rPr/>
        <w:t>不适用 其他说明 无</w:t>
      </w:r>
    </w:p>
    <w:p>
      <w:pPr>
        <w:spacing w:line="240" w:lineRule="auto" w:before="2"/>
        <w:rPr>
          <w:rFonts w:ascii="宋体" w:hAnsi="宋体" w:cs="宋体" w:eastAsia="宋体" w:hint="default"/>
          <w:sz w:val="20"/>
          <w:szCs w:val="20"/>
        </w:rPr>
      </w:pPr>
    </w:p>
    <w:p>
      <w:pPr>
        <w:pStyle w:val="Heading3"/>
        <w:spacing w:line="240" w:lineRule="auto"/>
        <w:ind w:right="1015"/>
        <w:jc w:val="left"/>
        <w:rPr>
          <w:b w:val="0"/>
          <w:bCs w:val="0"/>
        </w:rPr>
      </w:pPr>
      <w:bookmarkStart w:name="16、长期应收款" w:id="280"/>
      <w:bookmarkEnd w:id="280"/>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15"/>
        <w:jc w:val="left"/>
        <w:rPr>
          <w:b w:val="0"/>
          <w:bCs w:val="0"/>
        </w:rPr>
      </w:pPr>
      <w:bookmarkStart w:name="（1）长期应收款情况" w:id="281"/>
      <w:bookmarkEnd w:id="281"/>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2）因金融资产转移而终止确认的长期应收款" w:id="282"/>
      <w:bookmarkEnd w:id="282"/>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5"/>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15"/>
        <w:jc w:val="left"/>
        <w:rPr>
          <w:b w:val="0"/>
          <w:bCs w:val="0"/>
        </w:rPr>
      </w:pPr>
      <w:bookmarkStart w:name="（3）转移长期应收款且继续涉入形成的资产、负债金额" w:id="283"/>
      <w:bookmarkEnd w:id="283"/>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133" w:right="10033"/>
        <w:jc w:val="left"/>
      </w:pPr>
      <w:r>
        <w:rPr/>
        <w:t>无 其他说明 无</w:t>
      </w:r>
    </w:p>
    <w:p>
      <w:pPr>
        <w:spacing w:line="240" w:lineRule="auto" w:before="0"/>
        <w:rPr>
          <w:rFonts w:ascii="宋体" w:hAnsi="宋体" w:cs="宋体" w:eastAsia="宋体" w:hint="default"/>
          <w:sz w:val="20"/>
          <w:szCs w:val="20"/>
        </w:rPr>
      </w:pPr>
    </w:p>
    <w:p>
      <w:pPr>
        <w:pStyle w:val="Heading3"/>
        <w:spacing w:line="240" w:lineRule="auto"/>
        <w:ind w:right="1015"/>
        <w:jc w:val="left"/>
        <w:rPr>
          <w:b w:val="0"/>
          <w:bCs w:val="0"/>
        </w:rPr>
      </w:pPr>
      <w:bookmarkStart w:name="17、长期股权投资" w:id="284"/>
      <w:bookmarkEnd w:id="284"/>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7"/>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212" w:right="123"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303" w:right="12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303" w:right="122"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6"/>
              <w:ind w:left="123" w:right="122"/>
              <w:jc w:val="left"/>
              <w:rPr>
                <w:rFonts w:ascii="宋体" w:hAnsi="宋体" w:cs="宋体" w:eastAsia="宋体" w:hint="default"/>
                <w:sz w:val="18"/>
                <w:szCs w:val="18"/>
              </w:rPr>
            </w:pPr>
            <w:r>
              <w:rPr>
                <w:rFonts w:ascii="宋体" w:hAnsi="宋体" w:cs="宋体" w:eastAsia="宋体" w:hint="default"/>
                <w:sz w:val="18"/>
                <w:szCs w:val="18"/>
              </w:rPr>
              <w:t>减值准 备期末</w:t>
            </w:r>
          </w:p>
        </w:tc>
      </w:tr>
      <w:tr>
        <w:trPr>
          <w:trHeight w:val="403"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追加投</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3" w:right="0"/>
              <w:jc w:val="left"/>
              <w:rPr>
                <w:rFonts w:ascii="宋体" w:hAnsi="宋体" w:cs="宋体" w:eastAsia="宋体" w:hint="default"/>
                <w:sz w:val="18"/>
                <w:szCs w:val="18"/>
              </w:rPr>
            </w:pPr>
            <w:r>
              <w:rPr>
                <w:rFonts w:ascii="宋体" w:hAnsi="宋体" w:cs="宋体" w:eastAsia="宋体" w:hint="default"/>
                <w:sz w:val="18"/>
                <w:szCs w:val="18"/>
              </w:rPr>
              <w:t>减少投</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3" w:right="0"/>
              <w:jc w:val="left"/>
              <w:rPr>
                <w:rFonts w:ascii="宋体" w:hAnsi="宋体" w:cs="宋体" w:eastAsia="宋体" w:hint="default"/>
                <w:sz w:val="18"/>
                <w:szCs w:val="18"/>
              </w:rPr>
            </w:pPr>
            <w:r>
              <w:rPr>
                <w:rFonts w:ascii="宋体" w:hAnsi="宋体" w:cs="宋体" w:eastAsia="宋体" w:hint="default"/>
                <w:sz w:val="18"/>
                <w:szCs w:val="18"/>
              </w:rPr>
              <w:t>其他综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3" w:right="0"/>
              <w:jc w:val="left"/>
              <w:rPr>
                <w:rFonts w:ascii="宋体" w:hAnsi="宋体" w:cs="宋体" w:eastAsia="宋体" w:hint="default"/>
                <w:sz w:val="18"/>
                <w:szCs w:val="18"/>
              </w:rPr>
            </w:pPr>
            <w:r>
              <w:rPr>
                <w:rFonts w:ascii="宋体" w:hAnsi="宋体" w:cs="宋体" w:eastAsia="宋体" w:hint="default"/>
                <w:sz w:val="18"/>
                <w:szCs w:val="18"/>
              </w:rPr>
              <w:t>其他权</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3" w:right="0"/>
              <w:jc w:val="left"/>
              <w:rPr>
                <w:rFonts w:ascii="宋体" w:hAnsi="宋体" w:cs="宋体" w:eastAsia="宋体" w:hint="default"/>
                <w:sz w:val="18"/>
                <w:szCs w:val="18"/>
              </w:rPr>
            </w:pPr>
            <w:r>
              <w:rPr>
                <w:rFonts w:ascii="宋体" w:hAnsi="宋体" w:cs="宋体" w:eastAsia="宋体" w:hint="default"/>
                <w:sz w:val="18"/>
                <w:szCs w:val="18"/>
              </w:rPr>
              <w:t>宣告发</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3" w:right="0"/>
              <w:jc w:val="left"/>
              <w:rPr>
                <w:rFonts w:ascii="宋体" w:hAnsi="宋体" w:cs="宋体" w:eastAsia="宋体" w:hint="default"/>
                <w:sz w:val="18"/>
                <w:szCs w:val="18"/>
              </w:rPr>
            </w:pPr>
            <w:r>
              <w:rPr>
                <w:rFonts w:ascii="宋体" w:hAnsi="宋体" w:cs="宋体" w:eastAsia="宋体" w:hint="default"/>
                <w:sz w:val="18"/>
                <w:szCs w:val="18"/>
              </w:rPr>
              <w:t>计提减</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98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23" w:right="123"/>
              <w:jc w:val="both"/>
              <w:rPr>
                <w:rFonts w:ascii="宋体" w:hAnsi="宋体" w:cs="宋体" w:eastAsia="宋体" w:hint="default"/>
                <w:sz w:val="18"/>
                <w:szCs w:val="18"/>
              </w:rPr>
            </w:pPr>
            <w:r>
              <w:rPr>
                <w:rFonts w:ascii="宋体" w:hAnsi="宋体" w:cs="宋体" w:eastAsia="宋体" w:hint="default"/>
                <w:sz w:val="18"/>
                <w:szCs w:val="18"/>
              </w:rPr>
              <w:t>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13" w:right="122" w:hanging="90"/>
              <w:jc w:val="left"/>
              <w:rPr>
                <w:rFonts w:ascii="宋体" w:hAnsi="宋体" w:cs="宋体" w:eastAsia="宋体" w:hint="default"/>
                <w:sz w:val="18"/>
                <w:szCs w:val="18"/>
              </w:rPr>
            </w:pPr>
            <w:r>
              <w:rPr>
                <w:rFonts w:ascii="宋体" w:hAnsi="宋体" w:cs="宋体" w:eastAsia="宋体" w:hint="default"/>
                <w:sz w:val="18"/>
                <w:szCs w:val="18"/>
              </w:rPr>
              <w:t>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3" w:right="0"/>
              <w:jc w:val="left"/>
              <w:rPr>
                <w:rFonts w:ascii="宋体" w:hAnsi="宋体" w:cs="宋体" w:eastAsia="宋体" w:hint="default"/>
                <w:sz w:val="18"/>
                <w:szCs w:val="18"/>
              </w:rPr>
            </w:pPr>
            <w:r>
              <w:rPr>
                <w:rFonts w:ascii="宋体" w:hAnsi="宋体" w:cs="宋体" w:eastAsia="宋体" w:hint="default"/>
                <w:sz w:val="18"/>
                <w:szCs w:val="18"/>
              </w:rPr>
              <w:t>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23" w:right="122"/>
              <w:jc w:val="both"/>
              <w:rPr>
                <w:rFonts w:ascii="宋体" w:hAnsi="宋体" w:cs="宋体" w:eastAsia="宋体" w:hint="default"/>
                <w:sz w:val="18"/>
                <w:szCs w:val="18"/>
              </w:rPr>
            </w:pPr>
            <w:r>
              <w:rPr>
                <w:rFonts w:ascii="宋体" w:hAnsi="宋体" w:cs="宋体" w:eastAsia="宋体" w:hint="default"/>
                <w:sz w:val="18"/>
                <w:szCs w:val="18"/>
              </w:rPr>
              <w:t>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3" w:right="0"/>
              <w:jc w:val="left"/>
              <w:rPr>
                <w:rFonts w:ascii="宋体" w:hAnsi="宋体" w:cs="宋体" w:eastAsia="宋体" w:hint="default"/>
                <w:sz w:val="18"/>
                <w:szCs w:val="18"/>
              </w:rPr>
            </w:pPr>
            <w:r>
              <w:rPr>
                <w:rFonts w:ascii="宋体" w:hAnsi="宋体" w:cs="宋体" w:eastAsia="宋体" w:hint="default"/>
                <w:sz w:val="18"/>
                <w:szCs w:val="18"/>
              </w:rPr>
              <w:t>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3" w:right="0"/>
              <w:jc w:val="left"/>
              <w:rPr>
                <w:rFonts w:ascii="宋体" w:hAnsi="宋体" w:cs="宋体" w:eastAsia="宋体" w:hint="default"/>
                <w:sz w:val="18"/>
                <w:szCs w:val="18"/>
              </w:rPr>
            </w:pPr>
            <w:r>
              <w:rPr>
                <w:rFonts w:ascii="宋体" w:hAnsi="宋体" w:cs="宋体" w:eastAsia="宋体" w:hint="default"/>
                <w:sz w:val="18"/>
                <w:szCs w:val="18"/>
              </w:rPr>
              <w:t>余额</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中山市 易恩自 动化科 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484,66</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8.62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148,79</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0.87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-322,53</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0.36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310,92</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9.13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484,66</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8.62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148,79</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0.87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-322,53</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0.36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310,92</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9.13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484,66</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8.62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148,79</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0.87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-322,53</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0.36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310,92</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9.13</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01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1015"/>
        <w:jc w:val="left"/>
        <w:rPr>
          <w:b w:val="0"/>
          <w:bCs w:val="0"/>
        </w:rPr>
      </w:pPr>
      <w:bookmarkStart w:name="18、投资性房地产" w:id="285"/>
      <w:bookmarkEnd w:id="285"/>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1）采用成本计量模式的投资性房地产" w:id="286"/>
      <w:bookmarkEnd w:id="286"/>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15"/>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1015"/>
        <w:jc w:val="left"/>
        <w:rPr>
          <w:b w:val="0"/>
          <w:bCs w:val="0"/>
        </w:rPr>
      </w:pPr>
      <w:bookmarkStart w:name="（2）采用公允价值计量模式的投资性房地产" w:id="287"/>
      <w:bookmarkEnd w:id="287"/>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15"/>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015"/>
        <w:jc w:val="left"/>
        <w:rPr>
          <w:b w:val="0"/>
          <w:bCs w:val="0"/>
        </w:rPr>
      </w:pPr>
      <w:bookmarkStart w:name="（3）未办妥产权证书的投资性房地产情况" w:id="288"/>
      <w:bookmarkEnd w:id="288"/>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357" w:lineRule="auto" w:before="51"/>
        <w:ind w:left="1133"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015"/>
        <w:jc w:val="left"/>
        <w:rPr>
          <w:b w:val="0"/>
          <w:bCs w:val="0"/>
        </w:rPr>
      </w:pPr>
      <w:bookmarkStart w:name="19、固定资产" w:id="289"/>
      <w:bookmarkEnd w:id="289"/>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1）固定资产情况" w:id="290"/>
      <w:bookmarkEnd w:id="290"/>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137"/>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1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9" w:right="0"/>
              <w:jc w:val="center"/>
              <w:rPr>
                <w:rFonts w:ascii="宋体" w:hAnsi="宋体" w:cs="宋体" w:eastAsia="宋体" w:hint="default"/>
                <w:sz w:val="18"/>
                <w:szCs w:val="18"/>
              </w:rPr>
            </w:pPr>
            <w:r>
              <w:rPr>
                <w:rFonts w:ascii="宋体" w:hAnsi="宋体" w:cs="宋体" w:eastAsia="宋体" w:hint="default"/>
                <w:spacing w:val="-3"/>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39,980,695.56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9" w:right="0"/>
              <w:jc w:val="left"/>
              <w:rPr>
                <w:rFonts w:ascii="Times New Roman" w:hAnsi="Times New Roman" w:cs="Times New Roman" w:eastAsia="Times New Roman" w:hint="default"/>
                <w:sz w:val="18"/>
                <w:szCs w:val="18"/>
              </w:rPr>
            </w:pPr>
            <w:r>
              <w:rPr>
                <w:rFonts w:ascii="Times New Roman"/>
                <w:sz w:val="18"/>
              </w:rPr>
              <w:t>31,139,142.19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8" w:right="0"/>
              <w:jc w:val="left"/>
              <w:rPr>
                <w:rFonts w:ascii="Times New Roman" w:hAnsi="Times New Roman" w:cs="Times New Roman" w:eastAsia="Times New Roman" w:hint="default"/>
                <w:sz w:val="18"/>
                <w:szCs w:val="18"/>
              </w:rPr>
            </w:pPr>
            <w:r>
              <w:rPr>
                <w:rFonts w:ascii="Times New Roman"/>
                <w:sz w:val="18"/>
              </w:rPr>
              <w:t>9,088,573.32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9" w:right="0"/>
              <w:jc w:val="left"/>
              <w:rPr>
                <w:rFonts w:ascii="Times New Roman" w:hAnsi="Times New Roman" w:cs="Times New Roman" w:eastAsia="Times New Roman" w:hint="default"/>
                <w:sz w:val="18"/>
                <w:szCs w:val="18"/>
              </w:rPr>
            </w:pPr>
            <w:r>
              <w:rPr>
                <w:rFonts w:ascii="Times New Roman"/>
                <w:sz w:val="18"/>
              </w:rPr>
              <w:t>3,107,728.09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0" w:right="0"/>
              <w:jc w:val="left"/>
              <w:rPr>
                <w:rFonts w:ascii="Times New Roman" w:hAnsi="Times New Roman" w:cs="Times New Roman" w:eastAsia="Times New Roman" w:hint="default"/>
                <w:sz w:val="18"/>
                <w:szCs w:val="18"/>
              </w:rPr>
            </w:pPr>
            <w:r>
              <w:rPr>
                <w:rFonts w:ascii="Times New Roman"/>
                <w:sz w:val="18"/>
              </w:rPr>
              <w:t>5,361,038.13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6" w:right="0"/>
              <w:jc w:val="center"/>
              <w:rPr>
                <w:rFonts w:ascii="Times New Roman" w:hAnsi="Times New Roman" w:cs="Times New Roman" w:eastAsia="Times New Roman" w:hint="default"/>
                <w:sz w:val="18"/>
                <w:szCs w:val="18"/>
              </w:rPr>
            </w:pPr>
            <w:r>
              <w:rPr>
                <w:rFonts w:ascii="Times New Roman"/>
                <w:sz w:val="18"/>
              </w:rPr>
              <w:t>88,677,177.29</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56,216,229.08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15,581,111.76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2,902,103.78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1,551,193.11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1,403,278.38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77,653,916.11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）购置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7,453,912.66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2,495,055.15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748,950.02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1,401,399.55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12,099,317.38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1" w:firstLine="35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）在建</w:t>
            </w:r>
            <w:r>
              <w:rPr>
                <w:rFonts w:ascii="宋体" w:hAnsi="宋体" w:cs="宋体" w:eastAsia="宋体" w:hint="default"/>
                <w:sz w:val="18"/>
                <w:szCs w:val="18"/>
              </w:rPr>
              <w:t> 工程转入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56,216,229.08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8,127,199.10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64,343,428.18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1" w:firstLine="35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w:t>
            </w:r>
            <w:r>
              <w:rPr>
                <w:rFonts w:ascii="宋体" w:hAnsi="宋体" w:cs="宋体" w:eastAsia="宋体" w:hint="default"/>
                <w:sz w:val="18"/>
                <w:szCs w:val="18"/>
              </w:rPr>
              <w:t> 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407,048.63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802,243.09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1,209,291.72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103" w:right="173" w:firstLine="63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 外币折算增加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1,878.83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1,878.83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39,936.94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436,537.27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83,453.20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1,954,439.58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2,514,366.99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1" w:firstLine="35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w:t>
            </w:r>
            <w:r>
              <w:rPr>
                <w:rFonts w:ascii="宋体" w:hAnsi="宋体" w:cs="宋体" w:eastAsia="宋体" w:hint="default"/>
                <w:sz w:val="18"/>
                <w:szCs w:val="18"/>
              </w:rPr>
              <w:t> 或报废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39,936.94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436,537.27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83,453.20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1,943,005.27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2,502,932.68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103" w:right="173" w:firstLine="63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外币折算减少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11,434.31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11,434.31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96,196,924.64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46,680,317.01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11,554,139.83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4,575,468.00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4,809,876.93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163,816,726.41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2"/>
              <w:jc w:val="right"/>
              <w:rPr>
                <w:rFonts w:ascii="宋体" w:hAnsi="宋体" w:cs="宋体" w:eastAsia="宋体" w:hint="default"/>
                <w:sz w:val="18"/>
                <w:szCs w:val="18"/>
              </w:rPr>
            </w:pPr>
            <w:r>
              <w:rPr>
                <w:rFonts w:ascii="宋体" w:hAnsi="宋体" w:cs="宋体" w:eastAsia="宋体" w:hint="default"/>
                <w:sz w:val="18"/>
                <w:szCs w:val="18"/>
              </w:rPr>
              <w:t>二、累计折旧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2,747,783.94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4,574,551.96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5,282,994.35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2,309,562.95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1,602,506.16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16,517,399.36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1,341,962.82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3,195,866.07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2,198,330.81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541,173.56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1,011,464.24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8,288,797.50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1,341,962.82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3,195,866.07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1,838,962.95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355,133.72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1,010,988.10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7,742,913.66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103" w:right="173" w:firstLine="63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企业合并增加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359,367.86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186,039.84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545,407.70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103" w:right="173" w:firstLine="63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 外币折算增加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476.14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476.14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16,917.12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256,249.54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70,029.90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1,158,863.13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1,502,059.69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1" w:firstLine="35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w:t>
            </w:r>
            <w:r>
              <w:rPr>
                <w:rFonts w:ascii="宋体" w:hAnsi="宋体" w:cs="宋体" w:eastAsia="宋体" w:hint="default"/>
                <w:sz w:val="18"/>
                <w:szCs w:val="18"/>
              </w:rPr>
              <w:t> 或报废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16,917.12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256,249.54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70,029.90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1,156,407.67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1,499,604.23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103" w:right="173" w:firstLine="63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外币折算减少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2,455.46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2,455.46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4,089,746.76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7,753,500.91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7,225,075.62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2,780,706.61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1,455,107.27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23,304,137.17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2"/>
              <w:jc w:val="righ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1" w:firstLine="35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w:t>
            </w:r>
            <w:r>
              <w:rPr>
                <w:rFonts w:ascii="宋体" w:hAnsi="宋体" w:cs="宋体" w:eastAsia="宋体" w:hint="default"/>
                <w:sz w:val="18"/>
                <w:szCs w:val="18"/>
              </w:rPr>
              <w:t> 或报废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92,107,177.88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38,926,816.10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4,329,064.21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1,794,761.39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3,354,769.66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140,512,589.24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37,232,911.62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26,564,590.23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3,805,578.97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798,165.14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3,758,531.97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72,159,777.93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15"/>
        <w:jc w:val="left"/>
        <w:rPr>
          <w:b w:val="0"/>
          <w:bCs w:val="0"/>
        </w:rPr>
      </w:pPr>
      <w:bookmarkStart w:name="（2）暂时闲置的固定资产情况" w:id="291"/>
      <w:bookmarkEnd w:id="291"/>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3）通过融资租赁租入的固定资产情况" w:id="292"/>
      <w:bookmarkEnd w:id="292"/>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1015"/>
        <w:jc w:val="left"/>
        <w:rPr>
          <w:b w:val="0"/>
          <w:bCs w:val="0"/>
        </w:rPr>
      </w:pPr>
      <w:bookmarkStart w:name="（4）通过经营租赁租出的固定资产" w:id="293"/>
      <w:bookmarkEnd w:id="293"/>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1015"/>
        <w:jc w:val="left"/>
        <w:rPr>
          <w:b w:val="0"/>
          <w:bCs w:val="0"/>
        </w:rPr>
      </w:pPr>
      <w:bookmarkStart w:name="（5）未办妥产权证书的固定资产情况" w:id="294"/>
      <w:bookmarkEnd w:id="294"/>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东利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号厂房工程</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21,772,731.23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月已取得不动产权证</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民众立体仓仓库工程</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9,432,367.66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东利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号厂房工程</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22,535,549.17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新建，尚未办理</w:t>
            </w:r>
          </w:p>
        </w:tc>
      </w:tr>
    </w:tbl>
    <w:p>
      <w:pPr>
        <w:pStyle w:val="BodyText"/>
        <w:spacing w:line="240" w:lineRule="auto" w:before="51"/>
        <w:ind w:right="1015"/>
        <w:jc w:val="left"/>
      </w:pPr>
      <w:r>
        <w:rPr/>
        <w:t>其他说明</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1015"/>
        <w:jc w:val="left"/>
        <w:rPr>
          <w:b w:val="0"/>
          <w:bCs w:val="0"/>
        </w:rPr>
      </w:pPr>
      <w:bookmarkStart w:name="20、在建工程" w:id="295"/>
      <w:bookmarkEnd w:id="295"/>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15"/>
        <w:jc w:val="left"/>
        <w:rPr>
          <w:b w:val="0"/>
          <w:bCs w:val="0"/>
        </w:rPr>
      </w:pPr>
      <w:bookmarkStart w:name="（1）在建工程情况" w:id="296"/>
      <w:bookmarkEnd w:id="296"/>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204"/>
              <w:jc w:val="left"/>
              <w:rPr>
                <w:rFonts w:ascii="宋体" w:hAnsi="宋体" w:cs="宋体" w:eastAsia="宋体" w:hint="default"/>
                <w:sz w:val="18"/>
                <w:szCs w:val="18"/>
              </w:rPr>
            </w:pPr>
            <w:r>
              <w:rPr>
                <w:rFonts w:ascii="宋体" w:hAnsi="宋体" w:cs="宋体" w:eastAsia="宋体" w:hint="default"/>
                <w:sz w:val="18"/>
                <w:szCs w:val="18"/>
              </w:rPr>
              <w:t>东利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号厂 房工程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6,106,703.76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6,106,703.76</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204"/>
              <w:jc w:val="left"/>
              <w:rPr>
                <w:rFonts w:ascii="宋体" w:hAnsi="宋体" w:cs="宋体" w:eastAsia="宋体" w:hint="default"/>
                <w:sz w:val="18"/>
                <w:szCs w:val="18"/>
              </w:rPr>
            </w:pPr>
            <w:r>
              <w:rPr>
                <w:rFonts w:ascii="宋体" w:hAnsi="宋体" w:cs="宋体" w:eastAsia="宋体" w:hint="default"/>
                <w:sz w:val="18"/>
                <w:szCs w:val="18"/>
              </w:rPr>
              <w:t>东利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号厂 房工程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13,413,718.32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13,413,718.32</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民众立体仓库 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7,549,078.13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7,549,078.13</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74"/>
              <w:jc w:val="left"/>
              <w:rPr>
                <w:rFonts w:ascii="宋体" w:hAnsi="宋体" w:cs="宋体" w:eastAsia="宋体" w:hint="default"/>
                <w:sz w:val="18"/>
                <w:szCs w:val="18"/>
              </w:rPr>
            </w:pPr>
            <w:r>
              <w:rPr>
                <w:rFonts w:ascii="宋体" w:hAnsi="宋体" w:cs="宋体" w:eastAsia="宋体" w:hint="default"/>
                <w:sz w:val="18"/>
                <w:szCs w:val="18"/>
              </w:rPr>
              <w:t>东利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号研发 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378,113.20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378,113.20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95,094.34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95,094.34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420,883.64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420,883.64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495,755.42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495,755.42</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易恩科技自动 化设备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3,249,775.92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3,249,775.92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4,260,976.92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4,260,976.92</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设备及其他长 期资产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8,250,667.35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8,250,667.35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6,626,955.91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6,626,955.91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12,299,440.11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12,299,440.11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38,548,282.80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38,548,282.80</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2）重要在建工程项目本期变动情况" w:id="297"/>
      <w:bookmarkEnd w:id="297"/>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961"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1" w:right="179"/>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2" w:right="181" w:hanging="90"/>
              <w:jc w:val="left"/>
              <w:rPr>
                <w:rFonts w:ascii="宋体" w:hAnsi="宋体" w:cs="宋体" w:eastAsia="宋体" w:hint="default"/>
                <w:sz w:val="18"/>
                <w:szCs w:val="18"/>
              </w:rPr>
            </w:pPr>
            <w:r>
              <w:rPr>
                <w:rFonts w:ascii="宋体" w:hAnsi="宋体" w:cs="宋体" w:eastAsia="宋体" w:hint="default"/>
                <w:sz w:val="18"/>
                <w:szCs w:val="18"/>
              </w:rPr>
              <w:t>预算 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本期 增加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82" w:right="182"/>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181"/>
              <w:jc w:val="both"/>
              <w:rPr>
                <w:rFonts w:ascii="宋体" w:hAnsi="宋体" w:cs="宋体" w:eastAsia="宋体" w:hint="default"/>
                <w:sz w:val="18"/>
                <w:szCs w:val="18"/>
              </w:rPr>
            </w:pPr>
            <w:r>
              <w:rPr>
                <w:rFonts w:ascii="宋体" w:hAnsi="宋体" w:cs="宋体" w:eastAsia="宋体" w:hint="default"/>
                <w:sz w:val="18"/>
                <w:szCs w:val="18"/>
              </w:rPr>
              <w:t>工程 累计 投入 占预 算比 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3"/>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80" w:hanging="80"/>
              <w:jc w:val="left"/>
              <w:rPr>
                <w:rFonts w:ascii="宋体" w:hAnsi="宋体" w:cs="宋体" w:eastAsia="宋体" w:hint="default"/>
                <w:sz w:val="18"/>
                <w:szCs w:val="18"/>
              </w:rPr>
            </w:pPr>
            <w:r>
              <w:rPr>
                <w:rFonts w:ascii="宋体" w:hAnsi="宋体" w:cs="宋体" w:eastAsia="宋体" w:hint="default"/>
                <w:sz w:val="18"/>
                <w:szCs w:val="18"/>
              </w:rPr>
              <w:t>其中： 本期 利息 资本 化金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82" w:right="182"/>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东利</w:t>
            </w:r>
          </w:p>
          <w:p>
            <w:pPr>
              <w:pStyle w:val="TableParagraph"/>
              <w:spacing w:line="240" w:lineRule="auto" w:before="7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319" w:lineRule="auto" w:before="63"/>
              <w:ind w:left="103" w:right="257"/>
              <w:jc w:val="left"/>
              <w:rPr>
                <w:rFonts w:ascii="宋体" w:hAnsi="宋体" w:cs="宋体" w:eastAsia="宋体" w:hint="default"/>
                <w:sz w:val="18"/>
                <w:szCs w:val="18"/>
              </w:rPr>
            </w:pPr>
            <w:r>
              <w:rPr>
                <w:rFonts w:ascii="宋体" w:hAnsi="宋体" w:cs="宋体" w:eastAsia="宋体" w:hint="default"/>
                <w:sz w:val="18"/>
                <w:szCs w:val="18"/>
              </w:rPr>
              <w:t>厂房 工程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6,106,</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703.76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16,693</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,169.7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22,799</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,873.5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东利</w:t>
            </w:r>
          </w:p>
          <w:p>
            <w:pPr>
              <w:pStyle w:val="TableParagraph"/>
              <w:spacing w:line="240" w:lineRule="auto" w:before="7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319" w:lineRule="auto" w:before="63"/>
              <w:ind w:left="103" w:right="257"/>
              <w:jc w:val="left"/>
              <w:rPr>
                <w:rFonts w:ascii="宋体" w:hAnsi="宋体" w:cs="宋体" w:eastAsia="宋体" w:hint="default"/>
                <w:sz w:val="18"/>
                <w:szCs w:val="18"/>
              </w:rPr>
            </w:pPr>
            <w:r>
              <w:rPr>
                <w:rFonts w:ascii="宋体" w:hAnsi="宋体" w:cs="宋体" w:eastAsia="宋体" w:hint="default"/>
                <w:sz w:val="18"/>
                <w:szCs w:val="18"/>
              </w:rPr>
              <w:t>厂房 工程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13,413</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,718.3</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10,690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,953.8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24,104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,672.1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173,59</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7.40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108,21</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1.06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03" w:right="260"/>
              <w:jc w:val="both"/>
              <w:rPr>
                <w:rFonts w:ascii="宋体" w:hAnsi="宋体" w:cs="宋体" w:eastAsia="宋体" w:hint="default"/>
                <w:sz w:val="18"/>
                <w:szCs w:val="18"/>
              </w:rPr>
            </w:pPr>
            <w:r>
              <w:rPr>
                <w:rFonts w:ascii="宋体" w:hAnsi="宋体" w:cs="宋体" w:eastAsia="宋体" w:hint="default"/>
                <w:sz w:val="18"/>
                <w:szCs w:val="18"/>
              </w:rPr>
              <w:t>金融 机构 贷款</w:t>
            </w: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民众</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72" w:right="0"/>
              <w:jc w:val="left"/>
              <w:rPr>
                <w:rFonts w:ascii="Times New Roman" w:hAnsi="Times New Roman" w:cs="Times New Roman" w:eastAsia="Times New Roman" w:hint="default"/>
                <w:sz w:val="18"/>
                <w:szCs w:val="18"/>
              </w:rPr>
            </w:pPr>
            <w:r>
              <w:rPr>
                <w:rFonts w:ascii="Times New Roman"/>
                <w:sz w:val="18"/>
              </w:rPr>
              <w:t>7,549,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72" w:right="0"/>
              <w:jc w:val="left"/>
              <w:rPr>
                <w:rFonts w:ascii="Times New Roman" w:hAnsi="Times New Roman" w:cs="Times New Roman" w:eastAsia="Times New Roman" w:hint="default"/>
                <w:sz w:val="18"/>
                <w:szCs w:val="18"/>
              </w:rPr>
            </w:pPr>
            <w:r>
              <w:rPr>
                <w:rFonts w:ascii="Times New Roman"/>
                <w:sz w:val="18"/>
              </w:rPr>
              <w:t>9,889,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8" w:right="0"/>
              <w:jc w:val="left"/>
              <w:rPr>
                <w:rFonts w:ascii="Times New Roman" w:hAnsi="Times New Roman" w:cs="Times New Roman" w:eastAsia="Times New Roman" w:hint="default"/>
                <w:sz w:val="18"/>
                <w:szCs w:val="18"/>
              </w:rPr>
            </w:pPr>
            <w:r>
              <w:rPr>
                <w:rFonts w:ascii="Times New Roman"/>
                <w:sz w:val="18"/>
              </w:rPr>
              <w:t>17,438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98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57"/>
              <w:jc w:val="both"/>
              <w:rPr>
                <w:rFonts w:ascii="宋体" w:hAnsi="宋体" w:cs="宋体" w:eastAsia="宋体" w:hint="default"/>
                <w:sz w:val="18"/>
                <w:szCs w:val="18"/>
              </w:rPr>
            </w:pPr>
            <w:r>
              <w:rPr>
                <w:rFonts w:ascii="宋体" w:hAnsi="宋体" w:cs="宋体" w:eastAsia="宋体" w:hint="default"/>
                <w:sz w:val="18"/>
                <w:szCs w:val="18"/>
              </w:rPr>
              <w:t>立体 仓库 工程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Times New Roman" w:hAnsi="Times New Roman" w:cs="Times New Roman" w:eastAsia="Times New Roman" w:hint="default"/>
                <w:sz w:val="18"/>
                <w:szCs w:val="18"/>
              </w:rPr>
            </w:pPr>
            <w:r>
              <w:rPr>
                <w:rFonts w:ascii="Times New Roman"/>
                <w:sz w:val="18"/>
              </w:rPr>
              <w:t>078.13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Times New Roman" w:hAnsi="Times New Roman" w:cs="Times New Roman" w:eastAsia="Times New Roman" w:hint="default"/>
                <w:sz w:val="18"/>
                <w:szCs w:val="18"/>
              </w:rPr>
            </w:pPr>
            <w:r>
              <w:rPr>
                <w:rFonts w:ascii="Times New Roman"/>
                <w:sz w:val="18"/>
              </w:rPr>
              <w:t>804.42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,882.5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27,069</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,500.2</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37,273</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,927.9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64,343</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,428.1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173,59</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7.40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108,21</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1.06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3）本期计提在建工程减值准备情况" w:id="298"/>
      <w:bookmarkEnd w:id="298"/>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357" w:lineRule="auto" w:before="52"/>
        <w:ind w:left="1133"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015"/>
        <w:jc w:val="left"/>
        <w:rPr>
          <w:b w:val="0"/>
          <w:bCs w:val="0"/>
        </w:rPr>
      </w:pPr>
      <w:bookmarkStart w:name="21、工程物资" w:id="299"/>
      <w:bookmarkEnd w:id="299"/>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1"/>
        <w:ind w:left="1133"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1015"/>
        <w:jc w:val="left"/>
        <w:rPr>
          <w:b w:val="0"/>
          <w:bCs w:val="0"/>
        </w:rPr>
      </w:pPr>
      <w:bookmarkStart w:name="22、固定资产清理" w:id="300"/>
      <w:bookmarkEnd w:id="300"/>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2"/>
        <w:ind w:left="1133"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015"/>
        <w:jc w:val="left"/>
        <w:rPr>
          <w:b w:val="0"/>
          <w:bCs w:val="0"/>
        </w:rPr>
      </w:pPr>
      <w:bookmarkStart w:name="23、生产性生物资产" w:id="301"/>
      <w:bookmarkEnd w:id="301"/>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5"/>
        <w:jc w:val="left"/>
        <w:rPr>
          <w:b w:val="0"/>
          <w:bCs w:val="0"/>
        </w:rPr>
      </w:pPr>
      <w:bookmarkStart w:name="（1）采用成本计量模式的生产性生物资产" w:id="302"/>
      <w:bookmarkEnd w:id="302"/>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1015"/>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1015"/>
        <w:jc w:val="left"/>
        <w:rPr>
          <w:b w:val="0"/>
          <w:bCs w:val="0"/>
        </w:rPr>
      </w:pPr>
      <w:bookmarkStart w:name="（2）采用公允价值计量模式的生产性生物资产" w:id="303"/>
      <w:bookmarkEnd w:id="303"/>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15"/>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1015"/>
        <w:jc w:val="left"/>
        <w:rPr>
          <w:b w:val="0"/>
          <w:bCs w:val="0"/>
        </w:rPr>
      </w:pPr>
      <w:bookmarkStart w:name="24、油气资产" w:id="304"/>
      <w:bookmarkEnd w:id="304"/>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15"/>
        <w:jc w:val="left"/>
      </w:pPr>
      <w:r>
        <w:rPr/>
        <w:t>□ 适用 √ 不适用</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1015"/>
        <w:jc w:val="left"/>
        <w:rPr>
          <w:b w:val="0"/>
          <w:bCs w:val="0"/>
        </w:rPr>
      </w:pPr>
      <w:bookmarkStart w:name="25、无形资产" w:id="305"/>
      <w:bookmarkEnd w:id="305"/>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15"/>
        <w:jc w:val="left"/>
        <w:rPr>
          <w:b w:val="0"/>
          <w:bCs w:val="0"/>
        </w:rPr>
      </w:pPr>
      <w:bookmarkStart w:name="（1）无形资产情况" w:id="306"/>
      <w:bookmarkEnd w:id="306"/>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15"/>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号——上市公司从事互联网游戏业务》的披露要求</w:t>
      </w:r>
    </w:p>
    <w:p>
      <w:pPr>
        <w:pStyle w:val="BodyText"/>
        <w:spacing w:line="240" w:lineRule="auto" w:before="102"/>
        <w:ind w:left="1133" w:right="1015"/>
        <w:jc w:val="left"/>
      </w:pPr>
      <w:r>
        <w:rPr/>
        <w:t>□ 是 √ 否</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2"/>
              <w:jc w:val="righ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33,812,822.90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5,942,823.15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39,755,646.14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3,132,715.32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209,000.00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3,341,715.32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w:t>
            </w:r>
            <w:r>
              <w:rPr>
                <w:rFonts w:ascii="宋体" w:hAnsi="宋体" w:cs="宋体" w:eastAsia="宋体"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3,132,715.32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209,000.00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3,341,715.32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10" w:firstLine="53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w:t>
            </w:r>
            <w:r>
              <w:rPr>
                <w:rFonts w:ascii="宋体" w:hAnsi="宋体" w:cs="宋体" w:eastAsia="宋体" w:hint="default"/>
                <w:spacing w:val="-10"/>
                <w:sz w:val="18"/>
                <w:szCs w:val="18"/>
              </w:rPr>
              <w:t> </w:t>
            </w:r>
            <w:r>
              <w:rPr>
                <w:rFonts w:ascii="宋体" w:hAnsi="宋体" w:cs="宋体" w:eastAsia="宋体" w:hint="default"/>
                <w:sz w:val="18"/>
                <w:szCs w:val="18"/>
              </w:rPr>
              <w:t>部研发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10" w:firstLine="53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w:t>
            </w:r>
            <w:r>
              <w:rPr>
                <w:rFonts w:ascii="宋体" w:hAnsi="宋体" w:cs="宋体" w:eastAsia="宋体" w:hint="default"/>
                <w:spacing w:val="-10"/>
                <w:sz w:val="18"/>
                <w:szCs w:val="18"/>
              </w:rPr>
              <w:t> </w:t>
            </w:r>
            <w:r>
              <w:rPr>
                <w:rFonts w:ascii="宋体" w:hAnsi="宋体" w:cs="宋体" w:eastAsia="宋体" w:hint="default"/>
                <w:sz w:val="18"/>
                <w:szCs w:val="18"/>
              </w:rPr>
              <w:t>业合并增加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w:t>
            </w:r>
            <w:r>
              <w:rPr>
                <w:rFonts w:ascii="宋体" w:hAnsi="宋体" w:cs="宋体" w:eastAsia="宋体"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33,812,822.90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9,075,538.47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209,000.00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43,097,361.46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2"/>
              <w:jc w:val="right"/>
              <w:rPr>
                <w:rFonts w:ascii="宋体" w:hAnsi="宋体" w:cs="宋体" w:eastAsia="宋体" w:hint="default"/>
                <w:sz w:val="18"/>
                <w:szCs w:val="18"/>
              </w:rPr>
            </w:pPr>
            <w:r>
              <w:rPr>
                <w:rFonts w:ascii="宋体" w:hAnsi="宋体" w:cs="宋体" w:eastAsia="宋体" w:hint="default"/>
                <w:sz w:val="18"/>
                <w:szCs w:val="18"/>
              </w:rPr>
              <w:t>二、累计摊销</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3,119,713.22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1,956,863.52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5,076,576.74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780,180.12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890,804.32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8,708.33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1,679,692.77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w:t>
            </w:r>
            <w:r>
              <w:rPr>
                <w:rFonts w:ascii="宋体" w:hAnsi="宋体" w:cs="宋体" w:eastAsia="宋体"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780,180.12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890,804.32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8,708.33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1,679,692.77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3,899,893.34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2,847,667.84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8,708.33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6,756,269.51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w:t>
            </w:r>
            <w:r>
              <w:rPr>
                <w:rFonts w:ascii="宋体" w:hAnsi="宋体" w:cs="宋体" w:eastAsia="宋体"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29,912,929.65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6,227,870.63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200,291.67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36,341,091.95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30,693,109.77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3,985,959.63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34,679,069.40</w:t>
            </w:r>
          </w:p>
        </w:tc>
      </w:tr>
    </w:tbl>
    <w:p>
      <w:pPr>
        <w:pStyle w:val="BodyText"/>
        <w:spacing w:line="240" w:lineRule="auto" w:before="51"/>
        <w:ind w:right="1015"/>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3"/>
        <w:spacing w:line="240" w:lineRule="auto"/>
        <w:ind w:left="1133" w:right="1015"/>
        <w:jc w:val="left"/>
        <w:rPr>
          <w:b w:val="0"/>
          <w:bCs w:val="0"/>
        </w:rPr>
      </w:pPr>
      <w:bookmarkStart w:name="（2）未办妥产权证书的土地使用权情况" w:id="307"/>
      <w:bookmarkEnd w:id="307"/>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357" w:lineRule="auto" w:before="51"/>
        <w:ind w:left="1133" w:right="7153"/>
        <w:jc w:val="left"/>
      </w:pPr>
      <w:r>
        <w:rPr/>
        <w:t>其他说明： 本期内无未办妥产权证书的土地使用权情况。</w:t>
      </w:r>
    </w:p>
    <w:p>
      <w:pPr>
        <w:spacing w:line="240" w:lineRule="auto" w:before="2"/>
        <w:rPr>
          <w:rFonts w:ascii="宋体" w:hAnsi="宋体" w:cs="宋体" w:eastAsia="宋体" w:hint="default"/>
          <w:sz w:val="20"/>
          <w:szCs w:val="20"/>
        </w:rPr>
      </w:pPr>
    </w:p>
    <w:p>
      <w:pPr>
        <w:pStyle w:val="Heading3"/>
        <w:spacing w:line="240" w:lineRule="auto"/>
        <w:ind w:left="1133" w:right="1015"/>
        <w:jc w:val="left"/>
        <w:rPr>
          <w:b w:val="0"/>
          <w:bCs w:val="0"/>
        </w:rPr>
      </w:pPr>
      <w:bookmarkStart w:name="26、开发支出" w:id="308"/>
      <w:bookmarkEnd w:id="308"/>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1"/>
        <w:ind w:left="1133" w:right="10033"/>
        <w:jc w:val="left"/>
      </w:pPr>
      <w:r>
        <w:rPr/>
        <w:t>其他说明 无</w:t>
      </w:r>
    </w:p>
    <w:p>
      <w:pPr>
        <w:spacing w:after="0" w:line="357" w:lineRule="auto"/>
        <w:jc w:val="left"/>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1015"/>
        <w:jc w:val="left"/>
        <w:rPr>
          <w:b w:val="0"/>
          <w:bCs w:val="0"/>
        </w:rPr>
      </w:pPr>
      <w:bookmarkStart w:name="27、商誉" w:id="309"/>
      <w:bookmarkEnd w:id="309"/>
      <w:r>
        <w:rPr>
          <w:b w:val="0"/>
          <w:bCs w:val="0"/>
        </w:rPr>
      </w:r>
      <w:r>
        <w:rPr>
          <w:rFonts w:ascii="Times New Roman" w:hAnsi="Times New Roman" w:cs="Times New Roman" w:eastAsia="Times New Roman" w:hint="default"/>
        </w:rPr>
        <w:t>27</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1）商誉账面原值" w:id="310"/>
      <w:bookmarkEnd w:id="310"/>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8"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103" w:right="172"/>
              <w:jc w:val="both"/>
              <w:rPr>
                <w:rFonts w:ascii="宋体" w:hAnsi="宋体" w:cs="宋体" w:eastAsia="宋体" w:hint="default"/>
                <w:sz w:val="18"/>
                <w:szCs w:val="18"/>
              </w:rPr>
            </w:pPr>
            <w:r>
              <w:rPr>
                <w:rFonts w:ascii="宋体" w:hAnsi="宋体" w:cs="宋体" w:eastAsia="宋体" w:hint="default"/>
                <w:sz w:val="18"/>
                <w:szCs w:val="18"/>
              </w:rPr>
              <w:t>深圳市瑞康宏 业科技开发有 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20,681,165.45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20,681,165.45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20,681,165.45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6" w:right="0"/>
              <w:jc w:val="center"/>
              <w:rPr>
                <w:rFonts w:ascii="Times New Roman" w:hAnsi="Times New Roman" w:cs="Times New Roman" w:eastAsia="Times New Roman" w:hint="default"/>
                <w:sz w:val="18"/>
                <w:szCs w:val="18"/>
              </w:rPr>
            </w:pPr>
            <w:r>
              <w:rPr>
                <w:rFonts w:ascii="Times New Roman"/>
                <w:sz w:val="18"/>
              </w:rPr>
              <w:t>20,681,165.45</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2）商誉减值准备" w:id="311"/>
      <w:bookmarkEnd w:id="311"/>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8"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2"/>
        <w:ind w:right="6072"/>
        <w:jc w:val="left"/>
      </w:pPr>
      <w:r>
        <w:rPr/>
        <w:t>说明商誉减值测试过程、参数及商誉减值损失的确认方法： 其他说明</w:t>
      </w:r>
    </w:p>
    <w:p>
      <w:pPr>
        <w:pStyle w:val="BodyText"/>
        <w:spacing w:line="316" w:lineRule="auto" w:before="28"/>
        <w:ind w:right="1122"/>
        <w:jc w:val="left"/>
      </w:pPr>
      <w:r>
        <w:rPr/>
        <w:t>公司收购深圳市瑞康宏业科技开发有限公司现金支付对价</w:t>
      </w:r>
      <w:r>
        <w:rPr>
          <w:rFonts w:ascii="宋体" w:hAnsi="宋体" w:cs="宋体" w:eastAsia="宋体" w:hint="default"/>
        </w:rPr>
        <w:t>23,000,000.00</w:t>
      </w:r>
      <w:r>
        <w:rPr/>
        <w:t>元，合并成本超过购买日可辨认资产、负债公允价</w:t>
      </w:r>
      <w:r>
        <w:rPr>
          <w:spacing w:val="-83"/>
        </w:rPr>
        <w:t> </w:t>
      </w:r>
      <w:r>
        <w:rPr>
          <w:spacing w:val="-83"/>
        </w:rPr>
      </w:r>
      <w:r>
        <w:rPr/>
        <w:t>值</w:t>
      </w:r>
      <w:r>
        <w:rPr>
          <w:rFonts w:ascii="宋体" w:hAnsi="宋体" w:cs="宋体" w:eastAsia="宋体" w:hint="default"/>
        </w:rPr>
        <w:t>20,681,165.45</w:t>
      </w:r>
      <w:r>
        <w:rPr/>
        <w:t>元确认为商誉。</w:t>
      </w:r>
    </w:p>
    <w:p>
      <w:pPr>
        <w:spacing w:line="240" w:lineRule="auto" w:before="7"/>
        <w:rPr>
          <w:rFonts w:ascii="宋体" w:hAnsi="宋体" w:cs="宋体" w:eastAsia="宋体" w:hint="default"/>
          <w:sz w:val="22"/>
          <w:szCs w:val="22"/>
        </w:rPr>
      </w:pPr>
    </w:p>
    <w:p>
      <w:pPr>
        <w:pStyle w:val="Heading3"/>
        <w:spacing w:line="240" w:lineRule="auto"/>
        <w:ind w:left="1133" w:right="1015"/>
        <w:jc w:val="left"/>
        <w:rPr>
          <w:b w:val="0"/>
          <w:bCs w:val="0"/>
        </w:rPr>
      </w:pPr>
      <w:bookmarkStart w:name="28、长期待摊费用" w:id="312"/>
      <w:bookmarkEnd w:id="312"/>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装修工程</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3,807,810.27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2,103,796.02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3,674,941.09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2,236,665.20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广告代言费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19,435,152.95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7,285,639.93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12,149,513.02</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库珀有氧健康项 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9,433,962.26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235,849.05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9,198,113.21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6"/>
                <w:szCs w:val="16"/>
              </w:rPr>
            </w:pPr>
            <w:r>
              <w:rPr>
                <w:rFonts w:ascii="Times New Roman"/>
                <w:w w:val="95"/>
                <w:sz w:val="16"/>
              </w:rPr>
              <w:t>3,807,810.27</w:t>
            </w:r>
            <w:r>
              <w:rPr>
                <w:rFonts w:ascii="Times New Roman"/>
                <w:sz w:val="16"/>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30,972,911.23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11,196,430.07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23,584,291.43</w:t>
            </w:r>
          </w:p>
        </w:tc>
      </w:tr>
    </w:tbl>
    <w:p>
      <w:pPr>
        <w:pStyle w:val="BodyText"/>
        <w:spacing w:line="240" w:lineRule="auto" w:before="51"/>
        <w:ind w:right="101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1015"/>
        <w:jc w:val="left"/>
        <w:rPr>
          <w:b w:val="0"/>
          <w:bCs w:val="0"/>
        </w:rPr>
      </w:pPr>
      <w:bookmarkStart w:name="29、递延所得税资产/递延所得税负债" w:id="313"/>
      <w:bookmarkEnd w:id="313"/>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1015"/>
        <w:jc w:val="left"/>
        <w:rPr>
          <w:b w:val="0"/>
          <w:bCs w:val="0"/>
        </w:rPr>
      </w:pPr>
      <w:bookmarkStart w:name="（1）未经抵销的递延所得税资产" w:id="314"/>
      <w:bookmarkEnd w:id="314"/>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8,959,458.29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1,734,191.77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6,281,399.43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1,128,423.81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10,535,734.37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2,615,398.50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5,111,477.74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1,248,756.83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19,495,192.66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4,349,590.27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11,392,877.17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2,377,180.64</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2）未经抵销的递延所得税负债" w:id="315"/>
      <w:bookmarkEnd w:id="315"/>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可供出售金融资产公 允价值变动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934,600.00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140,190.00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934,600.00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140,190.00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3）以抵销后净额列示的递延所得税资产或负债" w:id="316"/>
      <w:bookmarkEnd w:id="316"/>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22" w:right="142"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31" w:right="140" w:hanging="90"/>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21" w:right="141"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31" w:right="140" w:hanging="90"/>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4,349,590.27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6" w:right="0"/>
              <w:jc w:val="left"/>
              <w:rPr>
                <w:rFonts w:ascii="Times New Roman" w:hAnsi="Times New Roman" w:cs="Times New Roman" w:eastAsia="Times New Roman" w:hint="default"/>
                <w:sz w:val="18"/>
                <w:szCs w:val="18"/>
              </w:rPr>
            </w:pPr>
            <w:r>
              <w:rPr>
                <w:rFonts w:ascii="Times New Roman"/>
                <w:sz w:val="18"/>
              </w:rPr>
              <w:t>2,377,180.64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140,190.00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4）未确认递延所得税资产明细" w:id="317"/>
      <w:bookmarkEnd w:id="317"/>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right="1015"/>
        <w:jc w:val="left"/>
        <w:rPr>
          <w:b w:val="0"/>
          <w:bCs w:val="0"/>
        </w:rPr>
      </w:pPr>
      <w:bookmarkStart w:name="（5）未确认递延所得税资产的可抵扣亏损将于以下年度到期" w:id="318"/>
      <w:bookmarkEnd w:id="318"/>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1"/>
        <w:ind w:right="101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1015"/>
        <w:jc w:val="left"/>
        <w:rPr>
          <w:b w:val="0"/>
          <w:bCs w:val="0"/>
        </w:rPr>
      </w:pPr>
      <w:bookmarkStart w:name="30、其他非流动资产" w:id="319"/>
      <w:bookmarkEnd w:id="319"/>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015"/>
        <w:jc w:val="left"/>
      </w:pPr>
      <w:r>
        <w:rPr/>
        <w:t>其他说明：</w:t>
      </w:r>
    </w:p>
    <w:p>
      <w:pPr>
        <w:spacing w:after="0" w:line="240"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240" w:lineRule="auto" w:before="44"/>
        <w:ind w:right="1015"/>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15"/>
        <w:jc w:val="left"/>
        <w:rPr>
          <w:b w:val="0"/>
          <w:bCs w:val="0"/>
        </w:rPr>
      </w:pPr>
      <w:bookmarkStart w:name="31、短期借款" w:id="320"/>
      <w:bookmarkEnd w:id="320"/>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15"/>
        <w:jc w:val="left"/>
        <w:rPr>
          <w:b w:val="0"/>
          <w:bCs w:val="0"/>
        </w:rPr>
      </w:pPr>
      <w:bookmarkStart w:name="（1）短期借款分类" w:id="321"/>
      <w:bookmarkEnd w:id="321"/>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19,602,600.00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担保借款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9,474,590.00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29,077,190.00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1"/>
        <w:ind w:left="1241" w:right="1127" w:hanging="108"/>
        <w:jc w:val="left"/>
      </w:pPr>
      <w:r>
        <w:rPr/>
        <w:t>短期借款分类的说明： 说明：</w:t>
      </w:r>
      <w:r>
        <w:rPr>
          <w:rFonts w:ascii="宋体" w:hAnsi="宋体" w:cs="宋体" w:eastAsia="宋体" w:hint="default"/>
        </w:rPr>
        <w:t>1</w:t>
      </w:r>
      <w:r>
        <w:rPr/>
        <w:t>、公司同中国工商银行股份有限公司中山高新技术开发区支行（以下简称“工行高新支行”）签订编号为“</w:t>
      </w:r>
      <w:r>
        <w:rPr>
          <w:rFonts w:ascii="宋体" w:hAnsi="宋体" w:cs="宋体" w:eastAsia="宋体" w:hint="default"/>
        </w:rPr>
        <w:t>2017 </w:t>
      </w:r>
      <w:r>
        <w:rPr>
          <w:spacing w:val="-1"/>
        </w:rPr>
        <w:t>年</w:t>
      </w:r>
      <w:r>
        <w:rPr>
          <w:rFonts w:ascii="宋体" w:hAnsi="宋体" w:cs="宋体" w:eastAsia="宋体" w:hint="default"/>
          <w:spacing w:val="-1"/>
        </w:rPr>
        <w:t>20110229</w:t>
      </w:r>
      <w:r>
        <w:rPr>
          <w:rFonts w:ascii="Times New Roman" w:hAnsi="Times New Roman" w:cs="Times New Roman" w:eastAsia="Times New Roman" w:hint="default"/>
          <w:spacing w:val="-1"/>
        </w:rPr>
        <w:t>CF</w:t>
      </w:r>
      <w:r>
        <w:rPr>
          <w:spacing w:val="-1"/>
        </w:rPr>
        <w:t>字第</w:t>
      </w:r>
      <w:r>
        <w:rPr>
          <w:rFonts w:ascii="宋体" w:hAnsi="宋体" w:cs="宋体" w:eastAsia="宋体" w:hint="default"/>
          <w:spacing w:val="-1"/>
        </w:rPr>
        <w:t>46783301</w:t>
      </w:r>
      <w:r>
        <w:rPr>
          <w:spacing w:val="-1"/>
        </w:rPr>
        <w:t>号”《出口发票融资业务总协议》，工行高新支行依据融资合同的约定向公司提供融资用于经</w:t>
      </w:r>
    </w:p>
    <w:p>
      <w:pPr>
        <w:pStyle w:val="BodyText"/>
        <w:spacing w:line="230" w:lineRule="exact"/>
        <w:ind w:left="1241" w:right="1015"/>
        <w:jc w:val="left"/>
      </w:pPr>
      <w:r>
        <w:rPr/>
        <w:t>营周转，截止资产负债表日公司实际向该行借款</w:t>
      </w:r>
      <w:r>
        <w:rPr>
          <w:rFonts w:ascii="Times New Roman" w:hAnsi="Times New Roman" w:cs="Times New Roman" w:eastAsia="Times New Roman" w:hint="default"/>
        </w:rPr>
        <w:t>150</w:t>
      </w:r>
      <w:r>
        <w:rPr/>
        <w:t>万美元，根据期末汇率折算为人民币金额为</w:t>
      </w:r>
      <w:r>
        <w:rPr>
          <w:rFonts w:ascii="Times New Roman" w:hAnsi="Times New Roman" w:cs="Times New Roman" w:eastAsia="Times New Roman" w:hint="default"/>
        </w:rPr>
        <w:t>9,801,300.00</w:t>
      </w:r>
      <w:r>
        <w:rPr/>
        <w:t>元。</w:t>
      </w:r>
    </w:p>
    <w:p>
      <w:pPr>
        <w:pStyle w:val="BodyText"/>
        <w:spacing w:line="307" w:lineRule="auto" w:before="63"/>
        <w:ind w:left="1242" w:right="1015"/>
        <w:jc w:val="left"/>
      </w:pPr>
      <w:r>
        <w:rPr>
          <w:rFonts w:ascii="Times New Roman" w:hAnsi="Times New Roman" w:cs="Times New Roman" w:eastAsia="Times New Roman" w:hint="default"/>
          <w:spacing w:val="-2"/>
        </w:rPr>
        <w:t>2</w:t>
      </w:r>
      <w:r>
        <w:rPr>
          <w:spacing w:val="-2"/>
        </w:rPr>
        <w:t>、公司同中国建设银行股份有限公司中山市分行（以下简称“建行中山分行”）签订编号为“</w:t>
      </w:r>
      <w:r>
        <w:rPr>
          <w:rFonts w:ascii="宋体" w:hAnsi="宋体" w:cs="宋体" w:eastAsia="宋体" w:hint="default"/>
          <w:spacing w:val="-2"/>
        </w:rPr>
        <w:t>2017</w:t>
      </w:r>
      <w:r>
        <w:rPr>
          <w:spacing w:val="-2"/>
        </w:rPr>
        <w:t>年票总字第</w:t>
      </w:r>
      <w:r>
        <w:rPr>
          <w:rFonts w:ascii="宋体" w:hAnsi="宋体" w:cs="宋体" w:eastAsia="宋体" w:hint="default"/>
          <w:spacing w:val="-2"/>
        </w:rPr>
        <w:t>76</w:t>
      </w:r>
      <w:r>
        <w:rPr>
          <w:spacing w:val="-2"/>
        </w:rPr>
        <w:t>号”《出</w:t>
      </w:r>
      <w:r>
        <w:rPr>
          <w:spacing w:val="-79"/>
        </w:rPr>
        <w:t> </w:t>
      </w:r>
      <w:r>
        <w:rPr>
          <w:spacing w:val="-79"/>
        </w:rPr>
      </w:r>
      <w:r>
        <w:rPr>
          <w:spacing w:val="-1"/>
        </w:rPr>
        <w:t>口商业发票融资业务合作协议书》，建行中山分行依据协议书约定向甲方提供融资用于经营周转，公司本年向该行实际借</w:t>
      </w:r>
      <w:r>
        <w:rPr>
          <w:spacing w:val="-49"/>
        </w:rPr>
        <w:t> </w:t>
      </w:r>
      <w:r>
        <w:rPr>
          <w:spacing w:val="-49"/>
        </w:rPr>
      </w:r>
      <w:r>
        <w:rPr/>
        <w:t>款</w:t>
      </w:r>
      <w:r>
        <w:rPr>
          <w:rFonts w:ascii="Times New Roman" w:hAnsi="Times New Roman" w:cs="Times New Roman" w:eastAsia="Times New Roman" w:hint="default"/>
        </w:rPr>
        <w:t>150</w:t>
      </w:r>
      <w:r>
        <w:rPr/>
        <w:t>万美元，根据期末汇率折算为人民币金额为</w:t>
      </w:r>
      <w:r>
        <w:rPr>
          <w:rFonts w:ascii="Times New Roman" w:hAnsi="Times New Roman" w:cs="Times New Roman" w:eastAsia="Times New Roman" w:hint="default"/>
        </w:rPr>
        <w:t>9,801,300.00</w:t>
      </w:r>
      <w:r>
        <w:rPr/>
        <w:t>元。 </w:t>
      </w:r>
      <w:r>
        <w:rPr>
          <w:rFonts w:ascii="Times New Roman" w:hAnsi="Times New Roman" w:cs="Times New Roman" w:eastAsia="Times New Roman" w:hint="default"/>
        </w:rPr>
        <w:t>3</w:t>
      </w:r>
      <w:r>
        <w:rPr/>
        <w:t>、公司子公司中山乐心电子有限公司与中国工商银行中山高新技术开发区支行签订了编号为“</w:t>
      </w:r>
      <w:r>
        <w:rPr>
          <w:rFonts w:ascii="宋体" w:hAnsi="宋体" w:cs="宋体" w:eastAsia="宋体" w:hint="default"/>
        </w:rPr>
        <w:t>2017</w:t>
      </w:r>
      <w:r>
        <w:rPr/>
        <w:t>年</w:t>
      </w:r>
      <w:r>
        <w:rPr>
          <w:rFonts w:ascii="宋体" w:hAnsi="宋体" w:cs="宋体" w:eastAsia="宋体" w:hint="default"/>
        </w:rPr>
        <w:t>20110229CF</w:t>
      </w:r>
      <w:r>
        <w:rPr/>
        <w:t>委字第</w:t>
      </w:r>
    </w:p>
    <w:p>
      <w:pPr>
        <w:pStyle w:val="BodyText"/>
        <w:spacing w:line="316" w:lineRule="auto" w:before="7"/>
        <w:ind w:left="1241" w:right="1015"/>
        <w:jc w:val="left"/>
      </w:pPr>
      <w:r>
        <w:rPr>
          <w:rFonts w:ascii="宋体" w:hAnsi="宋体" w:cs="宋体" w:eastAsia="宋体" w:hint="default"/>
          <w:spacing w:val="-1"/>
        </w:rPr>
        <w:t>148514401</w:t>
      </w:r>
      <w:r>
        <w:rPr>
          <w:spacing w:val="-1"/>
        </w:rPr>
        <w:t>号”的《出口发票融资协议最高额保证借款合同》，借款最高金额</w:t>
      </w:r>
      <w:r>
        <w:rPr>
          <w:rFonts w:ascii="宋体" w:hAnsi="宋体" w:cs="宋体" w:eastAsia="宋体" w:hint="default"/>
          <w:spacing w:val="-1"/>
        </w:rPr>
        <w:t>300</w:t>
      </w:r>
      <w:r>
        <w:rPr>
          <w:spacing w:val="-1"/>
        </w:rPr>
        <w:t>万美元。截止本年末，公司在该借款合同</w:t>
      </w:r>
      <w:r>
        <w:rPr>
          <w:spacing w:val="-45"/>
        </w:rPr>
        <w:t> </w:t>
      </w:r>
      <w:r>
        <w:rPr>
          <w:spacing w:val="-45"/>
        </w:rPr>
      </w:r>
      <w:r>
        <w:rPr/>
        <w:t>项下实际借款额为</w:t>
      </w:r>
      <w:r>
        <w:rPr>
          <w:rFonts w:ascii="宋体" w:hAnsi="宋体" w:cs="宋体" w:eastAsia="宋体" w:hint="default"/>
        </w:rPr>
        <w:t>14</w:t>
      </w:r>
      <w:r>
        <w:rPr>
          <w:rFonts w:ascii="Times New Roman" w:hAnsi="Times New Roman" w:cs="Times New Roman" w:eastAsia="Times New Roman" w:hint="default"/>
        </w:rPr>
        <w:t>5</w:t>
      </w:r>
      <w:r>
        <w:rPr/>
        <w:t>万美元，根据期末汇率折算为人民币金额为</w:t>
      </w:r>
      <w:r>
        <w:rPr>
          <w:rFonts w:ascii="Times New Roman" w:hAnsi="Times New Roman" w:cs="Times New Roman" w:eastAsia="Times New Roman" w:hint="default"/>
        </w:rPr>
        <w:t>9,474,590.00</w:t>
      </w:r>
      <w:r>
        <w:rPr/>
        <w:t>元。</w:t>
      </w:r>
    </w:p>
    <w:p>
      <w:pPr>
        <w:spacing w:line="240" w:lineRule="auto" w:before="0"/>
        <w:rPr>
          <w:rFonts w:ascii="宋体" w:hAnsi="宋体" w:cs="宋体" w:eastAsia="宋体" w:hint="default"/>
          <w:sz w:val="21"/>
          <w:szCs w:val="21"/>
        </w:rPr>
      </w:pPr>
    </w:p>
    <w:p>
      <w:pPr>
        <w:pStyle w:val="Heading3"/>
        <w:spacing w:line="240" w:lineRule="auto"/>
        <w:ind w:left="1133" w:right="1015"/>
        <w:jc w:val="left"/>
        <w:rPr>
          <w:b w:val="0"/>
          <w:bCs w:val="0"/>
        </w:rPr>
      </w:pPr>
      <w:bookmarkStart w:name="（2）已逾期未偿还的短期借款情况" w:id="322"/>
      <w:bookmarkEnd w:id="322"/>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3" w:right="1015"/>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2"/>
        <w:ind w:right="1015"/>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3" w:right="1015"/>
        <w:jc w:val="left"/>
        <w:rPr>
          <w:b w:val="0"/>
          <w:bCs w:val="0"/>
        </w:rPr>
      </w:pPr>
      <w:bookmarkStart w:name="32、以公允价值计量且其变动计入当期损益的金融负债" w:id="323"/>
      <w:bookmarkEnd w:id="323"/>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1015"/>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3" w:right="1015"/>
        <w:jc w:val="left"/>
        <w:rPr>
          <w:b w:val="0"/>
          <w:bCs w:val="0"/>
        </w:rPr>
      </w:pPr>
      <w:bookmarkStart w:name="33、衍生金融负债" w:id="324"/>
      <w:bookmarkEnd w:id="324"/>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15"/>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015"/>
        <w:jc w:val="left"/>
        <w:rPr>
          <w:b w:val="0"/>
          <w:bCs w:val="0"/>
        </w:rPr>
      </w:pPr>
      <w:bookmarkStart w:name="34、应付票据" w:id="325"/>
      <w:bookmarkEnd w:id="325"/>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92,854,607.65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92,854,607.65</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015"/>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1015"/>
        <w:jc w:val="left"/>
        <w:rPr>
          <w:b w:val="0"/>
          <w:bCs w:val="0"/>
        </w:rPr>
      </w:pPr>
      <w:bookmarkStart w:name="35、应付账款" w:id="326"/>
      <w:bookmarkEnd w:id="326"/>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15"/>
        <w:jc w:val="left"/>
        <w:rPr>
          <w:b w:val="0"/>
          <w:bCs w:val="0"/>
        </w:rPr>
      </w:pPr>
      <w:bookmarkStart w:name="（1）应付账款列示" w:id="327"/>
      <w:bookmarkEnd w:id="327"/>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62,792,187.90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97,370,914.43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84,912.99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62,877,100.89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97,370,914.43</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2）账龄超过1年的重要应付账款" w:id="328"/>
      <w:bookmarkEnd w:id="32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1"/>
        <w:ind w:right="101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1015"/>
        <w:jc w:val="left"/>
        <w:rPr>
          <w:b w:val="0"/>
          <w:bCs w:val="0"/>
        </w:rPr>
      </w:pPr>
      <w:bookmarkStart w:name="36、预收款项" w:id="329"/>
      <w:bookmarkEnd w:id="329"/>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15"/>
        <w:jc w:val="left"/>
        <w:rPr>
          <w:b w:val="0"/>
          <w:bCs w:val="0"/>
        </w:rPr>
      </w:pPr>
      <w:bookmarkStart w:name="（1）预收款项列示" w:id="330"/>
      <w:bookmarkEnd w:id="330"/>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16,020,610.36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10,618,764.04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16,020,610.36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10,618,764.04</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2）账龄超过1年的重要预收款项" w:id="331"/>
      <w:bookmarkEnd w:id="33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3）期末建造合同形成的已结算未完工项目情况" w:id="332"/>
      <w:bookmarkEnd w:id="332"/>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right="1015"/>
        <w:jc w:val="left"/>
      </w:pPr>
      <w:r>
        <w:rPr/>
        <w:t>其他说明：</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1015"/>
        <w:jc w:val="left"/>
        <w:rPr>
          <w:b w:val="0"/>
          <w:bCs w:val="0"/>
        </w:rPr>
      </w:pPr>
      <w:bookmarkStart w:name="37、应付职工薪酬" w:id="333"/>
      <w:bookmarkEnd w:id="333"/>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15"/>
        <w:jc w:val="left"/>
        <w:rPr>
          <w:b w:val="0"/>
          <w:bCs w:val="0"/>
        </w:rPr>
      </w:pPr>
      <w:bookmarkStart w:name="（1）应付职工薪酬列示" w:id="334"/>
      <w:bookmarkEnd w:id="334"/>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26,256,276.22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166,313,896.70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179,944,902.67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12,625,270.25</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16"/>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10,513.78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13,597,296.01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13,600,567.23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7,242.56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3,915,630.78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2,332,459.78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1,583,171.00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26,266,790.00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183,826,823.49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195,877,929.68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14,215,683.81</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2）短期薪酬列示" w:id="335"/>
      <w:bookmarkEnd w:id="335"/>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、工资、奖金、津贴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和补贴</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26,249,629.02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154,331,816.00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167,962,280.85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12,619,164.17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2,128,535.65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2,128,535.65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6,647.20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4,556,056.46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4,559,329.58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3,374.08</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其中：医疗保险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5,713.41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3,373,590.55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3,376,260.02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3,043.94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工伤保险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345.85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449,863.63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450,138.46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71.02</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生育保险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587.94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732,602.28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732,931.10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259.12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3,966,156.45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3,963,424.45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2,732.00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、工会经费和职工教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育经费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1,331,332.14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1,331,332.14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26,256,276.22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166,313,896.70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179,944,902.67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12,625,270.25</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3）设定提存计划列示" w:id="336"/>
      <w:bookmarkEnd w:id="336"/>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9,683.74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12,914,186.93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12,916,887.28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6,983.39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830.04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683,109.08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683,679.95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259.17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10,513.78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13,597,296.01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13,600,567.23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7,242.56</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357" w:lineRule="auto" w:before="44"/>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015"/>
        <w:jc w:val="left"/>
        <w:rPr>
          <w:b w:val="0"/>
          <w:bCs w:val="0"/>
        </w:rPr>
      </w:pPr>
      <w:bookmarkStart w:name="38、应交税费" w:id="337"/>
      <w:bookmarkEnd w:id="337"/>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1,172,391.88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2,457,270.72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6,461,567.94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8,218,539.83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415,109.91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487,159.00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76,835.16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141,060.91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407,483.83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579,838.67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99,549.66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152,362.98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35,263.48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73,718.12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23,508.99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49,145.42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8,691,710.85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12,159,095.65</w:t>
            </w:r>
          </w:p>
        </w:tc>
      </w:tr>
    </w:tbl>
    <w:p>
      <w:pPr>
        <w:pStyle w:val="BodyText"/>
        <w:spacing w:line="357" w:lineRule="auto" w:before="51"/>
        <w:ind w:left="1133"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1015"/>
        <w:jc w:val="left"/>
        <w:rPr>
          <w:b w:val="0"/>
          <w:bCs w:val="0"/>
        </w:rPr>
      </w:pPr>
      <w:bookmarkStart w:name="39、应付利息" w:id="338"/>
      <w:bookmarkEnd w:id="338"/>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015"/>
        <w:jc w:val="left"/>
      </w:pPr>
      <w:r>
        <w:rPr/>
        <w:t>重要的已逾期未支付的利息情况：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2"/>
        <w:ind w:right="1015"/>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3" w:right="1015"/>
        <w:jc w:val="left"/>
        <w:rPr>
          <w:b w:val="0"/>
          <w:bCs w:val="0"/>
        </w:rPr>
      </w:pPr>
      <w:bookmarkStart w:name="40、应付股利" w:id="339"/>
      <w:bookmarkEnd w:id="339"/>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015"/>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0"/>
        <w:rPr>
          <w:rFonts w:ascii="宋体" w:hAnsi="宋体" w:cs="宋体" w:eastAsia="宋体" w:hint="default"/>
          <w:sz w:val="25"/>
          <w:szCs w:val="25"/>
        </w:rPr>
      </w:pPr>
    </w:p>
    <w:p>
      <w:pPr>
        <w:pStyle w:val="Heading3"/>
        <w:spacing w:line="240" w:lineRule="auto"/>
        <w:ind w:left="1133" w:right="1015"/>
        <w:jc w:val="left"/>
        <w:rPr>
          <w:b w:val="0"/>
          <w:bCs w:val="0"/>
        </w:rPr>
      </w:pPr>
      <w:bookmarkStart w:name="41、其他应付款" w:id="340"/>
      <w:bookmarkEnd w:id="340"/>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15"/>
        <w:jc w:val="left"/>
        <w:rPr>
          <w:b w:val="0"/>
          <w:bCs w:val="0"/>
        </w:rPr>
      </w:pPr>
      <w:bookmarkStart w:name="（1）按款项性质列示其他应付款" w:id="341"/>
      <w:bookmarkEnd w:id="341"/>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16,744,584.92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6,221,262.61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18,954.90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16,744,584.92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6,240,217.51</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2）账龄超过1年的重要其他应付款" w:id="342"/>
      <w:bookmarkEnd w:id="34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1"/>
        <w:ind w:right="101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1015"/>
        <w:jc w:val="left"/>
        <w:rPr>
          <w:b w:val="0"/>
          <w:bCs w:val="0"/>
        </w:rPr>
      </w:pPr>
      <w:bookmarkStart w:name="42、持有待售的负债" w:id="343"/>
      <w:bookmarkEnd w:id="343"/>
      <w:r>
        <w:rPr>
          <w:b w:val="0"/>
          <w:bCs w:val="0"/>
        </w:rPr>
      </w:r>
      <w:r>
        <w:rPr>
          <w:rFonts w:ascii="Times New Roman" w:hAnsi="Times New Roman" w:cs="Times New Roman" w:eastAsia="Times New Roman" w:hint="default"/>
        </w:rPr>
        <w:t>42</w:t>
      </w:r>
      <w:r>
        <w:rPr/>
        <w:t>、持有待售的负债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01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1015"/>
        <w:jc w:val="left"/>
        <w:rPr>
          <w:b w:val="0"/>
          <w:bCs w:val="0"/>
        </w:rPr>
      </w:pPr>
      <w:bookmarkStart w:name="43、一年内到期的非流动负债" w:id="344"/>
      <w:bookmarkEnd w:id="344"/>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01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1015"/>
        <w:jc w:val="left"/>
        <w:rPr>
          <w:b w:val="0"/>
          <w:bCs w:val="0"/>
        </w:rPr>
      </w:pPr>
      <w:bookmarkStart w:name="44、其他流动负债" w:id="345"/>
      <w:bookmarkEnd w:id="345"/>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015"/>
        <w:jc w:val="left"/>
      </w:pPr>
      <w:r>
        <w:rPr/>
        <w:t>短期应付债券的增减变动：</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3" w:right="123" w:hanging="180"/>
              <w:jc w:val="left"/>
              <w:rPr>
                <w:rFonts w:ascii="宋体" w:hAnsi="宋体" w:cs="宋体" w:eastAsia="宋体" w:hint="default"/>
                <w:sz w:val="18"/>
                <w:szCs w:val="18"/>
              </w:rPr>
            </w:pPr>
            <w:r>
              <w:rPr>
                <w:rFonts w:ascii="宋体" w:hAnsi="宋体" w:cs="宋体" w:eastAsia="宋体" w:hint="default"/>
                <w:sz w:val="18"/>
                <w:szCs w:val="18"/>
              </w:rPr>
              <w:t>债券名 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发行日 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债券期 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3" w:right="123" w:hanging="180"/>
              <w:jc w:val="left"/>
              <w:rPr>
                <w:rFonts w:ascii="宋体" w:hAnsi="宋体" w:cs="宋体" w:eastAsia="宋体" w:hint="default"/>
                <w:sz w:val="18"/>
                <w:szCs w:val="18"/>
              </w:rPr>
            </w:pPr>
            <w:r>
              <w:rPr>
                <w:rFonts w:ascii="宋体" w:hAnsi="宋体" w:cs="宋体" w:eastAsia="宋体" w:hint="default"/>
                <w:sz w:val="18"/>
                <w:szCs w:val="18"/>
              </w:rPr>
              <w:t>发行金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本期发 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2"/>
              <w:jc w:val="center"/>
              <w:rPr>
                <w:rFonts w:ascii="宋体" w:hAnsi="宋体" w:cs="宋体" w:eastAsia="宋体" w:hint="default"/>
                <w:sz w:val="18"/>
                <w:szCs w:val="18"/>
              </w:rPr>
            </w:pPr>
            <w:r>
              <w:rPr>
                <w:rFonts w:ascii="宋体" w:hAnsi="宋体" w:cs="宋体" w:eastAsia="宋体" w:hint="default"/>
                <w:sz w:val="18"/>
                <w:szCs w:val="18"/>
              </w:rPr>
              <w:t>按面值 计提利 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123" w:hanging="90"/>
              <w:jc w:val="left"/>
              <w:rPr>
                <w:rFonts w:ascii="宋体" w:hAnsi="宋体" w:cs="宋体" w:eastAsia="宋体" w:hint="default"/>
                <w:sz w:val="18"/>
                <w:szCs w:val="18"/>
              </w:rPr>
            </w:pPr>
            <w:r>
              <w:rPr>
                <w:rFonts w:ascii="宋体" w:hAnsi="宋体" w:cs="宋体" w:eastAsia="宋体" w:hint="default"/>
                <w:sz w:val="18"/>
                <w:szCs w:val="18"/>
              </w:rPr>
              <w:t>溢折价 摊销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本期偿 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bl>
    <w:p>
      <w:pPr>
        <w:pStyle w:val="BodyText"/>
        <w:spacing w:line="240" w:lineRule="auto" w:before="52"/>
        <w:ind w:right="1015"/>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3" w:right="1015"/>
        <w:jc w:val="left"/>
        <w:rPr>
          <w:b w:val="0"/>
          <w:bCs w:val="0"/>
        </w:rPr>
      </w:pPr>
      <w:bookmarkStart w:name="45、长期借款" w:id="346"/>
      <w:bookmarkEnd w:id="346"/>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15"/>
        <w:jc w:val="left"/>
        <w:rPr>
          <w:b w:val="0"/>
          <w:bCs w:val="0"/>
        </w:rPr>
      </w:pPr>
      <w:bookmarkStart w:name="（1）长期借款分类" w:id="347"/>
      <w:bookmarkEnd w:id="347"/>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3,286,721.27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3,286,721.27</w:t>
            </w:r>
          </w:p>
        </w:tc>
      </w:tr>
    </w:tbl>
    <w:p>
      <w:pPr>
        <w:pStyle w:val="BodyText"/>
        <w:spacing w:line="360" w:lineRule="auto" w:before="51"/>
        <w:ind w:right="8592"/>
        <w:jc w:val="left"/>
      </w:pPr>
      <w:r>
        <w:rPr/>
        <w:t>长期借款分类的说明： 其他说明，包括利率区间：</w:t>
      </w:r>
    </w:p>
    <w:p>
      <w:pPr>
        <w:spacing w:line="240" w:lineRule="auto" w:before="11"/>
        <w:rPr>
          <w:rFonts w:ascii="宋体" w:hAnsi="宋体" w:cs="宋体" w:eastAsia="宋体" w:hint="default"/>
          <w:sz w:val="19"/>
          <w:szCs w:val="19"/>
        </w:rPr>
      </w:pPr>
    </w:p>
    <w:p>
      <w:pPr>
        <w:pStyle w:val="Heading3"/>
        <w:spacing w:line="240" w:lineRule="auto"/>
        <w:ind w:right="1015"/>
        <w:jc w:val="left"/>
        <w:rPr>
          <w:b w:val="0"/>
          <w:bCs w:val="0"/>
        </w:rPr>
      </w:pPr>
      <w:bookmarkStart w:name="46、应付债券" w:id="348"/>
      <w:bookmarkEnd w:id="348"/>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15"/>
        <w:jc w:val="left"/>
        <w:rPr>
          <w:b w:val="0"/>
          <w:bCs w:val="0"/>
        </w:rPr>
      </w:pPr>
      <w:bookmarkStart w:name="（1）应付债券" w:id="349"/>
      <w:bookmarkEnd w:id="349"/>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right="1015"/>
        <w:jc w:val="left"/>
        <w:rPr>
          <w:b w:val="0"/>
          <w:bCs w:val="0"/>
        </w:rPr>
      </w:pPr>
      <w:bookmarkStart w:name="（2）应付债券的增减变动（不包括划分为金融负债的优先股、永续债等其他金融工具）" w:id="350"/>
      <w:bookmarkEnd w:id="350"/>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5"/>
        <w:jc w:val="left"/>
        <w:rPr>
          <w:b w:val="0"/>
          <w:bCs w:val="0"/>
        </w:rPr>
      </w:pPr>
      <w:bookmarkStart w:name="（3）可转换公司债券的转股条件、转股时间说明" w:id="351"/>
      <w:bookmarkEnd w:id="351"/>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5"/>
        <w:jc w:val="left"/>
        <w:rPr>
          <w:b w:val="0"/>
          <w:bCs w:val="0"/>
        </w:rPr>
      </w:pPr>
      <w:bookmarkStart w:name="（4）划分为金融负债的其他金融工具说明" w:id="352"/>
      <w:bookmarkEnd w:id="352"/>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0" w:right="0"/>
        </w:sectPr>
      </w:pPr>
    </w:p>
    <w:p>
      <w:pPr>
        <w:pStyle w:val="BodyText"/>
        <w:spacing w:line="357" w:lineRule="auto" w:before="44"/>
        <w:ind w:left="1133" w:right="-19"/>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100" w:bottom="1200" w:left="0" w:right="0"/>
          <w:cols w:num="2" w:equalWidth="0">
            <w:col w:w="5635" w:space="319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62"/>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66" w:right="167"/>
              <w:jc w:val="center"/>
              <w:rPr>
                <w:rFonts w:ascii="宋体" w:hAnsi="宋体" w:cs="宋体" w:eastAsia="宋体" w:hint="default"/>
                <w:sz w:val="18"/>
                <w:szCs w:val="18"/>
              </w:rPr>
            </w:pPr>
            <w:r>
              <w:rPr>
                <w:rFonts w:ascii="宋体" w:hAnsi="宋体" w:cs="宋体" w:eastAsia="宋体" w:hint="default"/>
                <w:sz w:val="18"/>
                <w:szCs w:val="18"/>
              </w:rPr>
              <w:t>发行在外 的金融工 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624"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7512"/>
        <w:jc w:val="left"/>
      </w:pPr>
      <w:r>
        <w:rPr/>
        <w:t>其他金融工具划分为金融负债的依据说明 其他说明</w:t>
      </w:r>
    </w:p>
    <w:p>
      <w:pPr>
        <w:spacing w:line="240" w:lineRule="auto" w:before="11"/>
        <w:rPr>
          <w:rFonts w:ascii="宋体" w:hAnsi="宋体" w:cs="宋体" w:eastAsia="宋体" w:hint="default"/>
          <w:sz w:val="19"/>
          <w:szCs w:val="19"/>
        </w:rPr>
      </w:pPr>
    </w:p>
    <w:p>
      <w:pPr>
        <w:pStyle w:val="Heading3"/>
        <w:spacing w:line="240" w:lineRule="auto"/>
        <w:ind w:right="1015"/>
        <w:jc w:val="left"/>
        <w:rPr>
          <w:b w:val="0"/>
          <w:bCs w:val="0"/>
        </w:rPr>
      </w:pPr>
      <w:bookmarkStart w:name="47、长期应付款" w:id="353"/>
      <w:bookmarkEnd w:id="353"/>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15"/>
        <w:jc w:val="left"/>
        <w:rPr>
          <w:b w:val="0"/>
          <w:bCs w:val="0"/>
        </w:rPr>
      </w:pPr>
      <w:bookmarkStart w:name="（1）按款项性质列示长期应付款" w:id="354"/>
      <w:bookmarkEnd w:id="354"/>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01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1015"/>
        <w:jc w:val="left"/>
        <w:rPr>
          <w:b w:val="0"/>
          <w:bCs w:val="0"/>
        </w:rPr>
      </w:pPr>
      <w:bookmarkStart w:name="48、长期应付职工薪酬" w:id="355"/>
      <w:bookmarkEnd w:id="355"/>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5"/>
        <w:jc w:val="left"/>
        <w:rPr>
          <w:b w:val="0"/>
          <w:bCs w:val="0"/>
        </w:rPr>
      </w:pPr>
      <w:bookmarkStart w:name="（1）长期应付职工薪酬表" w:id="356"/>
      <w:bookmarkEnd w:id="356"/>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1015"/>
        <w:jc w:val="left"/>
        <w:rPr>
          <w:b w:val="0"/>
          <w:bCs w:val="0"/>
        </w:rPr>
      </w:pPr>
      <w:bookmarkStart w:name="（2）设定受益计划变动情况" w:id="357"/>
      <w:bookmarkEnd w:id="357"/>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15"/>
        <w:jc w:val="left"/>
      </w:pPr>
      <w:r>
        <w:rPr/>
        <w:t>设定受益计划义务现值：</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1015"/>
        <w:jc w:val="left"/>
      </w:pPr>
      <w:r>
        <w:rPr/>
        <w:t>计划资产：</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1015"/>
        <w:jc w:val="left"/>
      </w:pPr>
      <w:r>
        <w:rPr/>
        <w:t>设定受益计划净负债（净资产）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left="1133" w:right="355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right="1015"/>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15"/>
        <w:jc w:val="left"/>
        <w:rPr>
          <w:b w:val="0"/>
          <w:bCs w:val="0"/>
        </w:rPr>
      </w:pPr>
      <w:bookmarkStart w:name="49、专项应付款" w:id="358"/>
      <w:bookmarkEnd w:id="358"/>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right="101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1015"/>
        <w:jc w:val="left"/>
        <w:rPr>
          <w:b w:val="0"/>
          <w:bCs w:val="0"/>
        </w:rPr>
      </w:pPr>
      <w:bookmarkStart w:name="50、预计负债" w:id="359"/>
      <w:bookmarkEnd w:id="359"/>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right="1015"/>
        <w:jc w:val="left"/>
      </w:pPr>
      <w:r>
        <w:rPr/>
        <w:t>其他说明，包括重要预计负债的相关重要假设、估计说明：</w:t>
      </w:r>
    </w:p>
    <w:p>
      <w:pPr>
        <w:spacing w:line="240" w:lineRule="auto" w:before="10"/>
        <w:rPr>
          <w:rFonts w:ascii="宋体" w:hAnsi="宋体" w:cs="宋体" w:eastAsia="宋体" w:hint="default"/>
          <w:sz w:val="26"/>
          <w:szCs w:val="26"/>
        </w:rPr>
      </w:pPr>
    </w:p>
    <w:p>
      <w:pPr>
        <w:pStyle w:val="Heading3"/>
        <w:spacing w:line="240" w:lineRule="auto"/>
        <w:ind w:right="1015"/>
        <w:jc w:val="left"/>
        <w:rPr>
          <w:b w:val="0"/>
          <w:bCs w:val="0"/>
        </w:rPr>
      </w:pPr>
      <w:bookmarkStart w:name="51、递延收益" w:id="360"/>
      <w:bookmarkEnd w:id="360"/>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right="1015"/>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6" w:right="164"/>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6" w:right="165"/>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6" w:right="164"/>
              <w:jc w:val="center"/>
              <w:rPr>
                <w:rFonts w:ascii="宋体" w:hAnsi="宋体" w:cs="宋体" w:eastAsia="宋体" w:hint="default"/>
                <w:sz w:val="18"/>
                <w:szCs w:val="18"/>
              </w:rPr>
            </w:pPr>
            <w:r>
              <w:rPr>
                <w:rFonts w:ascii="宋体" w:hAnsi="宋体" w:cs="宋体" w:eastAsia="宋体" w:hint="default"/>
                <w:sz w:val="18"/>
                <w:szCs w:val="18"/>
              </w:rPr>
              <w:t>本期计入 其他收益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6" w:right="164"/>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41" w:right="139"/>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bl>
    <w:p>
      <w:pPr>
        <w:pStyle w:val="BodyText"/>
        <w:spacing w:line="240" w:lineRule="auto" w:before="51"/>
        <w:ind w:right="1015"/>
        <w:jc w:val="left"/>
      </w:pPr>
      <w:r>
        <w:rPr/>
        <w:t>其他说明：</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1015"/>
        <w:jc w:val="left"/>
        <w:rPr>
          <w:b w:val="0"/>
          <w:bCs w:val="0"/>
        </w:rPr>
      </w:pPr>
      <w:bookmarkStart w:name="52、其他非流动负债" w:id="361"/>
      <w:bookmarkEnd w:id="361"/>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1015"/>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3" w:right="1015"/>
        <w:jc w:val="left"/>
        <w:rPr>
          <w:b w:val="0"/>
          <w:bCs w:val="0"/>
        </w:rPr>
      </w:pPr>
      <w:bookmarkStart w:name="53、股本" w:id="362"/>
      <w:bookmarkEnd w:id="362"/>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59,000,000.0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129,800,000.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129,800,000.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188,800,000.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338" w:lineRule="auto" w:before="51"/>
        <w:ind w:left="1133" w:right="1015"/>
        <w:jc w:val="left"/>
      </w:pPr>
      <w:r>
        <w:rPr/>
        <w:t>其他说明： </w:t>
      </w:r>
      <w:r>
        <w:rPr>
          <w:spacing w:val="-2"/>
        </w:rPr>
        <w:t>根据</w:t>
      </w:r>
      <w:r>
        <w:rPr>
          <w:rFonts w:ascii="宋体" w:hAnsi="宋体" w:cs="宋体" w:eastAsia="宋体" w:hint="default"/>
          <w:spacing w:val="-2"/>
        </w:rPr>
        <w:t>2016</w:t>
      </w:r>
      <w:r>
        <w:rPr>
          <w:spacing w:val="-2"/>
        </w:rPr>
        <w:t>年度股东大会通过的有关决议，公司以截止</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日总股本</w:t>
      </w:r>
      <w:r>
        <w:rPr>
          <w:rFonts w:ascii="宋体" w:hAnsi="宋体" w:cs="宋体" w:eastAsia="宋体" w:hint="default"/>
          <w:spacing w:val="-2"/>
        </w:rPr>
        <w:t>5,900.00</w:t>
      </w:r>
      <w:r>
        <w:rPr>
          <w:spacing w:val="-2"/>
        </w:rPr>
        <w:t>万股为基数，以资本公积金向全体股东</w:t>
      </w:r>
      <w:r>
        <w:rPr>
          <w:spacing w:val="-44"/>
        </w:rPr>
        <w:t> </w:t>
      </w:r>
      <w:r>
        <w:rPr>
          <w:spacing w:val="-44"/>
        </w:rPr>
      </w:r>
      <w:r>
        <w:rPr/>
        <w:t>每</w:t>
      </w:r>
      <w:r>
        <w:rPr>
          <w:rFonts w:ascii="宋体" w:hAnsi="宋体" w:cs="宋体" w:eastAsia="宋体" w:hint="default"/>
        </w:rPr>
        <w:t>10</w:t>
      </w:r>
      <w:r>
        <w:rPr/>
        <w:t>股转增</w:t>
      </w:r>
      <w:r>
        <w:rPr>
          <w:rFonts w:ascii="宋体" w:hAnsi="宋体" w:cs="宋体" w:eastAsia="宋体" w:hint="default"/>
        </w:rPr>
        <w:t>22</w:t>
      </w:r>
      <w:r>
        <w:rPr/>
        <w:t>股。转增完成后公司股本由</w:t>
      </w:r>
      <w:r>
        <w:rPr>
          <w:rFonts w:ascii="宋体" w:hAnsi="宋体" w:cs="宋体" w:eastAsia="宋体" w:hint="default"/>
        </w:rPr>
        <w:t>5,900</w:t>
      </w:r>
      <w:r>
        <w:rPr/>
        <w:t>万股增加至</w:t>
      </w:r>
      <w:r>
        <w:rPr>
          <w:rFonts w:ascii="宋体" w:hAnsi="宋体" w:cs="宋体" w:eastAsia="宋体" w:hint="default"/>
        </w:rPr>
        <w:t>18,880</w:t>
      </w:r>
      <w:r>
        <w:rPr/>
        <w:t>万股。</w:t>
      </w:r>
    </w:p>
    <w:p>
      <w:pPr>
        <w:spacing w:line="240" w:lineRule="auto" w:before="4"/>
        <w:rPr>
          <w:rFonts w:ascii="宋体" w:hAnsi="宋体" w:cs="宋体" w:eastAsia="宋体" w:hint="default"/>
          <w:sz w:val="21"/>
          <w:szCs w:val="21"/>
        </w:rPr>
      </w:pPr>
    </w:p>
    <w:p>
      <w:pPr>
        <w:pStyle w:val="Heading3"/>
        <w:spacing w:line="240" w:lineRule="auto"/>
        <w:ind w:left="1133" w:right="1015"/>
        <w:jc w:val="left"/>
        <w:rPr>
          <w:b w:val="0"/>
          <w:bCs w:val="0"/>
        </w:rPr>
      </w:pPr>
      <w:bookmarkStart w:name="54、其他权益工具" w:id="363"/>
      <w:bookmarkEnd w:id="363"/>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15"/>
        <w:jc w:val="left"/>
        <w:rPr>
          <w:b w:val="0"/>
          <w:bCs w:val="0"/>
        </w:rPr>
      </w:pPr>
      <w:bookmarkStart w:name="（1）期末发行在外的优先股、永续债等其他金融工具基本情况" w:id="364"/>
      <w:bookmarkEnd w:id="364"/>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5"/>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15"/>
        <w:jc w:val="left"/>
        <w:rPr>
          <w:b w:val="0"/>
          <w:bCs w:val="0"/>
        </w:rPr>
      </w:pPr>
      <w:bookmarkStart w:name="（2）期末发行在外的优先股、永续债等金融工具变动情况表" w:id="365"/>
      <w:bookmarkEnd w:id="365"/>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62"/>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66" w:right="167"/>
              <w:jc w:val="center"/>
              <w:rPr>
                <w:rFonts w:ascii="宋体" w:hAnsi="宋体" w:cs="宋体" w:eastAsia="宋体" w:hint="default"/>
                <w:sz w:val="18"/>
                <w:szCs w:val="18"/>
              </w:rPr>
            </w:pPr>
            <w:r>
              <w:rPr>
                <w:rFonts w:ascii="宋体" w:hAnsi="宋体" w:cs="宋体" w:eastAsia="宋体" w:hint="default"/>
                <w:sz w:val="18"/>
                <w:szCs w:val="18"/>
              </w:rPr>
              <w:t>发行在外 的金融工 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624"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left="1133" w:right="4633"/>
        <w:jc w:val="left"/>
      </w:pPr>
      <w:r>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3"/>
        <w:spacing w:line="240" w:lineRule="auto"/>
        <w:ind w:left="1133" w:right="1015"/>
        <w:jc w:val="left"/>
        <w:rPr>
          <w:b w:val="0"/>
          <w:bCs w:val="0"/>
        </w:rPr>
      </w:pPr>
      <w:bookmarkStart w:name="55、资本公积" w:id="366"/>
      <w:bookmarkEnd w:id="366"/>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251,680,180.13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129,800,000.00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121,880,180.13</w:t>
            </w: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251,680,180.13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129,800,000.00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121,880,180.13</w:t>
            </w:r>
          </w:p>
        </w:tc>
      </w:tr>
    </w:tbl>
    <w:p>
      <w:pPr>
        <w:pStyle w:val="BodyText"/>
        <w:spacing w:line="240" w:lineRule="auto" w:before="51"/>
        <w:ind w:right="1015"/>
        <w:jc w:val="left"/>
      </w:pPr>
      <w:r>
        <w:rPr/>
        <w:t>其他说明，包括本期增减变动情况、变动原因说明：报告期内，公司使用资本公积转增股本，导致资本公积减少。</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1015"/>
        <w:jc w:val="left"/>
        <w:rPr>
          <w:b w:val="0"/>
          <w:bCs w:val="0"/>
        </w:rPr>
      </w:pPr>
      <w:bookmarkStart w:name="56、库存股" w:id="367"/>
      <w:bookmarkEnd w:id="367"/>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right="1015"/>
        <w:jc w:val="left"/>
      </w:pPr>
      <w:r>
        <w:rPr/>
        <w:t>其他说明，包括本期增减变动情况、变动原因说明：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right="1015"/>
        <w:jc w:val="left"/>
        <w:rPr>
          <w:b w:val="0"/>
          <w:bCs w:val="0"/>
        </w:rPr>
      </w:pPr>
      <w:bookmarkStart w:name="57、其他综合收益" w:id="368"/>
      <w:bookmarkEnd w:id="368"/>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6"/>
      </w:tblGrid>
      <w:tr>
        <w:trPr>
          <w:trHeight w:val="403"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302" w:right="121"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1337"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90" w:right="192"/>
              <w:jc w:val="both"/>
              <w:rPr>
                <w:rFonts w:ascii="宋体" w:hAnsi="宋体" w:cs="宋体" w:eastAsia="宋体" w:hint="default"/>
                <w:sz w:val="18"/>
                <w:szCs w:val="18"/>
              </w:rPr>
            </w:pPr>
            <w:r>
              <w:rPr>
                <w:rFonts w:ascii="宋体" w:hAnsi="宋体" w:cs="宋体" w:eastAsia="宋体" w:hint="default"/>
                <w:sz w:val="18"/>
                <w:szCs w:val="18"/>
              </w:rPr>
              <w:t>本期所 得税前 发生额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1" w:right="119"/>
              <w:jc w:val="center"/>
              <w:rPr>
                <w:rFonts w:ascii="宋体" w:hAnsi="宋体" w:cs="宋体" w:eastAsia="宋体" w:hint="default"/>
                <w:sz w:val="18"/>
                <w:szCs w:val="18"/>
              </w:rPr>
            </w:pPr>
            <w:r>
              <w:rPr>
                <w:rFonts w:ascii="宋体" w:hAnsi="宋体" w:cs="宋体" w:eastAsia="宋体" w:hint="default"/>
                <w:sz w:val="18"/>
                <w:szCs w:val="18"/>
              </w:rPr>
              <w:t>减：前期计 入其他综合 收益当期转 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91" w:right="101"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91" w:right="191"/>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77"/>
              <w:jc w:val="left"/>
              <w:rPr>
                <w:rFonts w:ascii="宋体" w:hAnsi="宋体" w:cs="宋体" w:eastAsia="宋体" w:hint="default"/>
                <w:sz w:val="18"/>
                <w:szCs w:val="18"/>
              </w:rPr>
            </w:pPr>
            <w:r>
              <w:rPr>
                <w:rFonts w:ascii="宋体" w:hAnsi="宋体" w:cs="宋体" w:eastAsia="宋体" w:hint="default"/>
                <w:sz w:val="18"/>
                <w:szCs w:val="18"/>
              </w:rPr>
              <w:t>二、以后将重分类进损益的其他 综合收益</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28,834.61</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-123,533.</w:t>
            </w:r>
            <w:r>
              <w:rPr>
                <w:rFonts w:ascii="Times New Roman"/>
                <w:sz w:val="18"/>
              </w:rPr>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-123,533.</w:t>
            </w:r>
            <w:r>
              <w:rPr>
                <w:rFonts w:ascii="Times New Roman"/>
                <w:sz w:val="18"/>
              </w:rPr>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-94,698</w:t>
            </w:r>
          </w:p>
          <w:p>
            <w:pPr>
              <w:pStyle w:val="TableParagraph"/>
              <w:spacing w:line="240" w:lineRule="auto" w:before="105"/>
              <w:ind w:left="458" w:right="0"/>
              <w:jc w:val="left"/>
              <w:rPr>
                <w:rFonts w:ascii="Times New Roman" w:hAnsi="Times New Roman" w:cs="Times New Roman" w:eastAsia="Times New Roman" w:hint="default"/>
                <w:sz w:val="18"/>
                <w:szCs w:val="18"/>
              </w:rPr>
            </w:pPr>
            <w:r>
              <w:rPr>
                <w:rFonts w:ascii="Times New Roman"/>
                <w:sz w:val="18"/>
              </w:rPr>
              <w:t>.39</w:t>
            </w: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28,834.61</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-123,533.</w:t>
            </w:r>
            <w:r>
              <w:rPr>
                <w:rFonts w:ascii="Times New Roman"/>
                <w:sz w:val="18"/>
              </w:rPr>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-123,533.</w:t>
            </w:r>
            <w:r>
              <w:rPr>
                <w:rFonts w:ascii="Times New Roman"/>
                <w:sz w:val="18"/>
              </w:rPr>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-94,698</w:t>
            </w:r>
          </w:p>
          <w:p>
            <w:pPr>
              <w:pStyle w:val="TableParagraph"/>
              <w:spacing w:line="240" w:lineRule="auto" w:before="105"/>
              <w:ind w:left="458" w:right="0"/>
              <w:jc w:val="left"/>
              <w:rPr>
                <w:rFonts w:ascii="Times New Roman" w:hAnsi="Times New Roman" w:cs="Times New Roman" w:eastAsia="Times New Roman" w:hint="default"/>
                <w:sz w:val="18"/>
                <w:szCs w:val="18"/>
              </w:rPr>
            </w:pPr>
            <w:r>
              <w:rPr>
                <w:rFonts w:ascii="Times New Roman"/>
                <w:sz w:val="18"/>
              </w:rPr>
              <w:t>.39</w:t>
            </w:r>
          </w:p>
        </w:tc>
      </w:tr>
      <w:tr>
        <w:trPr>
          <w:trHeight w:val="715"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28,834.61</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-123,533.</w:t>
            </w:r>
            <w:r>
              <w:rPr>
                <w:rFonts w:ascii="Times New Roman"/>
                <w:sz w:val="18"/>
              </w:rPr>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-123,533.</w:t>
            </w:r>
            <w:r>
              <w:rPr>
                <w:rFonts w:ascii="Times New Roman"/>
                <w:sz w:val="18"/>
              </w:rPr>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-94,698</w:t>
            </w:r>
          </w:p>
          <w:p>
            <w:pPr>
              <w:pStyle w:val="TableParagraph"/>
              <w:spacing w:line="240" w:lineRule="auto" w:before="105"/>
              <w:ind w:left="458" w:right="0"/>
              <w:jc w:val="left"/>
              <w:rPr>
                <w:rFonts w:ascii="Times New Roman" w:hAnsi="Times New Roman" w:cs="Times New Roman" w:eastAsia="Times New Roman" w:hint="default"/>
                <w:sz w:val="18"/>
                <w:szCs w:val="18"/>
              </w:rPr>
            </w:pPr>
            <w:r>
              <w:rPr>
                <w:rFonts w:ascii="Times New Roman"/>
                <w:sz w:val="18"/>
              </w:rPr>
              <w:t>.39</w:t>
            </w:r>
          </w:p>
        </w:tc>
      </w:tr>
    </w:tbl>
    <w:p>
      <w:pPr>
        <w:pStyle w:val="BodyText"/>
        <w:spacing w:line="240" w:lineRule="auto" w:before="51"/>
        <w:ind w:right="1015"/>
        <w:jc w:val="left"/>
      </w:pPr>
      <w:r>
        <w:rPr/>
        <w:t>其他说明，包括对现金流量套期损益的有效部分转为被套期项目初始确认金额调整：</w:t>
      </w:r>
    </w:p>
    <w:p>
      <w:pPr>
        <w:spacing w:line="240" w:lineRule="auto" w:before="10"/>
        <w:rPr>
          <w:rFonts w:ascii="宋体" w:hAnsi="宋体" w:cs="宋体" w:eastAsia="宋体" w:hint="default"/>
          <w:sz w:val="26"/>
          <w:szCs w:val="26"/>
        </w:rPr>
      </w:pPr>
    </w:p>
    <w:p>
      <w:pPr>
        <w:pStyle w:val="Heading3"/>
        <w:spacing w:line="240" w:lineRule="auto"/>
        <w:ind w:left="1133" w:right="1015"/>
        <w:jc w:val="left"/>
        <w:rPr>
          <w:b w:val="0"/>
          <w:bCs w:val="0"/>
        </w:rPr>
      </w:pPr>
      <w:bookmarkStart w:name="58、专项储备" w:id="369"/>
      <w:bookmarkEnd w:id="369"/>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1"/>
        <w:ind w:right="6612"/>
        <w:jc w:val="left"/>
      </w:pPr>
      <w:r>
        <w:rPr/>
        <w:t>其他说明，包括本期增减变动情况、变动原因说明： 无</w:t>
      </w:r>
    </w:p>
    <w:p>
      <w:pPr>
        <w:spacing w:line="240" w:lineRule="auto" w:before="2"/>
        <w:rPr>
          <w:rFonts w:ascii="宋体" w:hAnsi="宋体" w:cs="宋体" w:eastAsia="宋体" w:hint="default"/>
          <w:sz w:val="20"/>
          <w:szCs w:val="20"/>
        </w:rPr>
      </w:pPr>
    </w:p>
    <w:p>
      <w:pPr>
        <w:pStyle w:val="Heading3"/>
        <w:spacing w:line="240" w:lineRule="auto"/>
        <w:ind w:right="1015"/>
        <w:jc w:val="left"/>
        <w:rPr>
          <w:b w:val="0"/>
          <w:bCs w:val="0"/>
        </w:rPr>
      </w:pPr>
      <w:bookmarkStart w:name="59、盈余公积" w:id="370"/>
      <w:bookmarkEnd w:id="370"/>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23,159,945.07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5,775,267.29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28,935,212.36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23,159,945.07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5,775,267.29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28,935,212.36</w:t>
            </w:r>
          </w:p>
        </w:tc>
      </w:tr>
    </w:tbl>
    <w:p>
      <w:pPr>
        <w:pStyle w:val="BodyText"/>
        <w:spacing w:line="357" w:lineRule="auto" w:before="51"/>
        <w:ind w:right="6252"/>
        <w:jc w:val="left"/>
      </w:pPr>
      <w:r>
        <w:rPr/>
        <w:t>盈余公积说明，包括本期增减变动情况、变动原因说明： 无</w:t>
      </w:r>
    </w:p>
    <w:p>
      <w:pPr>
        <w:spacing w:after="0" w:line="357" w:lineRule="auto"/>
        <w:jc w:val="left"/>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1015"/>
        <w:jc w:val="left"/>
        <w:rPr>
          <w:b w:val="0"/>
          <w:bCs w:val="0"/>
        </w:rPr>
      </w:pPr>
      <w:bookmarkStart w:name="60、未分配利润" w:id="371"/>
      <w:bookmarkEnd w:id="371"/>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25"/>
        <w:gridCol w:w="2925"/>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172,289,087.53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109,400,845.75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172,289,087.53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109,400,845.75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17,840,697.18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80,520,708.66</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5,775,267.29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9,350,712.88</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11,800,000.00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8,281,754.00</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172,554,517.42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172,289,087.53</w:t>
            </w:r>
          </w:p>
        </w:tc>
      </w:tr>
    </w:tbl>
    <w:p>
      <w:pPr>
        <w:pStyle w:val="BodyText"/>
        <w:spacing w:line="240" w:lineRule="auto" w:before="51"/>
        <w:ind w:right="1015"/>
        <w:jc w:val="left"/>
      </w:pPr>
      <w:r>
        <w:rPr/>
        <w:t>调整期初未分配利润明细：</w:t>
      </w:r>
    </w:p>
    <w:p>
      <w:pPr>
        <w:pStyle w:val="BodyText"/>
        <w:spacing w:line="240" w:lineRule="auto" w:before="116"/>
        <w:ind w:right="1015"/>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left="1133" w:right="1015"/>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1133" w:right="1015"/>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1133" w:right="1015"/>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left="1133" w:right="1015"/>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1015"/>
        <w:jc w:val="left"/>
        <w:rPr>
          <w:b w:val="0"/>
          <w:bCs w:val="0"/>
        </w:rPr>
      </w:pPr>
      <w:bookmarkStart w:name="61、营业收入和营业成本" w:id="372"/>
      <w:bookmarkEnd w:id="372"/>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865,357,541.41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631,989,662.33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770,444,166.69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515,962,396.83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1,232,752.98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88,706.80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200,272.76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8,051.00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866,590,294.39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632,078,369.13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770,644,439.45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515,970,447.83</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62、税金及附加" w:id="373"/>
      <w:bookmarkEnd w:id="373"/>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194.80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2,522,197.99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2,520,412.45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1,205,115.09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1,169,028.37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429,904.11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148,043.85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43,697.88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45,723.48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1,032,650.48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587,506.98</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803,410.08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779,352.27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6,036,975.63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5,250,262.20</w:t>
            </w:r>
          </w:p>
        </w:tc>
      </w:tr>
    </w:tbl>
    <w:p>
      <w:pPr>
        <w:pStyle w:val="BodyText"/>
        <w:spacing w:line="240" w:lineRule="auto" w:before="51"/>
        <w:ind w:right="101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1015"/>
        <w:jc w:val="left"/>
        <w:rPr>
          <w:b w:val="0"/>
          <w:bCs w:val="0"/>
        </w:rPr>
      </w:pPr>
      <w:bookmarkStart w:name="63、销售费用" w:id="374"/>
      <w:bookmarkEnd w:id="374"/>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广告及市场推广费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40,922,400.88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28,864,398.50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运输及船务费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11,848,058.85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14,477,123.80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员工薪酬及社保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35,222,778.50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23,450,722.19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信用保险费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2,654,745.27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2,699,339.13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3,097,793.54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1,879,128.47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751,538.16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726,845.16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8,560,054.29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4,283,992.15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103,057,369.49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76,381,549.40</w:t>
            </w:r>
          </w:p>
        </w:tc>
      </w:tr>
    </w:tbl>
    <w:p>
      <w:pPr>
        <w:pStyle w:val="BodyText"/>
        <w:spacing w:line="240" w:lineRule="auto" w:before="51"/>
        <w:ind w:right="101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1015"/>
        <w:jc w:val="left"/>
        <w:rPr>
          <w:b w:val="0"/>
          <w:bCs w:val="0"/>
        </w:rPr>
      </w:pPr>
      <w:bookmarkStart w:name="64、管理费用" w:id="375"/>
      <w:bookmarkEnd w:id="375"/>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66,116,633.84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59,345,845.35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员工薪酬及社保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21,746,863.82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19,247,231.07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折旧及资产摊销费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7,196,317.05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3,396,847.55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653,751.36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7,902,804.04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4,261,538.26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1,352,887.75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1,051,971.49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605,651.91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747,423.48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347,646.74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1,035,767.51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3,371,189.43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1,241,625.86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5,322,075.42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6,477,069.96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113,962,070.00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97,459,071.89</w:t>
            </w:r>
          </w:p>
        </w:tc>
      </w:tr>
    </w:tbl>
    <w:p>
      <w:pPr>
        <w:pStyle w:val="BodyText"/>
        <w:spacing w:line="240" w:lineRule="auto" w:before="51"/>
        <w:ind w:right="1015"/>
        <w:jc w:val="left"/>
      </w:pPr>
      <w:r>
        <w:rPr/>
        <w:t>其他说明：</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1015"/>
        <w:jc w:val="left"/>
        <w:rPr>
          <w:b w:val="0"/>
          <w:bCs w:val="0"/>
        </w:rPr>
      </w:pPr>
      <w:bookmarkStart w:name="65、财务费用" w:id="376"/>
      <w:bookmarkEnd w:id="376"/>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490,655.36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788,973.16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1,046,435.00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5,885,490.31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-8,422,366.43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-11,841.80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-102,501.01</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5,575,330.71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-9,571,302.44</w:t>
            </w:r>
          </w:p>
        </w:tc>
      </w:tr>
    </w:tbl>
    <w:p>
      <w:pPr>
        <w:pStyle w:val="BodyText"/>
        <w:spacing w:line="240" w:lineRule="auto" w:before="51"/>
        <w:ind w:right="1015"/>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3" w:right="1015"/>
        <w:jc w:val="left"/>
        <w:rPr>
          <w:b w:val="0"/>
          <w:bCs w:val="0"/>
        </w:rPr>
      </w:pPr>
      <w:bookmarkStart w:name="66、资产减值损失" w:id="377"/>
      <w:bookmarkEnd w:id="377"/>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2,715,957.27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1,605,277.39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-499,310.51</w:t>
            </w:r>
            <w:r>
              <w:rPr>
                <w:rFonts w:ascii="Times New Roman"/>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2,715,957.27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1,105,966.88</w:t>
            </w:r>
          </w:p>
        </w:tc>
      </w:tr>
    </w:tbl>
    <w:p>
      <w:pPr>
        <w:pStyle w:val="BodyText"/>
        <w:spacing w:line="240" w:lineRule="auto" w:before="51"/>
        <w:ind w:right="1015"/>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3" w:right="1015"/>
        <w:jc w:val="left"/>
        <w:rPr>
          <w:b w:val="0"/>
          <w:bCs w:val="0"/>
        </w:rPr>
      </w:pPr>
      <w:bookmarkStart w:name="67、公允价值变动收益" w:id="378"/>
      <w:bookmarkEnd w:id="378"/>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92"/>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 损益的金融资产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934,600.00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6"/>
                <w:sz w:val="18"/>
                <w:szCs w:val="18"/>
              </w:rPr>
              <w:t>其中：衍生金融工具产生的公允价</w:t>
            </w:r>
            <w:r>
              <w:rPr>
                <w:rFonts w:ascii="宋体" w:hAnsi="宋体" w:cs="宋体" w:eastAsia="宋体" w:hint="default"/>
                <w:sz w:val="18"/>
                <w:szCs w:val="18"/>
              </w:rPr>
              <w:t> 值变动收益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934,600.00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92"/>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 损益的金融负债</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680,170.00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934,600.00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680,170.00</w:t>
            </w:r>
          </w:p>
        </w:tc>
      </w:tr>
    </w:tbl>
    <w:p>
      <w:pPr>
        <w:pStyle w:val="BodyText"/>
        <w:spacing w:line="316" w:lineRule="auto" w:before="51"/>
        <w:ind w:right="1015"/>
        <w:jc w:val="left"/>
      </w:pPr>
      <w:r>
        <w:rPr>
          <w:spacing w:val="-2"/>
        </w:rPr>
        <w:t>其他说明：以公允价值计量且其变动计入当期损益的金融资产和金融负债系公司为规避汇率波动风险签订的远期外汇结算合</w:t>
      </w:r>
      <w:r>
        <w:rPr>
          <w:spacing w:val="-64"/>
        </w:rPr>
        <w:t> </w:t>
      </w:r>
      <w:r>
        <w:rPr>
          <w:spacing w:val="-64"/>
        </w:rPr>
      </w:r>
      <w:r>
        <w:rPr/>
        <w:t>约，在资产负债表日根据资产负债表日汇率和远期外汇的公允价值计算公允价值变动收益。</w:t>
      </w:r>
    </w:p>
    <w:p>
      <w:pPr>
        <w:spacing w:line="240" w:lineRule="auto" w:before="6"/>
        <w:rPr>
          <w:rFonts w:ascii="宋体" w:hAnsi="宋体" w:cs="宋体" w:eastAsia="宋体" w:hint="default"/>
          <w:sz w:val="22"/>
          <w:szCs w:val="22"/>
        </w:rPr>
      </w:pPr>
    </w:p>
    <w:p>
      <w:pPr>
        <w:pStyle w:val="Heading3"/>
        <w:spacing w:line="240" w:lineRule="auto"/>
        <w:ind w:left="1133" w:right="1015"/>
        <w:jc w:val="left"/>
        <w:rPr>
          <w:b w:val="0"/>
          <w:bCs w:val="0"/>
        </w:rPr>
      </w:pPr>
      <w:bookmarkStart w:name="68、投资收益" w:id="379"/>
      <w:bookmarkEnd w:id="379"/>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134,260.19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248,825.85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w w:val="95"/>
                <w:sz w:val="18"/>
              </w:rPr>
              <w:t>-499,310.51</w:t>
            </w:r>
            <w:r>
              <w:rPr>
                <w:rFonts w:ascii="Times New Roman"/>
                <w:sz w:val="18"/>
              </w:rPr>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-1,156,276.00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4,749,914.64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4,884,174.83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-1,406,760.66</w:t>
            </w:r>
          </w:p>
        </w:tc>
      </w:tr>
    </w:tbl>
    <w:p>
      <w:pPr>
        <w:pStyle w:val="BodyText"/>
        <w:spacing w:line="302" w:lineRule="auto" w:before="51"/>
        <w:ind w:right="1118"/>
        <w:jc w:val="left"/>
      </w:pPr>
      <w:r>
        <w:rPr/>
        <w:t>其他说明：权益法核算的长期股权投资收益</w:t>
      </w:r>
      <w:r>
        <w:rPr>
          <w:spacing w:val="-16"/>
        </w:rPr>
        <w:t> </w:t>
      </w:r>
      <w:r>
        <w:rPr>
          <w:rFonts w:ascii="Times New Roman" w:hAnsi="Times New Roman" w:cs="Times New Roman" w:eastAsia="Times New Roman" w:hint="default"/>
        </w:rPr>
        <w:t>134,260.19</w:t>
      </w:r>
      <w:r>
        <w:rPr>
          <w:rFonts w:ascii="Times New Roman" w:hAnsi="Times New Roman" w:cs="Times New Roman" w:eastAsia="Times New Roman" w:hint="default"/>
          <w:spacing w:val="-8"/>
        </w:rPr>
        <w:t> </w:t>
      </w:r>
      <w:r>
        <w:rPr/>
        <w:t>元系易恩科技</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年度实现利润和公司对子公司深圳市瑞康宏业科 技开发有限公司第一次持股按照权益法核算形成。</w:t>
      </w:r>
    </w:p>
    <w:p>
      <w:pPr>
        <w:spacing w:line="240" w:lineRule="auto" w:before="2"/>
        <w:rPr>
          <w:rFonts w:ascii="宋体" w:hAnsi="宋体" w:cs="宋体" w:eastAsia="宋体" w:hint="default"/>
          <w:sz w:val="23"/>
          <w:szCs w:val="23"/>
        </w:rPr>
      </w:pPr>
    </w:p>
    <w:p>
      <w:pPr>
        <w:pStyle w:val="Heading3"/>
        <w:spacing w:line="240" w:lineRule="auto"/>
        <w:ind w:right="1015"/>
        <w:jc w:val="left"/>
        <w:rPr>
          <w:b w:val="0"/>
          <w:bCs w:val="0"/>
        </w:rPr>
      </w:pPr>
      <w:bookmarkStart w:name="69、资产处置收益" w:id="380"/>
      <w:bookmarkEnd w:id="380"/>
      <w:r>
        <w:rPr>
          <w:b w:val="0"/>
          <w:bCs w:val="0"/>
        </w:rPr>
      </w:r>
      <w:r>
        <w:rPr>
          <w:rFonts w:ascii="Times New Roman" w:hAnsi="Times New Roman" w:cs="Times New Roman" w:eastAsia="Times New Roman" w:hint="default"/>
        </w:rPr>
        <w:t>69</w:t>
      </w:r>
      <w:r>
        <w:rPr/>
        <w:t>、资产处置收益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处置固定资产收益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195,643.88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-163,652.25</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处置无形资产收益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746,866.55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195,643.88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583,214.30</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70、其他收益" w:id="381"/>
      <w:bookmarkEnd w:id="381"/>
      <w:r>
        <w:rPr>
          <w:b w:val="0"/>
          <w:bCs w:val="0"/>
        </w:rPr>
      </w:r>
      <w:r>
        <w:rPr>
          <w:rFonts w:ascii="Times New Roman" w:hAnsi="Times New Roman" w:cs="Times New Roman" w:eastAsia="Times New Roman" w:hint="default"/>
        </w:rPr>
        <w:t>70</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3,098,555.20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3,098,555.20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71、营业外收入" w:id="382"/>
      <w:bookmarkEnd w:id="382"/>
      <w:r>
        <w:rPr>
          <w:b w:val="0"/>
          <w:bCs w:val="0"/>
        </w:rPr>
      </w:r>
      <w:r>
        <w:rPr>
          <w:rFonts w:ascii="Times New Roman" w:hAnsi="Times New Roman" w:cs="Times New Roman" w:eastAsia="Times New Roman" w:hint="default"/>
        </w:rPr>
        <w:t>71</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14,207,132.81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8,561,002.94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14,207,132.81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软件退税</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900,542.54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448,211.02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377,563.37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448,211.02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14,655,343.83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9,839,108.85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14,655,343.83</w:t>
            </w:r>
          </w:p>
        </w:tc>
      </w:tr>
    </w:tbl>
    <w:p>
      <w:pPr>
        <w:pStyle w:val="BodyText"/>
        <w:spacing w:line="240" w:lineRule="auto" w:before="51"/>
        <w:ind w:right="1015"/>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026"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6" w:right="164"/>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46" w:right="164"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46" w:right="165"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45" w:right="164" w:hanging="180"/>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41" w:right="139"/>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省外经贸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1" w:right="0"/>
              <w:jc w:val="left"/>
              <w:rPr>
                <w:rFonts w:ascii="宋体" w:hAnsi="宋体" w:cs="宋体" w:eastAsia="宋体" w:hint="default"/>
                <w:sz w:val="18"/>
                <w:szCs w:val="18"/>
              </w:rPr>
            </w:pPr>
            <w:r>
              <w:rPr>
                <w:rFonts w:ascii="宋体" w:hAnsi="宋体" w:cs="宋体" w:eastAsia="宋体" w:hint="default"/>
                <w:sz w:val="18"/>
                <w:szCs w:val="18"/>
              </w:rPr>
              <w:t>中山市财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因从事国</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120,500.00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与收益相</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254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31"/>
              <w:jc w:val="left"/>
              <w:rPr>
                <w:rFonts w:ascii="宋体" w:hAnsi="宋体" w:cs="宋体" w:eastAsia="宋体" w:hint="default"/>
                <w:sz w:val="18"/>
                <w:szCs w:val="18"/>
              </w:rPr>
            </w:pPr>
            <w:r>
              <w:rPr>
                <w:rFonts w:ascii="宋体" w:hAnsi="宋体" w:cs="宋体" w:eastAsia="宋体" w:hint="default"/>
                <w:sz w:val="18"/>
                <w:szCs w:val="18"/>
              </w:rPr>
              <w:t>易扶持资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政局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家鼓励和 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3" w:right="231"/>
              <w:jc w:val="left"/>
              <w:rPr>
                <w:rFonts w:ascii="宋体" w:hAnsi="宋体" w:cs="宋体" w:eastAsia="宋体" w:hint="default"/>
                <w:sz w:val="18"/>
                <w:szCs w:val="18"/>
              </w:rPr>
            </w:pPr>
            <w:r>
              <w:rPr>
                <w:rFonts w:ascii="宋体" w:hAnsi="宋体" w:cs="宋体" w:eastAsia="宋体" w:hint="default"/>
                <w:sz w:val="18"/>
                <w:szCs w:val="18"/>
              </w:rPr>
              <w:t>出口信保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1" w:right="228"/>
              <w:jc w:val="left"/>
              <w:rPr>
                <w:rFonts w:ascii="宋体" w:hAnsi="宋体" w:cs="宋体" w:eastAsia="宋体" w:hint="default"/>
                <w:sz w:val="18"/>
                <w:szCs w:val="18"/>
              </w:rPr>
            </w:pPr>
            <w:r>
              <w:rPr>
                <w:rFonts w:ascii="宋体" w:hAnsi="宋体" w:cs="宋体" w:eastAsia="宋体" w:hint="default"/>
                <w:sz w:val="18"/>
                <w:szCs w:val="18"/>
              </w:rPr>
              <w:t>中山市财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657,100.00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451,851.00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专利资助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8"/>
              <w:jc w:val="both"/>
              <w:rPr>
                <w:rFonts w:ascii="宋体" w:hAnsi="宋体" w:cs="宋体" w:eastAsia="宋体" w:hint="default"/>
                <w:sz w:val="18"/>
                <w:szCs w:val="18"/>
              </w:rPr>
            </w:pPr>
            <w:r>
              <w:rPr>
                <w:rFonts w:ascii="宋体" w:hAnsi="宋体" w:cs="宋体" w:eastAsia="宋体" w:hint="default"/>
                <w:sz w:val="18"/>
                <w:szCs w:val="18"/>
              </w:rPr>
              <w:t>中山火炬 高技术产 业开发区 经济发展 和科技信 息局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z w:val="18"/>
                <w:szCs w:val="18"/>
              </w:rPr>
              <w:t>因研究开 </w:t>
            </w:r>
            <w:r>
              <w:rPr>
                <w:rFonts w:ascii="宋体" w:hAnsi="宋体" w:cs="宋体" w:eastAsia="宋体" w:hint="default"/>
                <w:spacing w:val="-11"/>
                <w:sz w:val="18"/>
                <w:szCs w:val="18"/>
              </w:rPr>
              <w:t>发、技术更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新及改造 等获得的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206,000.00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103" w:right="231"/>
              <w:jc w:val="both"/>
              <w:rPr>
                <w:rFonts w:ascii="宋体" w:hAnsi="宋体" w:cs="宋体" w:eastAsia="宋体" w:hint="default"/>
                <w:sz w:val="18"/>
                <w:szCs w:val="18"/>
              </w:rPr>
            </w:pPr>
            <w:r>
              <w:rPr>
                <w:rFonts w:ascii="宋体" w:hAnsi="宋体" w:cs="宋体" w:eastAsia="宋体" w:hint="default"/>
                <w:sz w:val="18"/>
                <w:szCs w:val="18"/>
              </w:rPr>
              <w:t>企业开拓 国际市场 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1" w:right="228"/>
              <w:jc w:val="left"/>
              <w:rPr>
                <w:rFonts w:ascii="宋体" w:hAnsi="宋体" w:cs="宋体" w:eastAsia="宋体" w:hint="default"/>
                <w:sz w:val="18"/>
                <w:szCs w:val="18"/>
              </w:rPr>
            </w:pPr>
            <w:r>
              <w:rPr>
                <w:rFonts w:ascii="宋体" w:hAnsi="宋体" w:cs="宋体" w:eastAsia="宋体" w:hint="default"/>
                <w:sz w:val="18"/>
                <w:szCs w:val="18"/>
              </w:rPr>
              <w:t>中山市财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90,730.00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32,967.50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3" w:right="231"/>
              <w:jc w:val="left"/>
              <w:rPr>
                <w:rFonts w:ascii="宋体" w:hAnsi="宋体" w:cs="宋体" w:eastAsia="宋体" w:hint="default"/>
                <w:sz w:val="18"/>
                <w:szCs w:val="18"/>
              </w:rPr>
            </w:pPr>
            <w:r>
              <w:rPr>
                <w:rFonts w:ascii="宋体" w:hAnsi="宋体" w:cs="宋体" w:eastAsia="宋体" w:hint="default"/>
                <w:sz w:val="18"/>
                <w:szCs w:val="18"/>
              </w:rPr>
              <w:t>电子商务 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1" w:right="228"/>
              <w:jc w:val="left"/>
              <w:rPr>
                <w:rFonts w:ascii="宋体" w:hAnsi="宋体" w:cs="宋体" w:eastAsia="宋体" w:hint="default"/>
                <w:sz w:val="18"/>
                <w:szCs w:val="18"/>
              </w:rPr>
            </w:pPr>
            <w:r>
              <w:rPr>
                <w:rFonts w:ascii="宋体" w:hAnsi="宋体" w:cs="宋体" w:eastAsia="宋体" w:hint="default"/>
                <w:sz w:val="18"/>
                <w:szCs w:val="18"/>
              </w:rPr>
              <w:t>中山市财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231"/>
              <w:jc w:val="left"/>
              <w:rPr>
                <w:rFonts w:ascii="宋体" w:hAnsi="宋体" w:cs="宋体" w:eastAsia="宋体" w:hint="default"/>
                <w:sz w:val="18"/>
                <w:szCs w:val="18"/>
              </w:rPr>
            </w:pPr>
            <w:r>
              <w:rPr>
                <w:rFonts w:ascii="宋体" w:hAnsi="宋体" w:cs="宋体" w:eastAsia="宋体" w:hint="default"/>
                <w:sz w:val="18"/>
                <w:szCs w:val="18"/>
              </w:rPr>
              <w:t>互联网及 大数据专</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8"/>
              <w:jc w:val="left"/>
              <w:rPr>
                <w:rFonts w:ascii="宋体" w:hAnsi="宋体" w:cs="宋体" w:eastAsia="宋体" w:hint="default"/>
                <w:sz w:val="18"/>
                <w:szCs w:val="18"/>
              </w:rPr>
            </w:pPr>
            <w:r>
              <w:rPr>
                <w:rFonts w:ascii="宋体" w:hAnsi="宋体" w:cs="宋体" w:eastAsia="宋体" w:hint="default"/>
                <w:sz w:val="18"/>
                <w:szCs w:val="18"/>
              </w:rPr>
              <w:t>中山市财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228"/>
              <w:jc w:val="left"/>
              <w:rPr>
                <w:rFonts w:ascii="宋体" w:hAnsi="宋体" w:cs="宋体" w:eastAsia="宋体" w:hint="default"/>
                <w:sz w:val="18"/>
                <w:szCs w:val="18"/>
              </w:rPr>
            </w:pPr>
            <w:r>
              <w:rPr>
                <w:rFonts w:ascii="宋体" w:hAnsi="宋体" w:cs="宋体" w:eastAsia="宋体" w:hint="default"/>
                <w:sz w:val="18"/>
                <w:szCs w:val="18"/>
              </w:rPr>
              <w:t>因从事国 家鼓励和</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6"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223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项</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231"/>
              <w:jc w:val="both"/>
              <w:rPr>
                <w:rFonts w:ascii="宋体" w:hAnsi="宋体" w:cs="宋体" w:eastAsia="宋体" w:hint="default"/>
                <w:sz w:val="18"/>
                <w:szCs w:val="18"/>
              </w:rPr>
            </w:pPr>
            <w:r>
              <w:rPr>
                <w:rFonts w:ascii="宋体" w:hAnsi="宋体" w:cs="宋体" w:eastAsia="宋体" w:hint="default"/>
                <w:sz w:val="18"/>
                <w:szCs w:val="18"/>
              </w:rPr>
              <w:t>总部企业 经营贡献 奖配套资 助资金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01" w:right="228"/>
              <w:jc w:val="both"/>
              <w:rPr>
                <w:rFonts w:ascii="宋体" w:hAnsi="宋体" w:cs="宋体" w:eastAsia="宋体" w:hint="default"/>
                <w:sz w:val="18"/>
                <w:szCs w:val="18"/>
              </w:rPr>
            </w:pPr>
            <w:r>
              <w:rPr>
                <w:rFonts w:ascii="宋体" w:hAnsi="宋体" w:cs="宋体" w:eastAsia="宋体" w:hint="default"/>
                <w:sz w:val="18"/>
                <w:szCs w:val="18"/>
              </w:rPr>
              <w:t>中山火炬 高技术产 业开发区 财政结算 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125,300.00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79,200.00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231"/>
              <w:jc w:val="left"/>
              <w:rPr>
                <w:rFonts w:ascii="宋体" w:hAnsi="宋体" w:cs="宋体" w:eastAsia="宋体" w:hint="default"/>
                <w:sz w:val="18"/>
                <w:szCs w:val="18"/>
              </w:rPr>
            </w:pPr>
            <w:r>
              <w:rPr>
                <w:rFonts w:ascii="宋体" w:hAnsi="宋体" w:cs="宋体" w:eastAsia="宋体" w:hint="default"/>
                <w:sz w:val="18"/>
                <w:szCs w:val="18"/>
              </w:rPr>
              <w:t>动工建设 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1" w:right="228"/>
              <w:jc w:val="both"/>
              <w:rPr>
                <w:rFonts w:ascii="宋体" w:hAnsi="宋体" w:cs="宋体" w:eastAsia="宋体" w:hint="default"/>
                <w:sz w:val="18"/>
                <w:szCs w:val="18"/>
              </w:rPr>
            </w:pPr>
            <w:r>
              <w:rPr>
                <w:rFonts w:ascii="宋体" w:hAnsi="宋体" w:cs="宋体" w:eastAsia="宋体" w:hint="default"/>
                <w:sz w:val="18"/>
                <w:szCs w:val="18"/>
              </w:rPr>
              <w:t>中山火炬 高技术产 业开发区 财政结算 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412,136.80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01" w:right="228"/>
              <w:jc w:val="both"/>
              <w:rPr>
                <w:rFonts w:ascii="宋体" w:hAnsi="宋体" w:cs="宋体" w:eastAsia="宋体" w:hint="default"/>
                <w:sz w:val="18"/>
                <w:szCs w:val="18"/>
              </w:rPr>
            </w:pPr>
            <w:r>
              <w:rPr>
                <w:rFonts w:ascii="宋体" w:hAnsi="宋体" w:cs="宋体" w:eastAsia="宋体" w:hint="default"/>
                <w:sz w:val="18"/>
                <w:szCs w:val="18"/>
              </w:rPr>
              <w:t>中山火炬 高技术产 业开发区 财政结算 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75,000.00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231"/>
              <w:jc w:val="both"/>
              <w:rPr>
                <w:rFonts w:ascii="宋体" w:hAnsi="宋体" w:cs="宋体" w:eastAsia="宋体" w:hint="default"/>
                <w:sz w:val="18"/>
                <w:szCs w:val="18"/>
              </w:rPr>
            </w:pPr>
            <w:r>
              <w:rPr>
                <w:rFonts w:ascii="宋体" w:hAnsi="宋体" w:cs="宋体" w:eastAsia="宋体" w:hint="default"/>
                <w:sz w:val="18"/>
                <w:szCs w:val="18"/>
              </w:rPr>
              <w:t>中山市商 务局企业 品牌培育 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1" w:right="228"/>
              <w:jc w:val="left"/>
              <w:rPr>
                <w:rFonts w:ascii="宋体" w:hAnsi="宋体" w:cs="宋体" w:eastAsia="宋体" w:hint="default"/>
                <w:sz w:val="18"/>
                <w:szCs w:val="18"/>
              </w:rPr>
            </w:pPr>
            <w:r>
              <w:rPr>
                <w:rFonts w:ascii="宋体" w:hAnsi="宋体" w:cs="宋体" w:eastAsia="宋体" w:hint="default"/>
                <w:sz w:val="18"/>
                <w:szCs w:val="18"/>
              </w:rPr>
              <w:t>中山市财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86"/>
              <w:jc w:val="both"/>
              <w:rPr>
                <w:rFonts w:ascii="宋体" w:hAnsi="宋体" w:cs="宋体" w:eastAsia="宋体" w:hint="default"/>
                <w:sz w:val="18"/>
                <w:szCs w:val="18"/>
              </w:rPr>
            </w:pPr>
            <w:r>
              <w:rPr>
                <w:rFonts w:ascii="宋体" w:hAnsi="宋体" w:cs="宋体" w:eastAsia="宋体" w:hint="default"/>
                <w:sz w:val="18"/>
                <w:szCs w:val="18"/>
              </w:rPr>
              <w:t>支付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年火炬开 发区品牌 发展专项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8"/>
              <w:jc w:val="both"/>
              <w:rPr>
                <w:rFonts w:ascii="宋体" w:hAnsi="宋体" w:cs="宋体" w:eastAsia="宋体" w:hint="default"/>
                <w:sz w:val="18"/>
                <w:szCs w:val="18"/>
              </w:rPr>
            </w:pPr>
            <w:r>
              <w:rPr>
                <w:rFonts w:ascii="宋体" w:hAnsi="宋体" w:cs="宋体" w:eastAsia="宋体" w:hint="default"/>
                <w:sz w:val="18"/>
                <w:szCs w:val="18"/>
              </w:rPr>
              <w:t>中山火炬 高技术产 业开发区 经济发展</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21,000.00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9"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1" w:right="228"/>
              <w:jc w:val="left"/>
              <w:rPr>
                <w:rFonts w:ascii="宋体" w:hAnsi="宋体" w:cs="宋体" w:eastAsia="宋体" w:hint="default"/>
                <w:sz w:val="18"/>
                <w:szCs w:val="18"/>
              </w:rPr>
            </w:pPr>
            <w:r>
              <w:rPr>
                <w:rFonts w:ascii="宋体" w:hAnsi="宋体" w:cs="宋体" w:eastAsia="宋体" w:hint="default"/>
                <w:sz w:val="18"/>
                <w:szCs w:val="18"/>
              </w:rPr>
              <w:t>和科技信 息局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28"/>
              <w:jc w:val="both"/>
              <w:rPr>
                <w:rFonts w:ascii="宋体" w:hAnsi="宋体" w:cs="宋体" w:eastAsia="宋体" w:hint="default"/>
                <w:sz w:val="18"/>
                <w:szCs w:val="18"/>
              </w:rPr>
            </w:pPr>
            <w:r>
              <w:rPr>
                <w:rFonts w:ascii="宋体" w:hAnsi="宋体" w:cs="宋体" w:eastAsia="宋体" w:hint="default"/>
                <w:sz w:val="18"/>
                <w:szCs w:val="18"/>
              </w:rPr>
              <w:t>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火炬开发 区关于给 予内服务 业企业获 </w:t>
            </w:r>
            <w:r>
              <w:rPr>
                <w:rFonts w:ascii="Times New Roman" w:hAnsi="Times New Roman" w:cs="Times New Roman" w:eastAsia="Times New Roman" w:hint="default"/>
                <w:spacing w:val="-6"/>
                <w:sz w:val="18"/>
                <w:szCs w:val="18"/>
              </w:rPr>
              <w:t>2015</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2016</w:t>
            </w:r>
          </w:p>
          <w:p>
            <w:pPr>
              <w:pStyle w:val="TableParagraph"/>
              <w:spacing w:line="319" w:lineRule="auto"/>
              <w:ind w:left="103" w:right="231"/>
              <w:jc w:val="both"/>
              <w:rPr>
                <w:rFonts w:ascii="宋体" w:hAnsi="宋体" w:cs="宋体" w:eastAsia="宋体" w:hint="default"/>
                <w:sz w:val="18"/>
                <w:szCs w:val="18"/>
              </w:rPr>
            </w:pPr>
            <w:r>
              <w:rPr>
                <w:rFonts w:ascii="宋体" w:hAnsi="宋体" w:cs="宋体" w:eastAsia="宋体" w:hint="default"/>
                <w:sz w:val="18"/>
                <w:szCs w:val="18"/>
              </w:rPr>
              <w:t>年省市扶 持资金配 套的通知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1" w:right="228"/>
              <w:jc w:val="both"/>
              <w:rPr>
                <w:rFonts w:ascii="宋体" w:hAnsi="宋体" w:cs="宋体" w:eastAsia="宋体" w:hint="default"/>
                <w:sz w:val="18"/>
                <w:szCs w:val="18"/>
              </w:rPr>
            </w:pPr>
            <w:r>
              <w:rPr>
                <w:rFonts w:ascii="宋体" w:hAnsi="宋体" w:cs="宋体" w:eastAsia="宋体" w:hint="default"/>
                <w:sz w:val="18"/>
                <w:szCs w:val="18"/>
              </w:rPr>
              <w:t>中山火炬 高技术产 业开发区 财政结算 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z w:val="18"/>
              </w:rPr>
              <w:t>150,000.00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103" w:right="231"/>
              <w:jc w:val="both"/>
              <w:rPr>
                <w:rFonts w:ascii="宋体" w:hAnsi="宋体" w:cs="宋体" w:eastAsia="宋体" w:hint="default"/>
                <w:sz w:val="18"/>
                <w:szCs w:val="18"/>
              </w:rPr>
            </w:pPr>
            <w:r>
              <w:rPr>
                <w:rFonts w:ascii="宋体" w:hAnsi="宋体" w:cs="宋体" w:eastAsia="宋体" w:hint="default"/>
                <w:sz w:val="18"/>
                <w:szCs w:val="18"/>
              </w:rPr>
              <w:t>工业与信 息化发展 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1" w:right="228"/>
              <w:jc w:val="left"/>
              <w:rPr>
                <w:rFonts w:ascii="宋体" w:hAnsi="宋体" w:cs="宋体" w:eastAsia="宋体" w:hint="default"/>
                <w:sz w:val="18"/>
                <w:szCs w:val="18"/>
              </w:rPr>
            </w:pPr>
            <w:r>
              <w:rPr>
                <w:rFonts w:ascii="宋体" w:hAnsi="宋体" w:cs="宋体" w:eastAsia="宋体" w:hint="default"/>
                <w:sz w:val="18"/>
                <w:szCs w:val="18"/>
              </w:rPr>
              <w:t>中山市财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870,500.00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103" w:right="231"/>
              <w:jc w:val="both"/>
              <w:rPr>
                <w:rFonts w:ascii="宋体" w:hAnsi="宋体" w:cs="宋体" w:eastAsia="宋体" w:hint="default"/>
                <w:sz w:val="18"/>
                <w:szCs w:val="18"/>
              </w:rPr>
            </w:pPr>
            <w:r>
              <w:rPr>
                <w:rFonts w:ascii="宋体" w:hAnsi="宋体" w:cs="宋体" w:eastAsia="宋体" w:hint="default"/>
                <w:sz w:val="18"/>
                <w:szCs w:val="18"/>
              </w:rPr>
              <w:t>智能制造 试点项目 专项资金 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01" w:right="228"/>
              <w:jc w:val="left"/>
              <w:rPr>
                <w:rFonts w:ascii="宋体" w:hAnsi="宋体" w:cs="宋体" w:eastAsia="宋体" w:hint="default"/>
                <w:sz w:val="18"/>
                <w:szCs w:val="18"/>
              </w:rPr>
            </w:pPr>
            <w:r>
              <w:rPr>
                <w:rFonts w:ascii="宋体" w:hAnsi="宋体" w:cs="宋体" w:eastAsia="宋体" w:hint="default"/>
                <w:sz w:val="18"/>
                <w:szCs w:val="18"/>
              </w:rPr>
              <w:t>中山市财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2" w:lineRule="auto"/>
              <w:ind w:left="103" w:right="186"/>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 工业和信 息化发展 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1" w:right="228"/>
              <w:jc w:val="both"/>
              <w:rPr>
                <w:rFonts w:ascii="宋体" w:hAnsi="宋体" w:cs="宋体" w:eastAsia="宋体" w:hint="default"/>
                <w:sz w:val="18"/>
                <w:szCs w:val="18"/>
              </w:rPr>
            </w:pPr>
            <w:r>
              <w:rPr>
                <w:rFonts w:ascii="宋体" w:hAnsi="宋体" w:cs="宋体" w:eastAsia="宋体" w:hint="default"/>
                <w:sz w:val="18"/>
                <w:szCs w:val="18"/>
              </w:rPr>
              <w:t>中山火炬 高技术产 业开发区 经济发展 和科技信 息局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851,500.00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1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103" w:right="231"/>
              <w:jc w:val="left"/>
              <w:rPr>
                <w:rFonts w:ascii="宋体" w:hAnsi="宋体" w:cs="宋体" w:eastAsia="宋体" w:hint="default"/>
                <w:sz w:val="18"/>
                <w:szCs w:val="18"/>
              </w:rPr>
            </w:pPr>
            <w:r>
              <w:rPr>
                <w:rFonts w:ascii="宋体" w:hAnsi="宋体" w:cs="宋体" w:eastAsia="宋体" w:hint="default"/>
                <w:sz w:val="18"/>
                <w:szCs w:val="18"/>
              </w:rPr>
              <w:t>贸易发展 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8"/>
              <w:jc w:val="both"/>
              <w:rPr>
                <w:rFonts w:ascii="宋体" w:hAnsi="宋体" w:cs="宋体" w:eastAsia="宋体" w:hint="default"/>
                <w:sz w:val="18"/>
                <w:szCs w:val="18"/>
              </w:rPr>
            </w:pPr>
            <w:r>
              <w:rPr>
                <w:rFonts w:ascii="宋体" w:hAnsi="宋体" w:cs="宋体" w:eastAsia="宋体" w:hint="default"/>
                <w:sz w:val="18"/>
                <w:szCs w:val="18"/>
              </w:rPr>
              <w:t>中山火炬 高技术产 业开发区 经济发展 和科技信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307,917.00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989,090.00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9"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息局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1"/>
              <w:jc w:val="left"/>
              <w:rPr>
                <w:rFonts w:ascii="宋体" w:hAnsi="宋体" w:cs="宋体" w:eastAsia="宋体" w:hint="default"/>
                <w:sz w:val="18"/>
                <w:szCs w:val="18"/>
              </w:rPr>
            </w:pP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231"/>
              <w:jc w:val="both"/>
              <w:rPr>
                <w:rFonts w:ascii="宋体" w:hAnsi="宋体" w:cs="宋体" w:eastAsia="宋体" w:hint="default"/>
                <w:sz w:val="18"/>
                <w:szCs w:val="18"/>
              </w:rPr>
            </w:pPr>
            <w:r>
              <w:rPr>
                <w:rFonts w:ascii="宋体" w:hAnsi="宋体" w:cs="宋体" w:eastAsia="宋体" w:hint="default"/>
                <w:sz w:val="18"/>
                <w:szCs w:val="18"/>
              </w:rPr>
              <w:t>企业研究 开发省级 财政补助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1" w:right="228"/>
              <w:jc w:val="left"/>
              <w:rPr>
                <w:rFonts w:ascii="宋体" w:hAnsi="宋体" w:cs="宋体" w:eastAsia="宋体" w:hint="default"/>
                <w:sz w:val="18"/>
                <w:szCs w:val="18"/>
              </w:rPr>
            </w:pPr>
            <w:r>
              <w:rPr>
                <w:rFonts w:ascii="宋体" w:hAnsi="宋体" w:cs="宋体" w:eastAsia="宋体" w:hint="default"/>
                <w:sz w:val="18"/>
                <w:szCs w:val="18"/>
              </w:rPr>
              <w:t>中山市财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因研究开 </w:t>
            </w:r>
            <w:r>
              <w:rPr>
                <w:rFonts w:ascii="宋体" w:hAnsi="宋体" w:cs="宋体" w:eastAsia="宋体" w:hint="default"/>
                <w:spacing w:val="-11"/>
                <w:sz w:val="18"/>
                <w:szCs w:val="18"/>
              </w:rPr>
              <w:t>发、技术更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新及改造 等获得的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1,318,700.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231"/>
              <w:jc w:val="left"/>
              <w:rPr>
                <w:rFonts w:ascii="宋体" w:hAnsi="宋体" w:cs="宋体" w:eastAsia="宋体" w:hint="default"/>
                <w:sz w:val="18"/>
                <w:szCs w:val="18"/>
              </w:rPr>
            </w:pPr>
            <w:r>
              <w:rPr>
                <w:rFonts w:ascii="宋体" w:hAnsi="宋体" w:cs="宋体" w:eastAsia="宋体" w:hint="default"/>
                <w:sz w:val="18"/>
                <w:szCs w:val="18"/>
              </w:rPr>
              <w:t>科技发展 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8"/>
              <w:jc w:val="both"/>
              <w:rPr>
                <w:rFonts w:ascii="宋体" w:hAnsi="宋体" w:cs="宋体" w:eastAsia="宋体" w:hint="default"/>
                <w:sz w:val="18"/>
                <w:szCs w:val="18"/>
              </w:rPr>
            </w:pPr>
            <w:r>
              <w:rPr>
                <w:rFonts w:ascii="宋体" w:hAnsi="宋体" w:cs="宋体" w:eastAsia="宋体" w:hint="default"/>
                <w:sz w:val="18"/>
                <w:szCs w:val="18"/>
              </w:rPr>
              <w:t>中山火炬 高技术产 业开发区 财政结算 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因研究开 </w:t>
            </w:r>
            <w:r>
              <w:rPr>
                <w:rFonts w:ascii="宋体" w:hAnsi="宋体" w:cs="宋体" w:eastAsia="宋体" w:hint="default"/>
                <w:spacing w:val="-11"/>
                <w:sz w:val="18"/>
                <w:szCs w:val="18"/>
              </w:rPr>
              <w:t>发、技术更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新及改造 等获得的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980,000.00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231"/>
              <w:jc w:val="both"/>
              <w:rPr>
                <w:rFonts w:ascii="宋体" w:hAnsi="宋体" w:cs="宋体" w:eastAsia="宋体" w:hint="default"/>
                <w:sz w:val="18"/>
                <w:szCs w:val="18"/>
              </w:rPr>
            </w:pPr>
            <w:r>
              <w:rPr>
                <w:rFonts w:ascii="宋体" w:hAnsi="宋体" w:cs="宋体" w:eastAsia="宋体" w:hint="default"/>
                <w:sz w:val="18"/>
                <w:szCs w:val="18"/>
              </w:rPr>
              <w:t>高企及培 育入库企 业配套资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1" w:right="228"/>
              <w:jc w:val="both"/>
              <w:rPr>
                <w:rFonts w:ascii="宋体" w:hAnsi="宋体" w:cs="宋体" w:eastAsia="宋体" w:hint="default"/>
                <w:sz w:val="18"/>
                <w:szCs w:val="18"/>
              </w:rPr>
            </w:pPr>
            <w:r>
              <w:rPr>
                <w:rFonts w:ascii="宋体" w:hAnsi="宋体" w:cs="宋体" w:eastAsia="宋体" w:hint="default"/>
                <w:sz w:val="18"/>
                <w:szCs w:val="18"/>
              </w:rPr>
              <w:t>中山火炬 高技术产 业开发区 经济发展 和科技信 息局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53,000.00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31"/>
              <w:jc w:val="both"/>
              <w:rPr>
                <w:rFonts w:ascii="宋体" w:hAnsi="宋体" w:cs="宋体" w:eastAsia="宋体" w:hint="default"/>
                <w:sz w:val="18"/>
                <w:szCs w:val="18"/>
              </w:rPr>
            </w:pPr>
            <w:r>
              <w:rPr>
                <w:rFonts w:ascii="宋体" w:hAnsi="宋体" w:cs="宋体" w:eastAsia="宋体" w:hint="default"/>
                <w:sz w:val="18"/>
                <w:szCs w:val="18"/>
              </w:rPr>
              <w:t>科技项目 区配套资 金补助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8"/>
              <w:jc w:val="both"/>
              <w:rPr>
                <w:rFonts w:ascii="宋体" w:hAnsi="宋体" w:cs="宋体" w:eastAsia="宋体" w:hint="default"/>
                <w:sz w:val="18"/>
                <w:szCs w:val="18"/>
              </w:rPr>
            </w:pPr>
            <w:r>
              <w:rPr>
                <w:rFonts w:ascii="宋体" w:hAnsi="宋体" w:cs="宋体" w:eastAsia="宋体" w:hint="default"/>
                <w:sz w:val="18"/>
                <w:szCs w:val="18"/>
              </w:rPr>
              <w:t>中山火炬 高技术产 业开发区 财政结算 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因研究开 </w:t>
            </w:r>
            <w:r>
              <w:rPr>
                <w:rFonts w:ascii="宋体" w:hAnsi="宋体" w:cs="宋体" w:eastAsia="宋体" w:hint="default"/>
                <w:spacing w:val="-11"/>
                <w:sz w:val="18"/>
                <w:szCs w:val="18"/>
              </w:rPr>
              <w:t>发、技术更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新及改造 等获得的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1,300,000.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103" w:right="231"/>
              <w:jc w:val="both"/>
              <w:rPr>
                <w:rFonts w:ascii="宋体" w:hAnsi="宋体" w:cs="宋体" w:eastAsia="宋体" w:hint="default"/>
                <w:sz w:val="18"/>
                <w:szCs w:val="18"/>
              </w:rPr>
            </w:pPr>
            <w:r>
              <w:rPr>
                <w:rFonts w:ascii="宋体" w:hAnsi="宋体" w:cs="宋体" w:eastAsia="宋体" w:hint="default"/>
                <w:sz w:val="18"/>
                <w:szCs w:val="18"/>
              </w:rPr>
              <w:t>健康产业 专项发展 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1" w:right="228"/>
              <w:jc w:val="both"/>
              <w:rPr>
                <w:rFonts w:ascii="宋体" w:hAnsi="宋体" w:cs="宋体" w:eastAsia="宋体" w:hint="default"/>
                <w:sz w:val="18"/>
                <w:szCs w:val="18"/>
              </w:rPr>
            </w:pPr>
            <w:r>
              <w:rPr>
                <w:rFonts w:ascii="宋体" w:hAnsi="宋体" w:cs="宋体" w:eastAsia="宋体" w:hint="default"/>
                <w:sz w:val="18"/>
                <w:szCs w:val="18"/>
              </w:rPr>
              <w:t>中山火炬 高技术产 业开发区 经济发展 和科技信 息局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z w:val="18"/>
                <w:szCs w:val="18"/>
              </w:rPr>
              <w:t>企业转型 </w:t>
            </w:r>
            <w:r>
              <w:rPr>
                <w:rFonts w:ascii="宋体" w:hAnsi="宋体" w:cs="宋体" w:eastAsia="宋体" w:hint="default"/>
                <w:spacing w:val="-11"/>
                <w:sz w:val="18"/>
                <w:szCs w:val="18"/>
              </w:rPr>
              <w:t>升级（机器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人专题）资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1" w:right="228"/>
              <w:jc w:val="left"/>
              <w:rPr>
                <w:rFonts w:ascii="宋体" w:hAnsi="宋体" w:cs="宋体" w:eastAsia="宋体" w:hint="default"/>
                <w:sz w:val="18"/>
                <w:szCs w:val="18"/>
              </w:rPr>
            </w:pPr>
            <w:r>
              <w:rPr>
                <w:rFonts w:ascii="宋体" w:hAnsi="宋体" w:cs="宋体" w:eastAsia="宋体" w:hint="default"/>
                <w:sz w:val="18"/>
                <w:szCs w:val="18"/>
              </w:rPr>
              <w:t>中山市财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因研究开 </w:t>
            </w:r>
            <w:r>
              <w:rPr>
                <w:rFonts w:ascii="宋体" w:hAnsi="宋体" w:cs="宋体" w:eastAsia="宋体" w:hint="default"/>
                <w:spacing w:val="-11"/>
                <w:sz w:val="18"/>
                <w:szCs w:val="18"/>
              </w:rPr>
              <w:t>发、技术更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新及改造 等获得的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200,940.00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6"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上市补助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1" w:right="228"/>
              <w:jc w:val="left"/>
              <w:rPr>
                <w:rFonts w:ascii="宋体" w:hAnsi="宋体" w:cs="宋体" w:eastAsia="宋体" w:hint="default"/>
                <w:sz w:val="18"/>
                <w:szCs w:val="18"/>
              </w:rPr>
            </w:pPr>
            <w:r>
              <w:rPr>
                <w:rFonts w:ascii="宋体" w:hAnsi="宋体" w:cs="宋体" w:eastAsia="宋体" w:hint="default"/>
                <w:sz w:val="18"/>
                <w:szCs w:val="18"/>
              </w:rPr>
              <w:t>中山市财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奖励上市 而给予的 政府补助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0"/>
              <w:ind w:left="103" w:right="231"/>
              <w:jc w:val="both"/>
              <w:rPr>
                <w:rFonts w:ascii="宋体" w:hAnsi="宋体" w:cs="宋体" w:eastAsia="宋体" w:hint="default"/>
                <w:sz w:val="18"/>
                <w:szCs w:val="18"/>
              </w:rPr>
            </w:pPr>
            <w:r>
              <w:rPr>
                <w:rFonts w:ascii="宋体" w:hAnsi="宋体" w:cs="宋体" w:eastAsia="宋体" w:hint="default"/>
                <w:sz w:val="18"/>
                <w:szCs w:val="18"/>
              </w:rPr>
              <w:t>上规上限 专项经费 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9"/>
              <w:ind w:left="101" w:right="228"/>
              <w:jc w:val="left"/>
              <w:rPr>
                <w:rFonts w:ascii="宋体" w:hAnsi="宋体" w:cs="宋体" w:eastAsia="宋体" w:hint="default"/>
                <w:sz w:val="18"/>
                <w:szCs w:val="18"/>
              </w:rPr>
            </w:pPr>
            <w:r>
              <w:rPr>
                <w:rFonts w:ascii="宋体" w:hAnsi="宋体" w:cs="宋体" w:eastAsia="宋体" w:hint="default"/>
                <w:sz w:val="18"/>
                <w:szCs w:val="18"/>
              </w:rPr>
              <w:t>中山市财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9"/>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103" w:right="231"/>
              <w:jc w:val="both"/>
              <w:rPr>
                <w:rFonts w:ascii="宋体" w:hAnsi="宋体" w:cs="宋体" w:eastAsia="宋体" w:hint="default"/>
                <w:sz w:val="18"/>
                <w:szCs w:val="18"/>
              </w:rPr>
            </w:pPr>
            <w:r>
              <w:rPr>
                <w:rFonts w:ascii="宋体" w:hAnsi="宋体" w:cs="宋体" w:eastAsia="宋体" w:hint="default"/>
                <w:sz w:val="18"/>
                <w:szCs w:val="18"/>
              </w:rPr>
              <w:t>扶持重点 产业发展 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101" w:right="228"/>
              <w:jc w:val="both"/>
              <w:rPr>
                <w:rFonts w:ascii="宋体" w:hAnsi="宋体" w:cs="宋体" w:eastAsia="宋体" w:hint="default"/>
                <w:sz w:val="18"/>
                <w:szCs w:val="18"/>
              </w:rPr>
            </w:pPr>
            <w:r>
              <w:rPr>
                <w:rFonts w:ascii="宋体" w:hAnsi="宋体" w:cs="宋体" w:eastAsia="宋体" w:hint="default"/>
                <w:sz w:val="18"/>
                <w:szCs w:val="18"/>
              </w:rPr>
              <w:t>中山火炬 高技术产 业开发区 财政结算 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75,200.00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88,300.00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0"/>
              <w:ind w:left="103" w:right="231"/>
              <w:jc w:val="both"/>
              <w:rPr>
                <w:rFonts w:ascii="宋体" w:hAnsi="宋体" w:cs="宋体" w:eastAsia="宋体" w:hint="default"/>
                <w:sz w:val="18"/>
                <w:szCs w:val="18"/>
              </w:rPr>
            </w:pPr>
            <w:r>
              <w:rPr>
                <w:rFonts w:ascii="宋体" w:hAnsi="宋体" w:cs="宋体" w:eastAsia="宋体" w:hint="default"/>
                <w:sz w:val="18"/>
                <w:szCs w:val="18"/>
              </w:rPr>
              <w:t>外贸稳定 增长资金 拨付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9"/>
              <w:ind w:left="101" w:right="228"/>
              <w:jc w:val="left"/>
              <w:rPr>
                <w:rFonts w:ascii="宋体" w:hAnsi="宋体" w:cs="宋体" w:eastAsia="宋体" w:hint="default"/>
                <w:sz w:val="18"/>
                <w:szCs w:val="18"/>
              </w:rPr>
            </w:pPr>
            <w:r>
              <w:rPr>
                <w:rFonts w:ascii="宋体" w:hAnsi="宋体" w:cs="宋体" w:eastAsia="宋体" w:hint="default"/>
                <w:sz w:val="18"/>
                <w:szCs w:val="18"/>
              </w:rPr>
              <w:t>中山市商 务局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35,530.00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90,469.00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9"/>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103" w:right="231"/>
              <w:jc w:val="both"/>
              <w:rPr>
                <w:rFonts w:ascii="宋体" w:hAnsi="宋体" w:cs="宋体" w:eastAsia="宋体" w:hint="default"/>
                <w:sz w:val="18"/>
                <w:szCs w:val="18"/>
              </w:rPr>
            </w:pPr>
            <w:r>
              <w:rPr>
                <w:rFonts w:ascii="宋体" w:hAnsi="宋体" w:cs="宋体" w:eastAsia="宋体" w:hint="default"/>
                <w:sz w:val="18"/>
                <w:szCs w:val="18"/>
              </w:rPr>
              <w:t>外贸先进 企业开发 区补助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1" w:right="228"/>
              <w:jc w:val="both"/>
              <w:rPr>
                <w:rFonts w:ascii="宋体" w:hAnsi="宋体" w:cs="宋体" w:eastAsia="宋体" w:hint="default"/>
                <w:sz w:val="18"/>
                <w:szCs w:val="18"/>
              </w:rPr>
            </w:pPr>
            <w:r>
              <w:rPr>
                <w:rFonts w:ascii="宋体" w:hAnsi="宋体" w:cs="宋体" w:eastAsia="宋体" w:hint="default"/>
                <w:sz w:val="18"/>
                <w:szCs w:val="18"/>
              </w:rPr>
              <w:t>中山火炬 高技术产 业开发区 经济发展 和科技信 息局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46,842.00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31"/>
              <w:jc w:val="both"/>
              <w:rPr>
                <w:rFonts w:ascii="宋体" w:hAnsi="宋体" w:cs="宋体" w:eastAsia="宋体" w:hint="default"/>
                <w:sz w:val="18"/>
                <w:szCs w:val="18"/>
              </w:rPr>
            </w:pPr>
            <w:r>
              <w:rPr>
                <w:rFonts w:ascii="宋体" w:hAnsi="宋体" w:cs="宋体" w:eastAsia="宋体" w:hint="default"/>
                <w:sz w:val="18"/>
                <w:szCs w:val="18"/>
              </w:rPr>
              <w:t>广东省企 业研究开 发省级财 政补助资</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101" w:right="228"/>
              <w:jc w:val="left"/>
              <w:rPr>
                <w:rFonts w:ascii="宋体" w:hAnsi="宋体" w:cs="宋体" w:eastAsia="宋体" w:hint="default"/>
                <w:sz w:val="18"/>
                <w:szCs w:val="18"/>
              </w:rPr>
            </w:pPr>
            <w:r>
              <w:rPr>
                <w:rFonts w:ascii="宋体" w:hAnsi="宋体" w:cs="宋体" w:eastAsia="宋体" w:hint="default"/>
                <w:sz w:val="18"/>
                <w:szCs w:val="18"/>
              </w:rPr>
              <w:t>中山市财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因研究开 </w:t>
            </w:r>
            <w:r>
              <w:rPr>
                <w:rFonts w:ascii="宋体" w:hAnsi="宋体" w:cs="宋体" w:eastAsia="宋体" w:hint="default"/>
                <w:spacing w:val="-11"/>
                <w:sz w:val="18"/>
                <w:szCs w:val="18"/>
              </w:rPr>
              <w:t>发、技术更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新及改造 等获得的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36" w:right="0"/>
              <w:jc w:val="center"/>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6"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31"/>
              <w:jc w:val="both"/>
              <w:rPr>
                <w:rFonts w:ascii="宋体" w:hAnsi="宋体" w:cs="宋体" w:eastAsia="宋体" w:hint="default"/>
                <w:sz w:val="18"/>
                <w:szCs w:val="18"/>
              </w:rPr>
            </w:pPr>
            <w:r>
              <w:rPr>
                <w:rFonts w:ascii="宋体" w:hAnsi="宋体" w:cs="宋体" w:eastAsia="宋体" w:hint="default"/>
                <w:sz w:val="18"/>
                <w:szCs w:val="18"/>
              </w:rPr>
              <w:t>技术改造 专项资金 资助计划 总部企业 经营贡献 奖励金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101" w:right="228"/>
              <w:jc w:val="left"/>
              <w:rPr>
                <w:rFonts w:ascii="宋体" w:hAnsi="宋体" w:cs="宋体" w:eastAsia="宋体" w:hint="default"/>
                <w:sz w:val="18"/>
                <w:szCs w:val="18"/>
              </w:rPr>
            </w:pPr>
            <w:r>
              <w:rPr>
                <w:rFonts w:ascii="宋体" w:hAnsi="宋体" w:cs="宋体" w:eastAsia="宋体" w:hint="default"/>
                <w:sz w:val="18"/>
                <w:szCs w:val="18"/>
              </w:rPr>
              <w:t>火炬开发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z w:val="18"/>
                <w:szCs w:val="18"/>
              </w:rPr>
              <w:t>因研究开 </w:t>
            </w:r>
            <w:r>
              <w:rPr>
                <w:rFonts w:ascii="宋体" w:hAnsi="宋体" w:cs="宋体" w:eastAsia="宋体" w:hint="default"/>
                <w:spacing w:val="-11"/>
                <w:sz w:val="18"/>
                <w:szCs w:val="18"/>
              </w:rPr>
              <w:t>发、技术更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新及改造 等获得的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511,600.00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132,000.00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103" w:right="231"/>
              <w:jc w:val="both"/>
              <w:rPr>
                <w:rFonts w:ascii="宋体" w:hAnsi="宋体" w:cs="宋体" w:eastAsia="宋体" w:hint="default"/>
                <w:sz w:val="18"/>
                <w:szCs w:val="18"/>
              </w:rPr>
            </w:pPr>
            <w:r>
              <w:rPr>
                <w:rFonts w:ascii="宋体" w:hAnsi="宋体" w:cs="宋体" w:eastAsia="宋体" w:hint="default"/>
                <w:sz w:val="18"/>
                <w:szCs w:val="18"/>
              </w:rPr>
              <w:t>中山市商 务局省参 展项目金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1" w:right="228"/>
              <w:jc w:val="left"/>
              <w:rPr>
                <w:rFonts w:ascii="宋体" w:hAnsi="宋体" w:cs="宋体" w:eastAsia="宋体" w:hint="default"/>
                <w:sz w:val="18"/>
                <w:szCs w:val="18"/>
              </w:rPr>
            </w:pPr>
            <w:r>
              <w:rPr>
                <w:rFonts w:ascii="宋体" w:hAnsi="宋体" w:cs="宋体" w:eastAsia="宋体" w:hint="default"/>
                <w:sz w:val="18"/>
                <w:szCs w:val="18"/>
              </w:rPr>
              <w:t>中山市财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26,850.00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1" w:right="228"/>
              <w:jc w:val="left"/>
              <w:rPr>
                <w:rFonts w:ascii="宋体" w:hAnsi="宋体" w:cs="宋体" w:eastAsia="宋体" w:hint="default"/>
                <w:sz w:val="18"/>
                <w:szCs w:val="18"/>
              </w:rPr>
            </w:pPr>
            <w:r>
              <w:rPr>
                <w:rFonts w:ascii="宋体" w:hAnsi="宋体" w:cs="宋体" w:eastAsia="宋体" w:hint="default"/>
                <w:sz w:val="18"/>
                <w:szCs w:val="18"/>
              </w:rPr>
              <w:t>中山市商 务局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因承担国 家为保障 某种公用 事业或社 会必要产 品供应或 价格控制 职能而获 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22,243.64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231"/>
              <w:jc w:val="left"/>
              <w:rPr>
                <w:rFonts w:ascii="宋体" w:hAnsi="宋体" w:cs="宋体" w:eastAsia="宋体" w:hint="default"/>
                <w:sz w:val="18"/>
                <w:szCs w:val="18"/>
              </w:rPr>
            </w:pPr>
            <w:r>
              <w:rPr>
                <w:rFonts w:ascii="宋体" w:hAnsi="宋体" w:cs="宋体" w:eastAsia="宋体" w:hint="default"/>
                <w:sz w:val="18"/>
                <w:szCs w:val="18"/>
              </w:rPr>
              <w:t>知识产权 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1" w:right="228"/>
              <w:jc w:val="left"/>
              <w:rPr>
                <w:rFonts w:ascii="宋体" w:hAnsi="宋体" w:cs="宋体" w:eastAsia="宋体" w:hint="default"/>
                <w:sz w:val="18"/>
                <w:szCs w:val="18"/>
              </w:rPr>
            </w:pPr>
            <w:r>
              <w:rPr>
                <w:rFonts w:ascii="宋体" w:hAnsi="宋体" w:cs="宋体" w:eastAsia="宋体" w:hint="default"/>
                <w:sz w:val="18"/>
                <w:szCs w:val="18"/>
              </w:rPr>
              <w:t>中山市知 识产权局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因研究开 </w:t>
            </w:r>
            <w:r>
              <w:rPr>
                <w:rFonts w:ascii="宋体" w:hAnsi="宋体" w:cs="宋体" w:eastAsia="宋体" w:hint="default"/>
                <w:spacing w:val="-11"/>
                <w:sz w:val="18"/>
                <w:szCs w:val="18"/>
              </w:rPr>
              <w:t>发、技术更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新及改造 等获得的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65,000.00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231"/>
              <w:jc w:val="both"/>
              <w:rPr>
                <w:rFonts w:ascii="宋体" w:hAnsi="宋体" w:cs="宋体" w:eastAsia="宋体" w:hint="default"/>
                <w:sz w:val="18"/>
                <w:szCs w:val="18"/>
              </w:rPr>
            </w:pPr>
            <w:r>
              <w:rPr>
                <w:rFonts w:ascii="宋体" w:hAnsi="宋体" w:cs="宋体" w:eastAsia="宋体" w:hint="default"/>
                <w:sz w:val="18"/>
                <w:szCs w:val="18"/>
              </w:rPr>
              <w:t>国际科技 合作与创 新发展项 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1" w:right="228"/>
              <w:jc w:val="left"/>
              <w:rPr>
                <w:rFonts w:ascii="宋体" w:hAnsi="宋体" w:cs="宋体" w:eastAsia="宋体" w:hint="default"/>
                <w:sz w:val="18"/>
                <w:szCs w:val="18"/>
              </w:rPr>
            </w:pPr>
            <w:r>
              <w:rPr>
                <w:rFonts w:ascii="宋体" w:hAnsi="宋体" w:cs="宋体" w:eastAsia="宋体" w:hint="default"/>
                <w:sz w:val="18"/>
                <w:szCs w:val="18"/>
              </w:rPr>
              <w:t>中山市商 务局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因研究开 </w:t>
            </w:r>
            <w:r>
              <w:rPr>
                <w:rFonts w:ascii="宋体" w:hAnsi="宋体" w:cs="宋体" w:eastAsia="宋体" w:hint="default"/>
                <w:spacing w:val="-11"/>
                <w:sz w:val="18"/>
                <w:szCs w:val="18"/>
              </w:rPr>
              <w:t>发、技术更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新及改造 等获得的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72,593.00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231"/>
              <w:jc w:val="both"/>
              <w:rPr>
                <w:rFonts w:ascii="宋体" w:hAnsi="宋体" w:cs="宋体" w:eastAsia="宋体" w:hint="default"/>
                <w:sz w:val="18"/>
                <w:szCs w:val="18"/>
              </w:rPr>
            </w:pPr>
            <w:r>
              <w:rPr>
                <w:rFonts w:ascii="宋体" w:hAnsi="宋体" w:cs="宋体" w:eastAsia="宋体" w:hint="default"/>
                <w:sz w:val="18"/>
                <w:szCs w:val="18"/>
              </w:rPr>
              <w:t>企业转型 升级方向 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228"/>
              <w:jc w:val="both"/>
              <w:rPr>
                <w:rFonts w:ascii="宋体" w:hAnsi="宋体" w:cs="宋体" w:eastAsia="宋体" w:hint="default"/>
                <w:sz w:val="18"/>
                <w:szCs w:val="18"/>
              </w:rPr>
            </w:pPr>
            <w:r>
              <w:rPr>
                <w:rFonts w:ascii="宋体" w:hAnsi="宋体" w:cs="宋体" w:eastAsia="宋体" w:hint="default"/>
                <w:sz w:val="18"/>
                <w:szCs w:val="18"/>
              </w:rPr>
              <w:t>广东省经 济和信息 化委 广 东省财政 厅</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因研究开 </w:t>
            </w:r>
            <w:r>
              <w:rPr>
                <w:rFonts w:ascii="宋体" w:hAnsi="宋体" w:cs="宋体" w:eastAsia="宋体" w:hint="default"/>
                <w:spacing w:val="-11"/>
                <w:sz w:val="18"/>
                <w:szCs w:val="18"/>
              </w:rPr>
              <w:t>发、技术更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新及改造 等获得的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820,000.00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231"/>
              <w:jc w:val="left"/>
              <w:rPr>
                <w:rFonts w:ascii="宋体" w:hAnsi="宋体" w:cs="宋体" w:eastAsia="宋体" w:hint="default"/>
                <w:sz w:val="18"/>
                <w:szCs w:val="18"/>
              </w:rPr>
            </w:pPr>
            <w:r>
              <w:rPr>
                <w:rFonts w:ascii="宋体" w:hAnsi="宋体" w:cs="宋体" w:eastAsia="宋体" w:hint="default"/>
                <w:sz w:val="18"/>
                <w:szCs w:val="18"/>
              </w:rPr>
              <w:t>基于天河 二号的云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8"/>
              <w:jc w:val="left"/>
              <w:rPr>
                <w:rFonts w:ascii="宋体" w:hAnsi="宋体" w:cs="宋体" w:eastAsia="宋体" w:hint="default"/>
                <w:sz w:val="18"/>
                <w:szCs w:val="18"/>
              </w:rPr>
            </w:pPr>
            <w:r>
              <w:rPr>
                <w:rFonts w:ascii="宋体" w:hAnsi="宋体" w:cs="宋体" w:eastAsia="宋体" w:hint="default"/>
                <w:sz w:val="18"/>
                <w:szCs w:val="18"/>
              </w:rPr>
              <w:t>广东省科 学技术厅</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01"/>
              <w:jc w:val="left"/>
              <w:rPr>
                <w:rFonts w:ascii="宋体" w:hAnsi="宋体" w:cs="宋体" w:eastAsia="宋体" w:hint="default"/>
                <w:sz w:val="18"/>
                <w:szCs w:val="18"/>
              </w:rPr>
            </w:pPr>
            <w:r>
              <w:rPr>
                <w:rFonts w:ascii="宋体" w:hAnsi="宋体" w:cs="宋体" w:eastAsia="宋体" w:hint="default"/>
                <w:sz w:val="18"/>
                <w:szCs w:val="18"/>
              </w:rPr>
              <w:t>因研究开 </w:t>
            </w:r>
            <w:r>
              <w:rPr>
                <w:rFonts w:ascii="宋体" w:hAnsi="宋体" w:cs="宋体" w:eastAsia="宋体" w:hint="default"/>
                <w:spacing w:val="-11"/>
                <w:sz w:val="18"/>
                <w:szCs w:val="18"/>
              </w:rPr>
              <w:t>发、技术更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6"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31"/>
              <w:jc w:val="both"/>
              <w:rPr>
                <w:rFonts w:ascii="宋体" w:hAnsi="宋体" w:cs="宋体" w:eastAsia="宋体" w:hint="default"/>
                <w:sz w:val="18"/>
                <w:szCs w:val="18"/>
              </w:rPr>
            </w:pPr>
            <w:r>
              <w:rPr>
                <w:rFonts w:ascii="宋体" w:hAnsi="宋体" w:cs="宋体" w:eastAsia="宋体" w:hint="default"/>
                <w:sz w:val="18"/>
                <w:szCs w:val="18"/>
              </w:rPr>
              <w:t>超算与大 数据创新 基地</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28"/>
              <w:jc w:val="both"/>
              <w:rPr>
                <w:rFonts w:ascii="宋体" w:hAnsi="宋体" w:cs="宋体" w:eastAsia="宋体" w:hint="default"/>
                <w:sz w:val="18"/>
                <w:szCs w:val="18"/>
              </w:rPr>
            </w:pPr>
            <w:r>
              <w:rPr>
                <w:rFonts w:ascii="宋体" w:hAnsi="宋体" w:cs="宋体" w:eastAsia="宋体" w:hint="default"/>
                <w:sz w:val="18"/>
                <w:szCs w:val="18"/>
              </w:rPr>
              <w:t>新及改造 等获得的 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231"/>
              <w:jc w:val="left"/>
              <w:rPr>
                <w:rFonts w:ascii="宋体" w:hAnsi="宋体" w:cs="宋体" w:eastAsia="宋体" w:hint="default"/>
                <w:sz w:val="18"/>
                <w:szCs w:val="18"/>
              </w:rPr>
            </w:pPr>
            <w:r>
              <w:rPr>
                <w:rFonts w:ascii="宋体" w:hAnsi="宋体" w:cs="宋体" w:eastAsia="宋体" w:hint="default"/>
                <w:sz w:val="18"/>
                <w:szCs w:val="18"/>
              </w:rPr>
              <w:t>知识产权 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1" w:right="228"/>
              <w:jc w:val="left"/>
              <w:rPr>
                <w:rFonts w:ascii="宋体" w:hAnsi="宋体" w:cs="宋体" w:eastAsia="宋体" w:hint="default"/>
                <w:sz w:val="18"/>
                <w:szCs w:val="18"/>
              </w:rPr>
            </w:pPr>
            <w:r>
              <w:rPr>
                <w:rFonts w:ascii="宋体" w:hAnsi="宋体" w:cs="宋体" w:eastAsia="宋体" w:hint="default"/>
                <w:sz w:val="18"/>
                <w:szCs w:val="18"/>
              </w:rPr>
              <w:t>中山市知 识产权局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因研究开 </w:t>
            </w:r>
            <w:r>
              <w:rPr>
                <w:rFonts w:ascii="宋体" w:hAnsi="宋体" w:cs="宋体" w:eastAsia="宋体" w:hint="default"/>
                <w:spacing w:val="-11"/>
                <w:sz w:val="18"/>
                <w:szCs w:val="18"/>
              </w:rPr>
              <w:t>发、技术更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新及改造 等获得的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19,000.00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3" w:right="231"/>
              <w:jc w:val="left"/>
              <w:rPr>
                <w:rFonts w:ascii="宋体" w:hAnsi="宋体" w:cs="宋体" w:eastAsia="宋体" w:hint="default"/>
                <w:sz w:val="18"/>
                <w:szCs w:val="18"/>
              </w:rPr>
            </w:pPr>
            <w:r>
              <w:rPr>
                <w:rFonts w:ascii="宋体" w:hAnsi="宋体" w:cs="宋体" w:eastAsia="宋体" w:hint="default"/>
                <w:sz w:val="18"/>
                <w:szCs w:val="18"/>
              </w:rPr>
              <w:t>国际化项 目补助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1" w:right="228"/>
              <w:jc w:val="left"/>
              <w:rPr>
                <w:rFonts w:ascii="宋体" w:hAnsi="宋体" w:cs="宋体" w:eastAsia="宋体" w:hint="default"/>
                <w:sz w:val="18"/>
                <w:szCs w:val="18"/>
              </w:rPr>
            </w:pPr>
            <w:r>
              <w:rPr>
                <w:rFonts w:ascii="宋体" w:hAnsi="宋体" w:cs="宋体" w:eastAsia="宋体" w:hint="default"/>
                <w:sz w:val="18"/>
                <w:szCs w:val="18"/>
              </w:rPr>
              <w:t>中山市商 务局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117,462.00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103" w:right="231"/>
              <w:jc w:val="both"/>
              <w:rPr>
                <w:rFonts w:ascii="宋体" w:hAnsi="宋体" w:cs="宋体" w:eastAsia="宋体" w:hint="default"/>
                <w:sz w:val="18"/>
                <w:szCs w:val="18"/>
              </w:rPr>
            </w:pPr>
            <w:r>
              <w:rPr>
                <w:rFonts w:ascii="宋体" w:hAnsi="宋体" w:cs="宋体" w:eastAsia="宋体" w:hint="default"/>
                <w:sz w:val="18"/>
                <w:szCs w:val="18"/>
              </w:rPr>
              <w:t>开拓国际 市场事项 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101" w:right="228"/>
              <w:jc w:val="left"/>
              <w:rPr>
                <w:rFonts w:ascii="宋体" w:hAnsi="宋体" w:cs="宋体" w:eastAsia="宋体" w:hint="default"/>
                <w:sz w:val="18"/>
                <w:szCs w:val="18"/>
              </w:rPr>
            </w:pPr>
            <w:r>
              <w:rPr>
                <w:rFonts w:ascii="宋体" w:hAnsi="宋体" w:cs="宋体" w:eastAsia="宋体" w:hint="default"/>
                <w:sz w:val="18"/>
                <w:szCs w:val="18"/>
              </w:rPr>
              <w:t>中山市商 务局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24,858.00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3" w:right="231"/>
              <w:jc w:val="left"/>
              <w:rPr>
                <w:rFonts w:ascii="宋体" w:hAnsi="宋体" w:cs="宋体" w:eastAsia="宋体" w:hint="default"/>
                <w:sz w:val="18"/>
                <w:szCs w:val="18"/>
              </w:rPr>
            </w:pPr>
            <w:r>
              <w:rPr>
                <w:rFonts w:ascii="宋体" w:hAnsi="宋体" w:cs="宋体" w:eastAsia="宋体" w:hint="default"/>
                <w:sz w:val="18"/>
                <w:szCs w:val="18"/>
              </w:rPr>
              <w:t>高新技术 产品资助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1" w:right="228"/>
              <w:jc w:val="left"/>
              <w:rPr>
                <w:rFonts w:ascii="宋体" w:hAnsi="宋体" w:cs="宋体" w:eastAsia="宋体" w:hint="default"/>
                <w:sz w:val="18"/>
                <w:szCs w:val="18"/>
              </w:rPr>
            </w:pPr>
            <w:r>
              <w:rPr>
                <w:rFonts w:ascii="宋体" w:hAnsi="宋体" w:cs="宋体" w:eastAsia="宋体" w:hint="default"/>
                <w:sz w:val="18"/>
                <w:szCs w:val="18"/>
              </w:rPr>
              <w:t>中山市科 学技术局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52,000.00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231"/>
              <w:jc w:val="both"/>
              <w:rPr>
                <w:rFonts w:ascii="宋体" w:hAnsi="宋体" w:cs="宋体" w:eastAsia="宋体" w:hint="default"/>
                <w:sz w:val="18"/>
                <w:szCs w:val="18"/>
              </w:rPr>
            </w:pPr>
            <w:r>
              <w:rPr>
                <w:rFonts w:ascii="宋体" w:hAnsi="宋体" w:cs="宋体" w:eastAsia="宋体" w:hint="default"/>
                <w:sz w:val="18"/>
                <w:szCs w:val="18"/>
              </w:rPr>
              <w:t>企业纳税 大户及优 秀管理团 队</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101" w:right="228"/>
              <w:jc w:val="left"/>
              <w:rPr>
                <w:rFonts w:ascii="宋体" w:hAnsi="宋体" w:cs="宋体" w:eastAsia="宋体" w:hint="default"/>
                <w:sz w:val="18"/>
                <w:szCs w:val="18"/>
              </w:rPr>
            </w:pPr>
            <w:r>
              <w:rPr>
                <w:rFonts w:ascii="宋体" w:hAnsi="宋体" w:cs="宋体" w:eastAsia="宋体" w:hint="default"/>
                <w:sz w:val="18"/>
                <w:szCs w:val="18"/>
              </w:rPr>
              <w:t>中山市民 众财政局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9"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03" w:right="186"/>
              <w:jc w:val="left"/>
              <w:rPr>
                <w:rFonts w:ascii="宋体" w:hAnsi="宋体" w:cs="宋体" w:eastAsia="宋体" w:hint="default"/>
                <w:sz w:val="18"/>
                <w:szCs w:val="18"/>
              </w:rPr>
            </w:pPr>
            <w:r>
              <w:rPr>
                <w:rFonts w:ascii="宋体" w:hAnsi="宋体" w:cs="宋体" w:eastAsia="宋体" w:hint="default"/>
                <w:sz w:val="18"/>
                <w:szCs w:val="18"/>
              </w:rPr>
              <w:t>中山市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年先 进装备制 造业发展 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101" w:right="228"/>
              <w:jc w:val="both"/>
              <w:rPr>
                <w:rFonts w:ascii="宋体" w:hAnsi="宋体" w:cs="宋体" w:eastAsia="宋体" w:hint="default"/>
                <w:sz w:val="18"/>
                <w:szCs w:val="18"/>
              </w:rPr>
            </w:pPr>
            <w:r>
              <w:rPr>
                <w:rFonts w:ascii="宋体" w:hAnsi="宋体" w:cs="宋体" w:eastAsia="宋体" w:hint="default"/>
                <w:sz w:val="18"/>
                <w:szCs w:val="18"/>
              </w:rPr>
              <w:t>中山市财 政局民众 分局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185,800.00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231"/>
              <w:jc w:val="both"/>
              <w:rPr>
                <w:rFonts w:ascii="宋体" w:hAnsi="宋体" w:cs="宋体" w:eastAsia="宋体" w:hint="default"/>
                <w:sz w:val="18"/>
                <w:szCs w:val="18"/>
              </w:rPr>
            </w:pPr>
            <w:r>
              <w:rPr>
                <w:rFonts w:ascii="宋体" w:hAnsi="宋体" w:cs="宋体" w:eastAsia="宋体" w:hint="default"/>
                <w:sz w:val="18"/>
                <w:szCs w:val="18"/>
              </w:rPr>
              <w:t>高新技术 企业及高 新技术产 品资助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1" w:right="228"/>
              <w:jc w:val="left"/>
              <w:rPr>
                <w:rFonts w:ascii="宋体" w:hAnsi="宋体" w:cs="宋体" w:eastAsia="宋体" w:hint="default"/>
                <w:sz w:val="18"/>
                <w:szCs w:val="18"/>
              </w:rPr>
            </w:pPr>
            <w:r>
              <w:rPr>
                <w:rFonts w:ascii="宋体" w:hAnsi="宋体" w:cs="宋体" w:eastAsia="宋体" w:hint="default"/>
                <w:sz w:val="18"/>
                <w:szCs w:val="18"/>
              </w:rPr>
              <w:t>中山市财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因研究开 </w:t>
            </w:r>
            <w:r>
              <w:rPr>
                <w:rFonts w:ascii="宋体" w:hAnsi="宋体" w:cs="宋体" w:eastAsia="宋体" w:hint="default"/>
                <w:spacing w:val="-11"/>
                <w:sz w:val="18"/>
                <w:szCs w:val="18"/>
              </w:rPr>
              <w:t>发、技术更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新及改造 等获得的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03" w:right="170"/>
              <w:jc w:val="left"/>
              <w:rPr>
                <w:rFonts w:ascii="宋体" w:hAnsi="宋体" w:cs="宋体" w:eastAsia="宋体" w:hint="default"/>
                <w:sz w:val="18"/>
                <w:szCs w:val="18"/>
              </w:rPr>
            </w:pPr>
            <w:r>
              <w:rPr>
                <w:rFonts w:ascii="宋体" w:hAnsi="宋体" w:cs="宋体" w:eastAsia="宋体" w:hint="default"/>
                <w:sz w:val="18"/>
                <w:szCs w:val="18"/>
              </w:rPr>
              <w:t>中山市工 业发展专 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中 小企业发 展专题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101" w:right="228"/>
              <w:jc w:val="left"/>
              <w:rPr>
                <w:rFonts w:ascii="宋体" w:hAnsi="宋体" w:cs="宋体" w:eastAsia="宋体" w:hint="default"/>
                <w:sz w:val="18"/>
                <w:szCs w:val="18"/>
              </w:rPr>
            </w:pPr>
            <w:r>
              <w:rPr>
                <w:rFonts w:ascii="宋体" w:hAnsi="宋体" w:cs="宋体" w:eastAsia="宋体" w:hint="default"/>
                <w:sz w:val="18"/>
                <w:szCs w:val="18"/>
              </w:rPr>
              <w:t>中山市财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103" w:right="231"/>
              <w:jc w:val="both"/>
              <w:rPr>
                <w:rFonts w:ascii="宋体" w:hAnsi="宋体" w:cs="宋体" w:eastAsia="宋体" w:hint="default"/>
                <w:sz w:val="18"/>
                <w:szCs w:val="18"/>
              </w:rPr>
            </w:pPr>
            <w:r>
              <w:rPr>
                <w:rFonts w:ascii="宋体" w:hAnsi="宋体" w:cs="宋体" w:eastAsia="宋体" w:hint="default"/>
                <w:sz w:val="18"/>
                <w:szCs w:val="18"/>
              </w:rPr>
              <w:t>民众镇鼓 励科技创 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101" w:right="228"/>
              <w:jc w:val="both"/>
              <w:rPr>
                <w:rFonts w:ascii="宋体" w:hAnsi="宋体" w:cs="宋体" w:eastAsia="宋体" w:hint="default"/>
                <w:sz w:val="18"/>
                <w:szCs w:val="18"/>
              </w:rPr>
            </w:pPr>
            <w:r>
              <w:rPr>
                <w:rFonts w:ascii="宋体" w:hAnsi="宋体" w:cs="宋体" w:eastAsia="宋体" w:hint="default"/>
                <w:sz w:val="18"/>
                <w:szCs w:val="18"/>
              </w:rPr>
              <w:t>中山市财 政局民众 分局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231"/>
              <w:jc w:val="left"/>
              <w:rPr>
                <w:rFonts w:ascii="宋体" w:hAnsi="宋体" w:cs="宋体" w:eastAsia="宋体" w:hint="default"/>
                <w:sz w:val="18"/>
                <w:szCs w:val="18"/>
              </w:rPr>
            </w:pPr>
            <w:r>
              <w:rPr>
                <w:rFonts w:ascii="宋体" w:hAnsi="宋体" w:cs="宋体" w:eastAsia="宋体" w:hint="default"/>
                <w:sz w:val="18"/>
                <w:szCs w:val="18"/>
              </w:rPr>
              <w:t>科技发展 专项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1" w:right="228"/>
              <w:jc w:val="left"/>
              <w:rPr>
                <w:rFonts w:ascii="宋体" w:hAnsi="宋体" w:cs="宋体" w:eastAsia="宋体" w:hint="default"/>
                <w:sz w:val="18"/>
                <w:szCs w:val="18"/>
              </w:rPr>
            </w:pPr>
            <w:r>
              <w:rPr>
                <w:rFonts w:ascii="宋体" w:hAnsi="宋体" w:cs="宋体" w:eastAsia="宋体" w:hint="default"/>
                <w:sz w:val="18"/>
                <w:szCs w:val="18"/>
              </w:rPr>
              <w:t>中山市财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因研究开 </w:t>
            </w:r>
            <w:r>
              <w:rPr>
                <w:rFonts w:ascii="宋体" w:hAnsi="宋体" w:cs="宋体" w:eastAsia="宋体" w:hint="default"/>
                <w:spacing w:val="-11"/>
                <w:sz w:val="18"/>
                <w:szCs w:val="18"/>
              </w:rPr>
              <w:t>发、技术更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新及改造 等获得的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103" w:right="170"/>
              <w:jc w:val="both"/>
              <w:rPr>
                <w:rFonts w:ascii="宋体" w:hAnsi="宋体" w:cs="宋体" w:eastAsia="宋体" w:hint="default"/>
                <w:sz w:val="18"/>
                <w:szCs w:val="18"/>
              </w:rPr>
            </w:pPr>
            <w:r>
              <w:rPr>
                <w:rFonts w:ascii="宋体" w:hAnsi="宋体" w:cs="宋体" w:eastAsia="宋体" w:hint="default"/>
                <w:sz w:val="18"/>
                <w:szCs w:val="18"/>
              </w:rPr>
              <w:t>工业发展 专项资金</w:t>
            </w:r>
            <w:r>
              <w:rPr>
                <w:rFonts w:ascii="Times New Roman" w:hAnsi="Times New Roman" w:cs="Times New Roman" w:eastAsia="Times New Roman" w:hint="default"/>
                <w:sz w:val="18"/>
                <w:szCs w:val="18"/>
              </w:rPr>
              <w:t>- </w:t>
            </w:r>
            <w:r>
              <w:rPr>
                <w:rFonts w:ascii="宋体" w:hAnsi="宋体" w:cs="宋体" w:eastAsia="宋体" w:hint="default"/>
                <w:sz w:val="18"/>
                <w:szCs w:val="18"/>
              </w:rPr>
              <w:t>技术改造</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1" w:right="228"/>
              <w:jc w:val="left"/>
              <w:rPr>
                <w:rFonts w:ascii="宋体" w:hAnsi="宋体" w:cs="宋体" w:eastAsia="宋体" w:hint="default"/>
                <w:sz w:val="18"/>
                <w:szCs w:val="18"/>
              </w:rPr>
            </w:pPr>
            <w:r>
              <w:rPr>
                <w:rFonts w:ascii="宋体" w:hAnsi="宋体" w:cs="宋体" w:eastAsia="宋体" w:hint="default"/>
                <w:sz w:val="18"/>
                <w:szCs w:val="18"/>
              </w:rPr>
              <w:t>中山市财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因研究开 </w:t>
            </w:r>
            <w:r>
              <w:rPr>
                <w:rFonts w:ascii="宋体" w:hAnsi="宋体" w:cs="宋体" w:eastAsia="宋体" w:hint="default"/>
                <w:spacing w:val="-11"/>
                <w:sz w:val="18"/>
                <w:szCs w:val="18"/>
              </w:rPr>
              <w:t>发、技术更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新及改造 等获得的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357,400.00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9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4" w:lineRule="auto"/>
              <w:ind w:left="103" w:right="170"/>
              <w:jc w:val="left"/>
              <w:rPr>
                <w:rFonts w:ascii="宋体" w:hAnsi="宋体" w:cs="宋体" w:eastAsia="宋体" w:hint="default"/>
                <w:sz w:val="18"/>
                <w:szCs w:val="18"/>
              </w:rPr>
            </w:pPr>
            <w:r>
              <w:rPr>
                <w:rFonts w:ascii="宋体" w:hAnsi="宋体" w:cs="宋体" w:eastAsia="宋体" w:hint="default"/>
                <w:sz w:val="18"/>
                <w:szCs w:val="18"/>
              </w:rPr>
              <w:t>促进外贸 稳定增长 专项资金</w:t>
            </w:r>
            <w:r>
              <w:rPr>
                <w:rFonts w:ascii="Times New Roman" w:hAnsi="Times New Roman" w:cs="Times New Roman" w:eastAsia="Times New Roman" w:hint="default"/>
                <w:sz w:val="18"/>
                <w:szCs w:val="18"/>
              </w:rPr>
              <w:t>- </w:t>
            </w:r>
            <w:r>
              <w:rPr>
                <w:rFonts w:ascii="宋体" w:hAnsi="宋体" w:cs="宋体" w:eastAsia="宋体" w:hint="default"/>
                <w:sz w:val="18"/>
                <w:szCs w:val="18"/>
              </w:rPr>
              <w:t>进口稳定 增长</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101" w:right="228"/>
              <w:jc w:val="left"/>
              <w:rPr>
                <w:rFonts w:ascii="宋体" w:hAnsi="宋体" w:cs="宋体" w:eastAsia="宋体" w:hint="default"/>
                <w:sz w:val="18"/>
                <w:szCs w:val="18"/>
              </w:rPr>
            </w:pPr>
            <w:r>
              <w:rPr>
                <w:rFonts w:ascii="宋体" w:hAnsi="宋体" w:cs="宋体" w:eastAsia="宋体" w:hint="default"/>
                <w:sz w:val="18"/>
                <w:szCs w:val="18"/>
              </w:rPr>
              <w:t>中山市财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20,555.81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6"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28"/>
              <w:jc w:val="both"/>
              <w:rPr>
                <w:rFonts w:ascii="宋体" w:hAnsi="宋体" w:cs="宋体" w:eastAsia="宋体" w:hint="default"/>
                <w:sz w:val="18"/>
                <w:szCs w:val="18"/>
              </w:rPr>
            </w:pP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103" w:right="231"/>
              <w:jc w:val="both"/>
              <w:rPr>
                <w:rFonts w:ascii="宋体" w:hAnsi="宋体" w:cs="宋体" w:eastAsia="宋体" w:hint="default"/>
                <w:sz w:val="18"/>
                <w:szCs w:val="18"/>
              </w:rPr>
            </w:pPr>
            <w:r>
              <w:rPr>
                <w:rFonts w:ascii="宋体" w:hAnsi="宋体" w:cs="宋体" w:eastAsia="宋体" w:hint="default"/>
                <w:sz w:val="18"/>
                <w:szCs w:val="18"/>
              </w:rPr>
              <w:t>中山市物 流标准化 试点项目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01" w:right="228"/>
              <w:jc w:val="left"/>
              <w:rPr>
                <w:rFonts w:ascii="宋体" w:hAnsi="宋体" w:cs="宋体" w:eastAsia="宋体" w:hint="default"/>
                <w:sz w:val="18"/>
                <w:szCs w:val="18"/>
              </w:rPr>
            </w:pPr>
            <w:r>
              <w:rPr>
                <w:rFonts w:ascii="宋体" w:hAnsi="宋体" w:cs="宋体" w:eastAsia="宋体" w:hint="default"/>
                <w:sz w:val="18"/>
                <w:szCs w:val="18"/>
              </w:rPr>
              <w:t>中山市财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2,330,000.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14,207,132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8,561,002.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94</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1133"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015"/>
        <w:jc w:val="left"/>
        <w:rPr>
          <w:b w:val="0"/>
          <w:bCs w:val="0"/>
        </w:rPr>
      </w:pPr>
      <w:bookmarkStart w:name="72、营业外支出" w:id="383"/>
      <w:bookmarkEnd w:id="383"/>
      <w:r>
        <w:rPr>
          <w:b w:val="0"/>
          <w:bCs w:val="0"/>
        </w:rPr>
      </w:r>
      <w:r>
        <w:rPr>
          <w:rFonts w:ascii="Times New Roman" w:hAnsi="Times New Roman" w:cs="Times New Roman" w:eastAsia="Times New Roman" w:hint="default"/>
        </w:rPr>
        <w:t>72</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1,120,038.64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351,532.27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1,120,038.64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其中：公益性捐赠支出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219,800.00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1,090,000.00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89,522.73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18,610.39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89,522.73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1,209,561.37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370,142.66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1,209,561.37</w:t>
            </w:r>
          </w:p>
        </w:tc>
      </w:tr>
    </w:tbl>
    <w:p>
      <w:pPr>
        <w:pStyle w:val="BodyText"/>
        <w:spacing w:line="240" w:lineRule="auto" w:before="51"/>
        <w:ind w:right="101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1015"/>
        <w:jc w:val="left"/>
        <w:rPr>
          <w:b w:val="0"/>
          <w:bCs w:val="0"/>
        </w:rPr>
      </w:pPr>
      <w:bookmarkStart w:name="73、所得税费用" w:id="384"/>
      <w:bookmarkEnd w:id="384"/>
      <w:r>
        <w:rPr>
          <w:b w:val="0"/>
          <w:bCs w:val="0"/>
        </w:rPr>
      </w:r>
      <w:r>
        <w:rPr>
          <w:rFonts w:ascii="Times New Roman" w:hAnsi="Times New Roman" w:cs="Times New Roman" w:eastAsia="Times New Roman" w:hint="default"/>
        </w:rPr>
        <w:t>73</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15"/>
        <w:jc w:val="left"/>
        <w:rPr>
          <w:b w:val="0"/>
          <w:bCs w:val="0"/>
        </w:rPr>
      </w:pPr>
      <w:bookmarkStart w:name="（1）所得税费用表" w:id="385"/>
      <w:bookmarkEnd w:id="38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10,091,213.55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14,147,940.13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-1,832,219.63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-1,294,615.27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8,258,993.92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12,853,324.86</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2）会计利润与所得税费用调整过程" w:id="386"/>
      <w:bookmarkEnd w:id="38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397"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7"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25,722,978.53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3,858,446.78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-5,486,629.75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-493,030.43</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392,293.85</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 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15,490,496.86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研发支出加计扣除的影响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-5,502,583.39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8,258,993.92</w:t>
            </w:r>
          </w:p>
        </w:tc>
      </w:tr>
    </w:tbl>
    <w:p>
      <w:pPr>
        <w:pStyle w:val="BodyText"/>
        <w:spacing w:line="357" w:lineRule="auto" w:before="51"/>
        <w:ind w:left="1133" w:right="10033"/>
        <w:jc w:val="left"/>
      </w:pPr>
      <w:r>
        <w:rPr/>
        <w:t>其他说明 无</w:t>
      </w:r>
    </w:p>
    <w:p>
      <w:pPr>
        <w:spacing w:line="240" w:lineRule="auto" w:before="2"/>
        <w:rPr>
          <w:rFonts w:ascii="宋体" w:hAnsi="宋体" w:cs="宋体" w:eastAsia="宋体" w:hint="default"/>
          <w:sz w:val="20"/>
          <w:szCs w:val="20"/>
        </w:rPr>
      </w:pPr>
    </w:p>
    <w:p>
      <w:pPr>
        <w:spacing w:line="544" w:lineRule="auto" w:before="0"/>
        <w:ind w:left="1134" w:right="8855" w:firstLine="0"/>
        <w:jc w:val="left"/>
        <w:rPr>
          <w:rFonts w:ascii="宋体" w:hAnsi="宋体" w:cs="宋体" w:eastAsia="宋体" w:hint="default"/>
          <w:sz w:val="21"/>
          <w:szCs w:val="21"/>
        </w:rPr>
      </w:pPr>
      <w:bookmarkStart w:name="74、其他综合收益" w:id="387"/>
      <w:bookmarkEnd w:id="387"/>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详见附注七第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 </w:t>
      </w:r>
      <w:bookmarkStart w:name="75、现金流量表项目" w:id="388"/>
      <w:bookmarkEnd w:id="388"/>
      <w:r>
        <w:rPr>
          <w:rFonts w:ascii="宋体" w:hAnsi="宋体" w:cs="宋体" w:eastAsia="宋体" w:hint="default"/>
          <w:sz w:val="18"/>
          <w:szCs w:val="18"/>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8"/>
        <w:ind w:left="1133" w:right="1015"/>
        <w:jc w:val="left"/>
        <w:rPr>
          <w:b w:val="0"/>
          <w:bCs w:val="0"/>
        </w:rPr>
      </w:pPr>
      <w:bookmarkStart w:name="（1）收到的其他与经营活动有关的现金" w:id="389"/>
      <w:bookmarkEnd w:id="38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788,973.16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1,046,435.00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14,265,886.39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8,561,002.94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1,180,829.42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537,608.75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16,235,688.97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10,145,046.69</w:t>
            </w:r>
          </w:p>
        </w:tc>
      </w:tr>
    </w:tbl>
    <w:p>
      <w:pPr>
        <w:pStyle w:val="BodyText"/>
        <w:spacing w:line="240" w:lineRule="auto" w:before="51"/>
        <w:ind w:right="1015"/>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1015"/>
        <w:jc w:val="left"/>
        <w:rPr>
          <w:b w:val="0"/>
          <w:bCs w:val="0"/>
        </w:rPr>
      </w:pPr>
      <w:bookmarkStart w:name="（2）支付的其他与经营活动有关的现金" w:id="390"/>
      <w:bookmarkEnd w:id="39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2,861,518.44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1,466,549.30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销售支付的现金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64,450,676.67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52,138,322.00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管理支付的现金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36,463,832.12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30,900,763.35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2,598,497.01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906,747.58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106,374,524.24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85,412,382.23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right="1015"/>
        <w:jc w:val="left"/>
      </w:pPr>
      <w:r>
        <w:rPr/>
        <w:t>支付的其他与经营活动有关的现金说明：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right="1015"/>
        <w:jc w:val="left"/>
        <w:rPr>
          <w:b w:val="0"/>
          <w:bCs w:val="0"/>
        </w:rPr>
      </w:pPr>
      <w:bookmarkStart w:name="（3）收到的其他与投资活动有关的现金" w:id="391"/>
      <w:bookmarkEnd w:id="391"/>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1015"/>
        <w:jc w:val="left"/>
      </w:pPr>
      <w:r>
        <w:rPr/>
        <w:t>收到的其他与投资活动有关的现金说明：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right="1015"/>
        <w:jc w:val="left"/>
        <w:rPr>
          <w:b w:val="0"/>
          <w:bCs w:val="0"/>
        </w:rPr>
      </w:pPr>
      <w:bookmarkStart w:name="（4）支付的其他与投资活动有关的现金" w:id="392"/>
      <w:bookmarkEnd w:id="392"/>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92"/>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 期损益的金融资产的损失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1,156,276.00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1,156,276.00</w:t>
            </w:r>
          </w:p>
        </w:tc>
      </w:tr>
    </w:tbl>
    <w:p>
      <w:pPr>
        <w:pStyle w:val="BodyText"/>
        <w:spacing w:line="240" w:lineRule="auto" w:before="51"/>
        <w:ind w:right="1015"/>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left="1133" w:right="1015"/>
        <w:jc w:val="left"/>
        <w:rPr>
          <w:b w:val="0"/>
          <w:bCs w:val="0"/>
        </w:rPr>
      </w:pPr>
      <w:bookmarkStart w:name="（5）收到的其他与筹资活动有关的现金" w:id="393"/>
      <w:bookmarkEnd w:id="393"/>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1015"/>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1015"/>
        <w:jc w:val="left"/>
        <w:rPr>
          <w:b w:val="0"/>
          <w:bCs w:val="0"/>
        </w:rPr>
      </w:pPr>
      <w:bookmarkStart w:name="（6）支付的其他与筹资活动有关的现金" w:id="394"/>
      <w:bookmarkEnd w:id="394"/>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新股发行相关费用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22,063,900.00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22,063,900.00</w:t>
            </w:r>
          </w:p>
        </w:tc>
      </w:tr>
    </w:tbl>
    <w:p>
      <w:pPr>
        <w:pStyle w:val="BodyText"/>
        <w:spacing w:line="240" w:lineRule="auto" w:before="51"/>
        <w:ind w:right="1015"/>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1015"/>
        <w:jc w:val="left"/>
        <w:rPr>
          <w:b w:val="0"/>
          <w:bCs w:val="0"/>
        </w:rPr>
      </w:pPr>
      <w:bookmarkStart w:name="76、现金流量表补充资料" w:id="395"/>
      <w:bookmarkEnd w:id="395"/>
      <w:r>
        <w:rPr>
          <w:b w:val="0"/>
          <w:bCs w:val="0"/>
        </w:rPr>
      </w:r>
      <w:r>
        <w:rPr>
          <w:rFonts w:ascii="Times New Roman" w:hAnsi="Times New Roman" w:cs="Times New Roman" w:eastAsia="Times New Roman" w:hint="default"/>
        </w:rPr>
        <w:t>76</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5"/>
        <w:jc w:val="left"/>
        <w:rPr>
          <w:b w:val="0"/>
          <w:bCs w:val="0"/>
        </w:rPr>
      </w:pPr>
      <w:bookmarkStart w:name="（1）现金流量表补充资料" w:id="396"/>
      <w:bookmarkEnd w:id="39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17,463,984.61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80,520,708.66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2,715,957.27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1,105,966.88</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 生物资产折旧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7,742,913.66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4,646,355.39</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1,679,692.77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1,115,190.81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11,196,430.07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1,166,635.65</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 产的损失（收益以“－”号填列）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-195,643.88</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-583,214.30</w:t>
            </w:r>
            <w:r>
              <w:rPr>
                <w:rFonts w:ascii="Times New Roman"/>
                <w:sz w:val="18"/>
              </w:rPr>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公允价值变动损失（收益以“－”号填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-934,600.00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-680,170.00</w:t>
            </w:r>
            <w:r>
              <w:rPr>
                <w:rFonts w:ascii="Times New Roman"/>
                <w:sz w:val="18"/>
              </w:rPr>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1,989,227.42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-3,966,209.30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-4,884,174.83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1,406,760.66</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递延所得税资产减少（增加以“－”号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-1,972,409.63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-1,294,615.27</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递延所得税负债增加（减少以“－”号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140,190.00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-3,973,281.14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-35,594,498.76</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经营性应收项目的减少（增加以“－”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-46,130,149.33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-16,312,889.91</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经营性应付项目的增加（减少以“－”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11,058,520.81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46,646,994.01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-4,103,342.20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78,177,014.52</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3"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63"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119,059,365.53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319,902,598.40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319,902,598.40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90,221,420.33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-200,843,232.87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229,681,178.07</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2）本期支付的取得子公司的现金净额" w:id="397"/>
      <w:bookmarkEnd w:id="397"/>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39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1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19,600,000.00</w:t>
            </w:r>
          </w:p>
        </w:tc>
      </w:tr>
      <w:tr>
        <w:trPr>
          <w:trHeight w:val="39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深圳市瑞康宏业科技开发有限公司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19,600,000.00</w:t>
            </w:r>
          </w:p>
        </w:tc>
      </w:tr>
      <w:tr>
        <w:trPr>
          <w:trHeight w:val="40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3,895,033.50</w:t>
            </w:r>
          </w:p>
        </w:tc>
      </w:tr>
      <w:tr>
        <w:trPr>
          <w:trHeight w:val="39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深圳市瑞康宏业科技开发有限公司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3,895,033.50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88"/>
                <w:sz w:val="18"/>
                <w:szCs w:val="18"/>
              </w:rPr>
              <w:t>：</w:t>
            </w:r>
            <w:r>
              <w:rPr>
                <w:rFonts w:ascii="宋体" w:hAnsi="宋体" w:cs="宋体" w:eastAsia="宋体" w:hint="default"/>
                <w:sz w:val="18"/>
                <w:szCs w:val="18"/>
              </w:rPr>
              <w:t>以前期间发生的企业合并于本期支付的现金或现金等价物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15,704,966.50</w:t>
            </w:r>
          </w:p>
        </w:tc>
      </w:tr>
    </w:tbl>
    <w:p>
      <w:pPr>
        <w:pStyle w:val="BodyText"/>
        <w:spacing w:line="240" w:lineRule="auto" w:before="51"/>
        <w:ind w:right="101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1015"/>
        <w:jc w:val="left"/>
        <w:rPr>
          <w:b w:val="0"/>
          <w:bCs w:val="0"/>
        </w:rPr>
      </w:pPr>
      <w:bookmarkStart w:name="（3）本期收到的处置子公司的现金净额" w:id="398"/>
      <w:bookmarkEnd w:id="398"/>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1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1015"/>
        <w:jc w:val="left"/>
        <w:rPr>
          <w:b w:val="0"/>
          <w:bCs w:val="0"/>
        </w:rPr>
      </w:pPr>
      <w:bookmarkStart w:name="（4）现金和现金等价物的构成" w:id="399"/>
      <w:bookmarkEnd w:id="399"/>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119,059,365.53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319,902,598.40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9,109.00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119,050,256.53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319,902,598.40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119,059,365.53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319,902,598.40</w:t>
            </w:r>
          </w:p>
        </w:tc>
      </w:tr>
    </w:tbl>
    <w:p>
      <w:pPr>
        <w:pStyle w:val="BodyText"/>
        <w:spacing w:line="240" w:lineRule="auto" w:before="51"/>
        <w:ind w:right="101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1015"/>
        <w:jc w:val="left"/>
        <w:rPr>
          <w:b w:val="0"/>
          <w:bCs w:val="0"/>
        </w:rPr>
      </w:pPr>
      <w:bookmarkStart w:name="77、所有者权益变动表项目注释" w:id="400"/>
      <w:bookmarkEnd w:id="400"/>
      <w:r>
        <w:rPr>
          <w:b w:val="0"/>
          <w:bCs w:val="0"/>
        </w:rPr>
      </w:r>
      <w:r>
        <w:rPr>
          <w:rFonts w:ascii="Times New Roman" w:hAnsi="Times New Roman" w:cs="Times New Roman" w:eastAsia="Times New Roman" w:hint="default"/>
        </w:rPr>
        <w:t>77</w:t>
      </w:r>
      <w:r>
        <w:rPr/>
        <w:t>、所有者权益变动表项目注释</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3" w:right="5173"/>
        <w:jc w:val="left"/>
      </w:pPr>
      <w:r>
        <w:rPr/>
        <w:t>说明对上年期末余额进行调整的“其他”项目名称及调整金额等事项： 无</w:t>
      </w:r>
    </w:p>
    <w:p>
      <w:pPr>
        <w:spacing w:line="240" w:lineRule="auto" w:before="2"/>
        <w:rPr>
          <w:rFonts w:ascii="宋体" w:hAnsi="宋体" w:cs="宋体" w:eastAsia="宋体" w:hint="default"/>
          <w:sz w:val="20"/>
          <w:szCs w:val="20"/>
        </w:rPr>
      </w:pPr>
    </w:p>
    <w:p>
      <w:pPr>
        <w:pStyle w:val="Heading3"/>
        <w:spacing w:line="240" w:lineRule="auto"/>
        <w:ind w:right="1015"/>
        <w:jc w:val="left"/>
        <w:rPr>
          <w:b w:val="0"/>
          <w:bCs w:val="0"/>
        </w:rPr>
      </w:pPr>
      <w:bookmarkStart w:name="78、所有权或使用权受到限制的资产" w:id="401"/>
      <w:bookmarkEnd w:id="401"/>
      <w:r>
        <w:rPr>
          <w:b w:val="0"/>
          <w:bCs w:val="0"/>
        </w:rPr>
      </w:r>
      <w:r>
        <w:rPr>
          <w:rFonts w:ascii="Times New Roman" w:hAnsi="Times New Roman" w:cs="Times New Roman" w:eastAsia="Times New Roman" w:hint="default"/>
        </w:rPr>
        <w:t>78</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30,244,018.95</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8,076,641.00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38,320,659.95</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15"/>
        <w:jc w:val="left"/>
      </w:pPr>
      <w:r>
        <w:rPr/>
        <w:t>其他说明：</w:t>
      </w:r>
    </w:p>
    <w:p>
      <w:pPr>
        <w:spacing w:after="0" w:line="240" w:lineRule="auto"/>
        <w:jc w:val="left"/>
        <w:sectPr>
          <w:pgSz w:w="11910" w:h="16840"/>
          <w:pgMar w:header="907" w:footer="1019" w:top="1100" w:bottom="1200" w:left="0" w:right="0"/>
        </w:sectPr>
      </w:pPr>
    </w:p>
    <w:p>
      <w:pPr>
        <w:spacing w:line="240" w:lineRule="auto" w:before="7"/>
        <w:rPr>
          <w:rFonts w:ascii="宋体" w:hAnsi="宋体" w:cs="宋体" w:eastAsia="宋体" w:hint="default"/>
          <w:sz w:val="22"/>
          <w:szCs w:val="22"/>
        </w:rPr>
      </w:pPr>
    </w:p>
    <w:p>
      <w:pPr>
        <w:pStyle w:val="Heading5"/>
        <w:spacing w:line="292" w:lineRule="auto" w:before="41"/>
        <w:ind w:right="1026"/>
        <w:jc w:val="left"/>
      </w:pPr>
      <w:r>
        <w:rPr/>
        <w:t>（</w:t>
      </w:r>
      <w:r>
        <w:rPr>
          <w:rFonts w:ascii="Times New Roman" w:hAnsi="Times New Roman" w:cs="Times New Roman" w:eastAsia="Times New Roman" w:hint="default"/>
        </w:rPr>
        <w:t>1</w:t>
      </w:r>
      <w:r>
        <w:rPr/>
        <w:t>）</w:t>
      </w:r>
      <w:r>
        <w:rPr>
          <w:spacing w:val="-43"/>
        </w:rPr>
        <w:t> </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12</w:t>
      </w:r>
      <w:r>
        <w:rPr/>
        <w:t>日，本公司与中国银行中山分行签订了编号为中型</w:t>
      </w:r>
      <w:r>
        <w:rPr>
          <w:rFonts w:ascii="宋体" w:hAnsi="宋体" w:cs="宋体" w:eastAsia="宋体" w:hint="default"/>
        </w:rPr>
        <w:t>-GDY476440120160033</w:t>
      </w:r>
      <w:r>
        <w:rPr/>
        <w:t>号的最高额抵押合同，将</w:t>
      </w:r>
      <w:r>
        <w:rPr>
          <w:w w:val="99"/>
        </w:rPr>
        <w:t> </w:t>
      </w:r>
      <w:r>
        <w:rPr>
          <w:spacing w:val="-1"/>
        </w:rPr>
        <w:t>位于中山市火炬开发区东利村的土地使用权抵押给中国银行（土地面积</w:t>
      </w:r>
      <w:r>
        <w:rPr>
          <w:rFonts w:ascii="宋体" w:hAnsi="宋体" w:cs="宋体" w:eastAsia="宋体" w:hint="default"/>
          <w:spacing w:val="-1"/>
        </w:rPr>
        <w:t>10,410.10</w:t>
      </w:r>
      <w:r>
        <w:rPr>
          <w:spacing w:val="-1"/>
        </w:rPr>
        <w:t>平方米，证号为“中府国用（</w:t>
      </w:r>
      <w:r>
        <w:rPr>
          <w:rFonts w:ascii="宋体" w:hAnsi="宋体" w:cs="宋体" w:eastAsia="宋体" w:hint="default"/>
          <w:spacing w:val="-1"/>
        </w:rPr>
        <w:t>2013</w:t>
      </w:r>
      <w:r>
        <w:rPr>
          <w:spacing w:val="-1"/>
        </w:rPr>
        <w:t>）</w:t>
      </w:r>
      <w:r>
        <w:rPr>
          <w:w w:val="99"/>
        </w:rPr>
        <w:t> </w:t>
      </w:r>
      <w:r>
        <w:rPr/>
        <w:t>第易</w:t>
      </w:r>
      <w:r>
        <w:rPr>
          <w:rFonts w:ascii="宋体" w:hAnsi="宋体" w:cs="宋体" w:eastAsia="宋体" w:hint="default"/>
        </w:rPr>
        <w:t>1507063</w:t>
      </w:r>
      <w:r>
        <w:rPr/>
        <w:t>号”）；</w:t>
      </w:r>
    </w:p>
    <w:p>
      <w:pPr>
        <w:pStyle w:val="Heading5"/>
        <w:spacing w:line="240" w:lineRule="auto"/>
        <w:ind w:right="1015"/>
        <w:jc w:val="left"/>
      </w:pPr>
      <w:r>
        <w:rPr/>
        <w:t>（</w:t>
      </w:r>
      <w:r>
        <w:rPr>
          <w:rFonts w:ascii="Times New Roman" w:hAnsi="Times New Roman" w:cs="Times New Roman" w:eastAsia="Times New Roman" w:hint="default"/>
        </w:rPr>
        <w:t>2</w:t>
      </w:r>
      <w:r>
        <w:rPr/>
        <w:t>）受限资金为公司开具银行承兑汇票所存入的保证金。</w:t>
      </w:r>
    </w:p>
    <w:p>
      <w:pPr>
        <w:spacing w:line="240" w:lineRule="auto" w:before="6"/>
        <w:rPr>
          <w:rFonts w:ascii="宋体" w:hAnsi="宋体" w:cs="宋体" w:eastAsia="宋体" w:hint="default"/>
          <w:sz w:val="25"/>
          <w:szCs w:val="25"/>
        </w:rPr>
      </w:pPr>
    </w:p>
    <w:p>
      <w:pPr>
        <w:pStyle w:val="Heading3"/>
        <w:spacing w:line="240" w:lineRule="auto"/>
        <w:ind w:left="1133" w:right="1015"/>
        <w:jc w:val="left"/>
        <w:rPr>
          <w:b w:val="0"/>
          <w:bCs w:val="0"/>
        </w:rPr>
      </w:pPr>
      <w:bookmarkStart w:name="79、外币货币性项目" w:id="402"/>
      <w:bookmarkEnd w:id="402"/>
      <w:r>
        <w:rPr>
          <w:b w:val="0"/>
          <w:bCs w:val="0"/>
        </w:rPr>
      </w:r>
      <w:r>
        <w:rPr>
          <w:rFonts w:ascii="Times New Roman" w:hAnsi="Times New Roman" w:cs="Times New Roman" w:eastAsia="Times New Roman" w:hint="default"/>
        </w:rPr>
        <w:t>79</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5"/>
        <w:jc w:val="left"/>
        <w:rPr>
          <w:b w:val="0"/>
          <w:bCs w:val="0"/>
        </w:rPr>
      </w:pPr>
      <w:bookmarkStart w:name="（1）外币货币性项目" w:id="403"/>
      <w:bookmarkEnd w:id="403"/>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6,410,226.20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41,885,700.04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4,773.58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37,244.90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494,339.55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0.83591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413,223.37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6D6D6"/>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6D6D6"/>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13,068,971.45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85,395,273.25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11,200.00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87,385.76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6"/>
                <w:szCs w:val="16"/>
              </w:rPr>
            </w:pPr>
            <w:r>
              <w:rPr>
                <w:rFonts w:ascii="Times New Roman"/>
                <w:spacing w:val="-1"/>
                <w:sz w:val="16"/>
              </w:rPr>
              <w:t>12,920.00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6"/>
                <w:szCs w:val="16"/>
              </w:rPr>
            </w:pPr>
            <w:r>
              <w:rPr>
                <w:rFonts w:ascii="Times New Roman"/>
                <w:w w:val="95"/>
                <w:sz w:val="16"/>
              </w:rPr>
              <w:t>6.5342</w:t>
            </w:r>
            <w:r>
              <w:rPr>
                <w:rFonts w:ascii="Times New Roman"/>
                <w:sz w:val="16"/>
              </w:rPr>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6"/>
                <w:szCs w:val="16"/>
              </w:rPr>
            </w:pPr>
            <w:r>
              <w:rPr>
                <w:rFonts w:ascii="Times New Roman"/>
                <w:spacing w:val="-1"/>
                <w:sz w:val="16"/>
              </w:rPr>
              <w:t>84,421.86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4,450,000.00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29,077,190.00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420,670.34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2,748,744.14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156.05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330.00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0.83591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275.85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1,306.84</w:t>
            </w:r>
          </w:p>
        </w:tc>
      </w:tr>
    </w:tbl>
    <w:p>
      <w:pPr>
        <w:pStyle w:val="BodyText"/>
        <w:spacing w:line="240" w:lineRule="auto" w:before="51"/>
        <w:ind w:right="1015"/>
        <w:jc w:val="left"/>
      </w:pPr>
      <w:r>
        <w:rPr/>
        <w:t>其他说明：</w:t>
      </w:r>
    </w:p>
    <w:p>
      <w:pPr>
        <w:spacing w:line="240" w:lineRule="auto" w:before="10"/>
        <w:rPr>
          <w:rFonts w:ascii="宋体" w:hAnsi="宋体" w:cs="宋体" w:eastAsia="宋体" w:hint="default"/>
          <w:sz w:val="26"/>
          <w:szCs w:val="26"/>
        </w:rPr>
      </w:pPr>
    </w:p>
    <w:p>
      <w:pPr>
        <w:pStyle w:val="Heading3"/>
        <w:spacing w:line="259" w:lineRule="auto"/>
        <w:ind w:left="1133" w:right="1015"/>
        <w:jc w:val="left"/>
        <w:rPr>
          <w:b w:val="0"/>
          <w:bCs w:val="0"/>
        </w:rPr>
      </w:pPr>
      <w:bookmarkStart w:name="（2）境外经营实体说明，包括对于重要的境外经营实体，应披露其境外主要经营地、记账" w:id="404"/>
      <w:bookmarkEnd w:id="404"/>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1015"/>
        <w:jc w:val="left"/>
      </w:pPr>
      <w:r>
        <w:rPr/>
        <w:t>√ 适用 □ 不适用</w:t>
      </w:r>
    </w:p>
    <w:p>
      <w:pPr>
        <w:spacing w:after="0" w:line="240"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line="2820" w:lineRule="exact"/>
        <w:ind w:left="1134" w:right="0" w:firstLine="0"/>
        <w:rPr>
          <w:rFonts w:ascii="宋体" w:hAnsi="宋体" w:cs="宋体" w:eastAsia="宋体" w:hint="default"/>
          <w:sz w:val="20"/>
          <w:szCs w:val="20"/>
        </w:rPr>
      </w:pPr>
      <w:r>
        <w:rPr>
          <w:rFonts w:ascii="宋体" w:hAnsi="宋体" w:cs="宋体" w:eastAsia="宋体" w:hint="default"/>
          <w:position w:val="-55"/>
          <w:sz w:val="20"/>
          <w:szCs w:val="20"/>
        </w:rPr>
        <w:drawing>
          <wp:inline distT="0" distB="0" distL="0" distR="0">
            <wp:extent cx="5429250" cy="1790700"/>
            <wp:effectExtent l="0" t="0" r="0" b="0"/>
            <wp:docPr id="31" name="image17.png" descr=""/>
            <wp:cNvGraphicFramePr>
              <a:graphicFrameLocks noChangeAspect="1"/>
            </wp:cNvGraphicFramePr>
            <a:graphic>
              <a:graphicData uri="http://schemas.openxmlformats.org/drawingml/2006/picture">
                <pic:pic>
                  <pic:nvPicPr>
                    <pic:cNvPr id="32" name="image17.png"/>
                    <pic:cNvPicPr/>
                  </pic:nvPicPr>
                  <pic:blipFill>
                    <a:blip r:embed="rId31" cstate="print"/>
                    <a:stretch>
                      <a:fillRect/>
                    </a:stretch>
                  </pic:blipFill>
                  <pic:spPr>
                    <a:xfrm>
                      <a:off x="0" y="0"/>
                      <a:ext cx="5429250" cy="1790700"/>
                    </a:xfrm>
                    <a:prstGeom prst="rect">
                      <a:avLst/>
                    </a:prstGeom>
                  </pic:spPr>
                </pic:pic>
              </a:graphicData>
            </a:graphic>
          </wp:inline>
        </w:drawing>
      </w:r>
      <w:r>
        <w:rPr>
          <w:rFonts w:ascii="宋体" w:hAnsi="宋体" w:cs="宋体" w:eastAsia="宋体" w:hint="default"/>
          <w:position w:val="-55"/>
          <w:sz w:val="20"/>
          <w:szCs w:val="20"/>
        </w:rPr>
      </w:r>
    </w:p>
    <w:p>
      <w:pPr>
        <w:spacing w:line="240" w:lineRule="auto" w:before="0"/>
        <w:rPr>
          <w:rFonts w:ascii="宋体" w:hAnsi="宋体" w:cs="宋体" w:eastAsia="宋体" w:hint="default"/>
          <w:sz w:val="20"/>
          <w:szCs w:val="20"/>
        </w:rPr>
      </w:pPr>
    </w:p>
    <w:p>
      <w:pPr>
        <w:pStyle w:val="Heading3"/>
        <w:spacing w:line="240" w:lineRule="auto" w:before="175"/>
        <w:ind w:left="1133" w:right="1015"/>
        <w:jc w:val="left"/>
        <w:rPr>
          <w:b w:val="0"/>
          <w:bCs w:val="0"/>
        </w:rPr>
      </w:pPr>
      <w:bookmarkStart w:name="80、套期" w:id="405"/>
      <w:bookmarkEnd w:id="405"/>
      <w:r>
        <w:rPr>
          <w:b w:val="0"/>
          <w:bCs w:val="0"/>
        </w:rPr>
      </w:r>
      <w:r>
        <w:rPr>
          <w:rFonts w:ascii="Times New Roman" w:hAnsi="Times New Roman" w:cs="Times New Roman" w:eastAsia="Times New Roman" w:hint="default"/>
        </w:rPr>
        <w:t>80</w:t>
      </w:r>
      <w:r>
        <w:rPr/>
        <w:t>、套期</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3" w:right="4633"/>
        <w:jc w:val="left"/>
      </w:pPr>
      <w:r>
        <w:rPr/>
        <w:t>按照套期类别披露套期项目及相关套期工具、被套期风险的定性和定量信息： 无</w:t>
      </w:r>
    </w:p>
    <w:p>
      <w:pPr>
        <w:spacing w:line="240" w:lineRule="auto" w:before="2"/>
        <w:rPr>
          <w:rFonts w:ascii="宋体" w:hAnsi="宋体" w:cs="宋体" w:eastAsia="宋体" w:hint="default"/>
          <w:sz w:val="20"/>
          <w:szCs w:val="20"/>
        </w:rPr>
      </w:pPr>
    </w:p>
    <w:p>
      <w:pPr>
        <w:pStyle w:val="Heading3"/>
        <w:spacing w:line="240" w:lineRule="auto"/>
        <w:ind w:right="1015"/>
        <w:jc w:val="left"/>
        <w:rPr>
          <w:b w:val="0"/>
          <w:bCs w:val="0"/>
        </w:rPr>
      </w:pPr>
      <w:bookmarkStart w:name="81、其他" w:id="406"/>
      <w:bookmarkEnd w:id="406"/>
      <w:r>
        <w:rPr>
          <w:b w:val="0"/>
          <w:bCs w:val="0"/>
        </w:rPr>
      </w:r>
      <w:r>
        <w:rPr>
          <w:rFonts w:ascii="Times New Roman" w:hAnsi="Times New Roman" w:cs="Times New Roman" w:eastAsia="Times New Roman" w:hint="default"/>
        </w:rPr>
        <w:t>81</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5"/>
        <w:jc w:val="left"/>
      </w:pPr>
      <w:r>
        <w:rPr/>
        <w:t>无</w:t>
      </w:r>
    </w:p>
    <w:p>
      <w:pPr>
        <w:spacing w:line="240" w:lineRule="auto" w:before="2"/>
        <w:rPr>
          <w:rFonts w:ascii="宋体" w:hAnsi="宋体" w:cs="宋体" w:eastAsia="宋体" w:hint="default"/>
          <w:sz w:val="25"/>
          <w:szCs w:val="25"/>
        </w:rPr>
      </w:pPr>
    </w:p>
    <w:p>
      <w:pPr>
        <w:pStyle w:val="Heading2"/>
        <w:spacing w:line="240" w:lineRule="auto"/>
        <w:ind w:right="1015"/>
        <w:jc w:val="left"/>
        <w:rPr>
          <w:b w:val="0"/>
          <w:bCs w:val="0"/>
        </w:rPr>
      </w:pPr>
      <w:bookmarkStart w:name="八、合并范围的变更" w:id="407"/>
      <w:bookmarkEnd w:id="407"/>
      <w:r>
        <w:rPr>
          <w:b w:val="0"/>
          <w:bCs w:val="0"/>
        </w:rPr>
      </w:r>
      <w:r>
        <w:rPr/>
        <w:t>八、合并范围的变更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1015"/>
        <w:jc w:val="left"/>
        <w:rPr>
          <w:b w:val="0"/>
          <w:bCs w:val="0"/>
        </w:rPr>
      </w:pPr>
      <w:bookmarkStart w:name="1、非同一控制下企业合并" w:id="408"/>
      <w:bookmarkEnd w:id="408"/>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5"/>
        <w:jc w:val="left"/>
        <w:rPr>
          <w:b w:val="0"/>
          <w:bCs w:val="0"/>
        </w:rPr>
      </w:pPr>
      <w:bookmarkStart w:name="（1）本期发生的非同一控制下企业合并" w:id="409"/>
      <w:bookmarkEnd w:id="409"/>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6" w:right="165" w:hanging="180"/>
              <w:jc w:val="left"/>
              <w:rPr>
                <w:rFonts w:ascii="宋体" w:hAnsi="宋体" w:cs="宋体" w:eastAsia="宋体" w:hint="default"/>
                <w:sz w:val="18"/>
                <w:szCs w:val="18"/>
              </w:rPr>
            </w:pPr>
            <w:r>
              <w:rPr>
                <w:rFonts w:ascii="宋体" w:hAnsi="宋体" w:cs="宋体" w:eastAsia="宋体" w:hint="default"/>
                <w:sz w:val="18"/>
                <w:szCs w:val="18"/>
              </w:rPr>
              <w:t>被购买方 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6" w:right="167"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5" w:right="167" w:hanging="180"/>
              <w:jc w:val="left"/>
              <w:rPr>
                <w:rFonts w:ascii="宋体" w:hAnsi="宋体" w:cs="宋体" w:eastAsia="宋体" w:hint="default"/>
                <w:sz w:val="18"/>
                <w:szCs w:val="18"/>
              </w:rPr>
            </w:pPr>
            <w:r>
              <w:rPr>
                <w:rFonts w:ascii="宋体" w:hAnsi="宋体" w:cs="宋体" w:eastAsia="宋体" w:hint="default"/>
                <w:sz w:val="18"/>
                <w:szCs w:val="18"/>
              </w:rPr>
              <w:t>股权取得 成本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6" w:right="166"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6" w:right="167"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65" w:right="165"/>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5" w:right="164"/>
              <w:jc w:val="center"/>
              <w:rPr>
                <w:rFonts w:ascii="宋体" w:hAnsi="宋体" w:cs="宋体" w:eastAsia="宋体" w:hint="default"/>
                <w:sz w:val="18"/>
                <w:szCs w:val="18"/>
              </w:rPr>
            </w:pPr>
            <w:r>
              <w:rPr>
                <w:rFonts w:ascii="宋体" w:hAnsi="宋体" w:cs="宋体" w:eastAsia="宋体" w:hint="default"/>
                <w:sz w:val="18"/>
                <w:szCs w:val="18"/>
              </w:rPr>
              <w:t>购买日至 期末被购 买方的收 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5" w:right="164"/>
              <w:jc w:val="center"/>
              <w:rPr>
                <w:rFonts w:ascii="宋体" w:hAnsi="宋体" w:cs="宋体" w:eastAsia="宋体" w:hint="default"/>
                <w:sz w:val="18"/>
                <w:szCs w:val="18"/>
              </w:rPr>
            </w:pPr>
            <w:r>
              <w:rPr>
                <w:rFonts w:ascii="宋体" w:hAnsi="宋体" w:cs="宋体" w:eastAsia="宋体" w:hint="default"/>
                <w:sz w:val="18"/>
                <w:szCs w:val="18"/>
              </w:rPr>
              <w:t>购买日至 期末被购 买方的净 利润</w:t>
            </w:r>
          </w:p>
        </w:tc>
      </w:tr>
      <w:tr>
        <w:trPr>
          <w:trHeight w:val="714" w:hRule="exact"/>
        </w:trPr>
        <w:tc>
          <w:tcPr>
            <w:tcW w:w="1064" w:type="dxa"/>
            <w:vMerge w:val="restart"/>
            <w:tcBorders>
              <w:top w:val="single" w:sz="4" w:space="0" w:color="000000"/>
              <w:left w:val="single" w:sz="4" w:space="0" w:color="000000"/>
              <w:right w:val="single" w:sz="4" w:space="0" w:color="000000"/>
            </w:tcBorders>
          </w:tcPr>
          <w:p>
            <w:pPr>
              <w:pStyle w:val="TableParagraph"/>
              <w:spacing w:line="316" w:lineRule="auto" w:before="97"/>
              <w:ind w:left="103" w:right="228"/>
              <w:jc w:val="both"/>
              <w:rPr>
                <w:rFonts w:ascii="宋体" w:hAnsi="宋体" w:cs="宋体" w:eastAsia="宋体" w:hint="default"/>
                <w:sz w:val="18"/>
                <w:szCs w:val="18"/>
              </w:rPr>
            </w:pPr>
            <w:r>
              <w:rPr>
                <w:rFonts w:ascii="宋体" w:hAnsi="宋体" w:cs="宋体" w:eastAsia="宋体" w:hint="default"/>
                <w:sz w:val="18"/>
                <w:szCs w:val="18"/>
              </w:rPr>
              <w:t>深圳市瑞 康宏业科 技开发有 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17,000,000</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现金收购</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取得实际 控制权</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1,045,892.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79</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-346,280.0</w:t>
            </w:r>
            <w:r>
              <w:rPr>
                <w:rFonts w:ascii="Times New Roman"/>
                <w:sz w:val="18"/>
              </w:rPr>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1064" w:type="dxa"/>
            <w:vMerge/>
            <w:tcBorders>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9"/>
              <w:jc w:val="left"/>
              <w:rPr>
                <w:rFonts w:ascii="宋体" w:hAnsi="宋体" w:cs="宋体" w:eastAsia="宋体" w:hint="default"/>
                <w:sz w:val="18"/>
                <w:szCs w:val="18"/>
              </w:rPr>
            </w:pPr>
            <w:r>
              <w:rPr>
                <w:rFonts w:ascii="宋体" w:hAnsi="宋体" w:cs="宋体" w:eastAsia="宋体" w:hint="default"/>
                <w:sz w:val="18"/>
                <w:szCs w:val="18"/>
              </w:rPr>
              <w:t>现金增资 扩股</w:t>
            </w:r>
          </w:p>
        </w:tc>
        <w:tc>
          <w:tcPr>
            <w:tcW w:w="1063"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101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1015"/>
        <w:jc w:val="left"/>
        <w:rPr>
          <w:b w:val="0"/>
          <w:bCs w:val="0"/>
        </w:rPr>
      </w:pPr>
      <w:bookmarkStart w:name="（2）合并成本及商誉" w:id="410"/>
      <w:bookmarkEnd w:id="410"/>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6,000,000.00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16,985,469.32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22,985,469.32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2,304,303.87</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2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20,681,165.45</w:t>
            </w:r>
          </w:p>
        </w:tc>
      </w:tr>
    </w:tbl>
    <w:p>
      <w:pPr>
        <w:pStyle w:val="BodyText"/>
        <w:spacing w:line="240" w:lineRule="auto" w:before="51"/>
        <w:ind w:right="1015"/>
        <w:jc w:val="left"/>
      </w:pPr>
      <w:r>
        <w:rPr/>
        <w:t>合并成本公允价值的确定方法、或有对价及其变动的说明：</w:t>
      </w:r>
    </w:p>
    <w:p>
      <w:pPr>
        <w:pStyle w:val="BodyText"/>
        <w:spacing w:line="300" w:lineRule="auto" w:before="116"/>
        <w:ind w:left="1133" w:right="1015"/>
        <w:jc w:val="left"/>
      </w:pPr>
      <w:r>
        <w:rPr/>
        <w:t>公司对深圳市瑞康宏业科技开发有限公司增资支付的现金对价</w:t>
      </w:r>
      <w:r>
        <w:rPr>
          <w:rFonts w:ascii="Times New Roman" w:hAnsi="Times New Roman" w:cs="Times New Roman" w:eastAsia="Times New Roman" w:hint="default"/>
        </w:rPr>
        <w:t>6,000,000.00</w:t>
      </w:r>
      <w:r>
        <w:rPr/>
        <w:t>元；购买日之前持有的股权于购买日的公允价值</w:t>
      </w:r>
      <w:r>
        <w:rPr>
          <w:spacing w:val="-52"/>
        </w:rPr>
        <w:t> </w:t>
      </w:r>
      <w:r>
        <w:rPr>
          <w:spacing w:val="-52"/>
        </w:rPr>
      </w:r>
      <w:r>
        <w:rPr>
          <w:rFonts w:ascii="宋体" w:hAnsi="宋体" w:cs="宋体" w:eastAsia="宋体" w:hint="default"/>
        </w:rPr>
        <w:t>16,985,469.32</w:t>
      </w:r>
      <w:r>
        <w:rPr/>
        <w:t>元，两次合并成本合计</w:t>
      </w:r>
      <w:r>
        <w:rPr>
          <w:rFonts w:ascii="宋体" w:hAnsi="宋体" w:cs="宋体" w:eastAsia="宋体" w:hint="default"/>
        </w:rPr>
        <w:t>22,985,469.32</w:t>
      </w:r>
      <w:r>
        <w:rPr/>
        <w:t>元。</w:t>
      </w:r>
    </w:p>
    <w:p>
      <w:pPr>
        <w:pStyle w:val="BodyText"/>
        <w:spacing w:line="360" w:lineRule="auto" w:before="72"/>
        <w:ind w:left="1133" w:right="3013"/>
        <w:jc w:val="left"/>
      </w:pPr>
      <w:r>
        <w:rPr/>
        <w:t>大额商誉形成的主要原因：由收购总成本与被购买方购买日可辨认净资产的公允价值差额确定的。 其他说明：</w:t>
      </w:r>
    </w:p>
    <w:p>
      <w:pPr>
        <w:spacing w:line="240" w:lineRule="auto" w:before="11"/>
        <w:rPr>
          <w:rFonts w:ascii="宋体" w:hAnsi="宋体" w:cs="宋体" w:eastAsia="宋体" w:hint="default"/>
          <w:sz w:val="19"/>
          <w:szCs w:val="19"/>
        </w:rPr>
      </w:pPr>
    </w:p>
    <w:p>
      <w:pPr>
        <w:pStyle w:val="Heading3"/>
        <w:spacing w:line="240" w:lineRule="auto"/>
        <w:ind w:left="1133" w:right="1015"/>
        <w:jc w:val="left"/>
        <w:rPr>
          <w:b w:val="0"/>
          <w:bCs w:val="0"/>
        </w:rPr>
      </w:pPr>
      <w:bookmarkStart w:name="（3）被购买方于购买日可辨认资产、负债" w:id="411"/>
      <w:bookmarkEnd w:id="411"/>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3,895,033.50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3,895,033.50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15,199.19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15,199.19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1,833,714.28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1,833,714.28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243,360.78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243,360.78</w:t>
            </w:r>
          </w:p>
        </w:tc>
      </w:tr>
      <w:tr>
        <w:trPr>
          <w:trHeight w:val="49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119,707.69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119,707.69</w:t>
            </w:r>
          </w:p>
        </w:tc>
      </w:tr>
      <w:tr>
        <w:trPr>
          <w:trHeight w:val="49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359,685.21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359,685.21</w:t>
            </w:r>
          </w:p>
        </w:tc>
      </w:tr>
      <w:tr>
        <w:trPr>
          <w:trHeight w:val="490" w:hRule="exact"/>
        </w:trPr>
        <w:tc>
          <w:tcPr>
            <w:tcW w:w="319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780,149.35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780,149.35</w:t>
            </w:r>
          </w:p>
        </w:tc>
      </w:tr>
      <w:tr>
        <w:trPr>
          <w:trHeight w:val="490" w:hRule="exact"/>
        </w:trPr>
        <w:tc>
          <w:tcPr>
            <w:tcW w:w="319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998,129.28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998,129.28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4,641,095.42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4,641,095.42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2,336,791.55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2,336,791.55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2,304,303.87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2,304,303.87</w:t>
            </w:r>
          </w:p>
        </w:tc>
      </w:tr>
    </w:tbl>
    <w:p>
      <w:pPr>
        <w:pStyle w:val="BodyText"/>
        <w:spacing w:line="338" w:lineRule="auto" w:before="51"/>
        <w:ind w:left="1133" w:right="1015"/>
        <w:jc w:val="left"/>
      </w:pPr>
      <w:r>
        <w:rPr/>
        <w:t>可辨认资产、负债公允价值的确定方法： </w:t>
      </w:r>
      <w:r>
        <w:rPr>
          <w:spacing w:val="-2"/>
        </w:rPr>
        <w:t>深圳市瑞康宏业科技开发有限公司无房产土地等实物资产，其他资产、负债规模较小，购买日可辨认资产、负债公允价值以</w:t>
      </w:r>
      <w:r>
        <w:rPr>
          <w:spacing w:val="-66"/>
        </w:rPr>
        <w:t> </w:t>
      </w:r>
      <w:r>
        <w:rPr>
          <w:spacing w:val="-66"/>
        </w:rPr>
      </w:r>
      <w:r>
        <w:rPr/>
        <w:t>购买日账面价值确认。</w:t>
      </w:r>
    </w:p>
    <w:p>
      <w:pPr>
        <w:pStyle w:val="BodyText"/>
        <w:spacing w:line="357" w:lineRule="auto" w:before="43"/>
        <w:ind w:left="1133" w:right="7513"/>
        <w:jc w:val="left"/>
      </w:pPr>
      <w:r>
        <w:rPr/>
        <w:t>企业合并中承担的被购买方的或有负债： 其他说明：</w:t>
      </w:r>
    </w:p>
    <w:p>
      <w:pPr>
        <w:spacing w:line="240" w:lineRule="auto" w:before="0"/>
        <w:rPr>
          <w:rFonts w:ascii="宋体" w:hAnsi="宋体" w:cs="宋体" w:eastAsia="宋体" w:hint="default"/>
          <w:sz w:val="20"/>
          <w:szCs w:val="20"/>
        </w:rPr>
      </w:pPr>
    </w:p>
    <w:p>
      <w:pPr>
        <w:pStyle w:val="Heading3"/>
        <w:spacing w:line="240" w:lineRule="auto"/>
        <w:ind w:left="1133" w:right="1015"/>
        <w:jc w:val="left"/>
        <w:rPr>
          <w:b w:val="0"/>
          <w:bCs w:val="0"/>
        </w:rPr>
      </w:pPr>
      <w:bookmarkStart w:name="（4）购买日之前持有的股权按照公允价值重新计量产生的利得或损失" w:id="412"/>
      <w:bookmarkEnd w:id="412"/>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1015"/>
        <w:jc w:val="left"/>
      </w:pPr>
      <w:r>
        <w:rPr/>
        <w:t>是否存在通过多次交易分步实现企业合并且在报告期内取得控制权的交易</w:t>
      </w:r>
    </w:p>
    <w:p>
      <w:pPr>
        <w:spacing w:after="0" w:line="240" w:lineRule="auto"/>
        <w:jc w:val="left"/>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right="1015"/>
        <w:jc w:val="left"/>
      </w:pPr>
      <w:r>
        <w:rPr/>
        <w:t>√ 是 □ 否</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2"/>
        <w:gridCol w:w="1591"/>
        <w:gridCol w:w="1596"/>
        <w:gridCol w:w="1596"/>
        <w:gridCol w:w="1596"/>
        <w:gridCol w:w="1596"/>
      </w:tblGrid>
      <w:tr>
        <w:trPr>
          <w:trHeight w:val="1650"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60" w:right="158"/>
              <w:jc w:val="center"/>
              <w:rPr>
                <w:rFonts w:ascii="宋体" w:hAnsi="宋体" w:cs="宋体" w:eastAsia="宋体" w:hint="default"/>
                <w:sz w:val="18"/>
                <w:szCs w:val="18"/>
              </w:rPr>
            </w:pPr>
            <w:r>
              <w:rPr>
                <w:rFonts w:ascii="宋体" w:hAnsi="宋体" w:cs="宋体" w:eastAsia="宋体" w:hint="default"/>
                <w:sz w:val="18"/>
                <w:szCs w:val="18"/>
              </w:rPr>
              <w:t>购买日之前原持 有股权在购买日 的账面价值</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63" w:right="161"/>
              <w:jc w:val="center"/>
              <w:rPr>
                <w:rFonts w:ascii="宋体" w:hAnsi="宋体" w:cs="宋体" w:eastAsia="宋体" w:hint="default"/>
                <w:sz w:val="18"/>
                <w:szCs w:val="18"/>
              </w:rPr>
            </w:pPr>
            <w:r>
              <w:rPr>
                <w:rFonts w:ascii="宋体" w:hAnsi="宋体" w:cs="宋体" w:eastAsia="宋体" w:hint="default"/>
                <w:sz w:val="18"/>
                <w:szCs w:val="18"/>
              </w:rPr>
              <w:t>购买日之前原持 有股权在购买日 的公允价值</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63" w:right="161"/>
              <w:jc w:val="both"/>
              <w:rPr>
                <w:rFonts w:ascii="宋体" w:hAnsi="宋体" w:cs="宋体" w:eastAsia="宋体" w:hint="default"/>
                <w:sz w:val="18"/>
                <w:szCs w:val="18"/>
              </w:rPr>
            </w:pPr>
            <w:r>
              <w:rPr>
                <w:rFonts w:ascii="宋体" w:hAnsi="宋体" w:cs="宋体" w:eastAsia="宋体" w:hint="default"/>
                <w:sz w:val="18"/>
                <w:szCs w:val="18"/>
              </w:rPr>
              <w:t>购买日之前原持 有股权按照公允 价值重新计量产 生的利得或损失</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3" w:right="161"/>
              <w:jc w:val="center"/>
              <w:rPr>
                <w:rFonts w:ascii="宋体" w:hAnsi="宋体" w:cs="宋体" w:eastAsia="宋体" w:hint="default"/>
                <w:sz w:val="18"/>
                <w:szCs w:val="18"/>
              </w:rPr>
            </w:pPr>
            <w:r>
              <w:rPr>
                <w:rFonts w:ascii="宋体" w:hAnsi="宋体" w:cs="宋体" w:eastAsia="宋体" w:hint="default"/>
                <w:sz w:val="18"/>
                <w:szCs w:val="18"/>
              </w:rPr>
              <w:t>购买日之前原持 有股权在购买日 的公允价值的确 定方法及主要假 设</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3" w:right="161"/>
              <w:jc w:val="center"/>
              <w:rPr>
                <w:rFonts w:ascii="宋体" w:hAnsi="宋体" w:cs="宋体" w:eastAsia="宋体" w:hint="default"/>
                <w:sz w:val="18"/>
                <w:szCs w:val="18"/>
              </w:rPr>
            </w:pPr>
            <w:r>
              <w:rPr>
                <w:rFonts w:ascii="宋体" w:hAnsi="宋体" w:cs="宋体" w:eastAsia="宋体" w:hint="default"/>
                <w:sz w:val="18"/>
                <w:szCs w:val="18"/>
              </w:rPr>
              <w:t>购买日之前与原 持有股权相关的 其他综合收益转 入投资收益的金 额</w:t>
            </w:r>
          </w:p>
        </w:tc>
      </w:tr>
      <w:tr>
        <w:trPr>
          <w:trHeight w:val="1026"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6"/>
              <w:jc w:val="both"/>
              <w:rPr>
                <w:rFonts w:ascii="宋体" w:hAnsi="宋体" w:cs="宋体" w:eastAsia="宋体" w:hint="default"/>
                <w:sz w:val="18"/>
                <w:szCs w:val="18"/>
              </w:rPr>
            </w:pPr>
            <w:r>
              <w:rPr>
                <w:rFonts w:ascii="宋体" w:hAnsi="宋体" w:cs="宋体" w:eastAsia="宋体" w:hint="default"/>
                <w:sz w:val="18"/>
                <w:szCs w:val="18"/>
              </w:rPr>
              <w:t>深圳市瑞康宏业 科技开发有限公 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4" w:right="0"/>
              <w:jc w:val="left"/>
              <w:rPr>
                <w:rFonts w:ascii="Times New Roman" w:hAnsi="Times New Roman" w:cs="Times New Roman" w:eastAsia="Times New Roman" w:hint="default"/>
                <w:sz w:val="18"/>
                <w:szCs w:val="18"/>
              </w:rPr>
            </w:pPr>
            <w:r>
              <w:rPr>
                <w:rFonts w:ascii="Times New Roman"/>
                <w:sz w:val="18"/>
              </w:rPr>
              <w:t>19,585,469.32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8" w:right="0"/>
              <w:jc w:val="left"/>
              <w:rPr>
                <w:rFonts w:ascii="Times New Roman" w:hAnsi="Times New Roman" w:cs="Times New Roman" w:eastAsia="Times New Roman" w:hint="default"/>
                <w:sz w:val="18"/>
                <w:szCs w:val="18"/>
              </w:rPr>
            </w:pPr>
            <w:r>
              <w:rPr>
                <w:rFonts w:ascii="Times New Roman"/>
                <w:sz w:val="18"/>
              </w:rPr>
              <w:t>19,585,469.32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按账面价值确认</w:t>
            </w:r>
          </w:p>
        </w:tc>
        <w:tc>
          <w:tcPr>
            <w:tcW w:w="159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01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1015"/>
        <w:jc w:val="left"/>
        <w:rPr>
          <w:b w:val="0"/>
          <w:bCs w:val="0"/>
        </w:rPr>
      </w:pPr>
      <w:bookmarkStart w:name="（5）购买日或合并当期期末无法合理确定合并对价或被购买方可辨认资产、负债公允价值" w:id="413"/>
      <w:bookmarkEnd w:id="413"/>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1015"/>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15"/>
        <w:jc w:val="left"/>
        <w:rPr>
          <w:b w:val="0"/>
          <w:bCs w:val="0"/>
        </w:rPr>
      </w:pPr>
      <w:bookmarkStart w:name="（6）其他说明" w:id="414"/>
      <w:bookmarkEnd w:id="414"/>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5"/>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15"/>
        <w:jc w:val="left"/>
        <w:rPr>
          <w:b w:val="0"/>
          <w:bCs w:val="0"/>
        </w:rPr>
      </w:pPr>
      <w:bookmarkStart w:name="2、同一控制下企业合并" w:id="415"/>
      <w:bookmarkEnd w:id="415"/>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15"/>
        <w:jc w:val="left"/>
        <w:rPr>
          <w:b w:val="0"/>
          <w:bCs w:val="0"/>
        </w:rPr>
      </w:pPr>
      <w:bookmarkStart w:name="（1）本期发生的同一控制下企业合并" w:id="416"/>
      <w:bookmarkEnd w:id="416"/>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650"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45" w:right="165" w:hanging="180"/>
              <w:jc w:val="left"/>
              <w:rPr>
                <w:rFonts w:ascii="宋体" w:hAnsi="宋体" w:cs="宋体" w:eastAsia="宋体" w:hint="default"/>
                <w:sz w:val="18"/>
                <w:szCs w:val="18"/>
              </w:rPr>
            </w:pPr>
            <w:r>
              <w:rPr>
                <w:rFonts w:ascii="宋体" w:hAnsi="宋体" w:cs="宋体" w:eastAsia="宋体" w:hint="default"/>
                <w:sz w:val="18"/>
                <w:szCs w:val="18"/>
              </w:rPr>
              <w:t>被合并方 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65" w:right="163"/>
              <w:jc w:val="both"/>
              <w:rPr>
                <w:rFonts w:ascii="宋体" w:hAnsi="宋体" w:cs="宋体" w:eastAsia="宋体" w:hint="default"/>
                <w:sz w:val="18"/>
                <w:szCs w:val="18"/>
              </w:rPr>
            </w:pPr>
            <w:r>
              <w:rPr>
                <w:rFonts w:ascii="宋体" w:hAnsi="宋体" w:cs="宋体" w:eastAsia="宋体" w:hint="default"/>
                <w:sz w:val="18"/>
                <w:szCs w:val="18"/>
              </w:rPr>
              <w:t>企业合并 中取得的 权益比例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66" w:right="164"/>
              <w:jc w:val="center"/>
              <w:rPr>
                <w:rFonts w:ascii="宋体" w:hAnsi="宋体" w:cs="宋体" w:eastAsia="宋体" w:hint="default"/>
                <w:sz w:val="18"/>
                <w:szCs w:val="18"/>
              </w:rPr>
            </w:pPr>
            <w:r>
              <w:rPr>
                <w:rFonts w:ascii="宋体" w:hAnsi="宋体" w:cs="宋体" w:eastAsia="宋体" w:hint="default"/>
                <w:sz w:val="18"/>
                <w:szCs w:val="18"/>
              </w:rPr>
              <w:t>构成同一 控制下企 业合并的 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66" w:right="167"/>
              <w:jc w:val="left"/>
              <w:rPr>
                <w:rFonts w:ascii="宋体" w:hAnsi="宋体" w:cs="宋体" w:eastAsia="宋体" w:hint="default"/>
                <w:sz w:val="18"/>
                <w:szCs w:val="18"/>
              </w:rPr>
            </w:pPr>
            <w:r>
              <w:rPr>
                <w:rFonts w:ascii="宋体" w:hAnsi="宋体" w:cs="宋体" w:eastAsia="宋体" w:hint="default"/>
                <w:sz w:val="18"/>
                <w:szCs w:val="18"/>
              </w:rPr>
              <w:t>合并日的 确定依据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5" w:right="167"/>
              <w:jc w:val="center"/>
              <w:rPr>
                <w:rFonts w:ascii="宋体" w:hAnsi="宋体" w:cs="宋体" w:eastAsia="宋体" w:hint="default"/>
                <w:sz w:val="18"/>
                <w:szCs w:val="18"/>
              </w:rPr>
            </w:pPr>
            <w:r>
              <w:rPr>
                <w:rFonts w:ascii="宋体" w:hAnsi="宋体" w:cs="宋体" w:eastAsia="宋体" w:hint="default"/>
                <w:sz w:val="18"/>
                <w:szCs w:val="18"/>
              </w:rPr>
              <w:t>合并当期 期初至合 并日被合 并方的收 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6" w:right="166"/>
              <w:jc w:val="center"/>
              <w:rPr>
                <w:rFonts w:ascii="宋体" w:hAnsi="宋体" w:cs="宋体" w:eastAsia="宋体" w:hint="default"/>
                <w:sz w:val="18"/>
                <w:szCs w:val="18"/>
              </w:rPr>
            </w:pPr>
            <w:r>
              <w:rPr>
                <w:rFonts w:ascii="宋体" w:hAnsi="宋体" w:cs="宋体" w:eastAsia="宋体" w:hint="default"/>
                <w:sz w:val="18"/>
                <w:szCs w:val="18"/>
              </w:rPr>
              <w:t>合并当期 期初至合 并日被合 并方的净 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66" w:right="167"/>
              <w:jc w:val="both"/>
              <w:rPr>
                <w:rFonts w:ascii="宋体" w:hAnsi="宋体" w:cs="宋体" w:eastAsia="宋体" w:hint="default"/>
                <w:sz w:val="18"/>
                <w:szCs w:val="18"/>
              </w:rPr>
            </w:pPr>
            <w:r>
              <w:rPr>
                <w:rFonts w:ascii="宋体" w:hAnsi="宋体" w:cs="宋体" w:eastAsia="宋体" w:hint="default"/>
                <w:sz w:val="18"/>
                <w:szCs w:val="18"/>
              </w:rPr>
              <w:t>比较期间 被合并方 的收入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65" w:right="167"/>
              <w:jc w:val="both"/>
              <w:rPr>
                <w:rFonts w:ascii="宋体" w:hAnsi="宋体" w:cs="宋体" w:eastAsia="宋体" w:hint="default"/>
                <w:sz w:val="18"/>
                <w:szCs w:val="18"/>
              </w:rPr>
            </w:pPr>
            <w:r>
              <w:rPr>
                <w:rFonts w:ascii="宋体" w:hAnsi="宋体" w:cs="宋体" w:eastAsia="宋体" w:hint="default"/>
                <w:sz w:val="18"/>
                <w:szCs w:val="18"/>
              </w:rPr>
              <w:t>比较期间 被合并方 的净利润</w:t>
            </w:r>
          </w:p>
        </w:tc>
      </w:tr>
    </w:tbl>
    <w:p>
      <w:pPr>
        <w:pStyle w:val="BodyText"/>
        <w:spacing w:line="240" w:lineRule="auto" w:before="51"/>
        <w:ind w:right="101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1015"/>
        <w:jc w:val="left"/>
        <w:rPr>
          <w:b w:val="0"/>
          <w:bCs w:val="0"/>
        </w:rPr>
      </w:pPr>
      <w:bookmarkStart w:name="（2）合并成本" w:id="417"/>
      <w:bookmarkEnd w:id="417"/>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10;top:14;width:104;height:393" coordorigin="10,14" coordsize="104,393">
              <v:shape style="position:absolute;left:10;top:14;width:104;height:393" coordorigin="10,14" coordsize="104,393" path="m10,407l113,407,113,14,10,14,10,407xe" filled="true" fillcolor="#d2d2d2" stroked="false">
                <v:path arrowok="t"/>
                <v:fill type="solid"/>
              </v:shape>
            </v:group>
            <v:group style="position:absolute;left:4682;top:14;width:102;height:393" coordorigin="4682,14" coordsize="102,393">
              <v:shape style="position:absolute;left:4682;top:14;width:102;height:393" coordorigin="4682,14" coordsize="102,393" path="m4682,407l4784,407,4784,14,4682,14,4682,407xe" filled="true" fillcolor="#d2d2d2" stroked="false">
                <v:path arrowok="t"/>
                <v:fill type="solid"/>
              </v:shape>
            </v:group>
            <v:group style="position:absolute;left:113;top:14;width:4570;height:393" coordorigin="113,14" coordsize="4570,393">
              <v:shape style="position:absolute;left:113;top:14;width:4570;height:393" coordorigin="113,14" coordsize="4570,393" path="m113,407l4682,407,4682,14,113,14,113,407xe" filled="true" fillcolor="#d2d2d2" stroked="false">
                <v:path arrowok="t"/>
                <v:fill type="solid"/>
              </v:shape>
            </v:group>
            <v:group style="position:absolute;left:4795;top:14;width:104;height:393" coordorigin="4795,14" coordsize="104,393">
              <v:shape style="position:absolute;left:4795;top:14;width:104;height:393" coordorigin="4795,14" coordsize="104,393" path="m4795,407l4898,407,4898,14,4795,14,4795,407xe" filled="true" fillcolor="#e0ffff" stroked="false">
                <v:path arrowok="t"/>
                <v:fill type="solid"/>
              </v:shape>
            </v:group>
            <v:group style="position:absolute;left:9466;top:14;width:104;height:393" coordorigin="9466,14" coordsize="104,393">
              <v:shape style="position:absolute;left:9466;top:14;width:104;height:393" coordorigin="9466,14" coordsize="104,393" path="m9466,407l9569,407,9569,14,9466,14,9466,407xe" filled="true" fillcolor="#e0ffff" stroked="false">
                <v:path arrowok="t"/>
                <v:fill type="solid"/>
              </v:shape>
            </v:group>
            <v:group style="position:absolute;left:4898;top:14;width:4568;height:393" coordorigin="4898,14" coordsize="4568,393">
              <v:shape style="position:absolute;left:4898;top:14;width:4568;height:393" coordorigin="4898,14" coordsize="4568,393" path="m4898,407l9466,407,9466,14,4898,14,489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right="8592"/>
        <w:jc w:val="left"/>
      </w:pPr>
      <w:r>
        <w:rPr/>
        <w:t>或有对价及其变动的说明： 其他说明：</w:t>
      </w:r>
    </w:p>
    <w:p>
      <w:pPr>
        <w:spacing w:line="240" w:lineRule="auto" w:before="12"/>
        <w:rPr>
          <w:rFonts w:ascii="宋体" w:hAnsi="宋体" w:cs="宋体" w:eastAsia="宋体" w:hint="default"/>
          <w:sz w:val="19"/>
          <w:szCs w:val="19"/>
        </w:rPr>
      </w:pPr>
    </w:p>
    <w:p>
      <w:pPr>
        <w:pStyle w:val="Heading3"/>
        <w:spacing w:line="240" w:lineRule="auto"/>
        <w:ind w:left="1133" w:right="1015"/>
        <w:jc w:val="left"/>
        <w:rPr>
          <w:b w:val="0"/>
          <w:bCs w:val="0"/>
        </w:rPr>
      </w:pPr>
      <w:bookmarkStart w:name="（3）合并日被合并方资产、负债的账面价值" w:id="418"/>
      <w:bookmarkEnd w:id="418"/>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907" w:footer="1019" w:top="1100" w:bottom="1200" w:left="0" w:right="0"/>
        </w:sectPr>
      </w:pPr>
    </w:p>
    <w:p>
      <w:pPr>
        <w:spacing w:line="240" w:lineRule="auto" w:before="1"/>
        <w:rPr>
          <w:rFonts w:ascii="宋体" w:hAnsi="宋体" w:cs="宋体" w:eastAsia="宋体" w:hint="default"/>
          <w:sz w:val="25"/>
          <w:szCs w:val="25"/>
        </w:rPr>
      </w:pPr>
    </w:p>
    <w:p>
      <w:pPr>
        <w:spacing w:line="823" w:lineRule="exact"/>
        <w:ind w:left="112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10;top:14;width:104;height:393" coordorigin="10,14" coordsize="104,393">
              <v:shape style="position:absolute;left:10;top:14;width:104;height:393" coordorigin="10,14" coordsize="104,393" path="m10,407l113,407,113,14,10,14,10,407xe" filled="true" fillcolor="#d2d2d2" stroked="false">
                <v:path arrowok="t"/>
                <v:fill type="solid"/>
              </v:shape>
            </v:group>
            <v:group style="position:absolute;left:3087;top:14;width:104;height:393" coordorigin="3087,14" coordsize="104,393">
              <v:shape style="position:absolute;left:3087;top:14;width:104;height:393" coordorigin="3087,14" coordsize="104,393" path="m3087,407l3190,407,3190,14,3087,14,3087,407xe" filled="true" fillcolor="#d2d2d2" stroked="false">
                <v:path arrowok="t"/>
                <v:fill type="solid"/>
              </v:shape>
            </v:group>
            <v:group style="position:absolute;left:113;top:14;width:2974;height:393" coordorigin="113,14" coordsize="2974,393">
              <v:shape style="position:absolute;left:113;top:14;width:2974;height:393" coordorigin="113,14" coordsize="2974,393" path="m113,407l3087,407,3087,14,113,14,113,407xe" filled="true" fillcolor="#d2d2d2" stroked="false">
                <v:path arrowok="t"/>
                <v:fill type="solid"/>
              </v:shape>
            </v:group>
            <v:group style="position:absolute;left:3200;top:14;width:104;height:393" coordorigin="3200,14" coordsize="104,393">
              <v:shape style="position:absolute;left:3200;top:14;width:104;height:393" coordorigin="3200,14" coordsize="104,393" path="m3200,407l3303,407,3303,14,3200,14,3200,407xe" filled="true" fillcolor="#e0ffff" stroked="false">
                <v:path arrowok="t"/>
                <v:fill type="solid"/>
              </v:shape>
            </v:group>
            <v:group style="position:absolute;left:9468;top:14;width:104;height:393" coordorigin="9468,14" coordsize="104,393">
              <v:shape style="position:absolute;left:9468;top:14;width:104;height:393" coordorigin="9468,14" coordsize="104,393" path="m9468,407l9571,407,9571,14,9468,14,9468,407xe" filled="true" fillcolor="#e0ffff" stroked="false">
                <v:path arrowok="t"/>
                <v:fill type="solid"/>
              </v:shape>
            </v:group>
            <v:group style="position:absolute;left:3303;top:14;width:6166;height:393" coordorigin="3303,14" coordsize="6166,393">
              <v:shape style="position:absolute;left:3303;top:14;width:6166;height:393" coordorigin="3303,14" coordsize="6166,393" path="m3303,407l9468,407,9468,14,3303,14,3303,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10;top:416;width:104;height:393" coordorigin="10,416" coordsize="104,393">
              <v:shape style="position:absolute;left:10;top:416;width:104;height:393" coordorigin="10,416" coordsize="104,393" path="m10,809l113,809,113,416,10,416,10,809xe" filled="true" fillcolor="#d2d2d2" stroked="false">
                <v:path arrowok="t"/>
                <v:fill type="solid"/>
              </v:shape>
            </v:group>
            <v:group style="position:absolute;left:3087;top:416;width:104;height:393" coordorigin="3087,416" coordsize="104,393">
              <v:shape style="position:absolute;left:3087;top:416;width:104;height:393" coordorigin="3087,416" coordsize="104,393" path="m3087,809l3190,809,3190,416,3087,416,3087,809xe" filled="true" fillcolor="#d2d2d2" stroked="false">
                <v:path arrowok="t"/>
                <v:fill type="solid"/>
              </v:shape>
            </v:group>
            <v:group style="position:absolute;left:113;top:416;width:2974;height:393" coordorigin="113,416" coordsize="2974,393">
              <v:shape style="position:absolute;left:113;top:416;width:2974;height:393" coordorigin="113,416" coordsize="2974,393" path="m113,809l3087,809,3087,416,113,416,113,809xe" filled="true" fillcolor="#d2d2d2" stroked="false">
                <v:path arrowok="t"/>
                <v:fill type="solid"/>
              </v:shape>
            </v:group>
            <v:group style="position:absolute;left:3200;top:416;width:104;height:393" coordorigin="3200,416" coordsize="104,393">
              <v:shape style="position:absolute;left:3200;top:416;width:104;height:393" coordorigin="3200,416" coordsize="104,393" path="m3200,809l3303,809,3303,416,3200,416,3200,809xe" filled="true" fillcolor="#d2d2d2" stroked="false">
                <v:path arrowok="t"/>
                <v:fill type="solid"/>
              </v:shape>
            </v:group>
            <v:group style="position:absolute;left:6278;top:416;width:102;height:393" coordorigin="6278,416" coordsize="102,393">
              <v:shape style="position:absolute;left:6278;top:416;width:102;height:393" coordorigin="6278,416" coordsize="102,393" path="m6278,809l6380,809,6380,416,6278,416,6278,809xe" filled="true" fillcolor="#d2d2d2" stroked="false">
                <v:path arrowok="t"/>
                <v:fill type="solid"/>
              </v:shape>
            </v:group>
            <v:group style="position:absolute;left:3303;top:416;width:2976;height:393" coordorigin="3303,416" coordsize="2976,393">
              <v:shape style="position:absolute;left:3303;top:416;width:2976;height:393" coordorigin="3303,416" coordsize="2976,393" path="m3303,809l6278,809,6278,416,3303,416,3303,809xe" filled="true" fillcolor="#d2d2d2" stroked="false">
                <v:path arrowok="t"/>
                <v:fill type="solid"/>
              </v:shape>
            </v:group>
            <v:group style="position:absolute;left:6391;top:416;width:104;height:393" coordorigin="6391,416" coordsize="104,393">
              <v:shape style="position:absolute;left:6391;top:416;width:104;height:393" coordorigin="6391,416" coordsize="104,393" path="m6391,809l6494,809,6494,416,6391,416,6391,809xe" filled="true" fillcolor="#d2d2d2" stroked="false">
                <v:path arrowok="t"/>
                <v:fill type="solid"/>
              </v:shape>
            </v:group>
            <v:group style="position:absolute;left:9468;top:416;width:104;height:393" coordorigin="9468,416" coordsize="104,393">
              <v:shape style="position:absolute;left:9468;top:416;width:104;height:393" coordorigin="9468,416" coordsize="104,393" path="m9468,809l9571,809,9571,416,9468,416,9468,809xe" filled="true" fillcolor="#d2d2d2" stroked="false">
                <v:path arrowok="t"/>
                <v:fill type="solid"/>
              </v:shape>
            </v:group>
            <v:group style="position:absolute;left:6494;top:416;width:2974;height:393" coordorigin="6494,416" coordsize="2974,393">
              <v:shape style="position:absolute;left:6494;top:416;width:2974;height:393" coordorigin="6494,416" coordsize="2974,393" path="m6494,809l9468,809,9468,416,6494,416,649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8pt" strokecolor="#000000">
                <v:path arrowok="t"/>
              </v:shape>
            </v:group>
            <v:group style="position:absolute;left:6386;top:407;width:2;height:412" coordorigin="6386,407" coordsize="2,412">
              <v:shape style="position:absolute;left:6386;top:407;width:2;height:412" coordorigin="6386,407" coordsize="0,412" path="m6386,407l6386,818e" filled="false" stroked="true" strokeweight=".48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pt" strokecolor="#000000">
                <v:path arrowok="t"/>
              </v:shape>
              <v:shape style="position:absolute;left:3195;top:412;width:3192;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6;top:412;width:3190;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6"/>
        <w:ind w:right="7512"/>
        <w:jc w:val="left"/>
      </w:pPr>
      <w:r>
        <w:rPr/>
        <w:t>企业合并中承担的被合并方的或有负债： 其他说明：</w:t>
      </w:r>
    </w:p>
    <w:p>
      <w:pPr>
        <w:spacing w:line="240" w:lineRule="auto" w:before="11"/>
        <w:rPr>
          <w:rFonts w:ascii="宋体" w:hAnsi="宋体" w:cs="宋体" w:eastAsia="宋体" w:hint="default"/>
          <w:sz w:val="19"/>
          <w:szCs w:val="19"/>
        </w:rPr>
      </w:pPr>
    </w:p>
    <w:p>
      <w:pPr>
        <w:pStyle w:val="Heading3"/>
        <w:spacing w:line="240" w:lineRule="auto"/>
        <w:ind w:right="1015"/>
        <w:jc w:val="left"/>
        <w:rPr>
          <w:b w:val="0"/>
          <w:bCs w:val="0"/>
        </w:rPr>
      </w:pPr>
      <w:bookmarkStart w:name="3、反向购买" w:id="419"/>
      <w:bookmarkEnd w:id="419"/>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015"/>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pStyle w:val="BodyText"/>
        <w:spacing w:line="240" w:lineRule="auto" w:before="55"/>
        <w:ind w:left="1133" w:right="1015"/>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15"/>
        <w:jc w:val="left"/>
        <w:rPr>
          <w:b w:val="0"/>
          <w:bCs w:val="0"/>
        </w:rPr>
      </w:pPr>
      <w:bookmarkStart w:name="4、处置子公司" w:id="420"/>
      <w:bookmarkEnd w:id="420"/>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15"/>
        <w:jc w:val="left"/>
      </w:pPr>
      <w:r>
        <w:rPr/>
        <w:t>是否存在单次处置对子公司投资即丧失控制权的情形</w:t>
      </w:r>
    </w:p>
    <w:p>
      <w:pPr>
        <w:pStyle w:val="BodyText"/>
        <w:spacing w:line="357" w:lineRule="auto" w:before="117"/>
        <w:ind w:left="1133" w:right="4993"/>
        <w:jc w:val="left"/>
      </w:pPr>
      <w:r>
        <w:rPr/>
        <w:t>□ 是 √ 否 是否存在通过多次交易分步处置对子公司投资且在本期丧失控制权的情形</w:t>
      </w:r>
    </w:p>
    <w:p>
      <w:pPr>
        <w:pStyle w:val="BodyText"/>
        <w:spacing w:line="240" w:lineRule="auto" w:before="28"/>
        <w:ind w:left="1133" w:right="1015"/>
        <w:jc w:val="left"/>
      </w:pPr>
      <w:r>
        <w:rPr/>
        <w:t>□ 是 √ 否</w:t>
      </w:r>
    </w:p>
    <w:p>
      <w:pPr>
        <w:spacing w:line="240" w:lineRule="auto" w:before="11"/>
        <w:rPr>
          <w:rFonts w:ascii="宋体" w:hAnsi="宋体" w:cs="宋体" w:eastAsia="宋体" w:hint="default"/>
          <w:sz w:val="26"/>
          <w:szCs w:val="26"/>
        </w:rPr>
      </w:pPr>
    </w:p>
    <w:p>
      <w:pPr>
        <w:pStyle w:val="Heading3"/>
        <w:spacing w:line="240" w:lineRule="auto"/>
        <w:ind w:left="1133" w:right="1015"/>
        <w:jc w:val="left"/>
        <w:rPr>
          <w:b w:val="0"/>
          <w:bCs w:val="0"/>
        </w:rPr>
      </w:pPr>
      <w:bookmarkStart w:name="5、其他原因的合并范围变动" w:id="421"/>
      <w:bookmarkEnd w:id="421"/>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spacing w:line="357" w:lineRule="auto" w:before="0"/>
        <w:ind w:left="1193" w:right="3913" w:hanging="6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 </w:t>
      </w:r>
      <w:r>
        <w:rPr>
          <w:rFonts w:ascii="宋体" w:hAnsi="宋体" w:cs="宋体" w:eastAsia="宋体" w:hint="default"/>
          <w:b/>
          <w:bCs/>
          <w:sz w:val="18"/>
          <w:szCs w:val="18"/>
        </w:rPr>
        <w:t>本期通过设立或投资等方式取得的子公司</w:t>
      </w:r>
      <w:r>
        <w:rPr>
          <w:rFonts w:ascii="宋体" w:hAnsi="宋体" w:cs="宋体" w:eastAsia="宋体" w:hint="default"/>
          <w:sz w:val="18"/>
          <w:szCs w:val="18"/>
        </w:rPr>
      </w:r>
    </w:p>
    <w:p>
      <w:pPr>
        <w:spacing w:line="6474" w:lineRule="exact"/>
        <w:ind w:left="1194" w:right="0" w:firstLine="0"/>
        <w:rPr>
          <w:rFonts w:ascii="宋体" w:hAnsi="宋体" w:cs="宋体" w:eastAsia="宋体" w:hint="default"/>
          <w:sz w:val="20"/>
          <w:szCs w:val="20"/>
        </w:rPr>
      </w:pPr>
      <w:r>
        <w:rPr>
          <w:rFonts w:ascii="宋体" w:hAnsi="宋体" w:cs="宋体" w:eastAsia="宋体" w:hint="default"/>
          <w:position w:val="-128"/>
          <w:sz w:val="20"/>
          <w:szCs w:val="20"/>
        </w:rPr>
        <w:drawing>
          <wp:inline distT="0" distB="0" distL="0" distR="0">
            <wp:extent cx="6091786" cy="4111371"/>
            <wp:effectExtent l="0" t="0" r="0" b="0"/>
            <wp:docPr id="33" name="image18.png" descr=""/>
            <wp:cNvGraphicFramePr>
              <a:graphicFrameLocks noChangeAspect="1"/>
            </wp:cNvGraphicFramePr>
            <a:graphic>
              <a:graphicData uri="http://schemas.openxmlformats.org/drawingml/2006/picture">
                <pic:pic>
                  <pic:nvPicPr>
                    <pic:cNvPr id="34" name="image18.png"/>
                    <pic:cNvPicPr/>
                  </pic:nvPicPr>
                  <pic:blipFill>
                    <a:blip r:embed="rId32" cstate="print"/>
                    <a:stretch>
                      <a:fillRect/>
                    </a:stretch>
                  </pic:blipFill>
                  <pic:spPr>
                    <a:xfrm>
                      <a:off x="0" y="0"/>
                      <a:ext cx="6091786" cy="4111371"/>
                    </a:xfrm>
                    <a:prstGeom prst="rect">
                      <a:avLst/>
                    </a:prstGeom>
                  </pic:spPr>
                </pic:pic>
              </a:graphicData>
            </a:graphic>
          </wp:inline>
        </w:drawing>
      </w:r>
      <w:r>
        <w:rPr>
          <w:rFonts w:ascii="宋体" w:hAnsi="宋体" w:cs="宋体" w:eastAsia="宋体" w:hint="default"/>
          <w:position w:val="-128"/>
          <w:sz w:val="20"/>
          <w:szCs w:val="20"/>
        </w:rPr>
      </w:r>
    </w:p>
    <w:p>
      <w:pPr>
        <w:spacing w:after="0" w:line="6474" w:lineRule="exact"/>
        <w:rPr>
          <w:rFonts w:ascii="宋体" w:hAnsi="宋体" w:cs="宋体" w:eastAsia="宋体" w:hint="default"/>
          <w:sz w:val="20"/>
          <w:szCs w:val="20"/>
        </w:rPr>
        <w:sectPr>
          <w:pgSz w:w="11910" w:h="16840"/>
          <w:pgMar w:header="907" w:footer="1019" w:top="1100" w:bottom="1200" w:left="0" w:right="0"/>
        </w:sectPr>
      </w:pPr>
    </w:p>
    <w:p>
      <w:pPr>
        <w:spacing w:line="240" w:lineRule="auto" w:before="11"/>
        <w:rPr>
          <w:rFonts w:ascii="宋体" w:hAnsi="宋体" w:cs="宋体" w:eastAsia="宋体" w:hint="default"/>
          <w:b/>
          <w:bCs/>
          <w:sz w:val="22"/>
          <w:szCs w:val="22"/>
        </w:rPr>
      </w:pPr>
    </w:p>
    <w:p>
      <w:pPr>
        <w:pStyle w:val="BodyText"/>
        <w:spacing w:line="316" w:lineRule="auto" w:before="44"/>
        <w:ind w:left="1133" w:right="1130"/>
        <w:jc w:val="both"/>
      </w:pPr>
      <w:r>
        <w:rPr>
          <w:spacing w:val="-2"/>
        </w:rPr>
        <w:t>说明：福州乐医成信息技术服务有限公司，于</w:t>
      </w:r>
      <w:r>
        <w:rPr>
          <w:rFonts w:ascii="宋体" w:hAnsi="宋体" w:cs="宋体" w:eastAsia="宋体" w:hint="default"/>
          <w:spacing w:val="-2"/>
        </w:rPr>
        <w:t>2017</w:t>
      </w:r>
      <w:r>
        <w:rPr>
          <w:spacing w:val="-2"/>
        </w:rPr>
        <w:t>年</w:t>
      </w:r>
      <w:r>
        <w:rPr>
          <w:rFonts w:ascii="宋体" w:hAnsi="宋体" w:cs="宋体" w:eastAsia="宋体" w:hint="default"/>
          <w:spacing w:val="-2"/>
        </w:rPr>
        <w:t>03</w:t>
      </w:r>
      <w:r>
        <w:rPr>
          <w:spacing w:val="-2"/>
        </w:rPr>
        <w:t>月</w:t>
      </w:r>
      <w:r>
        <w:rPr>
          <w:rFonts w:ascii="宋体" w:hAnsi="宋体" w:cs="宋体" w:eastAsia="宋体" w:hint="default"/>
          <w:spacing w:val="-2"/>
        </w:rPr>
        <w:t>16</w:t>
      </w:r>
      <w:r>
        <w:rPr>
          <w:spacing w:val="-2"/>
        </w:rPr>
        <w:t>日经福州市鼓楼区市场监督管理局批准成立的公司，注册资本为</w:t>
      </w:r>
      <w:r>
        <w:rPr>
          <w:spacing w:val="-58"/>
        </w:rPr>
        <w:t> </w:t>
      </w:r>
      <w:r>
        <w:rPr>
          <w:spacing w:val="-58"/>
        </w:rPr>
      </w:r>
      <w:r>
        <w:rPr/>
        <w:t>人民币</w:t>
      </w:r>
      <w:r>
        <w:rPr>
          <w:rFonts w:ascii="宋体" w:hAnsi="宋体" w:cs="宋体" w:eastAsia="宋体" w:hint="default"/>
        </w:rPr>
        <w:t>100</w:t>
      </w:r>
      <w:r>
        <w:rPr/>
        <w:t>万元，统一社会信用代码</w:t>
      </w:r>
      <w:r>
        <w:rPr>
          <w:rFonts w:ascii="宋体" w:hAnsi="宋体" w:cs="宋体" w:eastAsia="宋体" w:hint="default"/>
        </w:rPr>
        <w:t>91350102MA2Y2XMN0A</w:t>
      </w:r>
      <w:r>
        <w:rPr/>
        <w:t>。公司股权结构为：深圳市乐心医疗电子有限公司，投资</w:t>
      </w:r>
      <w:r>
        <w:rPr>
          <w:rFonts w:ascii="宋体" w:hAnsi="宋体" w:cs="宋体" w:eastAsia="宋体" w:hint="default"/>
        </w:rPr>
        <w:t>51</w:t>
      </w:r>
      <w:r>
        <w:rPr/>
        <w:t>万元，</w:t>
      </w:r>
      <w:r>
        <w:rPr>
          <w:spacing w:val="-85"/>
        </w:rPr>
        <w:t> </w:t>
      </w:r>
      <w:r>
        <w:rPr/>
        <w:t>占注册资本的</w:t>
      </w:r>
      <w:r>
        <w:rPr>
          <w:rFonts w:ascii="宋体" w:hAnsi="宋体" w:cs="宋体" w:eastAsia="宋体" w:hint="default"/>
        </w:rPr>
        <w:t>51%</w:t>
      </w:r>
      <w:r>
        <w:rPr/>
        <w:t>，福州康众城信息技术服务有限公司投资</w:t>
      </w:r>
      <w:r>
        <w:rPr>
          <w:rFonts w:ascii="宋体" w:hAnsi="宋体" w:cs="宋体" w:eastAsia="宋体" w:hint="default"/>
        </w:rPr>
        <w:t>49</w:t>
      </w:r>
      <w:r>
        <w:rPr/>
        <w:t>万元，占注册资本的</w:t>
      </w:r>
      <w:r>
        <w:rPr>
          <w:rFonts w:ascii="宋体" w:hAnsi="宋体" w:cs="宋体" w:eastAsia="宋体" w:hint="default"/>
        </w:rPr>
        <w:t>49%</w:t>
      </w:r>
      <w:r>
        <w:rPr/>
        <w:t>。截止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日实收资本</w:t>
      </w:r>
      <w:r>
        <w:rPr>
          <w:rFonts w:ascii="宋体" w:hAnsi="宋体" w:cs="宋体" w:eastAsia="宋体" w:hint="default"/>
        </w:rPr>
        <w:t>75.5</w:t>
      </w:r>
      <w:r>
        <w:rPr>
          <w:rFonts w:ascii="宋体" w:hAnsi="宋体" w:cs="宋体" w:eastAsia="宋体" w:hint="default"/>
          <w:spacing w:val="-4"/>
        </w:rPr>
        <w:t> </w:t>
      </w:r>
      <w:r>
        <w:rPr/>
        <w:t>万元。</w:t>
      </w:r>
    </w:p>
    <w:p>
      <w:pPr>
        <w:pStyle w:val="BodyText"/>
        <w:spacing w:line="316" w:lineRule="auto" w:before="19"/>
        <w:ind w:left="1133" w:right="1130"/>
        <w:jc w:val="both"/>
      </w:pPr>
      <w:r>
        <w:rPr>
          <w:rFonts w:ascii="宋体" w:hAnsi="宋体" w:cs="宋体" w:eastAsia="宋体" w:hint="default"/>
        </w:rPr>
        <w:t>FutureIOT Labs LLC</w:t>
      </w:r>
      <w:r>
        <w:rPr/>
        <w:t>是 </w:t>
      </w:r>
      <w:r>
        <w:rPr>
          <w:rFonts w:ascii="宋体" w:hAnsi="宋体" w:cs="宋体" w:eastAsia="宋体" w:hint="default"/>
        </w:rPr>
        <w:t>Lifesense HealthInc.</w:t>
      </w:r>
      <w:r>
        <w:rPr/>
        <w:t>于</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13</w:t>
      </w:r>
      <w:r>
        <w:rPr/>
        <w:t>日在美国设立的全资子公司，注册地址为</w:t>
      </w:r>
      <w:r>
        <w:rPr>
          <w:rFonts w:ascii="宋体" w:hAnsi="宋体" w:cs="宋体" w:eastAsia="宋体" w:hint="default"/>
        </w:rPr>
        <w:t>Corporation</w:t>
      </w:r>
      <w:r>
        <w:rPr>
          <w:rFonts w:ascii="宋体" w:hAnsi="宋体" w:cs="宋体" w:eastAsia="宋体" w:hint="default"/>
          <w:spacing w:val="5"/>
        </w:rPr>
        <w:t> </w:t>
      </w:r>
      <w:r>
        <w:rPr>
          <w:rFonts w:ascii="宋体" w:hAnsi="宋体" w:cs="宋体" w:eastAsia="宋体" w:hint="default"/>
        </w:rPr>
        <w:t>Trust</w:t>
      </w:r>
      <w:r>
        <w:rPr>
          <w:rFonts w:ascii="宋体" w:hAnsi="宋体" w:cs="宋体" w:eastAsia="宋体" w:hint="default"/>
        </w:rPr>
        <w:t> Center, 1209 Orange Street,City of Willington,Delaware 19801</w:t>
      </w:r>
      <w:r>
        <w:rPr/>
        <w:t>，</w:t>
      </w:r>
      <w:r>
        <w:rPr>
          <w:rFonts w:ascii="宋体" w:hAnsi="宋体" w:cs="宋体" w:eastAsia="宋体" w:hint="default"/>
        </w:rPr>
        <w:t>2017</w:t>
      </w:r>
      <w:r>
        <w:rPr/>
        <w:t>年</w:t>
      </w:r>
      <w:r>
        <w:rPr>
          <w:rFonts w:ascii="宋体" w:hAnsi="宋体" w:cs="宋体" w:eastAsia="宋体" w:hint="default"/>
        </w:rPr>
        <w:t>7</w:t>
      </w:r>
      <w:r>
        <w:rPr/>
        <w:t>月美国子公司已将持有</w:t>
      </w:r>
      <w:r>
        <w:rPr>
          <w:rFonts w:ascii="宋体" w:hAnsi="宋体" w:cs="宋体" w:eastAsia="宋体" w:hint="default"/>
        </w:rPr>
        <w:t>FutureIOT Labs</w:t>
      </w:r>
      <w:r>
        <w:rPr>
          <w:rFonts w:ascii="宋体" w:hAnsi="宋体" w:cs="宋体" w:eastAsia="宋体" w:hint="default"/>
          <w:spacing w:val="6"/>
        </w:rPr>
        <w:t> </w:t>
      </w:r>
      <w:r>
        <w:rPr>
          <w:rFonts w:ascii="宋体" w:hAnsi="宋体" w:cs="宋体" w:eastAsia="宋体" w:hint="default"/>
        </w:rPr>
        <w:t>LLC</w:t>
      </w:r>
      <w:r>
        <w:rPr>
          <w:rFonts w:ascii="宋体" w:hAnsi="宋体" w:cs="宋体" w:eastAsia="宋体" w:hint="default"/>
        </w:rPr>
        <w:t> </w:t>
      </w:r>
      <w:r>
        <w:rPr/>
        <w:t>的股份转让至新加坡子公司。</w:t>
      </w:r>
    </w:p>
    <w:p>
      <w:pPr>
        <w:pStyle w:val="BodyText"/>
        <w:spacing w:line="316" w:lineRule="auto" w:before="19"/>
        <w:ind w:left="1133" w:right="1036"/>
        <w:jc w:val="left"/>
      </w:pPr>
      <w:r>
        <w:rPr>
          <w:rFonts w:ascii="宋体" w:hAnsi="宋体" w:cs="宋体" w:eastAsia="宋体" w:hint="default"/>
        </w:rPr>
        <w:t>Lifesense</w:t>
      </w:r>
      <w:r>
        <w:rPr>
          <w:rFonts w:ascii="宋体" w:hAnsi="宋体" w:cs="宋体" w:eastAsia="宋体" w:hint="default"/>
          <w:spacing w:val="-28"/>
        </w:rPr>
        <w:t> </w:t>
      </w:r>
      <w:r>
        <w:rPr>
          <w:rFonts w:ascii="宋体" w:hAnsi="宋体" w:cs="宋体" w:eastAsia="宋体" w:hint="default"/>
        </w:rPr>
        <w:t>Singapore</w:t>
      </w:r>
      <w:r>
        <w:rPr>
          <w:rFonts w:ascii="宋体" w:hAnsi="宋体" w:cs="宋体" w:eastAsia="宋体" w:hint="default"/>
          <w:spacing w:val="-28"/>
        </w:rPr>
        <w:t> </w:t>
      </w:r>
      <w:r>
        <w:rPr>
          <w:rFonts w:ascii="宋体" w:hAnsi="宋体" w:cs="宋体" w:eastAsia="宋体" w:hint="default"/>
        </w:rPr>
        <w:t>Pte.</w:t>
      </w:r>
      <w:r>
        <w:rPr>
          <w:rFonts w:ascii="宋体" w:hAnsi="宋体" w:cs="宋体" w:eastAsia="宋体" w:hint="default"/>
          <w:spacing w:val="-28"/>
        </w:rPr>
        <w:t> </w:t>
      </w:r>
      <w:r>
        <w:rPr>
          <w:rFonts w:ascii="宋体" w:hAnsi="宋体" w:cs="宋体" w:eastAsia="宋体" w:hint="default"/>
        </w:rPr>
        <w:t>Ltd.</w:t>
      </w:r>
      <w:r>
        <w:rPr/>
        <w:t>是广东乐心医疗电子股份有限公司于</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16</w:t>
      </w:r>
      <w:r>
        <w:rPr/>
        <w:t>日在新加坡设立的全资子公司，并取得了 广东省商务厅核发的企业境外投资证书（境外投资证第</w:t>
      </w:r>
      <w:r>
        <w:rPr>
          <w:rFonts w:ascii="宋体" w:hAnsi="宋体" w:cs="宋体" w:eastAsia="宋体" w:hint="default"/>
        </w:rPr>
        <w:t>N4400201700253</w:t>
      </w:r>
      <w:r>
        <w:rPr/>
        <w:t>）。 </w:t>
      </w:r>
      <w:r>
        <w:rPr>
          <w:spacing w:val="-3"/>
        </w:rPr>
        <w:t>中山市乐恒电子有限公司，于</w:t>
      </w:r>
      <w:r>
        <w:rPr>
          <w:rFonts w:ascii="宋体" w:hAnsi="宋体" w:cs="宋体" w:eastAsia="宋体" w:hint="default"/>
          <w:spacing w:val="-3"/>
        </w:rPr>
        <w:t>2017</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20</w:t>
      </w:r>
      <w:r>
        <w:rPr>
          <w:spacing w:val="-3"/>
        </w:rPr>
        <w:t>日经广东省中山市工商行政管理局批准成立的公司，注册资本为人民币</w:t>
      </w:r>
      <w:r>
        <w:rPr>
          <w:rFonts w:ascii="宋体" w:hAnsi="宋体" w:cs="宋体" w:eastAsia="宋体" w:hint="default"/>
          <w:spacing w:val="-3"/>
        </w:rPr>
        <w:t>1000</w:t>
      </w:r>
      <w:r>
        <w:rPr>
          <w:spacing w:val="-3"/>
        </w:rPr>
        <w:t>万元，</w:t>
      </w:r>
      <w:r>
        <w:rPr>
          <w:spacing w:val="-81"/>
        </w:rPr>
        <w:t> </w:t>
      </w:r>
      <w:r>
        <w:rPr/>
        <w:t>统一社会信用代码</w:t>
      </w:r>
      <w:r>
        <w:rPr>
          <w:rFonts w:ascii="宋体" w:hAnsi="宋体" w:cs="宋体" w:eastAsia="宋体" w:hint="default"/>
        </w:rPr>
        <w:t>91442000MA515L5J9E</w:t>
      </w:r>
      <w:r>
        <w:rPr/>
        <w:t>。</w:t>
      </w:r>
    </w:p>
    <w:p>
      <w:pPr>
        <w:spacing w:line="240" w:lineRule="auto" w:before="7"/>
        <w:rPr>
          <w:rFonts w:ascii="宋体" w:hAnsi="宋体" w:cs="宋体" w:eastAsia="宋体" w:hint="default"/>
          <w:sz w:val="22"/>
          <w:szCs w:val="22"/>
        </w:rPr>
      </w:pPr>
    </w:p>
    <w:p>
      <w:pPr>
        <w:pStyle w:val="Heading3"/>
        <w:spacing w:line="240" w:lineRule="auto"/>
        <w:ind w:left="1133" w:right="0"/>
        <w:jc w:val="both"/>
        <w:rPr>
          <w:b w:val="0"/>
          <w:bCs w:val="0"/>
        </w:rPr>
      </w:pPr>
      <w:bookmarkStart w:name="6、其他" w:id="422"/>
      <w:bookmarkEnd w:id="422"/>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both"/>
      </w:pPr>
      <w:r>
        <w:rPr/>
        <w:t>无</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bookmarkStart w:name="九、在其他主体中的权益" w:id="423"/>
      <w:bookmarkEnd w:id="423"/>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both"/>
        <w:rPr>
          <w:b w:val="0"/>
          <w:bCs w:val="0"/>
        </w:rPr>
      </w:pPr>
      <w:bookmarkStart w:name="1、在子公司中的权益" w:id="424"/>
      <w:bookmarkEnd w:id="424"/>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both"/>
        <w:rPr>
          <w:b w:val="0"/>
          <w:bCs w:val="0"/>
        </w:rPr>
      </w:pPr>
      <w:bookmarkStart w:name="（1）企业集团的构成" w:id="425"/>
      <w:bookmarkEnd w:id="425"/>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7"/>
              <w:jc w:val="left"/>
              <w:rPr>
                <w:rFonts w:ascii="宋体" w:hAnsi="宋体" w:cs="宋体" w:eastAsia="宋体" w:hint="default"/>
                <w:sz w:val="18"/>
                <w:szCs w:val="18"/>
              </w:rPr>
            </w:pPr>
            <w:r>
              <w:rPr>
                <w:rFonts w:ascii="宋体" w:hAnsi="宋体" w:cs="宋体" w:eastAsia="宋体" w:hint="default"/>
                <w:sz w:val="18"/>
                <w:szCs w:val="18"/>
              </w:rPr>
              <w:t>中山市创源传 感器有限公司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中山市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7"/>
              <w:jc w:val="left"/>
              <w:rPr>
                <w:rFonts w:ascii="宋体" w:hAnsi="宋体" w:cs="宋体" w:eastAsia="宋体" w:hint="default"/>
                <w:sz w:val="18"/>
                <w:szCs w:val="18"/>
              </w:rPr>
            </w:pPr>
            <w:r>
              <w:rPr>
                <w:rFonts w:ascii="宋体" w:hAnsi="宋体" w:cs="宋体" w:eastAsia="宋体" w:hint="default"/>
                <w:sz w:val="18"/>
                <w:szCs w:val="18"/>
              </w:rPr>
              <w:t>中山市创源贸 易有限公司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中山市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7"/>
              <w:jc w:val="both"/>
              <w:rPr>
                <w:rFonts w:ascii="宋体" w:hAnsi="宋体" w:cs="宋体" w:eastAsia="宋体" w:hint="default"/>
                <w:sz w:val="18"/>
                <w:szCs w:val="18"/>
              </w:rPr>
            </w:pPr>
            <w:r>
              <w:rPr>
                <w:rFonts w:ascii="宋体" w:hAnsi="宋体" w:cs="宋体" w:eastAsia="宋体" w:hint="default"/>
                <w:sz w:val="18"/>
                <w:szCs w:val="18"/>
              </w:rPr>
              <w:t>深圳市乐心医 疗电子有限公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1"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1" w:right="0"/>
              <w:jc w:val="left"/>
              <w:rPr>
                <w:rFonts w:ascii="宋体" w:hAnsi="宋体" w:cs="宋体" w:eastAsia="宋体" w:hint="default"/>
                <w:sz w:val="18"/>
                <w:szCs w:val="18"/>
              </w:rPr>
            </w:pPr>
            <w:r>
              <w:rPr>
                <w:rFonts w:ascii="宋体" w:hAnsi="宋体" w:cs="宋体" w:eastAsia="宋体" w:hint="default"/>
                <w:sz w:val="18"/>
                <w:szCs w:val="18"/>
              </w:rPr>
              <w:t>同一控制合并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7"/>
              <w:jc w:val="left"/>
              <w:rPr>
                <w:rFonts w:ascii="宋体" w:hAnsi="宋体" w:cs="宋体" w:eastAsia="宋体" w:hint="default"/>
                <w:sz w:val="18"/>
                <w:szCs w:val="18"/>
              </w:rPr>
            </w:pPr>
            <w:r>
              <w:rPr>
                <w:rFonts w:ascii="宋体" w:hAnsi="宋体" w:cs="宋体" w:eastAsia="宋体" w:hint="default"/>
                <w:sz w:val="18"/>
                <w:szCs w:val="18"/>
              </w:rPr>
              <w:t>广州动心信息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科技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7"/>
              <w:jc w:val="left"/>
              <w:rPr>
                <w:rFonts w:ascii="宋体" w:hAnsi="宋体" w:cs="宋体" w:eastAsia="宋体" w:hint="default"/>
                <w:sz w:val="18"/>
                <w:szCs w:val="18"/>
              </w:rPr>
            </w:pPr>
            <w:r>
              <w:rPr>
                <w:rFonts w:ascii="宋体" w:hAnsi="宋体" w:cs="宋体" w:eastAsia="宋体" w:hint="default"/>
                <w:sz w:val="18"/>
                <w:szCs w:val="18"/>
              </w:rPr>
              <w:t>中山乐心电子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中山市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103" w:right="502"/>
              <w:jc w:val="left"/>
              <w:rPr>
                <w:rFonts w:ascii="Times New Roman" w:hAnsi="Times New Roman" w:cs="Times New Roman" w:eastAsia="Times New Roman" w:hint="default"/>
                <w:sz w:val="18"/>
                <w:szCs w:val="18"/>
              </w:rPr>
            </w:pPr>
            <w:r>
              <w:rPr>
                <w:rFonts w:ascii="Times New Roman"/>
                <w:sz w:val="18"/>
              </w:rPr>
              <w:t>Lifesense</w:t>
            </w:r>
            <w:r>
              <w:rPr>
                <w:rFonts w:ascii="Times New Roman"/>
                <w:w w:val="99"/>
                <w:sz w:val="18"/>
              </w:rPr>
              <w:t> </w:t>
            </w:r>
            <w:r>
              <w:rPr>
                <w:rFonts w:ascii="Times New Roman"/>
                <w:sz w:val="18"/>
              </w:rPr>
              <w:t>Health</w:t>
            </w:r>
            <w:r>
              <w:rPr>
                <w:rFonts w:ascii="Times New Roman"/>
                <w:spacing w:val="-2"/>
                <w:sz w:val="18"/>
              </w:rPr>
              <w:t> </w:t>
            </w:r>
            <w:r>
              <w:rPr>
                <w:rFonts w:ascii="Times New Roman"/>
                <w:sz w:val="18"/>
              </w:rPr>
              <w:t>Inc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科技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177"/>
              <w:jc w:val="left"/>
              <w:rPr>
                <w:rFonts w:ascii="宋体" w:hAnsi="宋体" w:cs="宋体" w:eastAsia="宋体" w:hint="default"/>
                <w:sz w:val="18"/>
                <w:szCs w:val="18"/>
              </w:rPr>
            </w:pPr>
            <w:r>
              <w:rPr>
                <w:rFonts w:ascii="宋体" w:hAnsi="宋体" w:cs="宋体" w:eastAsia="宋体" w:hint="default"/>
                <w:sz w:val="18"/>
                <w:szCs w:val="18"/>
              </w:rPr>
              <w:t>香港创源有限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7"/>
              <w:jc w:val="both"/>
              <w:rPr>
                <w:rFonts w:ascii="宋体" w:hAnsi="宋体" w:cs="宋体" w:eastAsia="宋体" w:hint="default"/>
                <w:sz w:val="18"/>
                <w:szCs w:val="18"/>
              </w:rPr>
            </w:pPr>
            <w:r>
              <w:rPr>
                <w:rFonts w:ascii="宋体" w:hAnsi="宋体" w:cs="宋体" w:eastAsia="宋体" w:hint="default"/>
                <w:sz w:val="18"/>
                <w:szCs w:val="18"/>
              </w:rPr>
              <w:t>福州乐医成信 息技术服务有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1"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487"/>
              <w:jc w:val="left"/>
              <w:rPr>
                <w:rFonts w:ascii="Times New Roman" w:hAnsi="Times New Roman" w:cs="Times New Roman" w:eastAsia="Times New Roman" w:hint="default"/>
                <w:sz w:val="18"/>
                <w:szCs w:val="18"/>
              </w:rPr>
            </w:pPr>
            <w:r>
              <w:rPr>
                <w:rFonts w:ascii="Times New Roman"/>
                <w:sz w:val="18"/>
              </w:rPr>
              <w:t>FutureIOT</w:t>
            </w:r>
            <w:r>
              <w:rPr>
                <w:rFonts w:ascii="Times New Roman"/>
                <w:w w:val="99"/>
                <w:sz w:val="18"/>
              </w:rPr>
              <w:t> </w:t>
            </w:r>
            <w:r>
              <w:rPr>
                <w:rFonts w:ascii="Times New Roman"/>
                <w:sz w:val="18"/>
              </w:rPr>
              <w:t>Labs</w:t>
            </w:r>
            <w:r>
              <w:rPr>
                <w:rFonts w:ascii="Times New Roman"/>
                <w:spacing w:val="-2"/>
                <w:sz w:val="18"/>
              </w:rPr>
              <w:t> </w:t>
            </w:r>
            <w:r>
              <w:rPr>
                <w:rFonts w:ascii="Times New Roman"/>
                <w:sz w:val="18"/>
              </w:rPr>
              <w:t>LLC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科技</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深圳市瑞康宏 业科技开发有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非同一控制合 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217"/>
              <w:jc w:val="left"/>
              <w:rPr>
                <w:rFonts w:ascii="Times New Roman" w:hAnsi="Times New Roman" w:cs="Times New Roman" w:eastAsia="Times New Roman" w:hint="default"/>
                <w:sz w:val="18"/>
                <w:szCs w:val="18"/>
              </w:rPr>
            </w:pPr>
            <w:r>
              <w:rPr>
                <w:rFonts w:ascii="Times New Roman"/>
                <w:sz w:val="18"/>
              </w:rPr>
              <w:t>Lifesense</w:t>
            </w:r>
            <w:r>
              <w:rPr>
                <w:rFonts w:ascii="Times New Roman"/>
                <w:w w:val="99"/>
                <w:sz w:val="18"/>
              </w:rPr>
              <w:t> </w:t>
            </w:r>
            <w:r>
              <w:rPr>
                <w:rFonts w:ascii="Times New Roman"/>
                <w:sz w:val="18"/>
              </w:rPr>
              <w:t>Singapore</w:t>
            </w:r>
            <w:r>
              <w:rPr>
                <w:rFonts w:ascii="Times New Roman"/>
                <w:spacing w:val="-2"/>
                <w:sz w:val="18"/>
              </w:rPr>
              <w:t> </w:t>
            </w:r>
            <w:r>
              <w:rPr>
                <w:rFonts w:ascii="Times New Roman"/>
                <w:sz w:val="18"/>
              </w:rPr>
              <w:t>pte.</w:t>
            </w:r>
            <w:r>
              <w:rPr>
                <w:rFonts w:ascii="Times New Roman"/>
                <w:w w:val="99"/>
                <w:sz w:val="18"/>
              </w:rPr>
              <w:t> </w:t>
            </w:r>
            <w:r>
              <w:rPr>
                <w:rFonts w:ascii="Times New Roman"/>
                <w:sz w:val="18"/>
              </w:rPr>
              <w:t>Ltd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中山市乐恒电 子有限公司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中山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科技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60" w:lineRule="auto" w:before="51"/>
        <w:ind w:left="1133"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7"/>
        <w:ind w:right="7692"/>
        <w:jc w:val="left"/>
      </w:pPr>
      <w:r>
        <w:rPr/>
        <w:t>确定公司是代理人还是委托人的依据： 其他说明：</w:t>
      </w:r>
    </w:p>
    <w:p>
      <w:pPr>
        <w:spacing w:line="240" w:lineRule="auto" w:before="13"/>
        <w:rPr>
          <w:rFonts w:ascii="宋体" w:hAnsi="宋体" w:cs="宋体" w:eastAsia="宋体" w:hint="default"/>
          <w:sz w:val="19"/>
          <w:szCs w:val="19"/>
        </w:rPr>
      </w:pPr>
    </w:p>
    <w:p>
      <w:pPr>
        <w:pStyle w:val="Heading3"/>
        <w:spacing w:line="240" w:lineRule="auto"/>
        <w:ind w:right="1015"/>
        <w:jc w:val="left"/>
        <w:rPr>
          <w:b w:val="0"/>
          <w:bCs w:val="0"/>
        </w:rPr>
      </w:pPr>
      <w:bookmarkStart w:name="（2）重要的非全资子公司" w:id="426"/>
      <w:bookmarkEnd w:id="426"/>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681" w:right="140"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501" w:right="141"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861" w:right="139" w:hanging="720"/>
              <w:jc w:val="left"/>
              <w:rPr>
                <w:rFonts w:ascii="宋体" w:hAnsi="宋体" w:cs="宋体" w:eastAsia="宋体" w:hint="default"/>
                <w:sz w:val="18"/>
                <w:szCs w:val="18"/>
              </w:rPr>
            </w:pPr>
            <w:r>
              <w:rPr>
                <w:rFonts w:ascii="宋体" w:hAnsi="宋体" w:cs="宋体" w:eastAsia="宋体" w:hint="default"/>
                <w:sz w:val="18"/>
                <w:szCs w:val="18"/>
              </w:rPr>
              <w:t>期末少数股东权益余 额</w:t>
            </w:r>
          </w:p>
        </w:tc>
      </w:tr>
    </w:tbl>
    <w:p>
      <w:pPr>
        <w:pStyle w:val="BodyText"/>
        <w:spacing w:line="360" w:lineRule="auto" w:before="51"/>
        <w:ind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right="1015"/>
        <w:jc w:val="left"/>
        <w:rPr>
          <w:b w:val="0"/>
          <w:bCs w:val="0"/>
        </w:rPr>
      </w:pPr>
      <w:bookmarkStart w:name="（3）重要非全资子公司的主要财务信息" w:id="427"/>
      <w:bookmarkEnd w:id="427"/>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183"/>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6"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181"/>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180"/>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181"/>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3" w:right="181"/>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182"/>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r>
    </w:tbl>
    <w:p>
      <w:pPr>
        <w:pStyle w:val="BodyText"/>
        <w:spacing w:line="240" w:lineRule="auto" w:before="5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435" w:right="165" w:hanging="270"/>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6" w:right="167"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6" w:right="167"/>
              <w:jc w:val="left"/>
              <w:rPr>
                <w:rFonts w:ascii="宋体" w:hAnsi="宋体" w:cs="宋体" w:eastAsia="宋体" w:hint="default"/>
                <w:sz w:val="18"/>
                <w:szCs w:val="18"/>
              </w:rPr>
            </w:pPr>
            <w:r>
              <w:rPr>
                <w:rFonts w:ascii="宋体" w:hAnsi="宋体" w:cs="宋体" w:eastAsia="宋体" w:hint="default"/>
                <w:sz w:val="18"/>
                <w:szCs w:val="18"/>
              </w:rPr>
              <w:t>经营活动 现金流量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6" w:right="164"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7" w:right="167"/>
              <w:jc w:val="left"/>
              <w:rPr>
                <w:rFonts w:ascii="宋体" w:hAnsi="宋体" w:cs="宋体" w:eastAsia="宋体" w:hint="default"/>
                <w:sz w:val="18"/>
                <w:szCs w:val="18"/>
              </w:rPr>
            </w:pPr>
            <w:r>
              <w:rPr>
                <w:rFonts w:ascii="宋体" w:hAnsi="宋体" w:cs="宋体" w:eastAsia="宋体" w:hint="default"/>
                <w:sz w:val="18"/>
                <w:szCs w:val="18"/>
              </w:rPr>
              <w:t>经营活动 现金流量</w:t>
            </w:r>
          </w:p>
        </w:tc>
      </w:tr>
    </w:tbl>
    <w:p>
      <w:pPr>
        <w:pStyle w:val="BodyText"/>
        <w:spacing w:line="240" w:lineRule="auto" w:before="52"/>
        <w:ind w:right="1015"/>
        <w:jc w:val="left"/>
      </w:pPr>
      <w:r>
        <w:rPr/>
        <w:t>其他说明：</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1015"/>
        <w:jc w:val="left"/>
        <w:rPr>
          <w:b w:val="0"/>
          <w:bCs w:val="0"/>
        </w:rPr>
      </w:pPr>
      <w:bookmarkStart w:name="（4）使用企业集团资产和清偿企业集团债务的重大限制" w:id="428"/>
      <w:bookmarkEnd w:id="428"/>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1015"/>
        <w:jc w:val="left"/>
        <w:rPr>
          <w:b w:val="0"/>
          <w:bCs w:val="0"/>
        </w:rPr>
      </w:pPr>
      <w:bookmarkStart w:name="（5）向纳入合并财务报表范围的结构化主体提供的财务支持或其他支持" w:id="429"/>
      <w:bookmarkEnd w:id="429"/>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1015"/>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3" w:right="1015"/>
        <w:jc w:val="left"/>
        <w:rPr>
          <w:b w:val="0"/>
          <w:bCs w:val="0"/>
        </w:rPr>
      </w:pPr>
      <w:bookmarkStart w:name="2、在子公司的所有者权益份额发生变化且仍控制子公司的交易" w:id="430"/>
      <w:bookmarkEnd w:id="430"/>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15"/>
        <w:jc w:val="left"/>
        <w:rPr>
          <w:b w:val="0"/>
          <w:bCs w:val="0"/>
        </w:rPr>
      </w:pPr>
      <w:bookmarkStart w:name="（1）在子公司所有者权益份额发生变化的情况说明" w:id="431"/>
      <w:bookmarkEnd w:id="431"/>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2）交易对于少数股东权益及归属于母公司所有者权益的影响" w:id="432"/>
      <w:bookmarkEnd w:id="432"/>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10;top:14;width:104;height:393" coordorigin="10,14" coordsize="104,393">
              <v:shape style="position:absolute;left:10;top:14;width:104;height:393" coordorigin="10,14" coordsize="104,393" path="m10,407l113,407,113,14,10,14,10,407xe" filled="true" fillcolor="#d2d2d2" stroked="false">
                <v:path arrowok="t"/>
                <v:fill type="solid"/>
              </v:shape>
            </v:group>
            <v:group style="position:absolute;left:4682;top:14;width:102;height:393" coordorigin="4682,14" coordsize="102,393">
              <v:shape style="position:absolute;left:4682;top:14;width:102;height:393" coordorigin="4682,14" coordsize="102,393" path="m4682,407l4784,407,4784,14,4682,14,4682,407xe" filled="true" fillcolor="#d2d2d2" stroked="false">
                <v:path arrowok="t"/>
                <v:fill type="solid"/>
              </v:shape>
            </v:group>
            <v:group style="position:absolute;left:113;top:14;width:4570;height:393" coordorigin="113,14" coordsize="4570,393">
              <v:shape style="position:absolute;left:113;top:14;width:4570;height:393" coordorigin="113,14" coordsize="4570,393" path="m113,407l4682,407,4682,14,113,14,113,407xe" filled="true" fillcolor="#d2d2d2" stroked="false">
                <v:path arrowok="t"/>
                <v:fill type="solid"/>
              </v:shape>
            </v:group>
            <v:group style="position:absolute;left:4795;top:14;width:104;height:393" coordorigin="4795,14" coordsize="104,393">
              <v:shape style="position:absolute;left:4795;top:14;width:104;height:393" coordorigin="4795,14" coordsize="104,393" path="m4795,407l4898,407,4898,14,4795,14,4795,407xe" filled="true" fillcolor="#e0ffff" stroked="false">
                <v:path arrowok="t"/>
                <v:fill type="solid"/>
              </v:shape>
            </v:group>
            <v:group style="position:absolute;left:9466;top:14;width:104;height:393" coordorigin="9466,14" coordsize="104,393">
              <v:shape style="position:absolute;left:9466;top:14;width:104;height:393" coordorigin="9466,14" coordsize="104,393" path="m9466,407l9569,407,9569,14,9466,14,9466,407xe" filled="true" fillcolor="#e0ffff" stroked="false">
                <v:path arrowok="t"/>
                <v:fill type="solid"/>
              </v:shape>
            </v:group>
            <v:group style="position:absolute;left:4898;top:14;width:4568;height:393" coordorigin="4898,14" coordsize="4568,393">
              <v:shape style="position:absolute;left:4898;top:14;width:4568;height:393" coordorigin="4898,14" coordsize="4568,393" path="m4898,407l9466,407,9466,14,4898,14,489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46"/>
        <w:ind w:right="101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1015"/>
        <w:jc w:val="left"/>
        <w:rPr>
          <w:b w:val="0"/>
          <w:bCs w:val="0"/>
        </w:rPr>
      </w:pPr>
      <w:bookmarkStart w:name="3、在合营安排或联营企业中的权益" w:id="433"/>
      <w:bookmarkEnd w:id="433"/>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5"/>
        <w:jc w:val="left"/>
        <w:rPr>
          <w:b w:val="0"/>
          <w:bCs w:val="0"/>
        </w:rPr>
      </w:pPr>
      <w:bookmarkStart w:name="（1）重要的合营企业或联营企业" w:id="434"/>
      <w:bookmarkEnd w:id="434"/>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30" w:right="141" w:hanging="90"/>
              <w:jc w:val="left"/>
              <w:rPr>
                <w:rFonts w:ascii="宋体" w:hAnsi="宋体" w:cs="宋体" w:eastAsia="宋体" w:hint="default"/>
                <w:sz w:val="18"/>
                <w:szCs w:val="18"/>
              </w:rPr>
            </w:pPr>
            <w:r>
              <w:rPr>
                <w:rFonts w:ascii="宋体" w:hAnsi="宋体" w:cs="宋体" w:eastAsia="宋体" w:hint="default"/>
                <w:sz w:val="18"/>
                <w:szCs w:val="18"/>
              </w:rPr>
              <w:t>合营企业或联 营企业名称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36" w:right="137"/>
              <w:jc w:val="center"/>
              <w:rPr>
                <w:rFonts w:ascii="宋体" w:hAnsi="宋体" w:cs="宋体" w:eastAsia="宋体" w:hint="default"/>
                <w:sz w:val="18"/>
                <w:szCs w:val="18"/>
              </w:rPr>
            </w:pPr>
            <w:r>
              <w:rPr>
                <w:rFonts w:ascii="宋体" w:hAnsi="宋体" w:cs="宋体" w:eastAsia="宋体" w:hint="default"/>
                <w:sz w:val="18"/>
                <w:szCs w:val="18"/>
              </w:rPr>
              <w:t>对合营企业或 联营企业投资 的会计处理方 法</w:t>
            </w:r>
          </w:p>
        </w:tc>
      </w:tr>
      <w:tr>
        <w:trPr>
          <w:trHeight w:val="936"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right="1015"/>
        <w:jc w:val="left"/>
      </w:pPr>
      <w:r>
        <w:rPr/>
        <w:t>在合营企业或联营企业的持股比例不同于表决权比例的说明：</w:t>
      </w:r>
    </w:p>
    <w:p>
      <w:pPr>
        <w:pStyle w:val="BodyText"/>
        <w:spacing w:line="240" w:lineRule="auto" w:before="117"/>
        <w:ind w:right="1015"/>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3"/>
        <w:spacing w:line="240" w:lineRule="auto"/>
        <w:ind w:right="1015"/>
        <w:jc w:val="left"/>
        <w:rPr>
          <w:b w:val="0"/>
          <w:bCs w:val="0"/>
        </w:rPr>
      </w:pPr>
      <w:bookmarkStart w:name="（2）重要合营企业的主要财务信息" w:id="435"/>
      <w:bookmarkEnd w:id="435"/>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right="101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1015"/>
        <w:jc w:val="left"/>
        <w:rPr>
          <w:b w:val="0"/>
          <w:bCs w:val="0"/>
        </w:rPr>
      </w:pPr>
      <w:bookmarkStart w:name="（3）重要联营企业的主要财务信息" w:id="436"/>
      <w:bookmarkEnd w:id="436"/>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right="1015"/>
        <w:jc w:val="left"/>
      </w:pPr>
      <w:r>
        <w:rPr/>
        <w:t>其他说明</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1015"/>
        <w:jc w:val="left"/>
        <w:rPr>
          <w:b w:val="0"/>
          <w:bCs w:val="0"/>
        </w:rPr>
      </w:pPr>
      <w:bookmarkStart w:name="（4）不重要的合营企业和联营企业的汇总财务信息" w:id="437"/>
      <w:bookmarkEnd w:id="437"/>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310,929.13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484,668.62</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148,790.87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248,825.85</w:t>
            </w:r>
          </w:p>
        </w:tc>
      </w:tr>
    </w:tbl>
    <w:p>
      <w:pPr>
        <w:pStyle w:val="BodyText"/>
        <w:spacing w:line="240" w:lineRule="auto" w:before="51"/>
        <w:ind w:right="1015"/>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3" w:right="1015"/>
        <w:jc w:val="left"/>
        <w:rPr>
          <w:b w:val="0"/>
          <w:bCs w:val="0"/>
        </w:rPr>
      </w:pPr>
      <w:bookmarkStart w:name="（5）合营企业或联营企业向本公司转移资金的能力存在重大限制的说明" w:id="438"/>
      <w:bookmarkEnd w:id="438"/>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1015"/>
        <w:jc w:val="left"/>
        <w:rPr>
          <w:b w:val="0"/>
          <w:bCs w:val="0"/>
        </w:rPr>
      </w:pPr>
      <w:bookmarkStart w:name="（6）合营企业或联营企业发生的超额亏损" w:id="439"/>
      <w:bookmarkEnd w:id="439"/>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60" w:right="111" w:hanging="450"/>
              <w:jc w:val="left"/>
              <w:rPr>
                <w:rFonts w:ascii="宋体" w:hAnsi="宋体" w:cs="宋体" w:eastAsia="宋体" w:hint="default"/>
                <w:sz w:val="18"/>
                <w:szCs w:val="18"/>
              </w:rPr>
            </w:pPr>
            <w:r>
              <w:rPr>
                <w:rFonts w:ascii="宋体" w:hAnsi="宋体" w:cs="宋体" w:eastAsia="宋体" w:hint="default"/>
                <w:sz w:val="18"/>
                <w:szCs w:val="18"/>
              </w:rPr>
              <w:t>本期未确认的损失（或本期 分享的净利润）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right="101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1015"/>
        <w:jc w:val="left"/>
        <w:rPr>
          <w:b w:val="0"/>
          <w:bCs w:val="0"/>
        </w:rPr>
      </w:pPr>
      <w:bookmarkStart w:name="（7）与合营企业投资相关的未确认承诺" w:id="440"/>
      <w:bookmarkEnd w:id="440"/>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5"/>
        <w:jc w:val="left"/>
        <w:rPr>
          <w:b w:val="0"/>
          <w:bCs w:val="0"/>
        </w:rPr>
      </w:pPr>
      <w:bookmarkStart w:name="（8）与合营企业或联营企业投资相关的或有负债" w:id="441"/>
      <w:bookmarkEnd w:id="441"/>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5"/>
        <w:jc w:val="left"/>
        <w:rPr>
          <w:b w:val="0"/>
          <w:bCs w:val="0"/>
        </w:rPr>
      </w:pPr>
      <w:bookmarkStart w:name="4、重要的共同经营" w:id="442"/>
      <w:bookmarkEnd w:id="442"/>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52"/>
        <w:ind w:left="1133" w:right="5533"/>
        <w:jc w:val="left"/>
      </w:pPr>
      <w:r>
        <w:rPr/>
        <w:t>在共同经营中的持股比例或享有的份额不同于表决权比例的说明： 共同经营为单独主体的，分类为共同经营的依据：</w:t>
      </w:r>
    </w:p>
    <w:p>
      <w:pPr>
        <w:pStyle w:val="BodyText"/>
        <w:spacing w:line="240" w:lineRule="auto" w:before="29"/>
        <w:ind w:left="1133" w:right="1015"/>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3" w:right="1015"/>
        <w:jc w:val="left"/>
        <w:rPr>
          <w:b w:val="0"/>
          <w:bCs w:val="0"/>
        </w:rPr>
      </w:pPr>
      <w:bookmarkStart w:name="5、在未纳入合并财务报表范围的结构化主体中的权益" w:id="443"/>
      <w:bookmarkEnd w:id="443"/>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612"/>
        <w:jc w:val="left"/>
      </w:pPr>
      <w:r>
        <w:rPr/>
        <w:t>未纳入合并财务报表范围的结构化主体的相关说明： 无</w:t>
      </w:r>
    </w:p>
    <w:p>
      <w:pPr>
        <w:spacing w:line="240" w:lineRule="auto" w:before="2"/>
        <w:rPr>
          <w:rFonts w:ascii="宋体" w:hAnsi="宋体" w:cs="宋体" w:eastAsia="宋体" w:hint="default"/>
          <w:sz w:val="20"/>
          <w:szCs w:val="20"/>
        </w:rPr>
      </w:pPr>
    </w:p>
    <w:p>
      <w:pPr>
        <w:pStyle w:val="Heading3"/>
        <w:spacing w:line="240" w:lineRule="auto"/>
        <w:ind w:right="1015"/>
        <w:jc w:val="left"/>
        <w:rPr>
          <w:b w:val="0"/>
          <w:bCs w:val="0"/>
        </w:rPr>
      </w:pPr>
      <w:bookmarkStart w:name="6、其他" w:id="444"/>
      <w:bookmarkEnd w:id="444"/>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5"/>
        <w:jc w:val="left"/>
      </w:pPr>
      <w:r>
        <w:rPr/>
        <w:t>无</w:t>
      </w:r>
    </w:p>
    <w:p>
      <w:pPr>
        <w:spacing w:after="0" w:line="240" w:lineRule="auto"/>
        <w:jc w:val="left"/>
        <w:sectPr>
          <w:pgSz w:w="11910" w:h="16840"/>
          <w:pgMar w:header="907" w:footer="1019" w:top="1100" w:bottom="1200" w:left="0" w:right="0"/>
        </w:sectPr>
      </w:pPr>
    </w:p>
    <w:p>
      <w:pPr>
        <w:spacing w:line="240" w:lineRule="auto" w:before="9"/>
        <w:rPr>
          <w:rFonts w:ascii="宋体" w:hAnsi="宋体" w:cs="宋体" w:eastAsia="宋体" w:hint="default"/>
          <w:sz w:val="20"/>
          <w:szCs w:val="20"/>
        </w:rPr>
      </w:pPr>
    </w:p>
    <w:p>
      <w:pPr>
        <w:pStyle w:val="Heading2"/>
        <w:spacing w:line="240" w:lineRule="auto" w:before="26"/>
        <w:ind w:right="1015"/>
        <w:jc w:val="left"/>
        <w:rPr>
          <w:b w:val="0"/>
          <w:bCs w:val="0"/>
        </w:rPr>
      </w:pPr>
      <w:bookmarkStart w:name="十、与金融工具相关的风险" w:id="445"/>
      <w:bookmarkEnd w:id="445"/>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015"/>
        <w:jc w:val="left"/>
      </w:pPr>
      <w:r>
        <w:rPr>
          <w:spacing w:val="-2"/>
        </w:rPr>
        <w:t>本公司在经营过程中面临各种金融风险：信用风险、市场风险和流动性风险。公司董事会全面负责风险管理目标和政策的确</w:t>
      </w:r>
      <w:r>
        <w:rPr>
          <w:spacing w:val="-66"/>
        </w:rPr>
        <w:t> </w:t>
      </w:r>
      <w:r>
        <w:rPr>
          <w:spacing w:val="-66"/>
        </w:rPr>
      </w:r>
      <w:r>
        <w:rPr>
          <w:spacing w:val="-2"/>
        </w:rPr>
        <w:t>定，并对风险管理目标和政策承担最终责任。本公司的内部审计师也会审计风险管理的政策和程序，并且将有关发现汇报给</w:t>
      </w:r>
      <w:r>
        <w:rPr>
          <w:spacing w:val="-66"/>
        </w:rPr>
        <w:t> </w:t>
      </w:r>
      <w:r>
        <w:rPr>
          <w:spacing w:val="-66"/>
        </w:rPr>
      </w:r>
      <w:r>
        <w:rPr/>
        <w:t>审计委员会。 本公司风险管理的总体目标是在不过度影响公司竞争力和应变力的情况下，制定尽可能降低风险的风险管理政策。</w:t>
      </w:r>
    </w:p>
    <w:p>
      <w:pPr>
        <w:pStyle w:val="BodyText"/>
        <w:spacing w:line="312" w:lineRule="auto" w:before="17"/>
        <w:ind w:left="1133" w:right="1015"/>
        <w:jc w:val="left"/>
      </w:pPr>
      <w:r>
        <w:rPr>
          <w:rFonts w:ascii="Times New Roman" w:hAnsi="Times New Roman" w:cs="Times New Roman" w:eastAsia="Times New Roman" w:hint="default"/>
          <w:b/>
          <w:bCs/>
        </w:rPr>
        <w:t>(</w:t>
      </w:r>
      <w:r>
        <w:rPr>
          <w:rFonts w:ascii="宋体" w:hAnsi="宋体" w:cs="宋体" w:eastAsia="宋体" w:hint="default"/>
          <w:b/>
          <w:bCs/>
        </w:rPr>
        <w:t>一</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31"/>
        </w:rPr>
        <w:t> </w:t>
      </w:r>
      <w:r>
        <w:rPr>
          <w:rFonts w:ascii="宋体" w:hAnsi="宋体" w:cs="宋体" w:eastAsia="宋体" w:hint="default"/>
          <w:b/>
          <w:bCs/>
        </w:rPr>
        <w:t>信用风险</w:t>
      </w:r>
      <w:r>
        <w:rPr>
          <w:rFonts w:ascii="宋体" w:hAnsi="宋体" w:cs="宋体" w:eastAsia="宋体" w:hint="default"/>
          <w:b/>
          <w:bCs/>
          <w:w w:val="99"/>
        </w:rPr>
        <w:t> </w:t>
      </w:r>
      <w:r>
        <w:rPr>
          <w:spacing w:val="-2"/>
        </w:rPr>
        <w:t>信用风险是指金融工具的一方不履行义务，造成另一方发生财务损失的风险。本公司主要面临赊销导致的客户信用风险。在</w:t>
      </w:r>
      <w:r>
        <w:rPr>
          <w:spacing w:val="-66"/>
        </w:rPr>
        <w:t> </w:t>
      </w:r>
      <w:r>
        <w:rPr>
          <w:spacing w:val="-66"/>
        </w:rPr>
      </w:r>
      <w:r>
        <w:rPr>
          <w:spacing w:val="-2"/>
        </w:rPr>
        <w:t>签订新合同之前，本公司会对新客户的信用风险进行评估，包括外部信用评级和在某些情况下的银行资信证明（当此信息可</w:t>
      </w:r>
      <w:r>
        <w:rPr>
          <w:spacing w:val="-66"/>
        </w:rPr>
        <w:t> </w:t>
      </w:r>
      <w:r>
        <w:rPr>
          <w:spacing w:val="-66"/>
        </w:rPr>
      </w:r>
      <w:r>
        <w:rPr>
          <w:spacing w:val="-2"/>
        </w:rPr>
        <w:t>获取时）。公司对每一客户均设置了赊销限额，该限额为无需获得额外批准的最大额度。公司的主要客户为境处客户，为主</w:t>
      </w:r>
      <w:r>
        <w:rPr>
          <w:spacing w:val="-66"/>
        </w:rPr>
        <w:t> </w:t>
      </w:r>
      <w:r>
        <w:rPr>
          <w:spacing w:val="-66"/>
        </w:rPr>
      </w:r>
      <w:r>
        <w:rPr/>
        <w:t>要客户的应收款项办理了出口业务信用保险。 </w:t>
      </w:r>
      <w:r>
        <w:rPr>
          <w:spacing w:val="-2"/>
        </w:rPr>
        <w:t>公司通过对已有客户信用评级的季度监控以及应收账款账龄分析的月度审核来确保公司的整体信用风险在可控的范围内。在</w:t>
      </w:r>
      <w:r>
        <w:rPr>
          <w:spacing w:val="-64"/>
        </w:rPr>
        <w:t> </w:t>
      </w:r>
      <w:r>
        <w:rPr>
          <w:spacing w:val="-64"/>
        </w:rPr>
      </w:r>
      <w:r>
        <w:rPr>
          <w:spacing w:val="-2"/>
        </w:rPr>
        <w:t>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级别的客户会放在受限制客户名单里，并且只有在</w:t>
      </w:r>
      <w:r>
        <w:rPr>
          <w:spacing w:val="-44"/>
        </w:rPr>
        <w:t> </w:t>
      </w:r>
      <w:r>
        <w:rPr>
          <w:spacing w:val="-44"/>
        </w:rPr>
      </w:r>
      <w:r>
        <w:rPr/>
        <w:t>额外批准的前提下，公司才可在未来期间内对其赊销，否则必须要求其提前支付相应款项。</w:t>
      </w:r>
    </w:p>
    <w:p>
      <w:pPr>
        <w:pStyle w:val="BodyText"/>
        <w:spacing w:line="309" w:lineRule="auto" w:before="22"/>
        <w:ind w:left="1133" w:right="1015"/>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31"/>
        </w:rPr>
        <w:t> </w:t>
      </w:r>
      <w:r>
        <w:rPr>
          <w:rFonts w:ascii="宋体" w:hAnsi="宋体" w:cs="宋体" w:eastAsia="宋体" w:hint="default"/>
          <w:b/>
          <w:bCs/>
        </w:rPr>
        <w:t>市场风险</w:t>
      </w:r>
      <w:r>
        <w:rPr>
          <w:rFonts w:ascii="宋体" w:hAnsi="宋体" w:cs="宋体" w:eastAsia="宋体" w:hint="default"/>
          <w:b/>
          <w:bCs/>
          <w:w w:val="99"/>
        </w:rPr>
        <w:t> </w:t>
      </w:r>
      <w:r>
        <w:rPr>
          <w:spacing w:val="-2"/>
        </w:rPr>
        <w:t>金融工具的市场风险，是指金融工具的公允价值或未来现金流量因市场价格变动而发生波动的风险，包括外汇风险、利率风</w:t>
      </w:r>
      <w:r>
        <w:rPr>
          <w:spacing w:val="-66"/>
        </w:rPr>
        <w:t> </w:t>
      </w:r>
      <w:r>
        <w:rPr>
          <w:spacing w:val="-66"/>
        </w:rPr>
      </w:r>
      <w:r>
        <w:rPr/>
        <w:t>险和其他价格风险。</w:t>
      </w:r>
    </w:p>
    <w:p>
      <w:pPr>
        <w:pStyle w:val="BodyText"/>
        <w:spacing w:line="314" w:lineRule="auto" w:before="24"/>
        <w:ind w:left="1133" w:right="1117"/>
        <w:jc w:val="left"/>
      </w:pPr>
      <w:r>
        <w:rPr/>
        <w:t>（</w:t>
      </w:r>
      <w:r>
        <w:rPr>
          <w:rFonts w:ascii="Times New Roman" w:hAnsi="Times New Roman" w:cs="Times New Roman" w:eastAsia="Times New Roman" w:hint="default"/>
        </w:rPr>
        <w:t>1</w:t>
      </w:r>
      <w:r>
        <w:rPr/>
        <w:t>）利率风险 </w:t>
      </w:r>
      <w:r>
        <w:rPr>
          <w:spacing w:val="-2"/>
        </w:rPr>
        <w:t>利率风险，是指金融工具的公允价值或未来现金流量因市场利率变动而发生波动的风险。本公司面临的利率风险主要来源于</w:t>
      </w:r>
      <w:r>
        <w:rPr>
          <w:spacing w:val="-64"/>
        </w:rPr>
        <w:t> </w:t>
      </w:r>
      <w:r>
        <w:rPr>
          <w:spacing w:val="-64"/>
        </w:rPr>
      </w:r>
      <w:r>
        <w:rPr/>
        <w:t>银行短期借款。本公司以同期同档次国家基准利率或上浮一定百分比的利率计息的银行借款人民币</w:t>
      </w:r>
      <w:r>
        <w:rPr>
          <w:rFonts w:ascii="宋体" w:hAnsi="宋体" w:cs="宋体" w:eastAsia="宋体" w:hint="default"/>
        </w:rPr>
        <w:t>29,077,190.00</w:t>
      </w:r>
      <w:r>
        <w:rPr/>
        <w:t>元。在其</w:t>
      </w:r>
      <w:r>
        <w:rPr>
          <w:spacing w:val="-82"/>
        </w:rPr>
        <w:t> </w:t>
      </w:r>
      <w:r>
        <w:rPr/>
        <w:t>他变量不变的假设下，利率发生合理、可能的</w:t>
      </w:r>
      <w:r>
        <w:rPr>
          <w:rFonts w:ascii="宋体" w:hAnsi="宋体" w:cs="宋体" w:eastAsia="宋体" w:hint="default"/>
        </w:rPr>
        <w:t>100%</w:t>
      </w:r>
      <w:r>
        <w:rPr/>
        <w:t>基准点的变动时，将不会对</w:t>
      </w:r>
      <w:r>
        <w:rPr>
          <w:rFonts w:ascii="MS UI Gothic" w:hAnsi="MS UI Gothic" w:cs="MS UI Gothic" w:eastAsia="MS UI Gothic" w:hint="default"/>
        </w:rPr>
        <w:t>・</w:t>
      </w:r>
      <w:r>
        <w:rPr>
          <w:rFonts w:ascii="MS UI Gothic" w:hAnsi="MS UI Gothic" w:cs="MS UI Gothic" w:eastAsia="MS UI Gothic" w:hint="default"/>
          <w:spacing w:val="41"/>
        </w:rPr>
        <w:t> </w:t>
      </w:r>
      <w:r>
        <w:rPr>
          <w:rFonts w:ascii="宋体" w:hAnsi="宋体" w:cs="宋体" w:eastAsia="宋体" w:hint="default"/>
        </w:rPr>
        <w:t>{</w:t>
      </w:r>
      <w:r>
        <w:rPr/>
        <w:t>公司的利润总额和股东权益产生重大的影 响。</w:t>
      </w:r>
    </w:p>
    <w:p>
      <w:pPr>
        <w:pStyle w:val="BodyText"/>
        <w:spacing w:line="314" w:lineRule="auto" w:before="21"/>
        <w:ind w:left="1133" w:right="1015"/>
        <w:jc w:val="left"/>
      </w:pPr>
      <w:r>
        <w:rPr/>
        <w:t>（</w:t>
      </w:r>
      <w:r>
        <w:rPr>
          <w:rFonts w:ascii="Times New Roman" w:hAnsi="Times New Roman" w:cs="Times New Roman" w:eastAsia="Times New Roman" w:hint="default"/>
        </w:rPr>
        <w:t>2</w:t>
      </w:r>
      <w:r>
        <w:rPr/>
        <w:t>）外汇风险 </w:t>
      </w:r>
      <w:r>
        <w:rPr>
          <w:spacing w:val="-2"/>
        </w:rPr>
        <w:t>外汇风险，是指金融工具的公允价值或未来现金流量因外汇汇率变动而发生波动的风险。本公司尽可能将外币收入与外币支</w:t>
      </w:r>
      <w:r>
        <w:rPr>
          <w:spacing w:val="-64"/>
        </w:rPr>
        <w:t> </w:t>
      </w:r>
      <w:r>
        <w:rPr>
          <w:spacing w:val="-64"/>
        </w:rPr>
      </w:r>
      <w:r>
        <w:rPr/>
        <w:t>出相匹配以降低外汇风险。此外，公司签署远期外汇合约以达到规避外汇风险的目的。 </w:t>
      </w:r>
      <w:r>
        <w:rPr>
          <w:spacing w:val="-2"/>
        </w:rPr>
        <w:t>本公司面临的外汇风险主要来源于以美元计价的金融资产和金融负债，外币金融资产和外币金融负债折算成人民币的金额列</w:t>
      </w:r>
      <w:r>
        <w:rPr>
          <w:spacing w:val="-64"/>
        </w:rPr>
        <w:t> </w:t>
      </w:r>
      <w:r>
        <w:rPr>
          <w:spacing w:val="-64"/>
        </w:rPr>
      </w:r>
      <w:r>
        <w:rPr/>
        <w:t>示如下：</w:t>
      </w:r>
    </w:p>
    <w:p>
      <w:pPr>
        <w:spacing w:line="240" w:lineRule="auto" w:before="3"/>
        <w:rPr>
          <w:rFonts w:ascii="宋体" w:hAnsi="宋体" w:cs="宋体" w:eastAsia="宋体" w:hint="default"/>
          <w:sz w:val="4"/>
          <w:szCs w:val="4"/>
        </w:rPr>
      </w:pPr>
    </w:p>
    <w:p>
      <w:pPr>
        <w:spacing w:line="2715" w:lineRule="exact"/>
        <w:ind w:left="1134" w:right="0" w:firstLine="0"/>
        <w:rPr>
          <w:rFonts w:ascii="宋体" w:hAnsi="宋体" w:cs="宋体" w:eastAsia="宋体" w:hint="default"/>
          <w:sz w:val="20"/>
          <w:szCs w:val="20"/>
        </w:rPr>
      </w:pPr>
      <w:r>
        <w:rPr>
          <w:rFonts w:ascii="宋体" w:hAnsi="宋体" w:cs="宋体" w:eastAsia="宋体" w:hint="default"/>
          <w:position w:val="-53"/>
          <w:sz w:val="20"/>
          <w:szCs w:val="20"/>
        </w:rPr>
        <w:drawing>
          <wp:inline distT="0" distB="0" distL="0" distR="0">
            <wp:extent cx="5295264" cy="1724025"/>
            <wp:effectExtent l="0" t="0" r="0" b="0"/>
            <wp:docPr id="35" name="image19.png" descr=""/>
            <wp:cNvGraphicFramePr>
              <a:graphicFrameLocks noChangeAspect="1"/>
            </wp:cNvGraphicFramePr>
            <a:graphic>
              <a:graphicData uri="http://schemas.openxmlformats.org/drawingml/2006/picture">
                <pic:pic>
                  <pic:nvPicPr>
                    <pic:cNvPr id="36" name="image19.png"/>
                    <pic:cNvPicPr/>
                  </pic:nvPicPr>
                  <pic:blipFill>
                    <a:blip r:embed="rId34" cstate="print"/>
                    <a:stretch>
                      <a:fillRect/>
                    </a:stretch>
                  </pic:blipFill>
                  <pic:spPr>
                    <a:xfrm>
                      <a:off x="0" y="0"/>
                      <a:ext cx="5295264" cy="1724025"/>
                    </a:xfrm>
                    <a:prstGeom prst="rect">
                      <a:avLst/>
                    </a:prstGeom>
                  </pic:spPr>
                </pic:pic>
              </a:graphicData>
            </a:graphic>
          </wp:inline>
        </w:drawing>
      </w:r>
      <w:r>
        <w:rPr>
          <w:rFonts w:ascii="宋体" w:hAnsi="宋体" w:cs="宋体" w:eastAsia="宋体" w:hint="default"/>
          <w:position w:val="-53"/>
          <w:sz w:val="20"/>
          <w:szCs w:val="20"/>
        </w:rPr>
      </w:r>
    </w:p>
    <w:p>
      <w:pPr>
        <w:pStyle w:val="BodyText"/>
        <w:spacing w:line="300" w:lineRule="auto" w:before="58"/>
        <w:ind w:left="1133" w:right="1015"/>
        <w:jc w:val="left"/>
      </w:pPr>
      <w:r>
        <w:rPr>
          <w:spacing w:val="-1"/>
        </w:rPr>
        <w:t>在所有其他变量保持不变的情况下，如果人民币对美元升值或贬值</w:t>
      </w:r>
      <w:r>
        <w:rPr>
          <w:rFonts w:ascii="Times New Roman" w:hAnsi="Times New Roman" w:cs="Times New Roman" w:eastAsia="Times New Roman" w:hint="default"/>
          <w:spacing w:val="-1"/>
        </w:rPr>
        <w:t>1%</w:t>
      </w:r>
      <w:r>
        <w:rPr>
          <w:spacing w:val="-1"/>
        </w:rPr>
        <w:t>，对本公司净利润的影响如下。管理层认为</w:t>
      </w:r>
      <w:r>
        <w:rPr>
          <w:rFonts w:ascii="Times New Roman" w:hAnsi="Times New Roman" w:cs="Times New Roman" w:eastAsia="Times New Roman" w:hint="default"/>
          <w:spacing w:val="-1"/>
        </w:rPr>
        <w:t>1%</w:t>
      </w:r>
      <w:r>
        <w:rPr>
          <w:spacing w:val="-1"/>
        </w:rPr>
        <w:t>合理反</w:t>
      </w:r>
      <w:r>
        <w:rPr>
          <w:spacing w:val="-59"/>
        </w:rPr>
        <w:t> </w:t>
      </w:r>
      <w:r>
        <w:rPr/>
        <w:t>映了人民币对美元可能发生变动的合理范围。</w:t>
      </w:r>
    </w:p>
    <w:p>
      <w:pPr>
        <w:spacing w:after="0" w:line="300" w:lineRule="auto"/>
        <w:jc w:val="left"/>
        <w:sectPr>
          <w:headerReference w:type="default" r:id="rId33"/>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2550" w:lineRule="exact"/>
        <w:ind w:left="1134" w:right="0" w:firstLine="0"/>
        <w:rPr>
          <w:rFonts w:ascii="宋体" w:hAnsi="宋体" w:cs="宋体" w:eastAsia="宋体" w:hint="default"/>
          <w:sz w:val="20"/>
          <w:szCs w:val="20"/>
        </w:rPr>
      </w:pPr>
      <w:r>
        <w:rPr>
          <w:rFonts w:ascii="宋体" w:hAnsi="宋体" w:cs="宋体" w:eastAsia="宋体" w:hint="default"/>
          <w:position w:val="-50"/>
          <w:sz w:val="20"/>
          <w:szCs w:val="20"/>
        </w:rPr>
        <w:drawing>
          <wp:inline distT="0" distB="0" distL="0" distR="0">
            <wp:extent cx="5295900" cy="1619250"/>
            <wp:effectExtent l="0" t="0" r="0" b="0"/>
            <wp:docPr id="37" name="image20.png" descr=""/>
            <wp:cNvGraphicFramePr>
              <a:graphicFrameLocks noChangeAspect="1"/>
            </wp:cNvGraphicFramePr>
            <a:graphic>
              <a:graphicData uri="http://schemas.openxmlformats.org/drawingml/2006/picture">
                <pic:pic>
                  <pic:nvPicPr>
                    <pic:cNvPr id="38" name="image20.png"/>
                    <pic:cNvPicPr/>
                  </pic:nvPicPr>
                  <pic:blipFill>
                    <a:blip r:embed="rId35" cstate="print"/>
                    <a:stretch>
                      <a:fillRect/>
                    </a:stretch>
                  </pic:blipFill>
                  <pic:spPr>
                    <a:xfrm>
                      <a:off x="0" y="0"/>
                      <a:ext cx="5295900" cy="1619250"/>
                    </a:xfrm>
                    <a:prstGeom prst="rect">
                      <a:avLst/>
                    </a:prstGeom>
                  </pic:spPr>
                </pic:pic>
              </a:graphicData>
            </a:graphic>
          </wp:inline>
        </w:drawing>
      </w:r>
      <w:r>
        <w:rPr>
          <w:rFonts w:ascii="宋体" w:hAnsi="宋体" w:cs="宋体" w:eastAsia="宋体" w:hint="default"/>
          <w:position w:val="-50"/>
          <w:sz w:val="20"/>
          <w:szCs w:val="20"/>
        </w:rPr>
      </w:r>
    </w:p>
    <w:p>
      <w:pPr>
        <w:spacing w:line="240" w:lineRule="auto" w:before="6"/>
        <w:rPr>
          <w:rFonts w:ascii="宋体" w:hAnsi="宋体" w:cs="宋体" w:eastAsia="宋体" w:hint="default"/>
          <w:sz w:val="7"/>
          <w:szCs w:val="7"/>
        </w:rPr>
      </w:pPr>
    </w:p>
    <w:p>
      <w:pPr>
        <w:pStyle w:val="BodyText"/>
        <w:spacing w:line="312" w:lineRule="auto" w:before="44"/>
        <w:ind w:right="1015"/>
        <w:jc w:val="left"/>
      </w:pPr>
      <w:r>
        <w:rPr>
          <w:rFonts w:ascii="Times New Roman" w:hAnsi="Times New Roman" w:cs="Times New Roman" w:eastAsia="Times New Roman" w:hint="default"/>
          <w:b/>
          <w:bCs/>
        </w:rPr>
        <w:t>(</w:t>
      </w:r>
      <w:r>
        <w:rPr>
          <w:rFonts w:ascii="宋体" w:hAnsi="宋体" w:cs="宋体" w:eastAsia="宋体" w:hint="default"/>
          <w:b/>
          <w:bCs/>
        </w:rPr>
        <w:t>三</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1"/>
        </w:rPr>
        <w:t> </w:t>
      </w:r>
      <w:r>
        <w:rPr>
          <w:rFonts w:ascii="宋体" w:hAnsi="宋体" w:cs="宋体" w:eastAsia="宋体" w:hint="default"/>
          <w:b/>
          <w:bCs/>
        </w:rPr>
        <w:t>流动性风险</w:t>
      </w:r>
      <w:r>
        <w:rPr>
          <w:rFonts w:ascii="宋体" w:hAnsi="宋体" w:cs="宋体" w:eastAsia="宋体" w:hint="default"/>
          <w:b/>
          <w:bCs/>
          <w:w w:val="99"/>
        </w:rPr>
        <w:t> </w:t>
      </w:r>
      <w:r>
        <w:rPr>
          <w:spacing w:val="-2"/>
        </w:rPr>
        <w:t>流动风险，是指企业在履行以交付现金或其他金融资产的方式结算的义务时发生资金短缺的风险。本公司的政策是确保拥有</w:t>
      </w:r>
      <w:r>
        <w:rPr>
          <w:spacing w:val="-64"/>
        </w:rPr>
        <w:t> </w:t>
      </w:r>
      <w:r>
        <w:rPr>
          <w:spacing w:val="-64"/>
        </w:rPr>
      </w:r>
      <w:r>
        <w:rPr>
          <w:spacing w:val="-2"/>
        </w:rPr>
        <w:t>充足的现金以偿还到期债务。流动性风险由本公司的财务部门集中控制。财务部门通过监控现金余额、确保公司在所有合理</w:t>
      </w:r>
      <w:r>
        <w:rPr>
          <w:spacing w:val="-66"/>
        </w:rPr>
        <w:t> </w:t>
      </w:r>
      <w:r>
        <w:rPr>
          <w:spacing w:val="-66"/>
        </w:rPr>
      </w:r>
      <w:r>
        <w:rPr/>
        <w:t>预测的情况下拥有充足的资金偿还债务。</w:t>
      </w:r>
    </w:p>
    <w:p>
      <w:pPr>
        <w:spacing w:line="240" w:lineRule="auto" w:before="0"/>
        <w:rPr>
          <w:rFonts w:ascii="宋体" w:hAnsi="宋体" w:cs="宋体" w:eastAsia="宋体" w:hint="default"/>
          <w:sz w:val="21"/>
          <w:szCs w:val="21"/>
        </w:rPr>
      </w:pPr>
    </w:p>
    <w:p>
      <w:pPr>
        <w:pStyle w:val="Heading2"/>
        <w:spacing w:line="240" w:lineRule="auto"/>
        <w:ind w:right="1015"/>
        <w:jc w:val="left"/>
        <w:rPr>
          <w:b w:val="0"/>
          <w:bCs w:val="0"/>
        </w:rPr>
      </w:pPr>
      <w:bookmarkStart w:name="十一、公允价值的披露" w:id="446"/>
      <w:bookmarkEnd w:id="446"/>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1、以公允价值计量的资产和负债的期末公允价值" w:id="447"/>
      <w:bookmarkEnd w:id="447"/>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60" w:right="140" w:hanging="720"/>
              <w:jc w:val="left"/>
              <w:rPr>
                <w:rFonts w:ascii="宋体" w:hAnsi="宋体" w:cs="宋体" w:eastAsia="宋体" w:hint="default"/>
                <w:sz w:val="18"/>
                <w:szCs w:val="18"/>
              </w:rPr>
            </w:pPr>
            <w:r>
              <w:rPr>
                <w:rFonts w:ascii="宋体" w:hAnsi="宋体" w:cs="宋体" w:eastAsia="宋体" w:hint="default"/>
                <w:sz w:val="18"/>
                <w:szCs w:val="18"/>
              </w:rPr>
              <w:t>第二层次公允价值计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61" w:right="141" w:hanging="720"/>
              <w:jc w:val="left"/>
              <w:rPr>
                <w:rFonts w:ascii="宋体" w:hAnsi="宋体" w:cs="宋体" w:eastAsia="宋体" w:hint="default"/>
                <w:sz w:val="18"/>
                <w:szCs w:val="18"/>
              </w:rPr>
            </w:pPr>
            <w:r>
              <w:rPr>
                <w:rFonts w:ascii="宋体" w:hAnsi="宋体" w:cs="宋体" w:eastAsia="宋体" w:hint="default"/>
                <w:sz w:val="18"/>
                <w:szCs w:val="18"/>
              </w:rPr>
              <w:t>第三层次公允价值计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pacing w:val="-3"/>
                <w:sz w:val="18"/>
                <w:szCs w:val="18"/>
              </w:rPr>
              <w:t>一、持续的公允价值计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0"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934,600.00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934,600.00</w:t>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61"/>
              <w:jc w:val="left"/>
              <w:rPr>
                <w:rFonts w:ascii="宋体" w:hAnsi="宋体" w:cs="宋体" w:eastAsia="宋体" w:hint="default"/>
                <w:sz w:val="18"/>
                <w:szCs w:val="18"/>
              </w:rPr>
            </w:pPr>
            <w:r>
              <w:rPr>
                <w:rFonts w:ascii="宋体" w:hAnsi="宋体" w:cs="宋体" w:eastAsia="宋体" w:hint="default"/>
                <w:sz w:val="18"/>
                <w:szCs w:val="18"/>
              </w:rPr>
              <w:t>持续以公允价值计量 的资产总额</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934,600.00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934,600.00</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pacing w:val="-3"/>
                <w:sz w:val="18"/>
                <w:szCs w:val="18"/>
              </w:rPr>
              <w:t>二、非持续的公允价值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0"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1015"/>
        <w:jc w:val="left"/>
        <w:rPr>
          <w:b w:val="0"/>
          <w:bCs w:val="0"/>
        </w:rPr>
      </w:pPr>
      <w:bookmarkStart w:name="2、持续和非持续第一层次公允价值计量项目市价的确定依据" w:id="448"/>
      <w:bookmarkEnd w:id="448"/>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3、持续和非持续第二层次公允价值计量项目，采用的估值技术和重要参数的定性及定量信" w:id="449"/>
      <w:bookmarkEnd w:id="449"/>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15"/>
        <w:jc w:val="left"/>
        <w:rPr>
          <w:b w:val="0"/>
          <w:bCs w:val="0"/>
        </w:rPr>
      </w:pPr>
      <w:bookmarkStart w:name="4、持续和非持续第三层次公允价值计量项目，采用的估值技术和重要参数的定性及定量信" w:id="450"/>
      <w:bookmarkEnd w:id="450"/>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5、持续的第三层次公允价值计量项目，期初与期末账面价值间的调节信息及不可观察参数" w:id="451"/>
      <w:bookmarkEnd w:id="451"/>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6、持续的公允价值计量项目，本期内发生各层级之间转换的，转换的原因及确定转换时点" w:id="452"/>
      <w:bookmarkEnd w:id="452"/>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7、本期内发生的估值技术变更及变更原因" w:id="453"/>
      <w:bookmarkEnd w:id="453"/>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8、不以公允价值计量的金融资产和金融负债的公允价值情况" w:id="454"/>
      <w:bookmarkEnd w:id="454"/>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34" w:right="7693" w:firstLine="0"/>
        <w:jc w:val="left"/>
        <w:rPr>
          <w:rFonts w:ascii="宋体" w:hAnsi="宋体" w:cs="宋体" w:eastAsia="宋体" w:hint="default"/>
          <w:sz w:val="21"/>
          <w:szCs w:val="21"/>
        </w:rPr>
      </w:pPr>
      <w:bookmarkStart w:name="9、其他" w:id="455"/>
      <w:bookmarkEnd w:id="455"/>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56"/>
      <w:bookmarkEnd w:id="45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57"/>
      <w:bookmarkEnd w:id="457"/>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2" w:right="161" w:hanging="180"/>
              <w:jc w:val="left"/>
              <w:rPr>
                <w:rFonts w:ascii="宋体" w:hAnsi="宋体" w:cs="宋体" w:eastAsia="宋体" w:hint="default"/>
                <w:sz w:val="18"/>
                <w:szCs w:val="18"/>
              </w:rPr>
            </w:pPr>
            <w:r>
              <w:rPr>
                <w:rFonts w:ascii="宋体" w:hAnsi="宋体" w:cs="宋体" w:eastAsia="宋体" w:hint="default"/>
                <w:sz w:val="18"/>
                <w:szCs w:val="18"/>
              </w:rPr>
              <w:t>母公司对本企业 的持股比例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0" w:right="162" w:hanging="90"/>
              <w:jc w:val="left"/>
              <w:rPr>
                <w:rFonts w:ascii="宋体" w:hAnsi="宋体" w:cs="宋体" w:eastAsia="宋体" w:hint="default"/>
                <w:sz w:val="18"/>
                <w:szCs w:val="18"/>
              </w:rPr>
            </w:pPr>
            <w:r>
              <w:rPr>
                <w:rFonts w:ascii="宋体" w:hAnsi="宋体" w:cs="宋体" w:eastAsia="宋体" w:hint="default"/>
                <w:sz w:val="18"/>
                <w:szCs w:val="18"/>
              </w:rPr>
              <w:t>母公司对本企业 的表决权比例</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潘伟潮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6" w:right="0"/>
              <w:jc w:val="left"/>
              <w:rPr>
                <w:rFonts w:ascii="Times New Roman" w:hAnsi="Times New Roman" w:cs="Times New Roman" w:eastAsia="Times New Roman" w:hint="default"/>
                <w:sz w:val="18"/>
                <w:szCs w:val="18"/>
              </w:rPr>
            </w:pPr>
            <w:r>
              <w:rPr>
                <w:rFonts w:ascii="Times New Roman"/>
                <w:sz w:val="18"/>
              </w:rPr>
              <w:t>45.50%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6" w:right="0"/>
              <w:jc w:val="left"/>
              <w:rPr>
                <w:rFonts w:ascii="Times New Roman" w:hAnsi="Times New Roman" w:cs="Times New Roman" w:eastAsia="Times New Roman" w:hint="default"/>
                <w:sz w:val="18"/>
                <w:szCs w:val="18"/>
              </w:rPr>
            </w:pPr>
            <w:r>
              <w:rPr>
                <w:rFonts w:ascii="Times New Roman"/>
                <w:sz w:val="18"/>
              </w:rPr>
              <w:t>45.50%</w:t>
            </w:r>
          </w:p>
        </w:tc>
      </w:tr>
    </w:tbl>
    <w:p>
      <w:pPr>
        <w:pStyle w:val="BodyText"/>
        <w:spacing w:line="360" w:lineRule="auto" w:before="51"/>
        <w:ind w:left="1133" w:right="8413"/>
        <w:jc w:val="left"/>
      </w:pPr>
      <w:r>
        <w:rPr/>
        <w:t>本企业的母公司情况的说明 本企业最终控制方是潘伟潮。 其他说明：</w:t>
      </w:r>
    </w:p>
    <w:p>
      <w:pPr>
        <w:spacing w:line="240" w:lineRule="auto" w:before="11"/>
        <w:rPr>
          <w:rFonts w:ascii="宋体" w:hAnsi="宋体" w:cs="宋体" w:eastAsia="宋体" w:hint="default"/>
          <w:sz w:val="19"/>
          <w:szCs w:val="19"/>
        </w:rPr>
      </w:pPr>
    </w:p>
    <w:p>
      <w:pPr>
        <w:pStyle w:val="Heading3"/>
        <w:spacing w:line="240" w:lineRule="auto"/>
        <w:ind w:left="1133" w:right="1015"/>
        <w:jc w:val="left"/>
        <w:rPr>
          <w:b w:val="0"/>
          <w:bCs w:val="0"/>
        </w:rPr>
      </w:pPr>
      <w:bookmarkStart w:name="2、本企业的子公司情况" w:id="458"/>
      <w:bookmarkEnd w:id="458"/>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1015"/>
        <w:jc w:val="left"/>
      </w:pPr>
      <w:r>
        <w:rPr/>
        <w:t>本企业子公司的情况详见附注九、在其他主体中的权益。</w:t>
      </w:r>
    </w:p>
    <w:p>
      <w:pPr>
        <w:spacing w:line="240" w:lineRule="auto" w:before="11"/>
        <w:rPr>
          <w:rFonts w:ascii="宋体" w:hAnsi="宋体" w:cs="宋体" w:eastAsia="宋体" w:hint="default"/>
          <w:sz w:val="26"/>
          <w:szCs w:val="26"/>
        </w:rPr>
      </w:pPr>
    </w:p>
    <w:p>
      <w:pPr>
        <w:pStyle w:val="Heading3"/>
        <w:spacing w:line="240" w:lineRule="auto"/>
        <w:ind w:right="1015"/>
        <w:jc w:val="left"/>
        <w:rPr>
          <w:b w:val="0"/>
          <w:bCs w:val="0"/>
        </w:rPr>
      </w:pPr>
      <w:bookmarkStart w:name="3、本企业合营和联营企业情况" w:id="459"/>
      <w:bookmarkEnd w:id="459"/>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3" w:right="2293"/>
        <w:jc w:val="left"/>
      </w:pPr>
      <w:r>
        <w:rPr/>
        <w:t>本企业重要的合营或联营企业详见附注九、在其他主体中的权益。 本期与本公司发生关联方交易，或前期与本公司发生关联方交易形成余额的其他合营或联营企业情况如下：</w:t>
      </w: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中山市易恩自动化科技有限公司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公司联营企业</w:t>
            </w:r>
          </w:p>
        </w:tc>
      </w:tr>
    </w:tbl>
    <w:p>
      <w:pPr>
        <w:pStyle w:val="BodyText"/>
        <w:spacing w:line="240" w:lineRule="auto" w:before="65"/>
        <w:ind w:right="101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1015"/>
        <w:jc w:val="left"/>
        <w:rPr>
          <w:b w:val="0"/>
          <w:bCs w:val="0"/>
        </w:rPr>
      </w:pPr>
      <w:bookmarkStart w:name="4、其他关联方情况" w:id="460"/>
      <w:bookmarkEnd w:id="460"/>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麦炯章</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bl>
    <w:p>
      <w:pPr>
        <w:pStyle w:val="BodyText"/>
        <w:spacing w:line="240" w:lineRule="auto" w:before="51"/>
        <w:ind w:right="101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1015"/>
        <w:jc w:val="left"/>
        <w:rPr>
          <w:b w:val="0"/>
          <w:bCs w:val="0"/>
        </w:rPr>
      </w:pPr>
      <w:bookmarkStart w:name="5、关联交易情况" w:id="461"/>
      <w:bookmarkEnd w:id="461"/>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15"/>
        <w:jc w:val="left"/>
        <w:rPr>
          <w:b w:val="0"/>
          <w:bCs w:val="0"/>
        </w:rPr>
      </w:pPr>
      <w:bookmarkStart w:name="（1）购销商品、提供和接受劳务的关联交易" w:id="462"/>
      <w:bookmarkEnd w:id="462"/>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15"/>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7"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65"/>
              <w:jc w:val="left"/>
              <w:rPr>
                <w:rFonts w:ascii="宋体" w:hAnsi="宋体" w:cs="宋体" w:eastAsia="宋体" w:hint="default"/>
                <w:sz w:val="18"/>
                <w:szCs w:val="18"/>
              </w:rPr>
            </w:pPr>
            <w:r>
              <w:rPr>
                <w:rFonts w:ascii="宋体" w:hAnsi="宋体" w:cs="宋体" w:eastAsia="宋体" w:hint="default"/>
                <w:sz w:val="18"/>
                <w:szCs w:val="18"/>
              </w:rPr>
              <w:t>中山市易恩自动 化科技有限公司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9"/>
              <w:jc w:val="both"/>
              <w:rPr>
                <w:rFonts w:ascii="宋体" w:hAnsi="宋体" w:cs="宋体" w:eastAsia="宋体" w:hint="default"/>
                <w:sz w:val="18"/>
                <w:szCs w:val="18"/>
              </w:rPr>
            </w:pPr>
            <w:r>
              <w:rPr>
                <w:rFonts w:ascii="宋体" w:hAnsi="宋体" w:cs="宋体" w:eastAsia="宋体" w:hint="default"/>
                <w:sz w:val="18"/>
                <w:szCs w:val="18"/>
              </w:rPr>
              <w:t>采购定制开发 的自动化生产 线</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6,110,495.91</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0" w:right="0"/>
              <w:jc w:val="left"/>
              <w:rPr>
                <w:rFonts w:ascii="Times New Roman" w:hAnsi="Times New Roman" w:cs="Times New Roman" w:eastAsia="Times New Roman" w:hint="default"/>
                <w:sz w:val="18"/>
                <w:szCs w:val="18"/>
              </w:rPr>
            </w:pPr>
            <w:r>
              <w:rPr>
                <w:rFonts w:ascii="Times New Roman"/>
                <w:sz w:val="18"/>
              </w:rPr>
              <w:t>13,961,004.06</w:t>
            </w:r>
          </w:p>
        </w:tc>
      </w:tr>
    </w:tbl>
    <w:p>
      <w:pPr>
        <w:pStyle w:val="BodyText"/>
        <w:spacing w:line="240" w:lineRule="auto" w:before="51"/>
        <w:ind w:right="1015"/>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1015"/>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3"/>
        <w:spacing w:line="240" w:lineRule="auto"/>
        <w:ind w:right="1015"/>
        <w:jc w:val="left"/>
        <w:rPr>
          <w:b w:val="0"/>
          <w:bCs w:val="0"/>
        </w:rPr>
      </w:pPr>
      <w:bookmarkStart w:name="（2）关联受托管理/承包及委托管理/出包情况" w:id="463"/>
      <w:bookmarkEnd w:id="463"/>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15"/>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499" w:right="113" w:hanging="38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497" w:right="113" w:hanging="38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499" w:right="112" w:hanging="38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 类型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587" w:right="113" w:hanging="47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 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587" w:right="113" w:hanging="47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 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136" w:right="113" w:hanging="2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2" w:right="113"/>
              <w:jc w:val="center"/>
              <w:rPr>
                <w:rFonts w:ascii="宋体" w:hAnsi="宋体" w:cs="宋体" w:eastAsia="宋体" w:hint="default"/>
                <w:sz w:val="18"/>
                <w:szCs w:val="18"/>
              </w:rPr>
            </w:pPr>
            <w:r>
              <w:rPr>
                <w:rFonts w:ascii="宋体" w:hAnsi="宋体" w:cs="宋体" w:eastAsia="宋体" w:hint="default"/>
                <w:sz w:val="18"/>
                <w:szCs w:val="18"/>
              </w:rPr>
              <w:t>本期确认的托 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w:t>
            </w:r>
          </w:p>
        </w:tc>
      </w:tr>
    </w:tbl>
    <w:p>
      <w:pPr>
        <w:spacing w:after="0" w:line="309" w:lineRule="auto"/>
        <w:jc w:val="center"/>
        <w:rPr>
          <w:rFonts w:ascii="宋体" w:hAnsi="宋体" w:cs="宋体" w:eastAsia="宋体" w:hint="default"/>
          <w:sz w:val="18"/>
          <w:szCs w:val="18"/>
        </w:rPr>
        <w:sectPr>
          <w:pgSz w:w="11910" w:h="16840"/>
          <w:pgMar w:header="907" w:footer="1019" w:top="1100" w:bottom="1200" w:left="0" w:right="0"/>
        </w:sectPr>
      </w:pPr>
    </w:p>
    <w:p>
      <w:pPr>
        <w:pStyle w:val="BodyText"/>
        <w:spacing w:line="338" w:lineRule="auto" w:before="52"/>
        <w:ind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100" w:bottom="1200" w:left="0" w:right="0"/>
          <w:cols w:num="2" w:equalWidth="0">
            <w:col w:w="3525" w:space="5304"/>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99" w:right="113" w:hanging="38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97" w:right="113" w:hanging="38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99" w:right="112" w:hanging="38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 类型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113" w:hanging="47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 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113" w:hanging="47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 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317" w:right="113" w:hanging="20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 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2" w:right="137" w:hanging="65"/>
              <w:jc w:val="left"/>
              <w:rPr>
                <w:rFonts w:ascii="宋体" w:hAnsi="宋体" w:cs="宋体" w:eastAsia="宋体" w:hint="default"/>
                <w:sz w:val="18"/>
                <w:szCs w:val="18"/>
              </w:rPr>
            </w:pPr>
            <w:r>
              <w:rPr>
                <w:rFonts w:ascii="宋体" w:hAnsi="宋体" w:cs="宋体" w:eastAsia="宋体" w:hint="default"/>
                <w:sz w:val="18"/>
                <w:szCs w:val="18"/>
              </w:rPr>
              <w:t>本期确认的托 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1"/>
        <w:ind w:right="1015"/>
        <w:jc w:val="left"/>
      </w:pPr>
      <w:r>
        <w:rPr/>
        <w:t>关联管理</w:t>
      </w:r>
      <w:r>
        <w:rPr>
          <w:rFonts w:ascii="Times New Roman" w:hAnsi="Times New Roman" w:cs="Times New Roman" w:eastAsia="Times New Roman" w:hint="default"/>
        </w:rPr>
        <w:t>/</w:t>
      </w:r>
      <w:r>
        <w:rPr/>
        <w:t>出包情况说明</w:t>
      </w:r>
    </w:p>
    <w:p>
      <w:pPr>
        <w:spacing w:line="240" w:lineRule="auto" w:before="10"/>
        <w:rPr>
          <w:rFonts w:ascii="宋体" w:hAnsi="宋体" w:cs="宋体" w:eastAsia="宋体" w:hint="default"/>
          <w:sz w:val="25"/>
          <w:szCs w:val="25"/>
        </w:rPr>
      </w:pPr>
    </w:p>
    <w:p>
      <w:pPr>
        <w:pStyle w:val="Heading3"/>
        <w:spacing w:line="240" w:lineRule="auto"/>
        <w:ind w:right="1015"/>
        <w:jc w:val="left"/>
        <w:rPr>
          <w:b w:val="0"/>
          <w:bCs w:val="0"/>
        </w:rPr>
      </w:pPr>
      <w:bookmarkStart w:name="（3）关联租赁情况" w:id="464"/>
      <w:bookmarkEnd w:id="464"/>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15"/>
        <w:jc w:val="left"/>
      </w:pPr>
      <w:r>
        <w:rPr/>
        <w:t>本公司作为出租方：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2"/>
        <w:ind w:right="1015"/>
        <w:jc w:val="left"/>
      </w:pPr>
      <w:r>
        <w:rPr/>
        <w:t>本公司作为承租方：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after="0" w:line="240" w:lineRule="auto"/>
        <w:jc w:val="left"/>
        <w:rPr>
          <w:rFonts w:ascii="宋体" w:hAnsi="宋体" w:cs="宋体" w:eastAsia="宋体" w:hint="default"/>
          <w:sz w:val="18"/>
          <w:szCs w:val="18"/>
        </w:rPr>
        <w:sectPr>
          <w:type w:val="continuous"/>
          <w:pgSz w:w="11910" w:h="16840"/>
          <w:pgMar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right="1015"/>
        <w:jc w:val="left"/>
      </w:pPr>
      <w:r>
        <w:rPr/>
        <w:t>关联租赁情况说明</w:t>
      </w:r>
    </w:p>
    <w:p>
      <w:pPr>
        <w:spacing w:line="240" w:lineRule="auto" w:before="10"/>
        <w:rPr>
          <w:rFonts w:ascii="宋体" w:hAnsi="宋体" w:cs="宋体" w:eastAsia="宋体" w:hint="default"/>
          <w:sz w:val="26"/>
          <w:szCs w:val="26"/>
        </w:rPr>
      </w:pPr>
    </w:p>
    <w:p>
      <w:pPr>
        <w:pStyle w:val="Heading3"/>
        <w:spacing w:line="240" w:lineRule="auto"/>
        <w:ind w:right="1015"/>
        <w:jc w:val="left"/>
        <w:rPr>
          <w:b w:val="0"/>
          <w:bCs w:val="0"/>
        </w:rPr>
      </w:pPr>
      <w:bookmarkStart w:name="（4）关联担保情况" w:id="465"/>
      <w:bookmarkEnd w:id="465"/>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15"/>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1" w:right="140"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62" w:right="141" w:hanging="721"/>
              <w:jc w:val="left"/>
              <w:rPr>
                <w:rFonts w:ascii="宋体" w:hAnsi="宋体" w:cs="宋体" w:eastAsia="宋体" w:hint="default"/>
                <w:sz w:val="18"/>
                <w:szCs w:val="18"/>
              </w:rPr>
            </w:pPr>
            <w:r>
              <w:rPr>
                <w:rFonts w:ascii="宋体" w:hAnsi="宋体" w:cs="宋体" w:eastAsia="宋体" w:hint="default"/>
                <w:sz w:val="18"/>
                <w:szCs w:val="18"/>
              </w:rPr>
              <w:t>中山乐心电子有限公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62" w:right="141" w:hanging="721"/>
              <w:jc w:val="left"/>
              <w:rPr>
                <w:rFonts w:ascii="宋体" w:hAnsi="宋体" w:cs="宋体" w:eastAsia="宋体" w:hint="default"/>
                <w:sz w:val="18"/>
                <w:szCs w:val="18"/>
              </w:rPr>
            </w:pPr>
            <w:r>
              <w:rPr>
                <w:rFonts w:ascii="宋体" w:hAnsi="宋体" w:cs="宋体" w:eastAsia="宋体" w:hint="default"/>
                <w:sz w:val="18"/>
                <w:szCs w:val="18"/>
              </w:rPr>
              <w:t>中山乐心电子有限公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1015"/>
        <w:jc w:val="left"/>
      </w:pPr>
      <w:r>
        <w:rPr/>
        <w:t>本公司作为被担保方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1" w:right="140"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潘伟潮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麦炯章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3" w:right="1123"/>
        <w:jc w:val="left"/>
      </w:pPr>
      <w:r>
        <w:rPr/>
        <w:t>关联担保情况说明 </w:t>
      </w:r>
      <w:r>
        <w:rPr>
          <w:rFonts w:ascii="宋体" w:hAnsi="宋体" w:cs="宋体" w:eastAsia="宋体" w:hint="default"/>
        </w:rPr>
        <w:t>1</w:t>
      </w:r>
      <w:r>
        <w:rPr/>
        <w:t>、本公司为全资子公司中山乐心电子有限公司向招商银行中山分行、中国工商银行中山分行申请综合授信提供连带责任担</w:t>
      </w:r>
    </w:p>
    <w:p>
      <w:pPr>
        <w:pStyle w:val="BodyText"/>
        <w:spacing w:line="338" w:lineRule="auto"/>
        <w:ind w:left="1133" w:right="1123"/>
        <w:jc w:val="left"/>
      </w:pPr>
      <w:r>
        <w:rPr/>
        <w:t>保。 </w:t>
      </w:r>
      <w:r>
        <w:rPr>
          <w:rFonts w:ascii="宋体" w:hAnsi="宋体" w:cs="宋体" w:eastAsia="宋体" w:hint="default"/>
          <w:spacing w:val="-2"/>
        </w:rPr>
        <w:t>2</w:t>
      </w:r>
      <w:r>
        <w:rPr>
          <w:spacing w:val="-2"/>
        </w:rPr>
        <w:t>、</w:t>
      </w:r>
      <w:r>
        <w:rPr>
          <w:rFonts w:ascii="宋体" w:hAnsi="宋体" w:cs="宋体" w:eastAsia="宋体" w:hint="default"/>
          <w:spacing w:val="-2"/>
        </w:rPr>
        <w:t>2013</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22</w:t>
      </w:r>
      <w:r>
        <w:rPr>
          <w:spacing w:val="-2"/>
        </w:rPr>
        <w:t>日，潘伟潮与建设银行中山市分行签订了合同编号为</w:t>
      </w:r>
      <w:r>
        <w:rPr>
          <w:rFonts w:ascii="宋体" w:hAnsi="宋体" w:cs="宋体" w:eastAsia="宋体" w:hint="default"/>
          <w:spacing w:val="-2"/>
        </w:rPr>
        <w:t>2013</w:t>
      </w:r>
      <w:r>
        <w:rPr>
          <w:spacing w:val="-2"/>
        </w:rPr>
        <w:t>年保字第</w:t>
      </w:r>
      <w:r>
        <w:rPr>
          <w:rFonts w:ascii="宋体" w:hAnsi="宋体" w:cs="宋体" w:eastAsia="宋体" w:hint="default"/>
          <w:spacing w:val="-2"/>
        </w:rPr>
        <w:t>54</w:t>
      </w:r>
      <w:r>
        <w:rPr>
          <w:spacing w:val="-2"/>
        </w:rPr>
        <w:t>号最高额担保合同，为本公司与建设银</w:t>
      </w:r>
      <w:r>
        <w:rPr>
          <w:spacing w:val="-52"/>
        </w:rPr>
        <w:t> </w:t>
      </w:r>
      <w:r>
        <w:rPr>
          <w:spacing w:val="-52"/>
        </w:rPr>
      </w:r>
      <w:r>
        <w:rPr/>
        <w:t>行中山市分行在</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1</w:t>
      </w:r>
      <w:r>
        <w:rPr/>
        <w:t>日至</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1</w:t>
      </w:r>
      <w:r>
        <w:rPr/>
        <w:t>日期间内签订的主合同项下的一系列债务，提供最高额为</w:t>
      </w:r>
      <w:r>
        <w:rPr>
          <w:rFonts w:ascii="宋体" w:hAnsi="宋体" w:cs="宋体" w:eastAsia="宋体" w:hint="default"/>
        </w:rPr>
        <w:t>3,300</w:t>
      </w:r>
      <w:r>
        <w:rPr/>
        <w:t>万元的连带责任</w:t>
      </w:r>
    </w:p>
    <w:p>
      <w:pPr>
        <w:pStyle w:val="BodyText"/>
        <w:spacing w:line="338" w:lineRule="auto" w:before="4"/>
        <w:ind w:left="1133" w:right="1123"/>
        <w:jc w:val="left"/>
      </w:pPr>
      <w:r>
        <w:rPr/>
        <w:t>保证。 </w:t>
      </w:r>
      <w:r>
        <w:rPr>
          <w:rFonts w:ascii="宋体" w:hAnsi="宋体" w:cs="宋体" w:eastAsia="宋体" w:hint="default"/>
          <w:spacing w:val="-2"/>
        </w:rPr>
        <w:t>3</w:t>
      </w:r>
      <w:r>
        <w:rPr>
          <w:spacing w:val="-2"/>
        </w:rPr>
        <w:t>、</w:t>
      </w:r>
      <w:r>
        <w:rPr>
          <w:rFonts w:ascii="宋体" w:hAnsi="宋体" w:cs="宋体" w:eastAsia="宋体" w:hint="default"/>
          <w:spacing w:val="-2"/>
        </w:rPr>
        <w:t>2013</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22</w:t>
      </w:r>
      <w:r>
        <w:rPr>
          <w:spacing w:val="-2"/>
        </w:rPr>
        <w:t>日，麦炯章与建设银行中山市分行签订了合同编号为</w:t>
      </w:r>
      <w:r>
        <w:rPr>
          <w:rFonts w:ascii="宋体" w:hAnsi="宋体" w:cs="宋体" w:eastAsia="宋体" w:hint="default"/>
          <w:spacing w:val="-2"/>
        </w:rPr>
        <w:t>2013</w:t>
      </w:r>
      <w:r>
        <w:rPr>
          <w:spacing w:val="-2"/>
        </w:rPr>
        <w:t>年保字第</w:t>
      </w:r>
      <w:r>
        <w:rPr>
          <w:rFonts w:ascii="宋体" w:hAnsi="宋体" w:cs="宋体" w:eastAsia="宋体" w:hint="default"/>
          <w:spacing w:val="-2"/>
        </w:rPr>
        <w:t>53</w:t>
      </w:r>
      <w:r>
        <w:rPr>
          <w:spacing w:val="-2"/>
        </w:rPr>
        <w:t>号最高额担保合同，为本公司与建设银</w:t>
      </w:r>
      <w:r>
        <w:rPr>
          <w:spacing w:val="-52"/>
        </w:rPr>
        <w:t> </w:t>
      </w:r>
      <w:r>
        <w:rPr>
          <w:spacing w:val="-52"/>
        </w:rPr>
      </w:r>
      <w:r>
        <w:rPr/>
        <w:t>行中山市分行在</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1</w:t>
      </w:r>
      <w:r>
        <w:rPr/>
        <w:t>日至</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1</w:t>
      </w:r>
      <w:r>
        <w:rPr/>
        <w:t>日期间内签订的主合同项下的一系列债务，提供最高额为</w:t>
      </w:r>
      <w:r>
        <w:rPr>
          <w:rFonts w:ascii="宋体" w:hAnsi="宋体" w:cs="宋体" w:eastAsia="宋体" w:hint="default"/>
        </w:rPr>
        <w:t>3,300</w:t>
      </w:r>
      <w:r>
        <w:rPr/>
        <w:t>万元的连带责任</w:t>
      </w:r>
    </w:p>
    <w:p>
      <w:pPr>
        <w:pStyle w:val="BodyText"/>
        <w:spacing w:line="357" w:lineRule="auto" w:before="4"/>
        <w:ind w:left="1133" w:right="6973"/>
        <w:jc w:val="left"/>
      </w:pPr>
      <w:r>
        <w:rPr/>
        <w:t>保证。 截止报告出具日，上述</w:t>
      </w:r>
      <w:r>
        <w:rPr>
          <w:rFonts w:ascii="宋体" w:hAnsi="宋体" w:cs="宋体" w:eastAsia="宋体" w:hint="default"/>
        </w:rPr>
        <w:t>2</w:t>
      </w:r>
      <w:r>
        <w:rPr/>
        <w:t>、</w:t>
      </w:r>
      <w:r>
        <w:rPr>
          <w:rFonts w:ascii="宋体" w:hAnsi="宋体" w:cs="宋体" w:eastAsia="宋体" w:hint="default"/>
        </w:rPr>
        <w:t>3</w:t>
      </w:r>
      <w:r>
        <w:rPr/>
        <w:t>项担保已履行完毕。</w:t>
      </w:r>
    </w:p>
    <w:p>
      <w:pPr>
        <w:spacing w:line="240" w:lineRule="auto" w:before="13"/>
        <w:rPr>
          <w:rFonts w:ascii="宋体" w:hAnsi="宋体" w:cs="宋体" w:eastAsia="宋体" w:hint="default"/>
          <w:sz w:val="19"/>
          <w:szCs w:val="19"/>
        </w:rPr>
      </w:pPr>
    </w:p>
    <w:p>
      <w:pPr>
        <w:pStyle w:val="Heading3"/>
        <w:spacing w:line="240" w:lineRule="auto"/>
        <w:ind w:right="1015"/>
        <w:jc w:val="left"/>
        <w:rPr>
          <w:b w:val="0"/>
          <w:bCs w:val="0"/>
        </w:rPr>
      </w:pPr>
      <w:bookmarkStart w:name="（5）关联方资金拆借" w:id="466"/>
      <w:bookmarkEnd w:id="466"/>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before="35"/>
        <w:ind w:right="1015"/>
        <w:jc w:val="left"/>
        <w:rPr>
          <w:b w:val="0"/>
          <w:bCs w:val="0"/>
        </w:rPr>
      </w:pPr>
      <w:bookmarkStart w:name="（6）关联方资产转让、债务重组情况" w:id="467"/>
      <w:bookmarkEnd w:id="467"/>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1015"/>
        <w:jc w:val="left"/>
        <w:rPr>
          <w:b w:val="0"/>
          <w:bCs w:val="0"/>
        </w:rPr>
      </w:pPr>
      <w:bookmarkStart w:name="（7）关键管理人员报酬" w:id="468"/>
      <w:bookmarkEnd w:id="468"/>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3,283,243.22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4,233,047.93</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8）其他关联交易" w:id="469"/>
      <w:bookmarkEnd w:id="469"/>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5"/>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15"/>
        <w:jc w:val="left"/>
        <w:rPr>
          <w:b w:val="0"/>
          <w:bCs w:val="0"/>
        </w:rPr>
      </w:pPr>
      <w:bookmarkStart w:name="6、关联方应收应付款项" w:id="470"/>
      <w:bookmarkEnd w:id="470"/>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1）应收项目" w:id="471"/>
      <w:bookmarkEnd w:id="471"/>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61"/>
              <w:jc w:val="left"/>
              <w:rPr>
                <w:rFonts w:ascii="宋体" w:hAnsi="宋体" w:cs="宋体" w:eastAsia="宋体" w:hint="default"/>
                <w:sz w:val="18"/>
                <w:szCs w:val="18"/>
              </w:rPr>
            </w:pP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预付账 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21"/>
              <w:jc w:val="left"/>
              <w:rPr>
                <w:rFonts w:ascii="宋体" w:hAnsi="宋体" w:cs="宋体" w:eastAsia="宋体" w:hint="default"/>
                <w:sz w:val="18"/>
                <w:szCs w:val="18"/>
              </w:rPr>
            </w:pPr>
            <w:r>
              <w:rPr>
                <w:rFonts w:ascii="宋体" w:hAnsi="宋体" w:cs="宋体" w:eastAsia="宋体" w:hint="default"/>
                <w:sz w:val="18"/>
                <w:szCs w:val="18"/>
              </w:rPr>
              <w:t>中山市易恩自动 化科技有限公司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36" w:right="0"/>
              <w:jc w:val="left"/>
              <w:rPr>
                <w:rFonts w:ascii="Times New Roman" w:hAnsi="Times New Roman" w:cs="Times New Roman" w:eastAsia="Times New Roman" w:hint="default"/>
                <w:sz w:val="18"/>
                <w:szCs w:val="18"/>
              </w:rPr>
            </w:pPr>
            <w:r>
              <w:rPr>
                <w:rFonts w:ascii="Times New Roman"/>
                <w:sz w:val="18"/>
              </w:rPr>
              <w:t>2,826,699.00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36" w:right="0"/>
              <w:jc w:val="left"/>
              <w:rPr>
                <w:rFonts w:ascii="Times New Roman" w:hAnsi="Times New Roman" w:cs="Times New Roman" w:eastAsia="Times New Roman" w:hint="default"/>
                <w:sz w:val="18"/>
                <w:szCs w:val="18"/>
              </w:rPr>
            </w:pPr>
            <w:r>
              <w:rPr>
                <w:rFonts w:ascii="Times New Roman"/>
                <w:sz w:val="18"/>
              </w:rPr>
              <w:t>3,837,900.00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2）应付项目" w:id="472"/>
      <w:bookmarkEnd w:id="472"/>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19"/>
              <w:jc w:val="left"/>
              <w:rPr>
                <w:rFonts w:ascii="宋体" w:hAnsi="宋体" w:cs="宋体" w:eastAsia="宋体" w:hint="default"/>
                <w:sz w:val="18"/>
                <w:szCs w:val="18"/>
              </w:rPr>
            </w:pPr>
            <w:r>
              <w:rPr>
                <w:rFonts w:ascii="宋体" w:hAnsi="宋体" w:cs="宋体" w:eastAsia="宋体" w:hint="default"/>
                <w:sz w:val="18"/>
                <w:szCs w:val="18"/>
              </w:rPr>
              <w:t>中山市易恩自动化科技有限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8" w:right="0"/>
              <w:jc w:val="left"/>
              <w:rPr>
                <w:rFonts w:ascii="Times New Roman" w:hAnsi="Times New Roman" w:cs="Times New Roman" w:eastAsia="Times New Roman" w:hint="default"/>
                <w:sz w:val="18"/>
                <w:szCs w:val="18"/>
              </w:rPr>
            </w:pPr>
            <w:r>
              <w:rPr>
                <w:rFonts w:ascii="Times New Roman"/>
                <w:sz w:val="18"/>
              </w:rPr>
              <w:t>503,000.00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8" w:right="0"/>
              <w:jc w:val="left"/>
              <w:rPr>
                <w:rFonts w:ascii="Times New Roman" w:hAnsi="Times New Roman" w:cs="Times New Roman" w:eastAsia="Times New Roman" w:hint="default"/>
                <w:sz w:val="18"/>
                <w:szCs w:val="18"/>
              </w:rPr>
            </w:pPr>
            <w:r>
              <w:rPr>
                <w:rFonts w:ascii="Times New Roman"/>
                <w:sz w:val="18"/>
              </w:rPr>
              <w:t>90,000.00</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7、关联方承诺" w:id="473"/>
      <w:bookmarkEnd w:id="473"/>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8、其他" w:id="474"/>
      <w:bookmarkEnd w:id="474"/>
      <w:r>
        <w:rPr>
          <w:b w:val="0"/>
          <w:bCs w:val="0"/>
        </w:rPr>
      </w:r>
      <w:r>
        <w:rPr>
          <w:rFonts w:ascii="Times New Roman" w:hAnsi="Times New Roman" w:cs="Times New Roman" w:eastAsia="Times New Roman" w:hint="default"/>
        </w:rPr>
        <w:t>8</w:t>
      </w:r>
      <w:r>
        <w:rPr/>
        <w:t>、其他</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907" w:footer="1019" w:top="1100" w:bottom="1200" w:left="0" w:right="0"/>
        </w:sectPr>
      </w:pPr>
    </w:p>
    <w:p>
      <w:pPr>
        <w:pStyle w:val="Heading3"/>
        <w:spacing w:line="240" w:lineRule="auto" w:before="35"/>
        <w:ind w:right="0"/>
        <w:jc w:val="left"/>
        <w:rPr>
          <w:b w:val="0"/>
          <w:bCs w:val="0"/>
        </w:rPr>
      </w:pPr>
      <w:r>
        <w:rPr>
          <w:w w:val="95"/>
        </w:rPr>
        <w:t>应收关联方股利</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pStyle w:val="BodyText"/>
        <w:spacing w:line="240" w:lineRule="auto" w:before="137"/>
        <w:ind w:left="1133" w:right="0"/>
        <w:jc w:val="left"/>
      </w:pPr>
      <w:r>
        <w:rPr/>
        <w:t>单位：元</w:t>
      </w:r>
    </w:p>
    <w:p>
      <w:pPr>
        <w:spacing w:after="0" w:line="240" w:lineRule="auto"/>
        <w:jc w:val="left"/>
        <w:sectPr>
          <w:type w:val="continuous"/>
          <w:pgSz w:w="11910" w:h="16840"/>
          <w:pgMar w:top="1100" w:bottom="1200" w:left="0" w:right="0"/>
          <w:cols w:num="2" w:equalWidth="0">
            <w:col w:w="2609" w:space="4686"/>
            <w:col w:w="4615"/>
          </w:cols>
        </w:sectPr>
      </w:pPr>
    </w:p>
    <w:p>
      <w:pPr>
        <w:spacing w:line="240" w:lineRule="auto" w:before="0"/>
        <w:rPr>
          <w:rFonts w:ascii="宋体" w:hAnsi="宋体" w:cs="宋体" w:eastAsia="宋体" w:hint="default"/>
          <w:sz w:val="5"/>
          <w:szCs w:val="5"/>
        </w:rPr>
      </w:pPr>
    </w:p>
    <w:tbl>
      <w:tblPr>
        <w:tblW w:w="0" w:type="auto"/>
        <w:jc w:val="left"/>
        <w:tblInd w:w="1701" w:type="dxa"/>
        <w:tblLayout w:type="fixed"/>
        <w:tblCellMar>
          <w:top w:w="0" w:type="dxa"/>
          <w:left w:w="0" w:type="dxa"/>
          <w:bottom w:w="0" w:type="dxa"/>
          <w:right w:w="0" w:type="dxa"/>
        </w:tblCellMar>
        <w:tblLook w:val="01E0"/>
      </w:tblPr>
      <w:tblGrid>
        <w:gridCol w:w="3237"/>
        <w:gridCol w:w="2446"/>
        <w:gridCol w:w="2477"/>
      </w:tblGrid>
      <w:tr>
        <w:trPr>
          <w:trHeight w:val="588" w:hRule="exact"/>
        </w:trPr>
        <w:tc>
          <w:tcPr>
            <w:tcW w:w="3237" w:type="dxa"/>
            <w:tcBorders>
              <w:top w:val="single" w:sz="2" w:space="0" w:color="000000"/>
              <w:left w:val="single" w:sz="2" w:space="0" w:color="000000"/>
              <w:bottom w:val="single" w:sz="2" w:space="0" w:color="000000"/>
              <w:right w:val="single" w:sz="2" w:space="0" w:color="000000"/>
            </w:tcBorders>
            <w:shd w:val="clear" w:color="auto" w:fill="D6D6D6"/>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被投资单位</w:t>
            </w:r>
          </w:p>
        </w:tc>
        <w:tc>
          <w:tcPr>
            <w:tcW w:w="2446" w:type="dxa"/>
            <w:tcBorders>
              <w:top w:val="single" w:sz="2" w:space="0" w:color="000000"/>
              <w:left w:val="single" w:sz="2" w:space="0" w:color="000000"/>
              <w:bottom w:val="single" w:sz="2" w:space="0" w:color="000000"/>
              <w:right w:val="single" w:sz="2" w:space="0" w:color="000000"/>
            </w:tcBorders>
            <w:shd w:val="clear" w:color="auto" w:fill="D6D6D6"/>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477" w:type="dxa"/>
            <w:tcBorders>
              <w:top w:val="single" w:sz="2" w:space="0" w:color="000000"/>
              <w:left w:val="single" w:sz="2" w:space="0" w:color="000000"/>
              <w:bottom w:val="single" w:sz="2" w:space="0" w:color="000000"/>
              <w:right w:val="single" w:sz="2" w:space="0" w:color="000000"/>
            </w:tcBorders>
            <w:shd w:val="clear" w:color="auto" w:fill="D6D6D6"/>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年初余额</w:t>
            </w:r>
          </w:p>
        </w:tc>
      </w:tr>
      <w:tr>
        <w:trPr>
          <w:trHeight w:val="730" w:hRule="exact"/>
        </w:trPr>
        <w:tc>
          <w:tcPr>
            <w:tcW w:w="32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中山市易恩自动化科技有限公司</w:t>
            </w:r>
          </w:p>
        </w:tc>
        <w:tc>
          <w:tcPr>
            <w:tcW w:w="24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615" w:right="0"/>
              <w:jc w:val="left"/>
              <w:rPr>
                <w:rFonts w:ascii="Times New Roman" w:hAnsi="Times New Roman" w:cs="Times New Roman" w:eastAsia="Times New Roman" w:hint="default"/>
                <w:sz w:val="16"/>
                <w:szCs w:val="16"/>
              </w:rPr>
            </w:pPr>
            <w:r>
              <w:rPr>
                <w:rFonts w:ascii="Times New Roman"/>
                <w:sz w:val="16"/>
              </w:rPr>
              <w:t>322,530.36</w:t>
            </w:r>
          </w:p>
        </w:tc>
        <w:tc>
          <w:tcPr>
            <w:tcW w:w="2477" w:type="dxa"/>
            <w:tcBorders>
              <w:top w:val="single" w:sz="2" w:space="0" w:color="000000"/>
              <w:left w:val="single" w:sz="2" w:space="0" w:color="000000"/>
              <w:bottom w:val="single" w:sz="2" w:space="0" w:color="000000"/>
              <w:right w:val="single" w:sz="2" w:space="0" w:color="000000"/>
            </w:tcBorders>
          </w:tcPr>
          <w:p>
            <w:pPr/>
          </w:p>
        </w:tc>
      </w:tr>
    </w:tbl>
    <w:p>
      <w:pPr>
        <w:spacing w:after="0"/>
        <w:sectPr>
          <w:type w:val="continuous"/>
          <w:pgSz w:w="11910" w:h="16840"/>
          <w:pgMar w:top="1100" w:bottom="1200" w:left="0" w:right="0"/>
        </w:sectPr>
      </w:pPr>
    </w:p>
    <w:p>
      <w:pPr>
        <w:spacing w:line="240" w:lineRule="auto" w:before="9"/>
        <w:rPr>
          <w:rFonts w:ascii="宋体" w:hAnsi="宋体" w:cs="宋体" w:eastAsia="宋体" w:hint="default"/>
          <w:sz w:val="20"/>
          <w:szCs w:val="20"/>
        </w:rPr>
      </w:pPr>
    </w:p>
    <w:p>
      <w:pPr>
        <w:pStyle w:val="Heading2"/>
        <w:spacing w:line="240" w:lineRule="auto" w:before="26"/>
        <w:ind w:right="1015"/>
        <w:jc w:val="left"/>
        <w:rPr>
          <w:b w:val="0"/>
          <w:bCs w:val="0"/>
        </w:rPr>
      </w:pPr>
      <w:bookmarkStart w:name="十三、股份支付" w:id="475"/>
      <w:bookmarkEnd w:id="475"/>
      <w:r>
        <w:rPr>
          <w:b w:val="0"/>
          <w:bCs w:val="0"/>
        </w:rPr>
      </w:r>
      <w:r>
        <w:rPr/>
        <w:t>十三、股份支付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1、股份支付总体情况" w:id="476"/>
      <w:bookmarkEnd w:id="476"/>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15"/>
        <w:jc w:val="left"/>
      </w:pPr>
      <w:r>
        <w:rPr/>
        <w:t>□ 适用 √ 不适用</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01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1015"/>
        <w:jc w:val="left"/>
        <w:rPr>
          <w:b w:val="0"/>
          <w:bCs w:val="0"/>
        </w:rPr>
      </w:pPr>
      <w:bookmarkStart w:name="2、以权益结算的股份支付情况" w:id="477"/>
      <w:bookmarkEnd w:id="477"/>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3" w:right="1015"/>
        <w:jc w:val="left"/>
      </w:pPr>
      <w:r>
        <w:rPr/>
        <w:t>□ 适用 √ 不适用</w:t>
      </w:r>
    </w:p>
    <w:p>
      <w:pPr>
        <w:pStyle w:val="BodyText"/>
        <w:spacing w:line="240" w:lineRule="auto" w:before="116"/>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5892"/>
        <w:jc w:val="left"/>
      </w:pPr>
      <w:r>
        <w:rPr/>
        <w:t>注：本期估计与上期估计不存在重大差异的，请填写“无”。 其他说明</w:t>
      </w:r>
    </w:p>
    <w:p>
      <w:pPr>
        <w:spacing w:line="240" w:lineRule="auto" w:before="1"/>
        <w:rPr>
          <w:rFonts w:ascii="宋体" w:hAnsi="宋体" w:cs="宋体" w:eastAsia="宋体" w:hint="default"/>
          <w:sz w:val="20"/>
          <w:szCs w:val="20"/>
        </w:rPr>
      </w:pPr>
    </w:p>
    <w:p>
      <w:pPr>
        <w:pStyle w:val="Heading3"/>
        <w:spacing w:line="240" w:lineRule="auto"/>
        <w:ind w:right="1015"/>
        <w:jc w:val="left"/>
        <w:rPr>
          <w:b w:val="0"/>
          <w:bCs w:val="0"/>
        </w:rPr>
      </w:pPr>
      <w:bookmarkStart w:name="3、以现金结算的股份支付情况" w:id="478"/>
      <w:bookmarkEnd w:id="478"/>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15"/>
        <w:jc w:val="left"/>
      </w:pPr>
      <w:r>
        <w:rPr/>
        <w:t>□ 适用 √ 不适用</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71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90"/>
              <w:jc w:val="left"/>
              <w:rPr>
                <w:rFonts w:ascii="宋体" w:hAnsi="宋体" w:cs="宋体" w:eastAsia="宋体" w:hint="default"/>
                <w:sz w:val="18"/>
                <w:szCs w:val="18"/>
              </w:rPr>
            </w:pPr>
            <w:r>
              <w:rPr>
                <w:rFonts w:ascii="宋体" w:hAnsi="宋体" w:cs="宋体" w:eastAsia="宋体" w:hint="default"/>
                <w:sz w:val="18"/>
                <w:szCs w:val="18"/>
              </w:rPr>
              <w:t>公司承担的、以股份或其他权益工具为基础计算确定的负债 的公允价值确定方法</w:t>
            </w:r>
          </w:p>
        </w:tc>
        <w:tc>
          <w:tcPr>
            <w:tcW w:w="45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负债中以现金结算的股份支付产生的累计负债金额</w:t>
            </w:r>
          </w:p>
        </w:tc>
        <w:tc>
          <w:tcPr>
            <w:tcW w:w="45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本期以现金结算的股份支付而确认的费用总额</w:t>
            </w:r>
          </w:p>
        </w:tc>
        <w:tc>
          <w:tcPr>
            <w:tcW w:w="458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01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1015"/>
        <w:jc w:val="left"/>
        <w:rPr>
          <w:b w:val="0"/>
          <w:bCs w:val="0"/>
        </w:rPr>
      </w:pPr>
      <w:bookmarkStart w:name="4、股份支付的修改、终止情况" w:id="479"/>
      <w:bookmarkEnd w:id="479"/>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5892"/>
        <w:jc w:val="left"/>
      </w:pPr>
      <w:r>
        <w:rPr/>
        <w:t>无 注：本期未发生股份支付修改、终止情况的，请填写“无”。</w:t>
      </w:r>
    </w:p>
    <w:p>
      <w:pPr>
        <w:spacing w:after="0" w:line="360" w:lineRule="auto"/>
        <w:jc w:val="left"/>
        <w:sectPr>
          <w:headerReference w:type="default" r:id="rId36"/>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1015"/>
        <w:jc w:val="left"/>
        <w:rPr>
          <w:b w:val="0"/>
          <w:bCs w:val="0"/>
        </w:rPr>
      </w:pPr>
      <w:bookmarkStart w:name="5、其他" w:id="480"/>
      <w:bookmarkEnd w:id="480"/>
      <w:r>
        <w:rPr>
          <w:b w:val="0"/>
          <w:bCs w:val="0"/>
        </w:rPr>
      </w:r>
      <w:r>
        <w:rPr>
          <w:rFonts w:ascii="Times New Roman" w:hAnsi="Times New Roman" w:cs="Times New Roman" w:eastAsia="Times New Roman" w:hint="default"/>
        </w:rPr>
        <w:t>5</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15"/>
        <w:jc w:val="left"/>
      </w:pPr>
      <w:r>
        <w:rPr/>
        <w:t>无</w:t>
      </w:r>
    </w:p>
    <w:p>
      <w:pPr>
        <w:spacing w:line="240" w:lineRule="auto" w:before="2"/>
        <w:rPr>
          <w:rFonts w:ascii="宋体" w:hAnsi="宋体" w:cs="宋体" w:eastAsia="宋体" w:hint="default"/>
          <w:sz w:val="25"/>
          <w:szCs w:val="25"/>
        </w:rPr>
      </w:pPr>
    </w:p>
    <w:p>
      <w:pPr>
        <w:pStyle w:val="Heading2"/>
        <w:spacing w:line="240" w:lineRule="auto"/>
        <w:ind w:right="1015"/>
        <w:jc w:val="left"/>
        <w:rPr>
          <w:b w:val="0"/>
          <w:bCs w:val="0"/>
        </w:rPr>
      </w:pPr>
      <w:bookmarkStart w:name="十四、承诺及或有事项" w:id="481"/>
      <w:bookmarkEnd w:id="481"/>
      <w:r>
        <w:rPr>
          <w:b w:val="0"/>
          <w:bCs w:val="0"/>
        </w:rPr>
      </w:r>
      <w:r>
        <w:rPr/>
        <w:t>十四、承诺及或有事项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5"/>
        <w:jc w:val="left"/>
        <w:rPr>
          <w:b w:val="0"/>
          <w:bCs w:val="0"/>
        </w:rPr>
      </w:pPr>
      <w:bookmarkStart w:name="1、重要承诺事项" w:id="482"/>
      <w:bookmarkEnd w:id="482"/>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232"/>
        <w:jc w:val="left"/>
      </w:pPr>
      <w:r>
        <w:rPr/>
        <w:t>资产负债表日存在的重要承诺 本公司无需要披露的承诺事项。</w:t>
      </w:r>
    </w:p>
    <w:p>
      <w:pPr>
        <w:pStyle w:val="BodyText"/>
        <w:spacing w:line="240" w:lineRule="auto" w:before="29"/>
        <w:ind w:right="1015"/>
        <w:jc w:val="left"/>
      </w:pPr>
      <w:r>
        <w:rPr/>
        <w:t>注：与合营企业投资相关的未确认承诺索引至“附注九、在其他主体中的权益”部分相应内容。</w:t>
      </w:r>
    </w:p>
    <w:p>
      <w:pPr>
        <w:spacing w:line="240" w:lineRule="auto" w:before="10"/>
        <w:rPr>
          <w:rFonts w:ascii="宋体" w:hAnsi="宋体" w:cs="宋体" w:eastAsia="宋体" w:hint="default"/>
          <w:sz w:val="26"/>
          <w:szCs w:val="26"/>
        </w:rPr>
      </w:pPr>
    </w:p>
    <w:p>
      <w:pPr>
        <w:pStyle w:val="Heading3"/>
        <w:spacing w:line="240" w:lineRule="auto"/>
        <w:ind w:left="1133" w:right="1015"/>
        <w:jc w:val="left"/>
        <w:rPr>
          <w:b w:val="0"/>
          <w:bCs w:val="0"/>
        </w:rPr>
      </w:pPr>
      <w:bookmarkStart w:name="2、或有事项" w:id="483"/>
      <w:bookmarkEnd w:id="483"/>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1015"/>
        <w:jc w:val="left"/>
        <w:rPr>
          <w:b w:val="0"/>
          <w:bCs w:val="0"/>
        </w:rPr>
      </w:pPr>
      <w:bookmarkStart w:name="（1）资产负债表日存在的重要或有事项" w:id="484"/>
      <w:bookmarkEnd w:id="484"/>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2473"/>
        <w:jc w:val="left"/>
      </w:pPr>
      <w:r>
        <w:rPr/>
        <w:t>本公司无需要披露的重要或有事项。 注：与合营企业或联营企业投资相关的或有负债索引至“附注九、在其他主体中的权益”部分相应内容。</w:t>
      </w:r>
    </w:p>
    <w:p>
      <w:pPr>
        <w:spacing w:line="240" w:lineRule="auto" w:before="7"/>
        <w:rPr>
          <w:rFonts w:ascii="宋体" w:hAnsi="宋体" w:cs="宋体" w:eastAsia="宋体" w:hint="default"/>
          <w:sz w:val="22"/>
          <w:szCs w:val="22"/>
        </w:rPr>
      </w:pPr>
    </w:p>
    <w:p>
      <w:pPr>
        <w:pStyle w:val="Heading3"/>
        <w:spacing w:line="240" w:lineRule="auto"/>
        <w:ind w:left="1133" w:right="1015"/>
        <w:jc w:val="left"/>
        <w:rPr>
          <w:b w:val="0"/>
          <w:bCs w:val="0"/>
        </w:rPr>
      </w:pPr>
      <w:bookmarkStart w:name="（2）公司没有需要披露的重要或有事项，也应予以说明" w:id="485"/>
      <w:bookmarkEnd w:id="485"/>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1015"/>
        <w:jc w:val="left"/>
      </w:pPr>
      <w:r>
        <w:rPr/>
        <w:t>公司不存在需要披露的重要或有事项。</w:t>
      </w:r>
    </w:p>
    <w:p>
      <w:pPr>
        <w:spacing w:line="240" w:lineRule="auto" w:before="10"/>
        <w:rPr>
          <w:rFonts w:ascii="宋体" w:hAnsi="宋体" w:cs="宋体" w:eastAsia="宋体" w:hint="default"/>
          <w:sz w:val="26"/>
          <w:szCs w:val="26"/>
        </w:rPr>
      </w:pPr>
    </w:p>
    <w:p>
      <w:pPr>
        <w:pStyle w:val="Heading3"/>
        <w:spacing w:line="240" w:lineRule="auto"/>
        <w:ind w:left="1133" w:right="1015"/>
        <w:jc w:val="left"/>
        <w:rPr>
          <w:b w:val="0"/>
          <w:bCs w:val="0"/>
        </w:rPr>
      </w:pPr>
      <w:bookmarkStart w:name="3、其他" w:id="486"/>
      <w:bookmarkEnd w:id="486"/>
      <w:r>
        <w:rPr>
          <w:b w:val="0"/>
          <w:bCs w:val="0"/>
        </w:rPr>
      </w:r>
      <w:r>
        <w:rPr>
          <w:rFonts w:ascii="Times New Roman" w:hAnsi="Times New Roman" w:cs="Times New Roman" w:eastAsia="Times New Roman" w:hint="default"/>
        </w:rPr>
        <w:t>3</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1015"/>
        <w:jc w:val="left"/>
      </w:pPr>
      <w:r>
        <w:rPr/>
        <w:t>无</w:t>
      </w:r>
    </w:p>
    <w:p>
      <w:pPr>
        <w:spacing w:line="240" w:lineRule="auto" w:before="2"/>
        <w:rPr>
          <w:rFonts w:ascii="宋体" w:hAnsi="宋体" w:cs="宋体" w:eastAsia="宋体" w:hint="default"/>
          <w:sz w:val="25"/>
          <w:szCs w:val="25"/>
        </w:rPr>
      </w:pPr>
    </w:p>
    <w:p>
      <w:pPr>
        <w:pStyle w:val="Heading2"/>
        <w:spacing w:line="240" w:lineRule="auto"/>
        <w:ind w:right="1015"/>
        <w:jc w:val="left"/>
        <w:rPr>
          <w:b w:val="0"/>
          <w:bCs w:val="0"/>
        </w:rPr>
      </w:pPr>
      <w:bookmarkStart w:name="十五、资产负债表日后事项" w:id="487"/>
      <w:bookmarkEnd w:id="487"/>
      <w:r>
        <w:rPr>
          <w:b w:val="0"/>
          <w:bCs w:val="0"/>
        </w:rPr>
      </w:r>
      <w:r>
        <w:rPr/>
        <w:t>十五、资产负债表日后事项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5"/>
        <w:jc w:val="left"/>
        <w:rPr>
          <w:b w:val="0"/>
          <w:bCs w:val="0"/>
        </w:rPr>
      </w:pPr>
      <w:bookmarkStart w:name="1、重要的非调整事项" w:id="488"/>
      <w:bookmarkEnd w:id="488"/>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08"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2、利润分配情况" w:id="489"/>
      <w:bookmarkEnd w:id="489"/>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5,097,600.00</w:t>
            </w:r>
          </w:p>
        </w:tc>
      </w:tr>
    </w:tbl>
    <w:p>
      <w:pPr>
        <w:spacing w:after="0" w:line="240" w:lineRule="auto"/>
        <w:jc w:val="right"/>
        <w:rPr>
          <w:rFonts w:ascii="Times New Roman" w:hAnsi="Times New Roman" w:cs="Times New Roman" w:eastAsia="Times New Roman" w:hint="default"/>
          <w:sz w:val="18"/>
          <w:szCs w:val="18"/>
        </w:rPr>
        <w:sectPr>
          <w:headerReference w:type="default" r:id="rId37"/>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1015"/>
        <w:jc w:val="left"/>
        <w:rPr>
          <w:b w:val="0"/>
          <w:bCs w:val="0"/>
        </w:rPr>
      </w:pPr>
      <w:bookmarkStart w:name="3、销售退回" w:id="490"/>
      <w:bookmarkEnd w:id="490"/>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4、其他资产负债表日后事项说明" w:id="491"/>
      <w:bookmarkEnd w:id="491"/>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5"/>
        <w:jc w:val="left"/>
      </w:pPr>
      <w:r>
        <w:rPr/>
        <w:t>无</w:t>
      </w:r>
    </w:p>
    <w:p>
      <w:pPr>
        <w:spacing w:line="240" w:lineRule="auto" w:before="2"/>
        <w:rPr>
          <w:rFonts w:ascii="宋体" w:hAnsi="宋体" w:cs="宋体" w:eastAsia="宋体" w:hint="default"/>
          <w:sz w:val="25"/>
          <w:szCs w:val="25"/>
        </w:rPr>
      </w:pPr>
    </w:p>
    <w:p>
      <w:pPr>
        <w:pStyle w:val="Heading2"/>
        <w:spacing w:line="240" w:lineRule="auto"/>
        <w:ind w:right="1015"/>
        <w:jc w:val="left"/>
        <w:rPr>
          <w:b w:val="0"/>
          <w:bCs w:val="0"/>
        </w:rPr>
      </w:pPr>
      <w:bookmarkStart w:name="十六、其他重要事项" w:id="492"/>
      <w:bookmarkEnd w:id="492"/>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5"/>
        <w:jc w:val="left"/>
        <w:rPr>
          <w:b w:val="0"/>
          <w:bCs w:val="0"/>
        </w:rPr>
      </w:pPr>
      <w:bookmarkStart w:name="1、前期会计差错更正" w:id="493"/>
      <w:bookmarkEnd w:id="493"/>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5"/>
        <w:jc w:val="left"/>
        <w:rPr>
          <w:b w:val="0"/>
          <w:bCs w:val="0"/>
        </w:rPr>
      </w:pPr>
      <w:bookmarkStart w:name="（1）追溯重述法" w:id="494"/>
      <w:bookmarkEnd w:id="494"/>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30" w:right="108"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2）未来适用法" w:id="495"/>
      <w:bookmarkEnd w:id="495"/>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7"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pStyle w:val="Heading3"/>
        <w:spacing w:line="240" w:lineRule="auto" w:before="35"/>
        <w:ind w:right="1015"/>
        <w:jc w:val="left"/>
        <w:rPr>
          <w:b w:val="0"/>
          <w:bCs w:val="0"/>
        </w:rPr>
      </w:pPr>
      <w:bookmarkStart w:name="2、债务重组" w:id="496"/>
      <w:bookmarkEnd w:id="496"/>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15"/>
        <w:jc w:val="left"/>
        <w:rPr>
          <w:b w:val="0"/>
          <w:bCs w:val="0"/>
        </w:rPr>
      </w:pPr>
      <w:bookmarkStart w:name="3、资产置换" w:id="497"/>
      <w:bookmarkEnd w:id="497"/>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1）非货币性资产交换" w:id="498"/>
      <w:bookmarkEnd w:id="498"/>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2）其他资产置换" w:id="499"/>
      <w:bookmarkEnd w:id="499"/>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4、年金计划" w:id="500"/>
      <w:bookmarkEnd w:id="500"/>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5、终止经营" w:id="501"/>
      <w:bookmarkEnd w:id="501"/>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7" w:right="137"/>
              <w:jc w:val="center"/>
              <w:rPr>
                <w:rFonts w:ascii="宋体" w:hAnsi="宋体" w:cs="宋体" w:eastAsia="宋体" w:hint="default"/>
                <w:sz w:val="18"/>
                <w:szCs w:val="18"/>
              </w:rPr>
            </w:pPr>
            <w:r>
              <w:rPr>
                <w:rFonts w:ascii="宋体" w:hAnsi="宋体" w:cs="宋体" w:eastAsia="宋体" w:hint="default"/>
                <w:sz w:val="18"/>
                <w:szCs w:val="18"/>
              </w:rPr>
              <w:t>归属于母公司 所有者的终止 经营利润</w:t>
            </w:r>
          </w:p>
        </w:tc>
      </w:tr>
    </w:tbl>
    <w:p>
      <w:pPr>
        <w:pStyle w:val="BodyText"/>
        <w:spacing w:line="240" w:lineRule="auto" w:before="52"/>
        <w:ind w:right="1015"/>
        <w:jc w:val="left"/>
      </w:pPr>
      <w:r>
        <w:rPr/>
        <w:t>其他说明</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1015"/>
        <w:jc w:val="left"/>
        <w:rPr>
          <w:b w:val="0"/>
          <w:bCs w:val="0"/>
        </w:rPr>
      </w:pPr>
      <w:bookmarkStart w:name="6、分部信息" w:id="502"/>
      <w:bookmarkEnd w:id="502"/>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15"/>
        <w:jc w:val="left"/>
        <w:rPr>
          <w:b w:val="0"/>
          <w:bCs w:val="0"/>
        </w:rPr>
      </w:pPr>
      <w:bookmarkStart w:name="（1）报告分部的确定依据与会计政策" w:id="503"/>
      <w:bookmarkEnd w:id="503"/>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15"/>
        <w:jc w:val="left"/>
        <w:rPr>
          <w:b w:val="0"/>
          <w:bCs w:val="0"/>
        </w:rPr>
      </w:pPr>
      <w:bookmarkStart w:name="（2）报告分部的财务信息" w:id="504"/>
      <w:bookmarkEnd w:id="504"/>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3"/>
        <w:gridCol w:w="2393"/>
        <w:gridCol w:w="2392"/>
        <w:gridCol w:w="2392"/>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3）公司无报告分部的，或者不能披露各报告分部的资产总额和负债总额的，应说明原因" w:id="505"/>
      <w:bookmarkEnd w:id="505"/>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4）其他说明" w:id="506"/>
      <w:bookmarkEnd w:id="506"/>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7、其他对投资者决策有影响的重要交易和事项" w:id="507"/>
      <w:bookmarkEnd w:id="507"/>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134" w:right="6867" w:firstLine="0"/>
        <w:jc w:val="left"/>
        <w:rPr>
          <w:rFonts w:ascii="宋体" w:hAnsi="宋体" w:cs="宋体" w:eastAsia="宋体" w:hint="default"/>
          <w:sz w:val="21"/>
          <w:szCs w:val="21"/>
        </w:rPr>
      </w:pPr>
      <w:bookmarkStart w:name="8、其他" w:id="508"/>
      <w:bookmarkEnd w:id="50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509"/>
      <w:bookmarkEnd w:id="509"/>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510"/>
      <w:bookmarkEnd w:id="510"/>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3"/>
        <w:ind w:right="1015"/>
        <w:jc w:val="left"/>
        <w:rPr>
          <w:b w:val="0"/>
          <w:bCs w:val="0"/>
        </w:rPr>
      </w:pPr>
      <w:bookmarkStart w:name="（1）应收账款分类披露" w:id="511"/>
      <w:bookmarkEnd w:id="51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145,23</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3,781.9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393,92</w:t>
            </w:r>
          </w:p>
          <w:p>
            <w:pPr>
              <w:pStyle w:val="TableParagraph"/>
              <w:spacing w:line="240" w:lineRule="auto" w:before="105"/>
              <w:ind w:left="229" w:right="0"/>
              <w:jc w:val="center"/>
              <w:rPr>
                <w:rFonts w:ascii="Times New Roman" w:hAnsi="Times New Roman" w:cs="Times New Roman" w:eastAsia="Times New Roman" w:hint="default"/>
                <w:sz w:val="18"/>
                <w:szCs w:val="18"/>
              </w:rPr>
            </w:pPr>
            <w:r>
              <w:rPr>
                <w:rFonts w:ascii="Times New Roman"/>
                <w:sz w:val="18"/>
              </w:rPr>
              <w:t>6.24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0.27%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144,83</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9,855.7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113,2</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45,29</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1.01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3,813,5</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48.80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3.37%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109,431,</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742.21</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145,23</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3,781.9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393,92</w:t>
            </w:r>
          </w:p>
          <w:p>
            <w:pPr>
              <w:pStyle w:val="TableParagraph"/>
              <w:spacing w:line="240" w:lineRule="auto" w:before="105"/>
              <w:ind w:left="229" w:right="0"/>
              <w:jc w:val="center"/>
              <w:rPr>
                <w:rFonts w:ascii="Times New Roman" w:hAnsi="Times New Roman" w:cs="Times New Roman" w:eastAsia="Times New Roman" w:hint="default"/>
                <w:sz w:val="18"/>
                <w:szCs w:val="18"/>
              </w:rPr>
            </w:pPr>
            <w:r>
              <w:rPr>
                <w:rFonts w:ascii="Times New Roman"/>
                <w:sz w:val="18"/>
              </w:rPr>
              <w:t>6.24</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144,83</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9,855.7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113,2</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45,29</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1.01</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3,813,5</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48.80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109,431,</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742.21</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0" w:right="0"/>
        </w:sectPr>
      </w:pPr>
    </w:p>
    <w:p>
      <w:pPr>
        <w:pStyle w:val="BodyText"/>
        <w:spacing w:line="240" w:lineRule="auto" w:before="51"/>
        <w:ind w:right="-20"/>
        <w:jc w:val="left"/>
      </w:pPr>
      <w:r>
        <w:rPr/>
        <w:t>期末单项金额重大并单项计提坏账准备的应收账款：</w:t>
      </w:r>
    </w:p>
    <w:p>
      <w:pPr>
        <w:pStyle w:val="BodyText"/>
        <w:spacing w:line="357" w:lineRule="auto" w:before="117"/>
        <w:ind w:right="160"/>
        <w:jc w:val="left"/>
      </w:pPr>
      <w:r>
        <w:rPr/>
        <w:t>□ 适用 √ 不适用 组合中，按账龄分析法计提坏账准备的应收账款：</w:t>
      </w:r>
    </w:p>
    <w:p>
      <w:pPr>
        <w:pStyle w:val="BodyText"/>
        <w:spacing w:line="240" w:lineRule="auto" w:before="28"/>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100" w:bottom="120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92"/>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7,707,074.92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385,353.75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85,724.92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8,572.49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7,792,799.84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393,926.24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5.06%</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7,792,799.84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393,926.24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5.06%</w:t>
            </w:r>
          </w:p>
        </w:tc>
      </w:tr>
    </w:tbl>
    <w:p>
      <w:pPr>
        <w:pStyle w:val="BodyText"/>
        <w:spacing w:line="360" w:lineRule="auto" w:before="51"/>
        <w:ind w:right="6432"/>
        <w:jc w:val="left"/>
      </w:pPr>
      <w:r>
        <w:rPr/>
        <w:t>确定该组合依据的说明： 组合中，采用余额百分比法计提坏账准备的应收账款：</w:t>
      </w:r>
    </w:p>
    <w:p>
      <w:pPr>
        <w:pStyle w:val="BodyText"/>
        <w:spacing w:line="360" w:lineRule="auto" w:before="26"/>
        <w:ind w:right="6792"/>
        <w:jc w:val="left"/>
      </w:pPr>
      <w:r>
        <w:rPr/>
        <w:t>□ 适用 √ 不适用 组合中，采用其他方法计提坏账准备的应收账款：</w:t>
      </w:r>
    </w:p>
    <w:p>
      <w:pPr>
        <w:spacing w:line="240" w:lineRule="auto" w:before="7"/>
        <w:rPr>
          <w:rFonts w:ascii="宋体" w:hAnsi="宋体" w:cs="宋体" w:eastAsia="宋体" w:hint="default"/>
          <w:sz w:val="10"/>
          <w:szCs w:val="10"/>
        </w:rPr>
      </w:pPr>
    </w:p>
    <w:p>
      <w:pPr>
        <w:spacing w:line="1935" w:lineRule="exact"/>
        <w:ind w:left="1134" w:right="0" w:firstLine="0"/>
        <w:rPr>
          <w:rFonts w:ascii="宋体" w:hAnsi="宋体" w:cs="宋体" w:eastAsia="宋体" w:hint="default"/>
          <w:sz w:val="20"/>
          <w:szCs w:val="20"/>
        </w:rPr>
      </w:pPr>
      <w:r>
        <w:rPr>
          <w:rFonts w:ascii="宋体" w:hAnsi="宋体" w:cs="宋体" w:eastAsia="宋体" w:hint="default"/>
          <w:position w:val="-38"/>
          <w:sz w:val="20"/>
          <w:szCs w:val="20"/>
        </w:rPr>
        <w:drawing>
          <wp:inline distT="0" distB="0" distL="0" distR="0">
            <wp:extent cx="5229860" cy="1228725"/>
            <wp:effectExtent l="0" t="0" r="0" b="0"/>
            <wp:docPr id="39" name="image21.png" descr=""/>
            <wp:cNvGraphicFramePr>
              <a:graphicFrameLocks noChangeAspect="1"/>
            </wp:cNvGraphicFramePr>
            <a:graphic>
              <a:graphicData uri="http://schemas.openxmlformats.org/drawingml/2006/picture">
                <pic:pic>
                  <pic:nvPicPr>
                    <pic:cNvPr id="40" name="image21.png"/>
                    <pic:cNvPicPr/>
                  </pic:nvPicPr>
                  <pic:blipFill>
                    <a:blip r:embed="rId39" cstate="print"/>
                    <a:stretch>
                      <a:fillRect/>
                    </a:stretch>
                  </pic:blipFill>
                  <pic:spPr>
                    <a:xfrm>
                      <a:off x="0" y="0"/>
                      <a:ext cx="5229860" cy="1228725"/>
                    </a:xfrm>
                    <a:prstGeom prst="rect">
                      <a:avLst/>
                    </a:prstGeom>
                  </pic:spPr>
                </pic:pic>
              </a:graphicData>
            </a:graphic>
          </wp:inline>
        </w:drawing>
      </w:r>
      <w:r>
        <w:rPr>
          <w:rFonts w:ascii="宋体" w:hAnsi="宋体" w:cs="宋体" w:eastAsia="宋体" w:hint="default"/>
          <w:position w:val="-38"/>
          <w:sz w:val="20"/>
          <w:szCs w:val="20"/>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Heading3"/>
        <w:spacing w:line="240" w:lineRule="auto"/>
        <w:ind w:right="1015"/>
        <w:jc w:val="left"/>
        <w:rPr>
          <w:b w:val="0"/>
          <w:bCs w:val="0"/>
        </w:rPr>
      </w:pPr>
      <w:bookmarkStart w:name="（2）本期计提、收回或转回的坏账准备情况" w:id="512"/>
      <w:bookmarkEnd w:id="51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38"/>
          <w:pgSz w:w="11910" w:h="16840"/>
          <w:pgMar w:footer="1019" w:header="907" w:top="1100" w:bottom="1200" w:left="0" w:right="0"/>
        </w:sectPr>
      </w:pPr>
    </w:p>
    <w:p>
      <w:pPr>
        <w:pStyle w:val="BodyText"/>
        <w:spacing w:line="338" w:lineRule="auto" w:before="44"/>
        <w:ind w:left="1133" w:right="-17"/>
        <w:jc w:val="left"/>
      </w:pPr>
      <w:r>
        <w:rPr/>
        <w:t>本期计提坏账准备金额元；本期收回或转回坏账准备金额</w:t>
      </w:r>
      <w:r>
        <w:rPr>
          <w:spacing w:val="-45"/>
        </w:rPr>
        <w:t> </w:t>
      </w:r>
      <w:r>
        <w:rPr>
          <w:rFonts w:ascii="Times New Roman" w:hAnsi="Times New Roman" w:cs="Times New Roman" w:eastAsia="Times New Roman" w:hint="default"/>
        </w:rPr>
        <w:t>3,354,954.83</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100" w:bottom="1200" w:left="0" w:right="0"/>
          <w:cols w:num="2" w:equalWidth="0">
            <w:col w:w="7030" w:space="1800"/>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3）本期实际核销的应收账款情况" w:id="513"/>
      <w:bookmarkEnd w:id="51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64,667.73</w:t>
            </w:r>
          </w:p>
        </w:tc>
      </w:tr>
    </w:tbl>
    <w:p>
      <w:pPr>
        <w:pStyle w:val="BodyText"/>
        <w:spacing w:line="240" w:lineRule="auto" w:before="51"/>
        <w:ind w:right="1015"/>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42" w:right="170"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pStyle w:val="BodyText"/>
        <w:spacing w:line="240" w:lineRule="auto" w:before="51"/>
        <w:ind w:right="1015"/>
        <w:jc w:val="left"/>
      </w:pPr>
      <w:r>
        <w:rPr/>
        <w:t>应收账款核销说明：</w:t>
      </w:r>
    </w:p>
    <w:p>
      <w:pPr>
        <w:spacing w:after="0" w:line="240" w:lineRule="auto"/>
        <w:jc w:val="left"/>
        <w:sectPr>
          <w:type w:val="continuous"/>
          <w:pgSz w:w="11910" w:h="16840"/>
          <w:pgMar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1015"/>
        <w:jc w:val="left"/>
        <w:rPr>
          <w:b w:val="0"/>
          <w:bCs w:val="0"/>
        </w:rPr>
      </w:pPr>
      <w:bookmarkStart w:name="（4）按欠款方归集的期末余额前五名的应收账款情况" w:id="514"/>
      <w:bookmarkEnd w:id="51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1"/>
          <w:szCs w:val="11"/>
        </w:rPr>
      </w:pPr>
    </w:p>
    <w:p>
      <w:pPr>
        <w:spacing w:line="3270" w:lineRule="exact"/>
        <w:ind w:left="1134"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5391150" cy="2076450"/>
            <wp:effectExtent l="0" t="0" r="0" b="0"/>
            <wp:docPr id="41" name="image22.png" descr=""/>
            <wp:cNvGraphicFramePr>
              <a:graphicFrameLocks noChangeAspect="1"/>
            </wp:cNvGraphicFramePr>
            <a:graphic>
              <a:graphicData uri="http://schemas.openxmlformats.org/drawingml/2006/picture">
                <pic:pic>
                  <pic:nvPicPr>
                    <pic:cNvPr id="42" name="image22.png"/>
                    <pic:cNvPicPr/>
                  </pic:nvPicPr>
                  <pic:blipFill>
                    <a:blip r:embed="rId41" cstate="print"/>
                    <a:stretch>
                      <a:fillRect/>
                    </a:stretch>
                  </pic:blipFill>
                  <pic:spPr>
                    <a:xfrm>
                      <a:off x="0" y="0"/>
                      <a:ext cx="5391150" cy="2076450"/>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6"/>
        <w:rPr>
          <w:rFonts w:ascii="宋体" w:hAnsi="宋体" w:cs="宋体" w:eastAsia="宋体" w:hint="default"/>
          <w:b/>
          <w:bCs/>
          <w:sz w:val="25"/>
          <w:szCs w:val="25"/>
        </w:rPr>
      </w:pPr>
    </w:p>
    <w:p>
      <w:pPr>
        <w:pStyle w:val="Heading3"/>
        <w:spacing w:line="240" w:lineRule="auto" w:before="35"/>
        <w:ind w:left="1133" w:right="1015"/>
        <w:jc w:val="left"/>
        <w:rPr>
          <w:b w:val="0"/>
          <w:bCs w:val="0"/>
        </w:rPr>
      </w:pPr>
      <w:bookmarkStart w:name="（5）因金融资产转移而终止确认的应收账款" w:id="515"/>
      <w:bookmarkEnd w:id="515"/>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5"/>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15"/>
        <w:jc w:val="left"/>
        <w:rPr>
          <w:b w:val="0"/>
          <w:bCs w:val="0"/>
        </w:rPr>
      </w:pPr>
      <w:bookmarkStart w:name="（6）转移应收账款且继续涉入形成的资产、负债金额" w:id="516"/>
      <w:bookmarkEnd w:id="516"/>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133" w:right="9853"/>
        <w:jc w:val="left"/>
      </w:pPr>
      <w:r>
        <w:rPr/>
        <w:t>无 其他说明： 无</w:t>
      </w:r>
    </w:p>
    <w:p>
      <w:pPr>
        <w:spacing w:line="240" w:lineRule="auto" w:before="0"/>
        <w:rPr>
          <w:rFonts w:ascii="宋体" w:hAnsi="宋体" w:cs="宋体" w:eastAsia="宋体" w:hint="default"/>
          <w:sz w:val="20"/>
          <w:szCs w:val="20"/>
        </w:rPr>
      </w:pPr>
    </w:p>
    <w:p>
      <w:pPr>
        <w:pStyle w:val="Heading3"/>
        <w:spacing w:line="240" w:lineRule="auto"/>
        <w:ind w:right="1015"/>
        <w:jc w:val="left"/>
        <w:rPr>
          <w:b w:val="0"/>
          <w:bCs w:val="0"/>
        </w:rPr>
      </w:pPr>
      <w:bookmarkStart w:name="2、其他应收款" w:id="517"/>
      <w:bookmarkEnd w:id="51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1）其他应收款分类披露" w:id="518"/>
      <w:bookmarkEnd w:id="518"/>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8,180,2</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92.94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468,62</w:t>
            </w:r>
          </w:p>
          <w:p>
            <w:pPr>
              <w:pStyle w:val="TableParagraph"/>
              <w:spacing w:line="240" w:lineRule="auto" w:before="105"/>
              <w:ind w:left="229" w:right="0"/>
              <w:jc w:val="center"/>
              <w:rPr>
                <w:rFonts w:ascii="Times New Roman" w:hAnsi="Times New Roman" w:cs="Times New Roman" w:eastAsia="Times New Roman" w:hint="default"/>
                <w:sz w:val="18"/>
                <w:szCs w:val="18"/>
              </w:rPr>
            </w:pPr>
            <w:r>
              <w:rPr>
                <w:rFonts w:ascii="Times New Roman"/>
                <w:sz w:val="18"/>
              </w:rPr>
              <w:t>7.89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5.73%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7,711,6</w:t>
            </w:r>
          </w:p>
          <w:p>
            <w:pPr>
              <w:pStyle w:val="TableParagraph"/>
              <w:spacing w:line="240" w:lineRule="auto" w:before="105"/>
              <w:ind w:left="167" w:right="0"/>
              <w:jc w:val="center"/>
              <w:rPr>
                <w:rFonts w:ascii="Times New Roman" w:hAnsi="Times New Roman" w:cs="Times New Roman" w:eastAsia="Times New Roman" w:hint="default"/>
                <w:sz w:val="18"/>
                <w:szCs w:val="18"/>
              </w:rPr>
            </w:pPr>
            <w:r>
              <w:rPr>
                <w:rFonts w:ascii="Times New Roman"/>
                <w:sz w:val="18"/>
              </w:rPr>
              <w:t>65.05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center"/>
              <w:rPr>
                <w:rFonts w:ascii="Times New Roman" w:hAnsi="Times New Roman" w:cs="Times New Roman" w:eastAsia="Times New Roman" w:hint="default"/>
                <w:sz w:val="18"/>
                <w:szCs w:val="18"/>
              </w:rPr>
            </w:pPr>
            <w:r>
              <w:rPr>
                <w:rFonts w:ascii="Times New Roman"/>
                <w:sz w:val="18"/>
              </w:rPr>
              <w:t>10,29</w:t>
            </w:r>
          </w:p>
          <w:p>
            <w:pPr>
              <w:pStyle w:val="TableParagraph"/>
              <w:spacing w:line="240" w:lineRule="auto" w:before="104"/>
              <w:ind w:left="34" w:right="0"/>
              <w:jc w:val="center"/>
              <w:rPr>
                <w:rFonts w:ascii="Times New Roman" w:hAnsi="Times New Roman" w:cs="Times New Roman" w:eastAsia="Times New Roman" w:hint="default"/>
                <w:sz w:val="18"/>
                <w:szCs w:val="18"/>
              </w:rPr>
            </w:pPr>
            <w:r>
              <w:rPr>
                <w:rFonts w:ascii="Times New Roman"/>
                <w:sz w:val="18"/>
              </w:rPr>
              <w:t>2,292</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605,259</w:t>
            </w:r>
          </w:p>
          <w:p>
            <w:pPr>
              <w:pStyle w:val="TableParagraph"/>
              <w:spacing w:line="240" w:lineRule="auto" w:before="105"/>
              <w:ind w:left="476" w:right="0"/>
              <w:jc w:val="left"/>
              <w:rPr>
                <w:rFonts w:ascii="Times New Roman" w:hAnsi="Times New Roman" w:cs="Times New Roman" w:eastAsia="Times New Roman" w:hint="default"/>
                <w:sz w:val="18"/>
                <w:szCs w:val="18"/>
              </w:rPr>
            </w:pPr>
            <w:r>
              <w:rPr>
                <w:rFonts w:ascii="Times New Roman"/>
                <w:sz w:val="18"/>
              </w:rPr>
              <w:t>.37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9,687,03</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3.32</w:t>
            </w: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8,180,2</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92.94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468,62</w:t>
            </w:r>
          </w:p>
          <w:p>
            <w:pPr>
              <w:pStyle w:val="TableParagraph"/>
              <w:spacing w:line="240" w:lineRule="auto" w:before="105"/>
              <w:ind w:left="229" w:right="0"/>
              <w:jc w:val="center"/>
              <w:rPr>
                <w:rFonts w:ascii="Times New Roman" w:hAnsi="Times New Roman" w:cs="Times New Roman" w:eastAsia="Times New Roman" w:hint="default"/>
                <w:sz w:val="18"/>
                <w:szCs w:val="18"/>
              </w:rPr>
            </w:pPr>
            <w:r>
              <w:rPr>
                <w:rFonts w:ascii="Times New Roman"/>
                <w:sz w:val="18"/>
              </w:rPr>
              <w:t>7.89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5.73%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7,711,6</w:t>
            </w:r>
          </w:p>
          <w:p>
            <w:pPr>
              <w:pStyle w:val="TableParagraph"/>
              <w:spacing w:line="240" w:lineRule="auto" w:before="105"/>
              <w:ind w:left="167" w:right="0"/>
              <w:jc w:val="center"/>
              <w:rPr>
                <w:rFonts w:ascii="Times New Roman" w:hAnsi="Times New Roman" w:cs="Times New Roman" w:eastAsia="Times New Roman" w:hint="default"/>
                <w:sz w:val="18"/>
                <w:szCs w:val="18"/>
              </w:rPr>
            </w:pPr>
            <w:r>
              <w:rPr>
                <w:rFonts w:ascii="Times New Roman"/>
                <w:sz w:val="18"/>
              </w:rPr>
              <w:t>65.05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center"/>
              <w:rPr>
                <w:rFonts w:ascii="Times New Roman" w:hAnsi="Times New Roman" w:cs="Times New Roman" w:eastAsia="Times New Roman" w:hint="default"/>
                <w:sz w:val="18"/>
                <w:szCs w:val="18"/>
              </w:rPr>
            </w:pPr>
            <w:r>
              <w:rPr>
                <w:rFonts w:ascii="Times New Roman"/>
                <w:sz w:val="18"/>
              </w:rPr>
              <w:t>10,29</w:t>
            </w:r>
          </w:p>
          <w:p>
            <w:pPr>
              <w:pStyle w:val="TableParagraph"/>
              <w:spacing w:line="240" w:lineRule="auto" w:before="104"/>
              <w:ind w:left="34" w:right="0"/>
              <w:jc w:val="center"/>
              <w:rPr>
                <w:rFonts w:ascii="Times New Roman" w:hAnsi="Times New Roman" w:cs="Times New Roman" w:eastAsia="Times New Roman" w:hint="default"/>
                <w:sz w:val="18"/>
                <w:szCs w:val="18"/>
              </w:rPr>
            </w:pPr>
            <w:r>
              <w:rPr>
                <w:rFonts w:ascii="Times New Roman"/>
                <w:sz w:val="18"/>
              </w:rPr>
              <w:t>2,292</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605,259</w:t>
            </w:r>
          </w:p>
          <w:p>
            <w:pPr>
              <w:pStyle w:val="TableParagraph"/>
              <w:spacing w:line="240" w:lineRule="auto" w:before="105"/>
              <w:ind w:left="476" w:right="0"/>
              <w:jc w:val="left"/>
              <w:rPr>
                <w:rFonts w:ascii="Times New Roman" w:hAnsi="Times New Roman" w:cs="Times New Roman" w:eastAsia="Times New Roman" w:hint="default"/>
                <w:sz w:val="18"/>
                <w:szCs w:val="18"/>
              </w:rPr>
            </w:pPr>
            <w:r>
              <w:rPr>
                <w:rFonts w:ascii="Times New Roman"/>
                <w:sz w:val="18"/>
              </w:rPr>
              <w:t>.37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9,687,03</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3.32</w:t>
            </w:r>
          </w:p>
        </w:tc>
      </w:tr>
    </w:tbl>
    <w:p>
      <w:pPr>
        <w:pStyle w:val="BodyText"/>
        <w:spacing w:line="240" w:lineRule="auto" w:before="51"/>
        <w:ind w:right="1015"/>
        <w:jc w:val="left"/>
      </w:pPr>
      <w:r>
        <w:rPr/>
        <w:t>期末单项金额重大并单项计提坏账准备的其他应收款：</w:t>
      </w:r>
    </w:p>
    <w:p>
      <w:pPr>
        <w:pStyle w:val="BodyText"/>
        <w:spacing w:line="360" w:lineRule="auto" w:before="116"/>
        <w:ind w:right="6612"/>
        <w:jc w:val="left"/>
      </w:pPr>
      <w:r>
        <w:rPr/>
        <w:t>□ 适用 √ 不适用 组合中，按账龄分析法计提坏账准备的其他应收款：</w:t>
      </w:r>
    </w:p>
    <w:p>
      <w:pPr>
        <w:spacing w:after="0" w:line="360" w:lineRule="auto"/>
        <w:jc w:val="left"/>
        <w:sectPr>
          <w:footerReference w:type="default" r:id="rId40"/>
          <w:pgSz w:w="11910" w:h="16840"/>
          <w:pgMar w:footer="1019" w:header="907" w:top="1100" w:bottom="1200" w:left="0" w:right="0"/>
          <w:pgNumType w:start="201"/>
        </w:sectPr>
      </w:pPr>
    </w:p>
    <w:p>
      <w:pPr>
        <w:spacing w:line="240" w:lineRule="auto" w:before="13"/>
        <w:rPr>
          <w:rFonts w:ascii="宋体" w:hAnsi="宋体" w:cs="宋体" w:eastAsia="宋体" w:hint="default"/>
          <w:sz w:val="22"/>
          <w:szCs w:val="22"/>
        </w:rPr>
      </w:pPr>
    </w:p>
    <w:p>
      <w:pPr>
        <w:pStyle w:val="BodyText"/>
        <w:spacing w:line="240" w:lineRule="auto" w:before="44"/>
        <w:ind w:right="1015"/>
        <w:jc w:val="left"/>
      </w:pPr>
      <w:r>
        <w:rPr/>
        <w:t>√ 适用 □ 不适用</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6,616,400.32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330,820.02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158,420.00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15,842.00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6,774,820.32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346,662.02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5.12%</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347,552.00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69,510.40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30,910.93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15,455.47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37,000.00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7,190,283.25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468,627.89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6.52%</w:t>
            </w:r>
          </w:p>
        </w:tc>
      </w:tr>
    </w:tbl>
    <w:p>
      <w:pPr>
        <w:pStyle w:val="BodyText"/>
        <w:spacing w:line="360" w:lineRule="auto" w:before="51"/>
        <w:ind w:right="6252"/>
        <w:jc w:val="left"/>
      </w:pPr>
      <w:r>
        <w:rPr/>
        <w:t>确定该组合依据的说明： 组合中，采用余额百分比法计提坏账准备的其他应收款：</w:t>
      </w:r>
    </w:p>
    <w:p>
      <w:pPr>
        <w:pStyle w:val="BodyText"/>
        <w:spacing w:line="357" w:lineRule="auto" w:before="26"/>
        <w:ind w:right="6612"/>
        <w:jc w:val="left"/>
      </w:pPr>
      <w:r>
        <w:rPr/>
        <w:t>□ 适用 √ 不适用 组合中，采用其他方法计提坏账准备的其他应收款：</w:t>
      </w:r>
    </w:p>
    <w:p>
      <w:pPr>
        <w:pStyle w:val="BodyText"/>
        <w:spacing w:line="240" w:lineRule="auto" w:before="29"/>
        <w:ind w:right="1015"/>
        <w:jc w:val="left"/>
      </w:pPr>
      <w:r>
        <w:rPr/>
        <w:t>√ 适用 □ 不适用</w:t>
      </w:r>
    </w:p>
    <w:p>
      <w:pPr>
        <w:spacing w:line="240" w:lineRule="auto" w:before="11"/>
        <w:rPr>
          <w:rFonts w:ascii="宋体" w:hAnsi="宋体" w:cs="宋体" w:eastAsia="宋体" w:hint="default"/>
          <w:sz w:val="13"/>
          <w:szCs w:val="13"/>
        </w:rPr>
      </w:pPr>
    </w:p>
    <w:p>
      <w:pPr>
        <w:spacing w:line="2655" w:lineRule="exact"/>
        <w:ind w:left="1134" w:right="0" w:firstLine="0"/>
        <w:rPr>
          <w:rFonts w:ascii="宋体" w:hAnsi="宋体" w:cs="宋体" w:eastAsia="宋体" w:hint="default"/>
          <w:sz w:val="20"/>
          <w:szCs w:val="20"/>
        </w:rPr>
      </w:pPr>
      <w:r>
        <w:rPr>
          <w:rFonts w:ascii="宋体" w:hAnsi="宋体" w:cs="宋体" w:eastAsia="宋体" w:hint="default"/>
          <w:position w:val="-52"/>
          <w:sz w:val="20"/>
          <w:szCs w:val="20"/>
        </w:rPr>
        <w:drawing>
          <wp:inline distT="0" distB="0" distL="0" distR="0">
            <wp:extent cx="5095239" cy="1685925"/>
            <wp:effectExtent l="0" t="0" r="0" b="0"/>
            <wp:docPr id="43" name="image23.png" descr=""/>
            <wp:cNvGraphicFramePr>
              <a:graphicFrameLocks noChangeAspect="1"/>
            </wp:cNvGraphicFramePr>
            <a:graphic>
              <a:graphicData uri="http://schemas.openxmlformats.org/drawingml/2006/picture">
                <pic:pic>
                  <pic:nvPicPr>
                    <pic:cNvPr id="44" name="image23.png"/>
                    <pic:cNvPicPr/>
                  </pic:nvPicPr>
                  <pic:blipFill>
                    <a:blip r:embed="rId42" cstate="print"/>
                    <a:stretch>
                      <a:fillRect/>
                    </a:stretch>
                  </pic:blipFill>
                  <pic:spPr>
                    <a:xfrm>
                      <a:off x="0" y="0"/>
                      <a:ext cx="5095239" cy="1685925"/>
                    </a:xfrm>
                    <a:prstGeom prst="rect">
                      <a:avLst/>
                    </a:prstGeom>
                  </pic:spPr>
                </pic:pic>
              </a:graphicData>
            </a:graphic>
          </wp:inline>
        </w:drawing>
      </w:r>
      <w:r>
        <w:rPr>
          <w:rFonts w:ascii="宋体" w:hAnsi="宋体" w:cs="宋体" w:eastAsia="宋体" w:hint="default"/>
          <w:position w:val="-52"/>
          <w:sz w:val="20"/>
          <w:szCs w:val="20"/>
        </w:rPr>
      </w:r>
    </w:p>
    <w:p>
      <w:pPr>
        <w:spacing w:line="240" w:lineRule="auto" w:before="0"/>
        <w:rPr>
          <w:rFonts w:ascii="宋体" w:hAnsi="宋体" w:cs="宋体" w:eastAsia="宋体" w:hint="default"/>
          <w:sz w:val="18"/>
          <w:szCs w:val="18"/>
        </w:rPr>
      </w:pPr>
    </w:p>
    <w:p>
      <w:pPr>
        <w:pStyle w:val="Heading3"/>
        <w:spacing w:line="240" w:lineRule="auto" w:before="126"/>
        <w:ind w:right="1015"/>
        <w:jc w:val="left"/>
        <w:rPr>
          <w:b w:val="0"/>
          <w:bCs w:val="0"/>
        </w:rPr>
      </w:pPr>
      <w:bookmarkStart w:name="（2）本期计提、收回或转回的坏账准备情况" w:id="519"/>
      <w:bookmarkEnd w:id="51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0" w:right="0"/>
        </w:sectPr>
      </w:pPr>
    </w:p>
    <w:p>
      <w:pPr>
        <w:pStyle w:val="BodyText"/>
        <w:spacing w:line="338" w:lineRule="auto" w:before="44"/>
        <w:ind w:left="1133" w:right="-17"/>
        <w:jc w:val="left"/>
      </w:pPr>
      <w:r>
        <w:rPr/>
        <w:t>本期计提坏账准备金额元；本期收回或转回坏账准备金额</w:t>
      </w:r>
      <w:r>
        <w:rPr>
          <w:spacing w:val="-46"/>
        </w:rPr>
        <w:t> </w:t>
      </w:r>
      <w:r>
        <w:rPr>
          <w:rFonts w:ascii="Times New Roman" w:hAnsi="Times New Roman" w:cs="Times New Roman" w:eastAsia="Times New Roman" w:hint="default"/>
        </w:rPr>
        <w:t>136,631.48</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100" w:bottom="1200" w:left="0" w:right="0"/>
          <w:cols w:num="2" w:equalWidth="0">
            <w:col w:w="6895" w:space="1934"/>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3）本期实际核销的其他应收款情况" w:id="520"/>
      <w:bookmarkEnd w:id="520"/>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1015"/>
        <w:jc w:val="left"/>
      </w:pPr>
      <w:r>
        <w:rPr/>
        <w:t>其中重要的其他应收款核销情况：</w:t>
      </w:r>
    </w:p>
    <w:p>
      <w:pPr>
        <w:spacing w:after="0" w:line="240" w:lineRule="auto"/>
        <w:jc w:val="left"/>
        <w:sectPr>
          <w:type w:val="continuous"/>
          <w:pgSz w:w="11910" w:h="16840"/>
          <w:pgMar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2" w:right="170"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pStyle w:val="BodyText"/>
        <w:spacing w:line="240" w:lineRule="auto" w:before="52"/>
        <w:ind w:right="1015"/>
        <w:jc w:val="left"/>
      </w:pPr>
      <w:r>
        <w:rPr/>
        <w:t>其他应收款核销说明：</w:t>
      </w:r>
    </w:p>
    <w:p>
      <w:pPr>
        <w:spacing w:line="240" w:lineRule="auto" w:before="10"/>
        <w:rPr>
          <w:rFonts w:ascii="宋体" w:hAnsi="宋体" w:cs="宋体" w:eastAsia="宋体" w:hint="default"/>
          <w:sz w:val="26"/>
          <w:szCs w:val="26"/>
        </w:rPr>
      </w:pPr>
    </w:p>
    <w:p>
      <w:pPr>
        <w:pStyle w:val="Heading3"/>
        <w:spacing w:line="240" w:lineRule="auto"/>
        <w:ind w:right="1015"/>
        <w:jc w:val="left"/>
        <w:rPr>
          <w:b w:val="0"/>
          <w:bCs w:val="0"/>
        </w:rPr>
      </w:pPr>
      <w:bookmarkStart w:name="（4）其他应收款按款项性质分类情况" w:id="521"/>
      <w:bookmarkEnd w:id="521"/>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员工借款及备用金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345,860.93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664,743.93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92,022.00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431,137.00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2,596,194.64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7,814,259.54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990,009.69</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383,352.98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310,056.52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3,772,852.70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1,072,095.70</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8,180,292.94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10,292,292.69</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5）按欠款方归集的期末余额前五名的其他应收款情况" w:id="522"/>
      <w:bookmarkEnd w:id="522"/>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1026"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90"/>
              <w:jc w:val="right"/>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1" w:right="171"/>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12" w:right="170"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即征即退税额</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2,852,370.37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3"/>
              <w:jc w:val="righ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34.87%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142,618.52</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2,596,194.64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3"/>
              <w:jc w:val="righ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31.74%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129,809.73</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香港创源有限公司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990,009.69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3"/>
              <w:jc w:val="righ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12.10%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员工个人社会保险 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259,064.48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83"/>
              <w:jc w:val="righ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12,953.22</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中山市创彩达塑胶 制品有限公司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243,000.00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83"/>
              <w:jc w:val="righ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12,150.00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6,940,639.18</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84.85%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297,531.47</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6）涉及政府补助的应收款项" w:id="523"/>
      <w:bookmarkEnd w:id="523"/>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026"/>
        <w:gridCol w:w="1866"/>
        <w:gridCol w:w="1866"/>
        <w:gridCol w:w="1868"/>
        <w:gridCol w:w="1944"/>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7" w:right="101" w:hanging="594"/>
              <w:jc w:val="left"/>
              <w:rPr>
                <w:rFonts w:ascii="宋体" w:hAnsi="宋体" w:cs="宋体" w:eastAsia="宋体" w:hint="default"/>
                <w:sz w:val="18"/>
                <w:szCs w:val="18"/>
              </w:rPr>
            </w:pPr>
            <w:r>
              <w:rPr>
                <w:rFonts w:ascii="宋体" w:hAnsi="宋体" w:cs="宋体" w:eastAsia="宋体" w:hint="default"/>
                <w:spacing w:val="-8"/>
                <w:sz w:val="18"/>
                <w:szCs w:val="18"/>
              </w:rPr>
              <w:t>预计收取的时间、金额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及依据</w:t>
            </w:r>
          </w:p>
        </w:tc>
      </w:tr>
      <w:tr>
        <w:trPr>
          <w:trHeight w:val="674"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中山市火炬开发区国家</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32"/>
              <w:jc w:val="left"/>
              <w:rPr>
                <w:rFonts w:ascii="宋体" w:hAnsi="宋体" w:cs="宋体" w:eastAsia="宋体" w:hint="default"/>
                <w:sz w:val="18"/>
                <w:szCs w:val="18"/>
              </w:rPr>
            </w:pPr>
            <w:r>
              <w:rPr>
                <w:rFonts w:ascii="宋体" w:hAnsi="宋体" w:cs="宋体" w:eastAsia="宋体" w:hint="default"/>
                <w:sz w:val="18"/>
                <w:szCs w:val="18"/>
              </w:rPr>
              <w:t>软件产品销售实际增 值税税负超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部分</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08" w:right="0"/>
              <w:jc w:val="left"/>
              <w:rPr>
                <w:rFonts w:ascii="Times New Roman" w:hAnsi="Times New Roman" w:cs="Times New Roman" w:eastAsia="Times New Roman" w:hint="default"/>
                <w:sz w:val="18"/>
                <w:szCs w:val="18"/>
              </w:rPr>
            </w:pPr>
            <w:r>
              <w:rPr>
                <w:rFonts w:ascii="Times New Roman"/>
                <w:sz w:val="18"/>
              </w:rPr>
              <w:t>2,852,370.37</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前收回；</w:t>
            </w:r>
            <w:r>
              <w:rPr>
                <w:rFonts w:ascii="Times New Roman" w:hAnsi="Times New Roman" w:cs="Times New Roman" w:eastAsia="Times New Roman" w:hint="default"/>
                <w:sz w:val="18"/>
                <w:szCs w:val="18"/>
              </w:rPr>
              <w:t>2</w:t>
            </w:r>
            <w:r>
              <w:rPr>
                <w:rFonts w:ascii="宋体" w:hAnsi="宋体" w:cs="宋体" w:eastAsia="宋体" w:hint="default"/>
                <w:sz w:val="18"/>
                <w:szCs w:val="18"/>
              </w:rPr>
              <w:t>、依据：</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026"/>
        <w:gridCol w:w="1866"/>
        <w:gridCol w:w="1866"/>
        <w:gridCol w:w="1868"/>
        <w:gridCol w:w="1944"/>
      </w:tblGrid>
      <w:tr>
        <w:trPr>
          <w:trHeight w:val="986"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税务局</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即征即退税额</w:t>
            </w:r>
          </w:p>
        </w:tc>
        <w:tc>
          <w:tcPr>
            <w:tcW w:w="1866"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140"/>
              <w:jc w:val="left"/>
              <w:rPr>
                <w:rFonts w:ascii="宋体" w:hAnsi="宋体" w:cs="宋体" w:eastAsia="宋体" w:hint="default"/>
                <w:sz w:val="18"/>
                <w:szCs w:val="18"/>
              </w:rPr>
            </w:pPr>
            <w:r>
              <w:rPr>
                <w:rFonts w:ascii="宋体" w:hAnsi="宋体" w:cs="宋体" w:eastAsia="宋体" w:hint="default"/>
                <w:sz w:val="18"/>
                <w:szCs w:val="18"/>
              </w:rPr>
              <w:t>财税</w:t>
            </w:r>
            <w:r>
              <w:rPr>
                <w:rFonts w:ascii="Times New Roman" w:hAnsi="Times New Roman" w:cs="Times New Roman" w:eastAsia="Times New Roman" w:hint="default"/>
                <w:sz w:val="18"/>
                <w:szCs w:val="18"/>
              </w:rPr>
              <w:t>[2011]100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号《关 于软件产品增值税政 策的通知》</w:t>
            </w:r>
          </w:p>
        </w:tc>
      </w:tr>
      <w:tr>
        <w:trPr>
          <w:trHeight w:val="402"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8" w:right="0"/>
              <w:jc w:val="left"/>
              <w:rPr>
                <w:rFonts w:ascii="Times New Roman" w:hAnsi="Times New Roman" w:cs="Times New Roman" w:eastAsia="Times New Roman" w:hint="default"/>
                <w:sz w:val="18"/>
                <w:szCs w:val="18"/>
              </w:rPr>
            </w:pPr>
            <w:r>
              <w:rPr>
                <w:rFonts w:ascii="Times New Roman"/>
                <w:sz w:val="18"/>
              </w:rPr>
              <w:t>2,852,370.37</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7）因金融资产转移而终止确认的其他应收款" w:id="524"/>
      <w:bookmarkEnd w:id="524"/>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8）转移其他应收款且继续涉入形成的资产、负债金额" w:id="525"/>
      <w:bookmarkEnd w:id="525"/>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1015"/>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3" w:right="1015"/>
        <w:jc w:val="left"/>
        <w:rPr>
          <w:b w:val="0"/>
          <w:bCs w:val="0"/>
        </w:rPr>
      </w:pPr>
      <w:bookmarkStart w:name="3、长期股权投资" w:id="526"/>
      <w:bookmarkEnd w:id="526"/>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58,189,957.45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3,781,103.13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54,408,854.32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16,134,548.13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8" w:right="0"/>
              <w:jc w:val="left"/>
              <w:rPr>
                <w:rFonts w:ascii="Times New Roman" w:hAnsi="Times New Roman" w:cs="Times New Roman" w:eastAsia="Times New Roman" w:hint="default"/>
                <w:sz w:val="18"/>
                <w:szCs w:val="18"/>
              </w:rPr>
            </w:pPr>
            <w:r>
              <w:rPr>
                <w:rFonts w:ascii="Times New Roman"/>
                <w:sz w:val="18"/>
              </w:rPr>
              <w:t>3,781,103.13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12,353,445.00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对联营、合营 企业投资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310,929.13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310,929.13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484,668.62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484,668.62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58,500,886.58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3,781,103.13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54,719,783.45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16,619,216.75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8" w:right="0"/>
              <w:jc w:val="left"/>
              <w:rPr>
                <w:rFonts w:ascii="Times New Roman" w:hAnsi="Times New Roman" w:cs="Times New Roman" w:eastAsia="Times New Roman" w:hint="default"/>
                <w:sz w:val="18"/>
                <w:szCs w:val="18"/>
              </w:rPr>
            </w:pPr>
            <w:r>
              <w:rPr>
                <w:rFonts w:ascii="Times New Roman"/>
                <w:sz w:val="18"/>
              </w:rPr>
              <w:t>3,781,103.13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12,838,113.62</w:t>
            </w:r>
          </w:p>
        </w:tc>
      </w:tr>
    </w:tbl>
    <w:p>
      <w:pPr>
        <w:spacing w:line="240" w:lineRule="auto" w:before="3"/>
        <w:rPr>
          <w:rFonts w:ascii="宋体" w:hAnsi="宋体" w:cs="宋体" w:eastAsia="宋体" w:hint="default"/>
          <w:sz w:val="19"/>
          <w:szCs w:val="19"/>
        </w:rPr>
      </w:pPr>
    </w:p>
    <w:p>
      <w:pPr>
        <w:pStyle w:val="Heading3"/>
        <w:spacing w:line="240" w:lineRule="auto" w:before="35"/>
        <w:ind w:right="1015"/>
        <w:jc w:val="left"/>
        <w:rPr>
          <w:b w:val="0"/>
          <w:bCs w:val="0"/>
        </w:rPr>
      </w:pPr>
      <w:bookmarkStart w:name="（1）对子公司投资" w:id="527"/>
      <w:bookmarkEnd w:id="527"/>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67"/>
              <w:jc w:val="righ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9" w:right="148" w:hanging="361"/>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8" w:right="149"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both"/>
              <w:rPr>
                <w:rFonts w:ascii="宋体" w:hAnsi="宋体" w:cs="宋体" w:eastAsia="宋体" w:hint="default"/>
                <w:sz w:val="18"/>
                <w:szCs w:val="18"/>
              </w:rPr>
            </w:pPr>
            <w:r>
              <w:rPr>
                <w:rFonts w:ascii="宋体" w:hAnsi="宋体" w:cs="宋体" w:eastAsia="宋体" w:hint="default"/>
                <w:sz w:val="18"/>
                <w:szCs w:val="18"/>
              </w:rPr>
              <w:t>深圳市乐心医 疗电子有限公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3,781,103.13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15,623,200.00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19,404,303.13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3,781,103.13</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left"/>
              <w:rPr>
                <w:rFonts w:ascii="宋体" w:hAnsi="宋体" w:cs="宋体" w:eastAsia="宋体" w:hint="default"/>
                <w:sz w:val="18"/>
                <w:szCs w:val="18"/>
              </w:rPr>
            </w:pPr>
            <w:r>
              <w:rPr>
                <w:rFonts w:ascii="宋体" w:hAnsi="宋体" w:cs="宋体" w:eastAsia="宋体" w:hint="default"/>
                <w:sz w:val="18"/>
                <w:szCs w:val="18"/>
              </w:rPr>
              <w:t>中山市创源传 感器有限公司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left"/>
              <w:rPr>
                <w:rFonts w:ascii="宋体" w:hAnsi="宋体" w:cs="宋体" w:eastAsia="宋体" w:hint="default"/>
                <w:sz w:val="18"/>
                <w:szCs w:val="18"/>
              </w:rPr>
            </w:pPr>
            <w:r>
              <w:rPr>
                <w:rFonts w:ascii="宋体" w:hAnsi="宋体" w:cs="宋体" w:eastAsia="宋体" w:hint="default"/>
                <w:sz w:val="18"/>
                <w:szCs w:val="18"/>
              </w:rPr>
              <w:t>中山市创源贸 易有限公司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left"/>
              <w:rPr>
                <w:rFonts w:ascii="宋体" w:hAnsi="宋体" w:cs="宋体" w:eastAsia="宋体" w:hint="default"/>
                <w:sz w:val="18"/>
                <w:szCs w:val="18"/>
              </w:rPr>
            </w:pPr>
            <w:r>
              <w:rPr>
                <w:rFonts w:ascii="宋体" w:hAnsi="宋体" w:cs="宋体" w:eastAsia="宋体" w:hint="default"/>
                <w:sz w:val="18"/>
                <w:szCs w:val="18"/>
              </w:rPr>
              <w:t>广州动心信息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3,000,000.00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left"/>
              <w:rPr>
                <w:rFonts w:ascii="宋体" w:hAnsi="宋体" w:cs="宋体" w:eastAsia="宋体" w:hint="default"/>
                <w:sz w:val="18"/>
                <w:szCs w:val="18"/>
              </w:rPr>
            </w:pPr>
            <w:r>
              <w:rPr>
                <w:rFonts w:ascii="宋体" w:hAnsi="宋体" w:cs="宋体" w:eastAsia="宋体" w:hint="default"/>
                <w:sz w:val="18"/>
                <w:szCs w:val="18"/>
              </w:rPr>
              <w:t>中山乐心电子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6,000,000.00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103" w:right="117"/>
              <w:jc w:val="left"/>
              <w:rPr>
                <w:rFonts w:ascii="Times New Roman" w:hAnsi="Times New Roman" w:cs="Times New Roman" w:eastAsia="Times New Roman" w:hint="default"/>
                <w:sz w:val="18"/>
                <w:szCs w:val="18"/>
              </w:rPr>
            </w:pPr>
            <w:r>
              <w:rPr>
                <w:rFonts w:ascii="Times New Roman"/>
                <w:sz w:val="18"/>
              </w:rPr>
              <w:t>Lifesense</w:t>
            </w:r>
            <w:r>
              <w:rPr>
                <w:rFonts w:ascii="Times New Roman"/>
                <w:spacing w:val="-2"/>
                <w:sz w:val="18"/>
              </w:rPr>
              <w:t> </w:t>
            </w:r>
            <w:r>
              <w:rPr>
                <w:rFonts w:ascii="Times New Roman"/>
                <w:sz w:val="18"/>
              </w:rPr>
              <w:t>Health</w:t>
            </w:r>
            <w:r>
              <w:rPr>
                <w:rFonts w:ascii="Times New Roman"/>
                <w:sz w:val="18"/>
              </w:rPr>
              <w:t> Inc</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1,353,445.00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2,084,940.00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3,438,385.00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52"/>
              <w:jc w:val="right"/>
              <w:rPr>
                <w:rFonts w:ascii="宋体" w:hAnsi="宋体" w:cs="宋体" w:eastAsia="宋体" w:hint="default"/>
                <w:sz w:val="18"/>
                <w:szCs w:val="18"/>
              </w:rPr>
            </w:pPr>
            <w:r>
              <w:rPr>
                <w:rFonts w:ascii="宋体" w:hAnsi="宋体" w:cs="宋体" w:eastAsia="宋体" w:hint="default"/>
                <w:sz w:val="18"/>
                <w:szCs w:val="18"/>
              </w:rPr>
              <w:t>香港创源有限</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1,361,800.00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1,361,800.00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深圳瑞康宏业 科技开发有限 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23,000,000.00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14,530.68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22,985,469.32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16,134,548.13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42,069,940.00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14,530.68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58,189,957.45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3,781,103.13</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2）对联营、合营企业投资" w:id="528"/>
      <w:bookmarkEnd w:id="528"/>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302" w:right="123" w:hanging="180"/>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3"/>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2"/>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141"/>
              <w:jc w:val="both"/>
              <w:rPr>
                <w:rFonts w:ascii="宋体" w:hAnsi="宋体" w:cs="宋体" w:eastAsia="宋体" w:hint="default"/>
                <w:sz w:val="18"/>
                <w:szCs w:val="18"/>
              </w:rPr>
            </w:pPr>
            <w:r>
              <w:rPr>
                <w:rFonts w:ascii="宋体" w:hAnsi="宋体" w:cs="宋体" w:eastAsia="宋体" w:hint="default"/>
                <w:sz w:val="18"/>
                <w:szCs w:val="18"/>
              </w:rPr>
              <w:t>中山市 易恩自 动化科 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484,66</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8.62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148,79</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0.87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-322,53</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0.36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310,92</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9.13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 w:right="0"/>
              <w:jc w:val="center"/>
              <w:rPr>
                <w:rFonts w:ascii="Times New Roman" w:hAnsi="Times New Roman" w:cs="Times New Roman" w:eastAsia="Times New Roman" w:hint="default"/>
                <w:sz w:val="18"/>
                <w:szCs w:val="18"/>
              </w:rPr>
            </w:pPr>
            <w:r>
              <w:rPr>
                <w:rFonts w:ascii="Times New Roman"/>
                <w:sz w:val="18"/>
              </w:rPr>
              <w:t>484,66</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8.62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8" w:right="0"/>
              <w:jc w:val="center"/>
              <w:rPr>
                <w:rFonts w:ascii="Times New Roman" w:hAnsi="Times New Roman" w:cs="Times New Roman" w:eastAsia="Times New Roman" w:hint="default"/>
                <w:sz w:val="18"/>
                <w:szCs w:val="18"/>
              </w:rPr>
            </w:pPr>
            <w:r>
              <w:rPr>
                <w:rFonts w:ascii="Times New Roman"/>
                <w:sz w:val="18"/>
              </w:rPr>
              <w:t>148,79</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0.87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0" w:right="0"/>
              <w:jc w:val="left"/>
              <w:rPr>
                <w:rFonts w:ascii="Times New Roman" w:hAnsi="Times New Roman" w:cs="Times New Roman" w:eastAsia="Times New Roman" w:hint="default"/>
                <w:sz w:val="18"/>
                <w:szCs w:val="18"/>
              </w:rPr>
            </w:pPr>
            <w:r>
              <w:rPr>
                <w:rFonts w:ascii="Times New Roman"/>
                <w:sz w:val="18"/>
              </w:rPr>
              <w:t>-322,53</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0.36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8" w:right="0"/>
              <w:jc w:val="center"/>
              <w:rPr>
                <w:rFonts w:ascii="Times New Roman" w:hAnsi="Times New Roman" w:cs="Times New Roman" w:eastAsia="Times New Roman" w:hint="default"/>
                <w:sz w:val="18"/>
                <w:szCs w:val="18"/>
              </w:rPr>
            </w:pPr>
            <w:r>
              <w:rPr>
                <w:rFonts w:ascii="Times New Roman"/>
                <w:sz w:val="18"/>
              </w:rPr>
              <w:t>310,92</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9.13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 w:right="0"/>
              <w:jc w:val="center"/>
              <w:rPr>
                <w:rFonts w:ascii="Times New Roman" w:hAnsi="Times New Roman" w:cs="Times New Roman" w:eastAsia="Times New Roman" w:hint="default"/>
                <w:sz w:val="18"/>
                <w:szCs w:val="18"/>
              </w:rPr>
            </w:pPr>
            <w:r>
              <w:rPr>
                <w:rFonts w:ascii="Times New Roman"/>
                <w:sz w:val="18"/>
              </w:rPr>
              <w:t>484,66</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8.62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8" w:right="0"/>
              <w:jc w:val="center"/>
              <w:rPr>
                <w:rFonts w:ascii="Times New Roman" w:hAnsi="Times New Roman" w:cs="Times New Roman" w:eastAsia="Times New Roman" w:hint="default"/>
                <w:sz w:val="18"/>
                <w:szCs w:val="18"/>
              </w:rPr>
            </w:pPr>
            <w:r>
              <w:rPr>
                <w:rFonts w:ascii="Times New Roman"/>
                <w:sz w:val="18"/>
              </w:rPr>
              <w:t>148,79</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0.87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0" w:right="0"/>
              <w:jc w:val="left"/>
              <w:rPr>
                <w:rFonts w:ascii="Times New Roman" w:hAnsi="Times New Roman" w:cs="Times New Roman" w:eastAsia="Times New Roman" w:hint="default"/>
                <w:sz w:val="18"/>
                <w:szCs w:val="18"/>
              </w:rPr>
            </w:pPr>
            <w:r>
              <w:rPr>
                <w:rFonts w:ascii="Times New Roman"/>
                <w:sz w:val="18"/>
              </w:rPr>
              <w:t>-322,53</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0.36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8" w:right="0"/>
              <w:jc w:val="center"/>
              <w:rPr>
                <w:rFonts w:ascii="Times New Roman" w:hAnsi="Times New Roman" w:cs="Times New Roman" w:eastAsia="Times New Roman" w:hint="default"/>
                <w:sz w:val="18"/>
                <w:szCs w:val="18"/>
              </w:rPr>
            </w:pPr>
            <w:r>
              <w:rPr>
                <w:rFonts w:ascii="Times New Roman"/>
                <w:sz w:val="18"/>
              </w:rPr>
              <w:t>310,92</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9.13</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3）其他说明" w:id="529"/>
      <w:bookmarkEnd w:id="529"/>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4、营业收入和营业成本" w:id="530"/>
      <w:bookmarkEnd w:id="530"/>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601,640,569.77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479,702,731.70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693,249,876.67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545,470,033.14</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3,032,703.86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913,257.00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2,413,248.15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901,455.84</w:t>
            </w:r>
          </w:p>
        </w:tc>
      </w:tr>
      <w:tr>
        <w:trPr>
          <w:trHeight w:val="40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604,673,273.63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480,615,988.70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695,663,124.82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546,371,488.98</w:t>
            </w:r>
          </w:p>
        </w:tc>
      </w:tr>
    </w:tbl>
    <w:p>
      <w:pPr>
        <w:pStyle w:val="BodyText"/>
        <w:spacing w:line="240" w:lineRule="auto" w:before="51"/>
        <w:ind w:right="1015"/>
        <w:jc w:val="left"/>
      </w:pPr>
      <w:r>
        <w:rPr/>
        <w:t>其他说明：</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1015"/>
        <w:jc w:val="left"/>
        <w:rPr>
          <w:b w:val="0"/>
          <w:bCs w:val="0"/>
        </w:rPr>
      </w:pPr>
      <w:bookmarkStart w:name="5、投资收益" w:id="531"/>
      <w:bookmarkEnd w:id="531"/>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9,500,000.00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134,260.19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248,825.85</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-499,310.51</w:t>
            </w:r>
            <w:r>
              <w:rPr>
                <w:rFonts w:ascii="Times New Roman"/>
                <w:sz w:val="18"/>
              </w:rPr>
            </w: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49"/>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的金融资产在持有期间的投资收益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-1,156,276.00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4,681,893.81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4,816,154.00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8,093,239.34</w:t>
            </w:r>
          </w:p>
        </w:tc>
      </w:tr>
    </w:tbl>
    <w:p>
      <w:pPr>
        <w:spacing w:line="240" w:lineRule="auto" w:before="2"/>
        <w:rPr>
          <w:rFonts w:ascii="宋体" w:hAnsi="宋体" w:cs="宋体" w:eastAsia="宋体" w:hint="default"/>
          <w:sz w:val="19"/>
          <w:szCs w:val="19"/>
        </w:rPr>
      </w:pPr>
    </w:p>
    <w:p>
      <w:pPr>
        <w:pStyle w:val="Heading3"/>
        <w:spacing w:line="240" w:lineRule="auto" w:before="35"/>
        <w:ind w:right="1015"/>
        <w:jc w:val="left"/>
        <w:rPr>
          <w:b w:val="0"/>
          <w:bCs w:val="0"/>
        </w:rPr>
      </w:pPr>
      <w:bookmarkStart w:name="6、其他" w:id="532"/>
      <w:bookmarkEnd w:id="532"/>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5"/>
        <w:jc w:val="left"/>
      </w:pPr>
      <w:r>
        <w:rPr/>
        <w:t>无</w:t>
      </w:r>
    </w:p>
    <w:p>
      <w:pPr>
        <w:spacing w:line="240" w:lineRule="auto" w:before="2"/>
        <w:rPr>
          <w:rFonts w:ascii="宋体" w:hAnsi="宋体" w:cs="宋体" w:eastAsia="宋体" w:hint="default"/>
          <w:sz w:val="25"/>
          <w:szCs w:val="25"/>
        </w:rPr>
      </w:pPr>
    </w:p>
    <w:p>
      <w:pPr>
        <w:pStyle w:val="Heading2"/>
        <w:spacing w:line="240" w:lineRule="auto"/>
        <w:ind w:right="1015"/>
        <w:jc w:val="left"/>
        <w:rPr>
          <w:b w:val="0"/>
          <w:bCs w:val="0"/>
        </w:rPr>
      </w:pPr>
      <w:bookmarkStart w:name="十八、补充资料" w:id="533"/>
      <w:bookmarkEnd w:id="533"/>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5"/>
        <w:jc w:val="left"/>
        <w:rPr>
          <w:b w:val="0"/>
          <w:bCs w:val="0"/>
        </w:rPr>
      </w:pPr>
      <w:bookmarkStart w:name="1、当期非经常性损益明细表" w:id="534"/>
      <w:bookmarkEnd w:id="534"/>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3" w:right="1015"/>
        <w:jc w:val="left"/>
      </w:pPr>
      <w:r>
        <w:rPr/>
        <w:t>√ 适用 □ 不适用</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195,643.88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14,265,886.39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-761,350.35</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2,049,971.05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-3,196.38</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11,653,405.25</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15"/>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号——非经常性损益》中列举的非经常性损益项目界定为经常性损益的项目，应</w:t>
      </w:r>
      <w:r>
        <w:rPr/>
        <w:t> 说明原因。</w:t>
      </w:r>
    </w:p>
    <w:p>
      <w:pPr>
        <w:pStyle w:val="BodyText"/>
        <w:spacing w:line="240" w:lineRule="auto" w:before="70"/>
        <w:ind w:right="1015"/>
        <w:jc w:val="left"/>
      </w:pPr>
      <w:r>
        <w:rPr/>
        <w:t>□ 适用 √ 不适用</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1015"/>
        <w:jc w:val="left"/>
        <w:rPr>
          <w:b w:val="0"/>
          <w:bCs w:val="0"/>
        </w:rPr>
      </w:pPr>
      <w:bookmarkStart w:name="2、净资产收益率及每股收益" w:id="535"/>
      <w:bookmarkEnd w:id="535"/>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662"/>
        <w:gridCol w:w="3081"/>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1"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归属于公司普通股股东的净利 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0.09</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扣除非经常性损益后归属于公 司普通股股东的净利润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0.03</w:t>
            </w:r>
          </w:p>
        </w:tc>
      </w:tr>
    </w:tbl>
    <w:p>
      <w:pPr>
        <w:spacing w:line="240" w:lineRule="auto" w:before="2"/>
        <w:rPr>
          <w:rFonts w:ascii="宋体" w:hAnsi="宋体" w:cs="宋体" w:eastAsia="宋体" w:hint="default"/>
          <w:b/>
          <w:bCs/>
          <w:sz w:val="19"/>
          <w:szCs w:val="19"/>
        </w:rPr>
      </w:pPr>
    </w:p>
    <w:p>
      <w:pPr>
        <w:pStyle w:val="Heading3"/>
        <w:spacing w:line="240" w:lineRule="auto" w:before="35"/>
        <w:ind w:right="1015"/>
        <w:jc w:val="left"/>
        <w:rPr>
          <w:b w:val="0"/>
          <w:bCs w:val="0"/>
        </w:rPr>
      </w:pPr>
      <w:bookmarkStart w:name="3、境内外会计准则下会计数据差异" w:id="536"/>
      <w:bookmarkEnd w:id="536"/>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5"/>
        <w:jc w:val="left"/>
        <w:rPr>
          <w:b w:val="0"/>
          <w:bCs w:val="0"/>
        </w:rPr>
      </w:pPr>
      <w:bookmarkStart w:name="（1）同时按照国际会计准则与按中国会计准则披露的财务报告中净利润和净资产差异情况" w:id="537"/>
      <w:bookmarkEnd w:id="537"/>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15"/>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015"/>
        <w:jc w:val="left"/>
        <w:rPr>
          <w:b w:val="0"/>
          <w:bCs w:val="0"/>
        </w:rPr>
      </w:pPr>
      <w:bookmarkStart w:name="（2）同时按照境外会计准则与按中国会计准则披露的财务报告中净利润和净资产差异情况" w:id="538"/>
      <w:bookmarkEnd w:id="538"/>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15"/>
        <w:jc w:val="left"/>
      </w:pPr>
      <w:r>
        <w:rPr/>
        <w:t>□ 适用 √ 不适用</w:t>
      </w:r>
    </w:p>
    <w:p>
      <w:pPr>
        <w:spacing w:line="240" w:lineRule="auto" w:before="10"/>
        <w:rPr>
          <w:rFonts w:ascii="宋体" w:hAnsi="宋体" w:cs="宋体" w:eastAsia="宋体" w:hint="default"/>
          <w:sz w:val="26"/>
          <w:szCs w:val="26"/>
        </w:rPr>
      </w:pPr>
    </w:p>
    <w:p>
      <w:pPr>
        <w:pStyle w:val="Heading3"/>
        <w:spacing w:line="259" w:lineRule="auto"/>
        <w:ind w:right="1015"/>
        <w:jc w:val="left"/>
        <w:rPr>
          <w:b w:val="0"/>
          <w:bCs w:val="0"/>
        </w:rPr>
      </w:pPr>
      <w:bookmarkStart w:name="（3）境内外会计准则下会计数据差异原因说明，对已经境外审计机构审计的数据进行差异" w:id="539"/>
      <w:bookmarkEnd w:id="539"/>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015"/>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15"/>
        <w:jc w:val="left"/>
        <w:rPr>
          <w:b w:val="0"/>
          <w:bCs w:val="0"/>
        </w:rPr>
      </w:pPr>
      <w:bookmarkStart w:name="4、其他" w:id="540"/>
      <w:bookmarkEnd w:id="540"/>
      <w:r>
        <w:rPr>
          <w:b w:val="0"/>
          <w:bCs w:val="0"/>
        </w:rPr>
      </w:r>
      <w:r>
        <w:rPr>
          <w:rFonts w:ascii="Times New Roman" w:hAnsi="Times New Roman" w:cs="Times New Roman" w:eastAsia="Times New Roman" w:hint="default"/>
        </w:rPr>
        <w:t>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5"/>
        <w:jc w:val="left"/>
      </w:pPr>
      <w:r>
        <w:rPr/>
        <w:t>无</w:t>
      </w:r>
    </w:p>
    <w:p>
      <w:pPr>
        <w:spacing w:after="0" w:line="240"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24" w:right="1625"/>
        <w:jc w:val="center"/>
        <w:rPr>
          <w:b w:val="0"/>
          <w:bCs w:val="0"/>
        </w:rPr>
      </w:pPr>
      <w:bookmarkStart w:name="第十二节 备查文件目录" w:id="541"/>
      <w:bookmarkEnd w:id="541"/>
      <w:r>
        <w:rPr>
          <w:b w:val="0"/>
          <w:bCs w:val="0"/>
        </w:rPr>
      </w:r>
      <w:bookmarkStart w:name="_bookmark11" w:id="542"/>
      <w:bookmarkEnd w:id="542"/>
      <w:r>
        <w:rPr>
          <w:b w:val="0"/>
          <w:bCs w:val="0"/>
        </w:rPr>
      </w:r>
      <w:r>
        <w:rPr/>
        <w:t>第十二节</w:t>
      </w:r>
      <w:r>
        <w:rPr>
          <w:spacing w:val="-8"/>
        </w:rPr>
        <w:t> </w:t>
      </w:r>
      <w:r>
        <w:rPr/>
        <w:t>备查文件目录</w:t>
      </w:r>
      <w:r>
        <w:rPr>
          <w:b w:val="0"/>
          <w:bCs w:val="0"/>
        </w:rPr>
      </w:r>
    </w:p>
    <w:p>
      <w:pPr>
        <w:spacing w:line="240" w:lineRule="auto" w:before="0"/>
        <w:rPr>
          <w:rFonts w:ascii="宋体" w:hAnsi="宋体" w:cs="宋体" w:eastAsia="宋体" w:hint="default"/>
          <w:b/>
          <w:bCs/>
          <w:sz w:val="32"/>
          <w:szCs w:val="32"/>
        </w:rPr>
      </w:pPr>
    </w:p>
    <w:p>
      <w:pPr>
        <w:pStyle w:val="BodyText"/>
        <w:spacing w:line="518" w:lineRule="auto" w:before="217"/>
        <w:ind w:left="1494" w:right="2652"/>
        <w:jc w:val="left"/>
      </w:pPr>
      <w:r>
        <w:rPr/>
        <w:t>一、载有公司法定代表人、财务负责人、会计机构负责人签名并盖章的财务报表。 二、载有会计师事务所盖章、注册会计师签名并盖章的审计报告原件。 三、报告期内在中国证监会指定信息披露载体上公开披露过的所有公司文件的正本及公告的原稿。 四、载有法定代表人签名的公司</w:t>
      </w:r>
      <w:r>
        <w:rPr>
          <w:rFonts w:ascii="宋体" w:hAnsi="宋体" w:cs="宋体" w:eastAsia="宋体" w:hint="default"/>
        </w:rPr>
        <w:t>2017</w:t>
      </w:r>
      <w:r>
        <w:rPr/>
        <w:t>年度报告文本。</w:t>
      </w:r>
    </w:p>
    <w:p>
      <w:pPr>
        <w:pStyle w:val="BodyText"/>
        <w:spacing w:line="516" w:lineRule="auto" w:before="64"/>
        <w:ind w:left="1494" w:right="6252"/>
        <w:jc w:val="left"/>
      </w:pPr>
      <w:r>
        <w:rPr/>
        <w:t>五、其他有关资料。 六、以上备查文件的备置地点：公司董事会办公室。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357" w:lineRule="auto"/>
        <w:ind w:left="7303" w:right="2333" w:hanging="270"/>
        <w:jc w:val="left"/>
      </w:pPr>
      <w:r>
        <w:rPr/>
        <w:t>广东乐心医疗电子股份有限公司 法定代表人：潘伟潮</w:t>
      </w:r>
    </w:p>
    <w:p>
      <w:pPr>
        <w:pStyle w:val="BodyText"/>
        <w:spacing w:line="240" w:lineRule="auto" w:before="28"/>
        <w:ind w:left="7213" w:right="1015"/>
        <w:jc w:val="left"/>
      </w:pPr>
      <w:r>
        <w:rPr>
          <w:rFonts w:ascii="宋体" w:hAnsi="宋体" w:cs="宋体" w:eastAsia="宋体" w:hint="default"/>
        </w:rPr>
        <w:t>2018 </w:t>
      </w:r>
      <w:r>
        <w:rPr/>
        <w:t>年 </w:t>
      </w:r>
      <w:r>
        <w:rPr>
          <w:rFonts w:ascii="宋体" w:hAnsi="宋体" w:cs="宋体" w:eastAsia="宋体" w:hint="default"/>
        </w:rPr>
        <w:t>3 </w:t>
      </w:r>
      <w:r>
        <w:rPr/>
        <w:t>月 </w:t>
      </w:r>
      <w:r>
        <w:rPr>
          <w:rFonts w:ascii="宋体" w:hAnsi="宋体" w:cs="宋体" w:eastAsia="宋体" w:hint="default"/>
        </w:rPr>
        <w:t>28 </w:t>
      </w:r>
      <w:r>
        <w:rPr/>
        <w:t>日</w:t>
      </w:r>
    </w:p>
    <w:sectPr>
      <w:pgSz w:w="11910" w:h="16840"/>
      <w:pgMar w:header="907" w:footer="1019" w:top="1100" w:bottom="120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36488" type="#_x0000_t75" stroked="false">
          <v:imagedata r:id="rId1" o:title=""/>
        </v:shape>
      </w:pict>
    </w:r>
    <w:r>
      <w:rPr/>
      <w:pict>
        <v:shape style="position:absolute;margin-left:294.420013pt;margin-top:793.5979pt;width:6.5pt;height:11pt;mso-position-horizontal-relative:page;mso-position-vertical-relative:page;z-index:-113646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36440" type="#_x0000_t75" stroked="false">
          <v:imagedata r:id="rId1" o:title=""/>
        </v:shape>
      </w:pict>
    </w:r>
    <w:r>
      <w:rPr/>
      <w:pict>
        <v:shape style="position:absolute;margin-left:291.200012pt;margin-top:779.977905pt;width:13pt;height:11pt;mso-position-horizontal-relative:page;mso-position-vertical-relative:page;z-index:-11364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36344" type="#_x0000_t75" stroked="false">
          <v:imagedata r:id="rId1" o:title=""/>
        </v:shape>
      </w:pict>
    </w:r>
    <w:r>
      <w:rPr/>
      <w:pict>
        <v:shape style="position:absolute;margin-left:289.920013pt;margin-top:779.977905pt;width:15.5pt;height:11pt;mso-position-horizontal-relative:page;mso-position-vertical-relative:page;z-index:-113632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36296" type="#_x0000_t75" stroked="false">
          <v:imagedata r:id="rId1" o:title=""/>
        </v:shape>
      </w:pict>
    </w:r>
    <w:r>
      <w:rPr/>
      <w:pict>
        <v:shape style="position:absolute;margin-left:288.920013pt;margin-top:779.977905pt;width:17.5pt;height:11pt;mso-position-horizontal-relative:page;mso-position-vertical-relative:page;z-index:-11362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36248" type="#_x0000_t75" stroked="false">
          <v:imagedata r:id="rId1" o:title=""/>
        </v:shape>
      </w:pict>
    </w:r>
    <w:r>
      <w:rPr/>
      <w:pict>
        <v:shape style="position:absolute;margin-left:288.920013pt;margin-top:779.977905pt;width:17.5pt;height:11pt;mso-position-horizontal-relative:page;mso-position-vertical-relative:page;z-index:-11362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36056" type="#_x0000_t75" stroked="false">
          <v:imagedata r:id="rId1" o:title=""/>
        </v:shape>
      </w:pict>
    </w:r>
    <w:r>
      <w:rPr/>
      <w:pict>
        <v:shape style="position:absolute;margin-left:289.920013pt;margin-top:779.977905pt;width:15.5pt;height:11pt;mso-position-horizontal-relative:page;mso-position-vertical-relative:page;z-index:-113603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36008" type="#_x0000_t75" stroked="false">
          <v:imagedata r:id="rId1" o:title=""/>
        </v:shape>
      </w:pict>
    </w:r>
    <w:r>
      <w:rPr/>
      <w:pict>
        <v:shape style="position:absolute;margin-left:288.920013pt;margin-top:779.977905pt;width:17.5pt;height:11pt;mso-position-horizontal-relative:page;mso-position-vertical-relative:page;z-index:-11359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5.700001pt;margin-top:38.305607pt;width:128.4pt;height:11pt;mso-position-horizontal-relative:page;mso-position-vertical-relative:page;z-index:-11365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广东乐心医疗电子股份有限公司</w:t>
                </w:r>
                <w:r>
                  <w:rPr>
                    <w:rFonts w:ascii="宋体" w:hAnsi="宋体" w:cs="宋体" w:eastAsia="宋体" w:hint="default"/>
                    <w:sz w:val="18"/>
                    <w:szCs w:val="18"/>
                  </w:rPr>
                </w:r>
              </w:p>
            </w:txbxContent>
          </v:textbox>
          <w10:wrap type="none"/>
        </v:shape>
      </w:pict>
    </w:r>
    <w:r>
      <w:rPr/>
      <w:pict>
        <v:shape style="position:absolute;margin-left:444.328003pt;margin-top:38.305607pt;width:85.4pt;height:11.5pt;mso-position-horizontal-relative:page;mso-position-vertical-relative:page;z-index:-11365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年年度报告全文</w:t>
                </w:r>
                <w:r>
                  <w:rPr>
                    <w:rFonts w:ascii="宋体" w:hAnsi="宋体" w:cs="宋体" w:eastAsia="宋体" w:hint="default"/>
                    <w:sz w:val="18"/>
                    <w:szCs w:val="18"/>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128.4pt;height:11pt;mso-position-horizontal-relative:page;mso-position-vertical-relative:page;z-index:-11363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广东乐心医疗电子股份有限公司</w:t>
                </w:r>
                <w:r>
                  <w:rPr>
                    <w:rFonts w:ascii="宋体" w:hAnsi="宋体" w:cs="宋体" w:eastAsia="宋体" w:hint="default"/>
                    <w:sz w:val="18"/>
                    <w:szCs w:val="18"/>
                  </w:rPr>
                </w:r>
              </w:p>
            </w:txbxContent>
          </v:textbox>
          <w10:wrap type="none"/>
        </v:shape>
      </w:pict>
    </w:r>
    <w:r>
      <w:rPr/>
      <w:pict>
        <v:shape style="position:absolute;margin-left:444.328003pt;margin-top:44.845608pt;width:85.4pt;height:11.5pt;mso-position-horizontal-relative:page;mso-position-vertical-relative:page;z-index:-11363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年年度报告全文</w:t>
                </w:r>
                <w:r>
                  <w:rPr>
                    <w:rFonts w:ascii="宋体" w:hAnsi="宋体" w:cs="宋体" w:eastAsia="宋体" w:hint="default"/>
                    <w:sz w:val="18"/>
                    <w:szCs w:val="18"/>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128.4pt;height:11pt;mso-position-horizontal-relative:page;mso-position-vertical-relative:page;z-index:-11362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广东乐心医疗电子股份有限公司</w:t>
                </w:r>
                <w:r>
                  <w:rPr>
                    <w:rFonts w:ascii="宋体" w:hAnsi="宋体" w:cs="宋体" w:eastAsia="宋体" w:hint="default"/>
                    <w:sz w:val="18"/>
                    <w:szCs w:val="18"/>
                  </w:rPr>
                </w:r>
              </w:p>
            </w:txbxContent>
          </v:textbox>
          <w10:wrap type="none"/>
        </v:shape>
      </w:pict>
    </w:r>
    <w:r>
      <w:rPr/>
      <w:pict>
        <v:shape style="position:absolute;margin-left:444.328003pt;margin-top:44.845608pt;width:85.4pt;height:11.5pt;mso-position-horizontal-relative:page;mso-position-vertical-relative:page;z-index:-11361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年年度报告全文</w:t>
                </w:r>
                <w:r>
                  <w:rPr>
                    <w:rFonts w:ascii="宋体" w:hAnsi="宋体" w:cs="宋体" w:eastAsia="宋体" w:hint="default"/>
                    <w:sz w:val="18"/>
                    <w:szCs w:val="18"/>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128.4pt;height:11pt;mso-position-horizontal-relative:page;mso-position-vertical-relative:page;z-index:-11361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广东乐心医疗电子股份有限公司</w:t>
                </w:r>
                <w:r>
                  <w:rPr>
                    <w:rFonts w:ascii="宋体" w:hAnsi="宋体" w:cs="宋体" w:eastAsia="宋体" w:hint="default"/>
                    <w:sz w:val="18"/>
                    <w:szCs w:val="18"/>
                  </w:rPr>
                </w:r>
              </w:p>
            </w:txbxContent>
          </v:textbox>
          <w10:wrap type="none"/>
        </v:shape>
      </w:pict>
    </w:r>
    <w:r>
      <w:rPr/>
      <w:pict>
        <v:shape style="position:absolute;margin-left:444.328003pt;margin-top:44.845608pt;width:85.4pt;height:11.5pt;mso-position-horizontal-relative:page;mso-position-vertical-relative:page;z-index:-11361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年年度报告全文</w:t>
                </w:r>
                <w:r>
                  <w:rPr>
                    <w:rFonts w:ascii="宋体" w:hAnsi="宋体" w:cs="宋体" w:eastAsia="宋体" w:hint="default"/>
                    <w:sz w:val="18"/>
                    <w:szCs w:val="18"/>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128.4pt;height:11pt;mso-position-horizontal-relative:page;mso-position-vertical-relative:page;z-index:-11361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广东乐心医疗电子股份有限公司</w:t>
                </w:r>
                <w:r>
                  <w:rPr>
                    <w:rFonts w:ascii="宋体" w:hAnsi="宋体" w:cs="宋体" w:eastAsia="宋体" w:hint="default"/>
                    <w:sz w:val="18"/>
                    <w:szCs w:val="18"/>
                  </w:rPr>
                </w:r>
              </w:p>
            </w:txbxContent>
          </v:textbox>
          <w10:wrap type="none"/>
        </v:shape>
      </w:pict>
    </w:r>
    <w:r>
      <w:rPr/>
      <w:pict>
        <v:shape style="position:absolute;margin-left:444.328003pt;margin-top:44.845608pt;width:85.4pt;height:11.5pt;mso-position-horizontal-relative:page;mso-position-vertical-relative:page;z-index:-11360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年年度报告全文</w:t>
                </w:r>
                <w:r>
                  <w:rPr>
                    <w:rFonts w:ascii="宋体" w:hAnsi="宋体" w:cs="宋体" w:eastAsia="宋体" w:hint="default"/>
                    <w:sz w:val="18"/>
                    <w:szCs w:val="18"/>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5"/>
      <w:ind w:left="1133"/>
    </w:pPr>
    <w:rPr>
      <w:rFonts w:ascii="宋体" w:hAnsi="宋体" w:eastAsia="宋体"/>
      <w:b/>
      <w:bCs/>
      <w:sz w:val="24"/>
      <w:szCs w:val="24"/>
    </w:rPr>
  </w:style>
  <w:style w:styleId="BodyText" w:type="paragraph">
    <w:name w:val="Body Text"/>
    <w:basedOn w:val="Normal"/>
    <w:uiPriority w:val="1"/>
    <w:qFormat/>
    <w:pPr>
      <w:ind w:left="1134"/>
    </w:pPr>
    <w:rPr>
      <w:rFonts w:ascii="宋体" w:hAnsi="宋体" w:eastAsia="宋体"/>
      <w:sz w:val="18"/>
      <w:szCs w:val="18"/>
    </w:rPr>
  </w:style>
  <w:style w:styleId="Heading1" w:type="paragraph">
    <w:name w:val="Heading 1"/>
    <w:basedOn w:val="Normal"/>
    <w:uiPriority w:val="1"/>
    <w:qFormat/>
    <w:pPr>
      <w:spacing w:before="1"/>
      <w:ind w:left="1625"/>
      <w:outlineLvl w:val="1"/>
    </w:pPr>
    <w:rPr>
      <w:rFonts w:ascii="宋体" w:hAnsi="宋体" w:eastAsia="宋体"/>
      <w:b/>
      <w:bCs/>
      <w:sz w:val="32"/>
      <w:szCs w:val="32"/>
    </w:rPr>
  </w:style>
  <w:style w:styleId="Heading2" w:type="paragraph">
    <w:name w:val="Heading 2"/>
    <w:basedOn w:val="Normal"/>
    <w:uiPriority w:val="1"/>
    <w:qFormat/>
    <w:pPr>
      <w:ind w:left="1134"/>
      <w:outlineLvl w:val="2"/>
    </w:pPr>
    <w:rPr>
      <w:rFonts w:ascii="宋体" w:hAnsi="宋体" w:eastAsia="宋体"/>
      <w:b/>
      <w:bCs/>
      <w:sz w:val="24"/>
      <w:szCs w:val="24"/>
    </w:rPr>
  </w:style>
  <w:style w:styleId="Heading3" w:type="paragraph">
    <w:name w:val="Heading 3"/>
    <w:basedOn w:val="Normal"/>
    <w:uiPriority w:val="1"/>
    <w:qFormat/>
    <w:pPr>
      <w:ind w:left="1134"/>
      <w:outlineLvl w:val="3"/>
    </w:pPr>
    <w:rPr>
      <w:rFonts w:ascii="宋体" w:hAnsi="宋体" w:eastAsia="宋体"/>
      <w:b/>
      <w:bCs/>
      <w:sz w:val="21"/>
      <w:szCs w:val="21"/>
    </w:rPr>
  </w:style>
  <w:style w:styleId="Heading4" w:type="paragraph">
    <w:name w:val="Heading 4"/>
    <w:basedOn w:val="Normal"/>
    <w:uiPriority w:val="1"/>
    <w:qFormat/>
    <w:pPr>
      <w:spacing w:before="35"/>
      <w:ind w:left="1494"/>
      <w:outlineLvl w:val="4"/>
    </w:pPr>
    <w:rPr>
      <w:rFonts w:ascii="宋体" w:hAnsi="宋体" w:eastAsia="宋体"/>
      <w:sz w:val="21"/>
      <w:szCs w:val="21"/>
    </w:rPr>
  </w:style>
  <w:style w:styleId="Heading5" w:type="paragraph">
    <w:name w:val="Heading 5"/>
    <w:basedOn w:val="Normal"/>
    <w:uiPriority w:val="1"/>
    <w:qFormat/>
    <w:pPr>
      <w:spacing w:before="21"/>
      <w:ind w:left="1133"/>
      <w:outlineLvl w:val="5"/>
    </w:pPr>
    <w:rPr>
      <w:rFonts w:ascii="宋体" w:hAnsi="宋体" w:eastAsia="宋体"/>
      <w:sz w:val="19"/>
      <w:szCs w:val="19"/>
    </w:rPr>
  </w:style>
  <w:style w:styleId="Heading6" w:type="paragraph">
    <w:name w:val="Heading 6"/>
    <w:basedOn w:val="Normal"/>
    <w:uiPriority w:val="1"/>
    <w:qFormat/>
    <w:pPr>
      <w:ind w:left="20"/>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yperlink" Target="http://www.lifesense.com/" TargetMode="External"/><Relationship Id="rId11" Type="http://schemas.openxmlformats.org/officeDocument/2006/relationships/hyperlink" Target="mailto:ls@lifesense.com" TargetMode="External"/><Relationship Id="rId12" Type="http://schemas.openxmlformats.org/officeDocument/2006/relationships/hyperlink" Target="http://www.cninfo.com.cn/"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www.cninfo.com.cn/finalpage/2" TargetMode="External"/><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jpeg"/><Relationship Id="rId24" Type="http://schemas.openxmlformats.org/officeDocument/2006/relationships/footer" Target="footer3.xml"/><Relationship Id="rId25" Type="http://schemas.openxmlformats.org/officeDocument/2006/relationships/footer" Target="footer4.xml"/><Relationship Id="rId26" Type="http://schemas.openxmlformats.org/officeDocument/2006/relationships/image" Target="media/image13.png"/><Relationship Id="rId27" Type="http://schemas.openxmlformats.org/officeDocument/2006/relationships/footer" Target="footer5.xml"/><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header" Target="header3.xml"/><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header" Target="header4.xml"/><Relationship Id="rId37" Type="http://schemas.openxmlformats.org/officeDocument/2006/relationships/header" Target="header5.xml"/><Relationship Id="rId38" Type="http://schemas.openxmlformats.org/officeDocument/2006/relationships/footer" Target="footer6.xml"/><Relationship Id="rId39" Type="http://schemas.openxmlformats.org/officeDocument/2006/relationships/image" Target="media/image21.png"/><Relationship Id="rId40" Type="http://schemas.openxmlformats.org/officeDocument/2006/relationships/footer" Target="footer7.xml"/><Relationship Id="rId41" Type="http://schemas.openxmlformats.org/officeDocument/2006/relationships/image" Target="media/image22.png"/><Relationship Id="rId42" Type="http://schemas.openxmlformats.org/officeDocument/2006/relationships/image" Target="media/image2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2206</dc:creator>
  <dcterms:created xsi:type="dcterms:W3CDTF">2020-05-03T01:02:58Z</dcterms:created>
  <dcterms:modified xsi:type="dcterms:W3CDTF">2020-05-03T01:02:58Z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2018-03-29T00:00:00Z</vt:filetime>
  </property>
  <property fmtid="{D5CDD505-2E9C-101B-9397-08002B2CF9AE}" pid="3" name="Creator">
    <vt:lpwstr>Microsoft® Office Word 2007</vt:lpwstr>
  </property>
  <property fmtid="{D5CDD505-2E9C-101B-9397-08002B2CF9AE}" pid="4" name="LastSaved">
    <vt:filetime>2020-05-02T00:00:00Z</vt:filetime>
  </property>
</Properties>
</file>