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52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333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333375"/>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1" w:right="3405" w:firstLine="0"/>
        <w:jc w:val="center"/>
        <w:rPr>
          <w:rFonts w:ascii="宋体" w:hAnsi="宋体" w:cs="宋体" w:eastAsia="宋体" w:hint="default"/>
          <w:sz w:val="36"/>
          <w:szCs w:val="36"/>
        </w:rPr>
      </w:pPr>
      <w:r>
        <w:rPr>
          <w:rFonts w:ascii="宋体" w:hAnsi="宋体" w:cs="宋体" w:eastAsia="宋体" w:hint="default"/>
          <w:b/>
          <w:bCs/>
          <w:sz w:val="36"/>
          <w:szCs w:val="36"/>
        </w:rPr>
        <w:t>广东乐心医疗电子股份有限公司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1" w:right="3399" w:firstLine="0"/>
        <w:jc w:val="center"/>
        <w:rPr>
          <w:rFonts w:ascii="Times New Roman" w:hAnsi="Times New Roman" w:cs="Times New Roman" w:eastAsia="Times New Roman" w:hint="default"/>
          <w:sz w:val="22"/>
          <w:szCs w:val="22"/>
        </w:rPr>
      </w:pPr>
      <w:r>
        <w:rPr>
          <w:rFonts w:ascii="Times New Roman"/>
          <w:b/>
          <w:sz w:val="22"/>
        </w:rPr>
        <w:t>2020-033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42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1119"/>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left="152"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left="152" w:right="1131" w:firstLine="562"/>
        <w:jc w:val="both"/>
        <w:rPr>
          <w:b w:val="0"/>
          <w:bCs w:val="0"/>
        </w:rPr>
      </w:pPr>
      <w:r>
        <w:rPr>
          <w:w w:val="95"/>
        </w:rPr>
        <w:t>公司负责人潘伟潮、主管会计工作负责人石绍海及会计机构负责人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汪小飞声明：保证年度报告中财务报告的真实、准确、完整。</w:t>
      </w:r>
      <w:r>
        <w:rPr>
          <w:b w:val="0"/>
          <w:bCs w:val="0"/>
        </w:rPr>
      </w:r>
    </w:p>
    <w:p>
      <w:pPr>
        <w:pStyle w:val="Heading2"/>
        <w:spacing w:line="240" w:lineRule="auto" w:before="148"/>
        <w:ind w:right="1119"/>
        <w:jc w:val="left"/>
        <w:rPr>
          <w:b w:val="0"/>
          <w:bCs w:val="0"/>
        </w:rPr>
      </w:pPr>
      <w:r>
        <w:rPr/>
        <w:t>所有董事均已出席了审议本报告的董事会会议。</w:t>
      </w:r>
      <w:r>
        <w:rPr>
          <w:b w:val="0"/>
          <w:bCs w:val="0"/>
        </w:rPr>
      </w:r>
    </w:p>
    <w:p>
      <w:pPr>
        <w:spacing w:after="0" w:line="240" w:lineRule="auto"/>
        <w:jc w:val="left"/>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240" w:lineRule="auto"/>
        <w:ind w:right="1119"/>
        <w:jc w:val="left"/>
        <w:rPr>
          <w:b w:val="0"/>
          <w:bCs w:val="0"/>
        </w:rPr>
      </w:pPr>
      <w:r>
        <w:rPr/>
        <w:t>重要提示：</w:t>
      </w:r>
      <w:r>
        <w:rPr>
          <w:b w:val="0"/>
          <w:bCs w:val="0"/>
        </w:rPr>
      </w:r>
    </w:p>
    <w:p>
      <w:pPr>
        <w:spacing w:line="240" w:lineRule="auto" w:before="5"/>
        <w:rPr>
          <w:rFonts w:ascii="宋体" w:hAnsi="宋体" w:cs="宋体" w:eastAsia="宋体" w:hint="default"/>
          <w:b/>
          <w:bCs/>
          <w:sz w:val="27"/>
          <w:szCs w:val="27"/>
        </w:rPr>
      </w:pPr>
    </w:p>
    <w:p>
      <w:pPr>
        <w:pStyle w:val="Heading2"/>
        <w:spacing w:line="240" w:lineRule="auto" w:before="0"/>
        <w:ind w:right="1119"/>
        <w:jc w:val="left"/>
        <w:rPr>
          <w:b w:val="0"/>
          <w:bCs w:val="0"/>
        </w:rPr>
      </w:pPr>
      <w:r>
        <w:rPr/>
        <w:t>（一）可能存在的风险因素</w:t>
      </w:r>
      <w:r>
        <w:rPr>
          <w:b w:val="0"/>
          <w:bCs w:val="0"/>
        </w:rPr>
      </w:r>
    </w:p>
    <w:p>
      <w:pPr>
        <w:spacing w:line="240" w:lineRule="auto" w:before="8"/>
        <w:rPr>
          <w:rFonts w:ascii="宋体" w:hAnsi="宋体" w:cs="宋体" w:eastAsia="宋体" w:hint="default"/>
          <w:b/>
          <w:bCs/>
          <w:sz w:val="23"/>
          <w:szCs w:val="23"/>
        </w:rPr>
      </w:pPr>
    </w:p>
    <w:p>
      <w:pPr>
        <w:pStyle w:val="Heading4"/>
        <w:spacing w:line="357" w:lineRule="auto"/>
        <w:ind w:left="152" w:right="1140" w:firstLine="480"/>
        <w:jc w:val="both"/>
      </w:pPr>
      <w:r>
        <w:rPr/>
        <w:t>本年度报告涉及未来计划等前瞻性陈述，不构成公司对投资者的实质承诺，投资者及相 关人士均应当对此保持足够的风险认识，并且应当理解计划、预测与承诺之间的差异。</w:t>
      </w:r>
    </w:p>
    <w:p>
      <w:pPr>
        <w:pStyle w:val="Heading3"/>
        <w:spacing w:line="240" w:lineRule="auto" w:before="137"/>
        <w:ind w:left="635" w:right="1119"/>
        <w:jc w:val="left"/>
        <w:rPr>
          <w:b w:val="0"/>
          <w:bCs w:val="0"/>
        </w:rPr>
      </w:pPr>
      <w:r>
        <w:rPr>
          <w:rFonts w:ascii="宋体" w:hAnsi="宋体" w:cs="宋体" w:eastAsia="宋体" w:hint="default"/>
        </w:rPr>
        <w:t>1</w:t>
      </w:r>
      <w:r>
        <w:rPr/>
        <w:t>、新增投入的产出不达预期风险</w:t>
      </w:r>
      <w:r>
        <w:rPr>
          <w:b w:val="0"/>
          <w:bCs w:val="0"/>
        </w:rPr>
      </w:r>
    </w:p>
    <w:p>
      <w:pPr>
        <w:spacing w:line="240" w:lineRule="auto" w:before="6"/>
        <w:rPr>
          <w:rFonts w:ascii="宋体" w:hAnsi="宋体" w:cs="宋体" w:eastAsia="宋体" w:hint="default"/>
          <w:b/>
          <w:bCs/>
          <w:sz w:val="19"/>
          <w:szCs w:val="19"/>
        </w:rPr>
      </w:pPr>
    </w:p>
    <w:p>
      <w:pPr>
        <w:pStyle w:val="Heading4"/>
        <w:spacing w:line="357" w:lineRule="auto"/>
        <w:ind w:left="152" w:right="1131" w:firstLine="480"/>
        <w:jc w:val="both"/>
      </w:pPr>
      <w:r>
        <w:rPr/>
        <w:t>为匹配公司整体发展战略，向行业客户提供健康 </w:t>
      </w:r>
      <w:r>
        <w:rPr>
          <w:rFonts w:ascii="宋体" w:hAnsi="宋体" w:cs="宋体" w:eastAsia="宋体" w:hint="default"/>
        </w:rPr>
        <w:t>IoT</w:t>
      </w:r>
      <w:r>
        <w:rPr>
          <w:rFonts w:ascii="宋体" w:hAnsi="宋体" w:cs="宋体" w:eastAsia="宋体" w:hint="default"/>
          <w:spacing w:val="-81"/>
        </w:rPr>
        <w:t> </w:t>
      </w:r>
      <w:r>
        <w:rPr/>
        <w:t>和智能健康整体解决方案，公司需 在整体基础能力包括厂房建筑、生产物流自动化、软硬件的研究开发等方面不断加大投入，</w:t>
      </w:r>
      <w:r>
        <w:rPr>
          <w:spacing w:val="-91"/>
        </w:rPr>
        <w:t> </w:t>
      </w:r>
      <w:r>
        <w:rPr>
          <w:spacing w:val="-91"/>
        </w:rPr>
      </w:r>
      <w:r>
        <w:rPr/>
        <w:t>这些投入对应的产出具有滞后性和不确定性。如果新增投入的产出不能达到预期，将对公司</w:t>
      </w:r>
      <w:r>
        <w:rPr>
          <w:spacing w:val="-91"/>
        </w:rPr>
        <w:t> </w:t>
      </w:r>
      <w:r>
        <w:rPr>
          <w:spacing w:val="-91"/>
        </w:rPr>
      </w:r>
      <w:r>
        <w:rPr/>
        <w:t>营业收入和净利润产生直接影响。</w:t>
      </w:r>
    </w:p>
    <w:p>
      <w:pPr>
        <w:pStyle w:val="Heading3"/>
        <w:spacing w:line="240" w:lineRule="auto" w:before="134"/>
        <w:ind w:left="635" w:right="1119"/>
        <w:jc w:val="left"/>
        <w:rPr>
          <w:b w:val="0"/>
          <w:bCs w:val="0"/>
        </w:rPr>
      </w:pPr>
      <w:r>
        <w:rPr>
          <w:rFonts w:ascii="宋体" w:hAnsi="宋体" w:cs="宋体" w:eastAsia="宋体" w:hint="default"/>
        </w:rPr>
        <w:t>2</w:t>
      </w:r>
      <w:r>
        <w:rPr/>
        <w:t>、市场风险</w:t>
      </w:r>
      <w:r>
        <w:rPr>
          <w:b w:val="0"/>
          <w:bCs w:val="0"/>
        </w:rPr>
      </w:r>
    </w:p>
    <w:p>
      <w:pPr>
        <w:spacing w:line="240" w:lineRule="auto" w:before="6"/>
        <w:rPr>
          <w:rFonts w:ascii="宋体" w:hAnsi="宋体" w:cs="宋体" w:eastAsia="宋体" w:hint="default"/>
          <w:b/>
          <w:bCs/>
          <w:sz w:val="19"/>
          <w:szCs w:val="19"/>
        </w:rPr>
      </w:pPr>
    </w:p>
    <w:p>
      <w:pPr>
        <w:pStyle w:val="Heading4"/>
        <w:spacing w:line="434" w:lineRule="auto"/>
        <w:ind w:left="633" w:right="1119" w:firstLine="120"/>
        <w:jc w:val="left"/>
      </w:pPr>
      <w:r>
        <w:rPr/>
        <w:t>（</w:t>
      </w:r>
      <w:r>
        <w:rPr>
          <w:rFonts w:ascii="宋体" w:hAnsi="宋体" w:cs="宋体" w:eastAsia="宋体" w:hint="default"/>
        </w:rPr>
        <w:t>1</w:t>
      </w:r>
      <w:r>
        <w:rPr/>
        <w:t>）国外市场风险 公司积极参与国际市场竞争，出口业务主要在欧、美、日、韩等经济发达地区展开，并</w:t>
      </w:r>
    </w:p>
    <w:p>
      <w:pPr>
        <w:pStyle w:val="Heading4"/>
        <w:spacing w:line="274" w:lineRule="exact"/>
        <w:ind w:left="0" w:right="1136"/>
        <w:jc w:val="right"/>
      </w:pPr>
      <w:r>
        <w:rPr/>
        <w:t>且业务收入占总营业收入比重比较大。如果主要进口国贸易政策和经济形势等发生重大不利</w:t>
      </w:r>
    </w:p>
    <w:p>
      <w:pPr>
        <w:pStyle w:val="Heading4"/>
        <w:spacing w:line="357" w:lineRule="auto" w:before="154"/>
        <w:ind w:left="0" w:right="1136"/>
        <w:jc w:val="right"/>
      </w:pPr>
      <w:r>
        <w:rPr/>
        <w:t>变化、因产品价格或品质以及新产品开发能力等不能满足客户需求，导致新业务开拓失败甚</w:t>
      </w:r>
      <w:r>
        <w:rPr>
          <w:spacing w:val="-99"/>
        </w:rPr>
        <w:t> </w:t>
      </w:r>
      <w:r>
        <w:rPr>
          <w:spacing w:val="-99"/>
        </w:rPr>
      </w:r>
      <w:r>
        <w:rPr/>
        <w:t>至固有客户流失，将影响海外业务健康稳定发展，是公司在海外市场可能面临的主要风险。</w:t>
      </w:r>
    </w:p>
    <w:p>
      <w:pPr>
        <w:pStyle w:val="Heading4"/>
        <w:spacing w:line="357" w:lineRule="auto" w:before="134"/>
        <w:ind w:left="152" w:right="1140" w:firstLine="480"/>
        <w:jc w:val="both"/>
      </w:pPr>
      <w:r>
        <w:rPr/>
        <w:t>公司将密切关注国际贸易政策及经济形势，进一步提升产品附加值和综合竞争能力，持 续加强海外市场的拓展力度，有效提升产品市场占有率，增强公司综合盈利能力。</w:t>
      </w:r>
    </w:p>
    <w:p>
      <w:pPr>
        <w:pStyle w:val="Heading4"/>
        <w:spacing w:line="434" w:lineRule="auto" w:before="137"/>
        <w:ind w:left="633" w:right="1119"/>
        <w:jc w:val="left"/>
      </w:pPr>
      <w:r>
        <w:rPr/>
        <w:t>（</w:t>
      </w:r>
      <w:r>
        <w:rPr>
          <w:rFonts w:ascii="宋体" w:hAnsi="宋体" w:cs="宋体" w:eastAsia="宋体" w:hint="default"/>
        </w:rPr>
        <w:t>2</w:t>
      </w:r>
      <w:r>
        <w:rPr/>
        <w:t>）国内市场风险 国内智能健康医疗产品创新要求高、更新迭代快，对新产品的推出效率提出了很高的要</w:t>
      </w:r>
    </w:p>
    <w:p>
      <w:pPr>
        <w:pStyle w:val="Heading4"/>
        <w:spacing w:line="274" w:lineRule="exact"/>
        <w:ind w:left="0" w:right="1134"/>
        <w:jc w:val="right"/>
      </w:pPr>
      <w:r>
        <w:rPr/>
        <w:t>求。而实现用户对健康管理需求更重要的环节，则是专业人员对用户健康测量数据的跟踪和</w:t>
      </w:r>
    </w:p>
    <w:p>
      <w:pPr>
        <w:pStyle w:val="Heading4"/>
        <w:spacing w:line="357" w:lineRule="auto" w:before="154"/>
        <w:ind w:left="152" w:right="1119"/>
        <w:jc w:val="left"/>
      </w:pPr>
      <w:r>
        <w:rPr/>
        <w:t>干预，即智能产品用户数据的运营管理。目前公司正积极探索这些数据运营的商业模式和盈</w:t>
      </w:r>
      <w:r>
        <w:rPr>
          <w:spacing w:val="-87"/>
        </w:rPr>
        <w:t> </w:t>
      </w:r>
      <w:r>
        <w:rPr>
          <w:spacing w:val="-87"/>
        </w:rPr>
      </w:r>
      <w:r>
        <w:rPr/>
        <w:t>利模式，但结果存在不确定性。</w:t>
      </w:r>
    </w:p>
    <w:p>
      <w:pPr>
        <w:pStyle w:val="Heading4"/>
        <w:spacing w:line="357" w:lineRule="auto" w:before="135"/>
        <w:ind w:left="152" w:right="1134" w:firstLine="480"/>
        <w:jc w:val="both"/>
      </w:pPr>
      <w:r>
        <w:rPr/>
        <w:t>公司国内市场开拓主要以智能可穿戴设备为主，近几年国内智能可穿戴行业升级持续进 行，国内外行业巨头纷纷进入，市场竞争进一步加剧。公司产品品类是否符合消费者的消费</w:t>
      </w:r>
      <w:r>
        <w:rPr>
          <w:spacing w:val="-91"/>
        </w:rPr>
        <w:t> </w:t>
      </w:r>
      <w:r>
        <w:rPr>
          <w:spacing w:val="-91"/>
        </w:rPr>
      </w:r>
      <w:r>
        <w:rPr/>
        <w:t>偏好以及行业发展具有不确定性，如果将来公司不能结合产品核心技术、产品质量、营销网</w:t>
      </w:r>
      <w:r>
        <w:rPr>
          <w:spacing w:val="-91"/>
        </w:rPr>
        <w:t> </w:t>
      </w:r>
      <w:r>
        <w:rPr>
          <w:spacing w:val="-91"/>
        </w:rPr>
      </w:r>
      <w:r>
        <w:rPr/>
        <w:t>络、客户资源等方面的优势加快多元化发展、积极与行业优质客户及市场接轨、加大产品覆</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434" w:lineRule="auto" w:before="26"/>
        <w:ind w:left="633" w:right="1119" w:hanging="481"/>
        <w:jc w:val="left"/>
        <w:rPr>
          <w:rFonts w:ascii="宋体" w:hAnsi="宋体" w:cs="宋体" w:eastAsia="宋体" w:hint="default"/>
          <w:sz w:val="24"/>
          <w:szCs w:val="24"/>
        </w:rPr>
      </w:pPr>
      <w:r>
        <w:rPr>
          <w:rFonts w:ascii="宋体" w:hAnsi="宋体" w:cs="宋体" w:eastAsia="宋体" w:hint="default"/>
          <w:sz w:val="24"/>
          <w:szCs w:val="24"/>
        </w:rPr>
        <w:t>盖率，可能出现业绩增长速度放缓、市场占有份额下降的风险。 </w:t>
      </w:r>
      <w:r>
        <w:rPr>
          <w:rFonts w:ascii="宋体" w:hAnsi="宋体" w:cs="宋体" w:eastAsia="宋体" w:hint="default"/>
          <w:b/>
          <w:bCs/>
          <w:sz w:val="24"/>
          <w:szCs w:val="24"/>
        </w:rPr>
        <w:t>3</w:t>
      </w:r>
      <w:r>
        <w:rPr>
          <w:rFonts w:ascii="宋体" w:hAnsi="宋体" w:cs="宋体" w:eastAsia="宋体" w:hint="default"/>
          <w:b/>
          <w:bCs/>
          <w:sz w:val="24"/>
          <w:szCs w:val="24"/>
        </w:rPr>
        <w:t>、成本与费用增加对公司成本控制带来压力</w:t>
      </w:r>
      <w:r>
        <w:rPr>
          <w:rFonts w:ascii="宋体" w:hAnsi="宋体" w:cs="宋体" w:eastAsia="宋体" w:hint="default"/>
          <w:b/>
          <w:bCs/>
          <w:w w:val="99"/>
          <w:sz w:val="24"/>
          <w:szCs w:val="24"/>
        </w:rPr>
        <w:t> </w:t>
      </w:r>
      <w:r>
        <w:rPr>
          <w:rFonts w:ascii="宋体" w:hAnsi="宋体" w:cs="宋体" w:eastAsia="宋体" w:hint="default"/>
          <w:sz w:val="24"/>
          <w:szCs w:val="24"/>
        </w:rPr>
        <w:t>公司的经营成本主要包括原材料、制造成本、人力成本等，若出现原材料价格、人力成</w:t>
      </w:r>
    </w:p>
    <w:p>
      <w:pPr>
        <w:pStyle w:val="Heading4"/>
        <w:spacing w:line="274" w:lineRule="exact"/>
        <w:ind w:left="152" w:right="1119"/>
        <w:jc w:val="left"/>
      </w:pPr>
      <w:r>
        <w:rPr/>
        <w:t>本的大幅上升，将对公司成本控制产生不利影响；以及基于目前国家环保核查等政策因素，</w:t>
      </w:r>
    </w:p>
    <w:p>
      <w:pPr>
        <w:pStyle w:val="Heading4"/>
        <w:spacing w:line="357" w:lineRule="auto" w:before="154"/>
        <w:ind w:left="152" w:right="1119"/>
        <w:jc w:val="left"/>
      </w:pPr>
      <w:r>
        <w:rPr/>
        <w:t>对上游基础原材料价格将产生影响，从而增加公司成本与费用。若公司不能有效的控制成本</w:t>
      </w:r>
      <w:r>
        <w:rPr>
          <w:spacing w:val="-91"/>
        </w:rPr>
        <w:t> </w:t>
      </w:r>
      <w:r>
        <w:rPr>
          <w:spacing w:val="-91"/>
        </w:rPr>
      </w:r>
      <w:r>
        <w:rPr/>
        <w:t>和费用支出，保持公司的综合竞争力，这将会对公司管理层控制成本费用带来压力。</w:t>
      </w:r>
    </w:p>
    <w:p>
      <w:pPr>
        <w:pStyle w:val="Heading4"/>
        <w:spacing w:line="434" w:lineRule="auto" w:before="137"/>
        <w:ind w:left="633" w:right="1119" w:firstLine="124"/>
        <w:jc w:val="left"/>
        <w:rPr>
          <w:rFonts w:ascii="宋体" w:hAnsi="宋体" w:cs="宋体" w:eastAsia="宋体" w:hint="default"/>
        </w:rPr>
      </w:pPr>
      <w:r>
        <w:rPr>
          <w:rFonts w:ascii="宋体" w:hAnsi="宋体" w:cs="宋体" w:eastAsia="宋体" w:hint="default"/>
          <w:b/>
          <w:bCs/>
        </w:rPr>
        <w:t>4</w:t>
      </w:r>
      <w:r>
        <w:rPr>
          <w:rFonts w:ascii="宋体" w:hAnsi="宋体" w:cs="宋体" w:eastAsia="宋体" w:hint="default"/>
          <w:b/>
          <w:bCs/>
        </w:rPr>
        <w:t>、汇率波动风险</w:t>
      </w:r>
      <w:r>
        <w:rPr>
          <w:rFonts w:ascii="宋体" w:hAnsi="宋体" w:cs="宋体" w:eastAsia="宋体" w:hint="default"/>
          <w:b/>
          <w:bCs/>
          <w:w w:val="99"/>
        </w:rPr>
        <w:t> </w:t>
      </w:r>
      <w:r>
        <w:rPr/>
        <w:t>现阶段，公司的出口业务整体规模较大，报告期内，外销业务实现营业收入</w:t>
      </w:r>
      <w:r>
        <w:rPr>
          <w:spacing w:val="34"/>
        </w:rPr>
        <w:t> </w:t>
      </w:r>
      <w:r>
        <w:rPr>
          <w:rFonts w:ascii="宋体" w:hAnsi="宋体" w:cs="宋体" w:eastAsia="宋体" w:hint="default"/>
        </w:rPr>
        <w:t>62,867.45</w:t>
      </w:r>
    </w:p>
    <w:p>
      <w:pPr>
        <w:pStyle w:val="Heading4"/>
        <w:spacing w:line="274" w:lineRule="exact"/>
        <w:ind w:left="152" w:right="996"/>
        <w:jc w:val="left"/>
      </w:pPr>
      <w:r>
        <w:rPr>
          <w:spacing w:val="-4"/>
        </w:rPr>
        <w:t>万元，同比增长</w:t>
      </w:r>
      <w:r>
        <w:rPr>
          <w:spacing w:val="-89"/>
        </w:rPr>
        <w:t> </w:t>
      </w:r>
      <w:r>
        <w:rPr>
          <w:rFonts w:ascii="宋体" w:hAnsi="宋体" w:cs="宋体" w:eastAsia="宋体" w:hint="default"/>
        </w:rPr>
        <w:t>16.78%</w:t>
      </w:r>
      <w:r>
        <w:rPr/>
        <w:t>，占营业收入的</w:t>
      </w:r>
      <w:r>
        <w:rPr>
          <w:spacing w:val="-89"/>
        </w:rPr>
        <w:t> </w:t>
      </w:r>
      <w:r>
        <w:rPr>
          <w:rFonts w:ascii="宋体" w:hAnsi="宋体" w:cs="宋体" w:eastAsia="宋体" w:hint="default"/>
        </w:rPr>
        <w:t>71.14%</w:t>
      </w:r>
      <w:r>
        <w:rPr/>
        <w:t>。未来公司将积极开拓国内外高端市场，加强</w:t>
      </w:r>
    </w:p>
    <w:p>
      <w:pPr>
        <w:pStyle w:val="Heading4"/>
        <w:spacing w:line="357" w:lineRule="auto" w:before="154"/>
        <w:ind w:left="152" w:right="1136"/>
        <w:jc w:val="both"/>
      </w:pPr>
      <w:r>
        <w:rPr/>
        <w:t>与行业优质客户合作，海外业务规模将继续保持增长，而外汇汇率的波动将影响公司定价和</w:t>
      </w:r>
      <w:r>
        <w:rPr>
          <w:spacing w:val="-89"/>
        </w:rPr>
        <w:t> </w:t>
      </w:r>
      <w:r>
        <w:rPr>
          <w:spacing w:val="-89"/>
        </w:rPr>
      </w:r>
      <w:r>
        <w:rPr/>
        <w:t>盈利水平，从而影响到公司产品的价格竞争力，为公司带来一定风险。如果未来我国汇率政</w:t>
      </w:r>
      <w:r>
        <w:rPr>
          <w:spacing w:val="-91"/>
        </w:rPr>
        <w:t> </w:t>
      </w:r>
      <w:r>
        <w:rPr>
          <w:spacing w:val="-91"/>
        </w:rPr>
      </w:r>
      <w:r>
        <w:rPr/>
        <w:t>策发生重大变化，或者未来人民币的汇率出现大幅波动，将影响公司汇兑损益，并对净利润</w:t>
      </w:r>
      <w:r>
        <w:rPr>
          <w:spacing w:val="-91"/>
        </w:rPr>
        <w:t> </w:t>
      </w:r>
      <w:r>
        <w:rPr>
          <w:spacing w:val="-91"/>
        </w:rPr>
      </w:r>
      <w:r>
        <w:rPr/>
        <w:t>产生直接的影响。</w:t>
      </w:r>
    </w:p>
    <w:p>
      <w:pPr>
        <w:pStyle w:val="Heading4"/>
        <w:spacing w:line="357" w:lineRule="auto" w:before="134"/>
        <w:ind w:left="152" w:right="1139" w:firstLine="480"/>
        <w:jc w:val="both"/>
      </w:pPr>
      <w:r>
        <w:rPr/>
        <w:t>公司将密切关注汇率变动情况，并通过适时运用外汇套期保值等汇率避险工具、及时结 汇，或在业务合同中约定固定汇率并在适当时机启动价格谈判等做法，有效控制汇率波动对</w:t>
      </w:r>
      <w:r>
        <w:rPr>
          <w:spacing w:val="-91"/>
        </w:rPr>
        <w:t> </w:t>
      </w:r>
      <w:r>
        <w:rPr>
          <w:spacing w:val="-91"/>
        </w:rPr>
      </w:r>
      <w:r>
        <w:rPr/>
        <w:t>公司业务经营产生的不利影响。</w:t>
      </w:r>
    </w:p>
    <w:p>
      <w:pPr>
        <w:spacing w:line="434" w:lineRule="auto" w:before="137"/>
        <w:ind w:left="633" w:right="1119"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、新型冠状病毒感染肺炎疫情影响风险</w:t>
      </w:r>
      <w:r>
        <w:rPr>
          <w:rFonts w:ascii="宋体" w:hAnsi="宋体" w:cs="宋体" w:eastAsia="宋体" w:hint="default"/>
          <w:b/>
          <w:bCs/>
          <w:w w:val="99"/>
          <w:sz w:val="24"/>
          <w:szCs w:val="24"/>
        </w:rPr>
        <w:t> </w:t>
      </w:r>
      <w:r>
        <w:rPr>
          <w:rFonts w:ascii="宋体" w:hAnsi="宋体" w:cs="宋体" w:eastAsia="宋体" w:hint="default"/>
          <w:sz w:val="24"/>
          <w:szCs w:val="24"/>
        </w:rPr>
        <w:t>自新型冠状病毒感染肺炎疫情发生以来，公司高度关注疫情发展情况。第一时间成立疫</w:t>
      </w:r>
    </w:p>
    <w:p>
      <w:pPr>
        <w:pStyle w:val="Heading4"/>
        <w:spacing w:line="274" w:lineRule="exact"/>
        <w:ind w:left="152" w:right="1119"/>
        <w:jc w:val="left"/>
      </w:pPr>
      <w:r>
        <w:rPr/>
        <w:t>情防控小组，建立疫情防控体系，做好自身相关防控工作，严格遵守隔离管控规定，保障员</w:t>
      </w:r>
    </w:p>
    <w:p>
      <w:pPr>
        <w:pStyle w:val="Heading4"/>
        <w:spacing w:line="357" w:lineRule="auto" w:before="154"/>
        <w:ind w:left="152" w:right="996"/>
        <w:jc w:val="left"/>
      </w:pPr>
      <w:r>
        <w:rPr>
          <w:spacing w:val="-2"/>
        </w:rPr>
        <w:t>工安全，灵活调整员工返岗时间，保障安全有序复工，确保公司生产经营管理事项正常开展。</w:t>
      </w:r>
      <w:r>
        <w:rPr/>
        <w:t> 随着疫情在全球蔓延，对公司供应链、产品物流运输及海外销售业务可能带来的影响存在不</w:t>
      </w:r>
      <w:r>
        <w:rPr>
          <w:spacing w:val="-91"/>
        </w:rPr>
        <w:t> </w:t>
      </w:r>
      <w:r>
        <w:rPr>
          <w:spacing w:val="-91"/>
        </w:rPr>
      </w:r>
      <w:r>
        <w:rPr/>
        <w:t>确定性。</w:t>
      </w:r>
    </w:p>
    <w:p>
      <w:pPr>
        <w:pStyle w:val="Heading4"/>
        <w:spacing w:line="357" w:lineRule="auto" w:before="134"/>
        <w:ind w:left="152" w:right="1139" w:firstLine="480"/>
        <w:jc w:val="both"/>
      </w:pPr>
      <w:r>
        <w:rPr/>
        <w:t>公司将对国内外新型冠状病毒感染肺炎疫情进行密切跟踪和评估，保持与客户、供应商 的沟通，积极协调物流渠道，根据疫情及市场情况适时调整各项经营策略，降低疫情对公司</w:t>
      </w:r>
      <w:r>
        <w:rPr>
          <w:spacing w:val="-91"/>
        </w:rPr>
        <w:t> </w:t>
      </w:r>
      <w:r>
        <w:rPr>
          <w:spacing w:val="-91"/>
        </w:rPr>
      </w:r>
      <w:r>
        <w:rPr/>
        <w:t>生产经营的不利影响。</w:t>
      </w:r>
    </w:p>
    <w:p>
      <w:pPr>
        <w:pStyle w:val="Heading2"/>
        <w:spacing w:line="240" w:lineRule="auto" w:before="184"/>
        <w:ind w:right="1119"/>
        <w:jc w:val="left"/>
        <w:rPr>
          <w:b w:val="0"/>
          <w:bCs w:val="0"/>
        </w:rPr>
      </w:pPr>
      <w:r>
        <w:rPr/>
        <w:t>（二）利润分配预案</w:t>
      </w:r>
      <w:r>
        <w:rPr>
          <w:b w:val="0"/>
          <w:bCs w:val="0"/>
        </w:rPr>
      </w:r>
    </w:p>
    <w:p>
      <w:pPr>
        <w:spacing w:line="240" w:lineRule="auto" w:before="10"/>
        <w:rPr>
          <w:rFonts w:ascii="宋体" w:hAnsi="宋体" w:cs="宋体" w:eastAsia="宋体" w:hint="default"/>
          <w:b/>
          <w:bCs/>
          <w:sz w:val="23"/>
          <w:szCs w:val="23"/>
        </w:rPr>
      </w:pPr>
    </w:p>
    <w:p>
      <w:pPr>
        <w:pStyle w:val="Heading4"/>
        <w:spacing w:line="240" w:lineRule="auto"/>
        <w:ind w:left="633" w:right="996"/>
        <w:jc w:val="left"/>
      </w:pPr>
      <w:r>
        <w:rPr/>
        <w:t>公司经本次董事会审议通过的利润分配预案为：以 </w:t>
      </w:r>
      <w:r>
        <w:rPr>
          <w:rFonts w:ascii="宋体" w:hAnsi="宋体" w:cs="宋体" w:eastAsia="宋体" w:hint="default"/>
        </w:rPr>
        <w:t>190,233,625</w:t>
      </w:r>
      <w:r>
        <w:rPr>
          <w:rFonts w:ascii="宋体" w:hAnsi="宋体" w:cs="宋体" w:eastAsia="宋体" w:hint="default"/>
          <w:spacing w:val="-81"/>
        </w:rPr>
        <w:t> </w:t>
      </w:r>
      <w:r>
        <w:rPr/>
        <w:t>股为基数，向全体股东</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4"/>
        <w:spacing w:line="240" w:lineRule="auto" w:before="26"/>
        <w:ind w:left="152" w:right="996"/>
        <w:jc w:val="left"/>
        <w:rPr>
          <w:rFonts w:ascii="宋体" w:hAnsi="宋体" w:cs="宋体" w:eastAsia="宋体" w:hint="default"/>
        </w:rPr>
      </w:pPr>
      <w:r>
        <w:rPr/>
        <w:t>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1"/>
        </w:rPr>
        <w:t> </w:t>
      </w:r>
      <w:r>
        <w:rPr>
          <w:rFonts w:ascii="宋体" w:hAnsi="宋体" w:cs="宋体" w:eastAsia="宋体" w:hint="default"/>
        </w:rPr>
        <w:t>0.22</w:t>
      </w:r>
      <w:r>
        <w:rPr>
          <w:rFonts w:ascii="宋体" w:hAnsi="宋体" w:cs="宋体" w:eastAsia="宋体" w:hint="default"/>
          <w:spacing w:val="-60"/>
        </w:rPr>
        <w:t> </w:t>
      </w:r>
      <w:r>
        <w:rPr>
          <w:spacing w:val="-5"/>
        </w:rPr>
        <w:t>元</w:t>
      </w:r>
      <w:r>
        <w:rPr/>
        <w:t>（含税</w:t>
      </w:r>
      <w:r>
        <w:rPr>
          <w:spacing w:val="-120"/>
        </w:rPr>
        <w:t>）</w:t>
      </w:r>
      <w:r>
        <w:rPr>
          <w:spacing w:val="-5"/>
        </w:rPr>
        <w:t>，</w:t>
      </w:r>
      <w:r>
        <w:rPr/>
        <w:t>送</w:t>
      </w:r>
      <w:r>
        <w:rPr>
          <w:spacing w:val="-3"/>
        </w:rPr>
        <w:t>红</w:t>
      </w:r>
      <w:r>
        <w:rPr/>
        <w:t>股</w:t>
      </w:r>
      <w:r>
        <w:rPr>
          <w:spacing w:val="-60"/>
        </w:rPr>
        <w:t> </w:t>
      </w:r>
      <w:r>
        <w:rPr>
          <w:rFonts w:ascii="宋体" w:hAnsi="宋体" w:cs="宋体" w:eastAsia="宋体" w:hint="default"/>
        </w:rPr>
        <w:t>0</w:t>
      </w:r>
      <w:r>
        <w:rPr>
          <w:rFonts w:ascii="宋体" w:hAnsi="宋体" w:cs="宋体" w:eastAsia="宋体" w:hint="default"/>
          <w:spacing w:val="-60"/>
        </w:rPr>
        <w:t> </w:t>
      </w:r>
      <w:r>
        <w:rPr>
          <w:spacing w:val="-5"/>
        </w:rPr>
        <w:t>股</w:t>
      </w:r>
      <w:r>
        <w:rPr/>
        <w:t>（含税</w:t>
      </w:r>
      <w:r>
        <w:rPr>
          <w:spacing w:val="-120"/>
        </w:rPr>
        <w:t>）</w:t>
      </w:r>
      <w:r>
        <w:rPr>
          <w:spacing w:val="-5"/>
        </w:rPr>
        <w:t>，</w:t>
      </w:r>
      <w:r>
        <w:rPr/>
        <w:t>以</w:t>
      </w:r>
      <w:r>
        <w:rPr>
          <w:spacing w:val="-3"/>
        </w:rPr>
        <w:t>资</w:t>
      </w:r>
      <w:r>
        <w:rPr/>
        <w:t>本公积金向全体股东每</w:t>
      </w:r>
      <w:r>
        <w:rPr>
          <w:spacing w:val="-59"/>
        </w:rPr>
        <w:t> </w:t>
      </w:r>
      <w:r>
        <w:rPr>
          <w:rFonts w:ascii="宋体" w:hAnsi="宋体" w:cs="宋体" w:eastAsia="宋体" w:hint="default"/>
        </w:rPr>
        <w:t>10</w:t>
      </w:r>
    </w:p>
    <w:p>
      <w:pPr>
        <w:pStyle w:val="Heading4"/>
        <w:spacing w:line="240" w:lineRule="auto" w:before="154"/>
        <w:ind w:left="152" w:right="1119"/>
        <w:jc w:val="left"/>
      </w:pPr>
      <w:r>
        <w:rPr/>
        <w:t>股转增</w:t>
      </w:r>
      <w:r>
        <w:rPr>
          <w:spacing w:val="-60"/>
        </w:rPr>
        <w:t> </w:t>
      </w:r>
      <w:r>
        <w:rPr>
          <w:rFonts w:ascii="宋体" w:hAnsi="宋体" w:cs="宋体" w:eastAsia="宋体" w:hint="default"/>
        </w:rPr>
        <w:t>0</w:t>
      </w:r>
      <w:r>
        <w:rPr>
          <w:rFonts w:ascii="宋体" w:hAnsi="宋体" w:cs="宋体" w:eastAsia="宋体" w:hint="default"/>
          <w:spacing w:val="-61"/>
        </w:rPr>
        <w:t> </w:t>
      </w:r>
      <w:r>
        <w:rPr/>
        <w:t>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5"/>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第一节重要提示、目录和释义</w:t>
            </w:r>
            <w:r>
              <w:rPr>
                <w:rFonts w:ascii="宋体" w:hAnsi="宋体" w:cs="宋体" w:eastAsia="宋体" w:hint="default"/>
              </w:rPr>
              <w:tab/>
              <w:t>2</w:t>
            </w:r>
          </w:hyperlink>
        </w:p>
        <w:p>
          <w:pPr>
            <w:pStyle w:val="TOC1"/>
            <w:tabs>
              <w:tab w:pos="9784" w:val="right" w:leader="dot"/>
            </w:tabs>
            <w:spacing w:line="240" w:lineRule="auto" w:before="299"/>
            <w:ind w:right="0"/>
            <w:jc w:val="left"/>
            <w:rPr>
              <w:rFonts w:ascii="宋体" w:hAnsi="宋体" w:cs="宋体" w:eastAsia="宋体" w:hint="default"/>
            </w:rPr>
          </w:pPr>
          <w:hyperlink w:history="true" w:anchor="_bookmark1">
            <w:r>
              <w:rPr/>
              <w:t>第二节公司简介和主要财务指标</w:t>
            </w:r>
            <w:r>
              <w:rPr>
                <w:rFonts w:ascii="宋体" w:hAnsi="宋体" w:cs="宋体" w:eastAsia="宋体" w:hint="default"/>
              </w:rPr>
              <w:tab/>
              <w:t>9</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2">
            <w:r>
              <w:rPr/>
              <w:t>第三节公司业务概要</w:t>
            </w:r>
            <w:r>
              <w:rPr>
                <w:rFonts w:ascii="宋体" w:hAnsi="宋体" w:cs="宋体" w:eastAsia="宋体" w:hint="default"/>
              </w:rPr>
              <w:tab/>
              <w:t>13</w:t>
            </w:r>
          </w:hyperlink>
        </w:p>
        <w:p>
          <w:pPr>
            <w:pStyle w:val="TOC1"/>
            <w:tabs>
              <w:tab w:pos="9785" w:val="right" w:leader="dot"/>
            </w:tabs>
            <w:spacing w:line="240" w:lineRule="auto"/>
            <w:ind w:right="0"/>
            <w:jc w:val="left"/>
            <w:rPr>
              <w:rFonts w:ascii="宋体" w:hAnsi="宋体" w:cs="宋体" w:eastAsia="宋体" w:hint="default"/>
            </w:rPr>
          </w:pPr>
          <w:hyperlink w:history="true" w:anchor="_bookmark3">
            <w:r>
              <w:rPr/>
              <w:t>第四节经营情况讨论与分析</w:t>
            </w:r>
            <w:r>
              <w:rPr>
                <w:rFonts w:ascii="宋体" w:hAnsi="宋体" w:cs="宋体" w:eastAsia="宋体" w:hint="default"/>
              </w:rPr>
              <w:tab/>
              <w:t>20</w:t>
            </w:r>
          </w:hyperlink>
        </w:p>
        <w:p>
          <w:pPr>
            <w:pStyle w:val="TOC1"/>
            <w:tabs>
              <w:tab w:pos="9785" w:val="right" w:leader="dot"/>
            </w:tabs>
            <w:spacing w:line="240" w:lineRule="auto"/>
            <w:ind w:right="0"/>
            <w:jc w:val="left"/>
            <w:rPr>
              <w:rFonts w:ascii="宋体" w:hAnsi="宋体" w:cs="宋体" w:eastAsia="宋体" w:hint="default"/>
            </w:rPr>
          </w:pPr>
          <w:hyperlink w:history="true" w:anchor="_bookmark4">
            <w:r>
              <w:rPr/>
              <w:t>第五节重要事项</w:t>
            </w:r>
            <w:r>
              <w:rPr>
                <w:rFonts w:ascii="宋体" w:hAnsi="宋体" w:cs="宋体" w:eastAsia="宋体" w:hint="default"/>
              </w:rPr>
              <w:tab/>
              <w:t>47</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5">
            <w:r>
              <w:rPr/>
              <w:t>第六节股份变动及股东情况</w:t>
            </w:r>
            <w:r>
              <w:rPr>
                <w:rFonts w:ascii="宋体" w:hAnsi="宋体" w:cs="宋体" w:eastAsia="宋体" w:hint="default"/>
              </w:rPr>
              <w:tab/>
              <w:t>66</w:t>
            </w:r>
          </w:hyperlink>
        </w:p>
        <w:p>
          <w:pPr>
            <w:pStyle w:val="TOC1"/>
            <w:tabs>
              <w:tab w:pos="9785" w:val="right" w:leader="dot"/>
            </w:tabs>
            <w:spacing w:line="240" w:lineRule="auto"/>
            <w:ind w:right="0"/>
            <w:jc w:val="left"/>
            <w:rPr>
              <w:rFonts w:ascii="宋体" w:hAnsi="宋体" w:cs="宋体" w:eastAsia="宋体" w:hint="default"/>
            </w:rPr>
          </w:pPr>
          <w:hyperlink w:history="true" w:anchor="_bookmark6">
            <w:r>
              <w:rPr/>
              <w:t>第七节优先股相关情况</w:t>
            </w:r>
            <w:r>
              <w:rPr>
                <w:rFonts w:ascii="宋体" w:hAnsi="宋体" w:cs="宋体" w:eastAsia="宋体" w:hint="default"/>
              </w:rPr>
              <w:tab/>
              <w:t>72</w:t>
            </w:r>
          </w:hyperlink>
        </w:p>
        <w:p>
          <w:pPr>
            <w:pStyle w:val="TOC1"/>
            <w:tabs>
              <w:tab w:pos="9785" w:val="right" w:leader="dot"/>
            </w:tabs>
            <w:spacing w:line="240" w:lineRule="auto"/>
            <w:ind w:right="0"/>
            <w:jc w:val="left"/>
            <w:rPr>
              <w:rFonts w:ascii="宋体" w:hAnsi="宋体" w:cs="宋体" w:eastAsia="宋体" w:hint="default"/>
            </w:rPr>
          </w:pPr>
          <w:hyperlink w:history="true" w:anchor="_bookmark7">
            <w:r>
              <w:rPr/>
              <w:t>第八节可转换公司债券相关情况</w:t>
            </w:r>
            <w:r>
              <w:rPr>
                <w:rFonts w:ascii="宋体" w:hAnsi="宋体" w:cs="宋体" w:eastAsia="宋体" w:hint="default"/>
              </w:rPr>
              <w:tab/>
              <w:t>73</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8">
            <w:r>
              <w:rPr/>
              <w:t>第九节董事、监事、高级管理人员和员工情况</w:t>
            </w:r>
            <w:r>
              <w:rPr>
                <w:rFonts w:ascii="宋体" w:hAnsi="宋体" w:cs="宋体" w:eastAsia="宋体" w:hint="default"/>
              </w:rPr>
              <w:tab/>
              <w:t>74</w:t>
            </w:r>
          </w:hyperlink>
        </w:p>
        <w:p>
          <w:pPr>
            <w:pStyle w:val="TOC1"/>
            <w:tabs>
              <w:tab w:pos="9785" w:val="right" w:leader="dot"/>
            </w:tabs>
            <w:spacing w:line="240" w:lineRule="auto"/>
            <w:ind w:right="0"/>
            <w:jc w:val="left"/>
            <w:rPr>
              <w:rFonts w:ascii="宋体" w:hAnsi="宋体" w:cs="宋体" w:eastAsia="宋体" w:hint="default"/>
            </w:rPr>
          </w:pPr>
          <w:hyperlink w:history="true" w:anchor="_bookmark9">
            <w:r>
              <w:rPr/>
              <w:t>第十节公司治理</w:t>
            </w:r>
            <w:r>
              <w:rPr>
                <w:rFonts w:ascii="宋体" w:hAnsi="宋体" w:cs="宋体" w:eastAsia="宋体" w:hint="default"/>
              </w:rPr>
              <w:tab/>
              <w:t>83</w:t>
            </w:r>
          </w:hyperlink>
        </w:p>
        <w:p>
          <w:pPr>
            <w:pStyle w:val="TOC1"/>
            <w:tabs>
              <w:tab w:pos="9785" w:val="right" w:leader="dot"/>
            </w:tabs>
            <w:spacing w:line="240" w:lineRule="auto"/>
            <w:ind w:right="0"/>
            <w:jc w:val="left"/>
            <w:rPr>
              <w:rFonts w:ascii="宋体" w:hAnsi="宋体" w:cs="宋体" w:eastAsia="宋体" w:hint="default"/>
            </w:rPr>
          </w:pPr>
          <w:hyperlink w:history="true" w:anchor="_bookmark10">
            <w:r>
              <w:rPr/>
              <w:t>第十一节公司债券相关情况</w:t>
            </w:r>
            <w:r>
              <w:rPr>
                <w:rFonts w:ascii="宋体" w:hAnsi="宋体" w:cs="宋体" w:eastAsia="宋体" w:hint="default"/>
              </w:rPr>
              <w:tab/>
              <w:t>90</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bookmark11">
            <w:r>
              <w:rPr/>
              <w:t>第十二节财务报告</w:t>
            </w:r>
            <w:r>
              <w:rPr>
                <w:rFonts w:ascii="宋体" w:hAnsi="宋体" w:cs="宋体" w:eastAsia="宋体" w:hint="default"/>
              </w:rPr>
              <w:tab/>
              <w:t>91</w:t>
            </w:r>
          </w:hyperlink>
        </w:p>
        <w:p>
          <w:pPr>
            <w:pStyle w:val="TOC1"/>
            <w:tabs>
              <w:tab w:pos="9784" w:val="right" w:leader="dot"/>
            </w:tabs>
            <w:spacing w:line="240" w:lineRule="auto" w:before="299"/>
            <w:ind w:right="0"/>
            <w:jc w:val="left"/>
            <w:rPr>
              <w:rFonts w:ascii="宋体" w:hAnsi="宋体" w:cs="宋体" w:eastAsia="宋体" w:hint="default"/>
            </w:rPr>
          </w:pPr>
          <w:hyperlink w:history="true" w:anchor="_bookmark12">
            <w:r>
              <w:rPr/>
              <w:t>第十三节备查文件目录</w:t>
            </w:r>
            <w:r>
              <w:rPr>
                <w:rFonts w:ascii="宋体" w:hAnsi="宋体" w:cs="宋体" w:eastAsia="宋体" w:hint="default"/>
              </w:rPr>
              <w:tab/>
              <w:t>231</w:t>
            </w:r>
          </w:hyperlink>
        </w:p>
        <w:p>
          <w:pPr/>
          <w:r>
            <w:fldChar w:fldCharType="end"/>
          </w:r>
        </w:p>
      </w:sdtContent>
    </w:sdt>
    <w:p>
      <w:pPr>
        <w:spacing w:after="0"/>
        <w:sectPr>
          <w:pgSz w:w="11910" w:h="16840"/>
          <w:pgMar w:header="745" w:footer="980" w:top="1060" w:bottom="1160" w:left="980" w:right="0"/>
        </w:sectPr>
      </w:pPr>
    </w:p>
    <w:p>
      <w:pPr>
        <w:spacing w:before="945"/>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乐心医疗、公司、本公司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深圳乐心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创源传感器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动心科技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创源贸易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Mio Labs</w:t>
            </w:r>
            <w:r>
              <w:rPr>
                <w:rFonts w:ascii="Times New Roman"/>
                <w:spacing w:val="-2"/>
                <w:sz w:val="18"/>
              </w:rPr>
              <w:t> </w:t>
            </w:r>
            <w:r>
              <w:rPr>
                <w:rFonts w:ascii="Times New Roman"/>
                <w:sz w:val="18"/>
              </w:rPr>
              <w:t>Inc.</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Lifesense singapore Pte.</w:t>
            </w:r>
            <w:r>
              <w:rPr>
                <w:rFonts w:ascii="Times New Roman"/>
                <w:spacing w:val="-8"/>
                <w:sz w:val="18"/>
              </w:rPr>
              <w:t> </w:t>
            </w:r>
            <w:r>
              <w:rPr>
                <w:rFonts w:ascii="Times New Roman"/>
                <w:sz w:val="18"/>
              </w:rPr>
              <w:t>Ltd.</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FutureIOT Labs</w:t>
            </w:r>
            <w:r>
              <w:rPr>
                <w:rFonts w:ascii="Times New Roman"/>
                <w:spacing w:val="-11"/>
                <w:sz w:val="18"/>
              </w:rPr>
              <w:t> </w:t>
            </w:r>
            <w:r>
              <w:rPr>
                <w:rFonts w:ascii="Times New Roman"/>
                <w:sz w:val="18"/>
              </w:rPr>
              <w:t>LLC</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乐医成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瑞康宏业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声源科技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36"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易恩科技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正安县汇康企业管理服务中心（有限合伙）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协润投资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正安县协润企业管理服务中心（有限合伙）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会计师事务所、立信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保荐机构、长城证券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19"/>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9"/>
        <w:jc w:val="left"/>
        <w:rPr>
          <w:b w:val="0"/>
          <w:bCs w:val="0"/>
        </w:rPr>
      </w:pPr>
      <w:r>
        <w:rPr/>
        <w:pict>
          <v:group style="position:absolute;margin-left:172.339996pt;margin-top:114.675598pt;width:361.55pt;height:19.7pt;mso-position-horizontal-relative:page;mso-position-vertical-relative:paragraph;z-index:-1111912" coordorigin="3447,2294" coordsize="7231,394">
            <v:shape style="position:absolute;left:3447;top:2294;width:7231;height:394" coordorigin="3447,2294" coordsize="7231,394" path="m3447,2687l10677,2687,10677,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乐心医疗</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300562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乐心医疗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 Transtek Medical Electronics</w:t>
            </w:r>
            <w:r>
              <w:rPr>
                <w:rFonts w:ascii="Times New Roman"/>
                <w:spacing w:val="-25"/>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Transtek</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潘伟潮</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528437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528437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www.lifesense.com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19"/>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丁芸洁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钟玲</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0760-85166286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0760-85166521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19"/>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19"/>
        <w:jc w:val="left"/>
        <w:rPr>
          <w:b w:val="0"/>
          <w:bCs w:val="0"/>
        </w:rPr>
      </w:pPr>
      <w:r>
        <w:rPr/>
        <w:t>四、其他有关资料</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张丽宾、马玥</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852"/>
        <w:gridCol w:w="1932"/>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深圳市福田区福田街道金田路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号能源大厦南塔楼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林植、单奕敏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119"/>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7"/>
        <w:gridCol w:w="1711"/>
        <w:gridCol w:w="1560"/>
        <w:gridCol w:w="1702"/>
        <w:gridCol w:w="1489"/>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883,668,227.98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775,103,192.35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866,590,294.39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31,064,115.60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24,015,870.62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17,840,697.18</w:t>
            </w:r>
          </w:p>
        </w:tc>
      </w:tr>
      <w:tr>
        <w:trPr>
          <w:trHeight w:val="715"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26,601,501.07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15,503,881.02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6,187,291.93</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74,957,798.59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85,156,180.77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-4,103,342.20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981,633,597.96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878,506,055.34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754,901,968.98</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568,179,682.36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530,923,557.49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512,075,211.52</w:t>
            </w:r>
          </w:p>
        </w:tc>
      </w:tr>
    </w:tbl>
    <w:p>
      <w:pPr>
        <w:spacing w:line="240" w:lineRule="auto" w:before="4"/>
        <w:rPr>
          <w:rFonts w:ascii="宋体" w:hAnsi="宋体" w:cs="宋体" w:eastAsia="宋体" w:hint="default"/>
          <w:sz w:val="27"/>
          <w:szCs w:val="27"/>
        </w:rPr>
      </w:pPr>
    </w:p>
    <w:p>
      <w:pPr>
        <w:spacing w:line="357" w:lineRule="auto" w:before="44"/>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29"/>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0.1633</w:t>
            </w:r>
          </w:p>
        </w:tc>
      </w:tr>
    </w:tbl>
    <w:p>
      <w:pPr>
        <w:spacing w:line="240" w:lineRule="auto" w:before="1"/>
        <w:rPr>
          <w:rFonts w:ascii="宋体" w:hAnsi="宋体" w:cs="宋体" w:eastAsia="宋体" w:hint="default"/>
          <w:sz w:val="18"/>
          <w:szCs w:val="18"/>
        </w:rPr>
      </w:pPr>
    </w:p>
    <w:p>
      <w:pPr>
        <w:pStyle w:val="Heading3"/>
        <w:spacing w:line="240" w:lineRule="auto" w:before="26"/>
        <w:ind w:right="1119"/>
        <w:jc w:val="left"/>
        <w:rPr>
          <w:b w:val="0"/>
          <w:bCs w:val="0"/>
        </w:rPr>
      </w:pPr>
      <w:r>
        <w:rPr/>
        <w:t>六、分季度主要财务指标</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156,821,013.69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193,945,546.39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265,175,319.15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267,726,348.75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2,466,525.95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9,563,097.01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13,060,252.36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5,974,240.28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1,860,065.70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9,391,595.38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12,625,615.10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2,724,224.89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15,516,597.02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-4,715,037.01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-23,983,166.56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88,139,405.14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1119"/>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4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119"/>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3,965,118.09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195,643.88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4,598,406.77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7,258,287.64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14,265,886.39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-794,076.55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-875,324.39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-761,350.35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收到专项款</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839,922.20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1,540,740.13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2,049,971.05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493,926.96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295,351.61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-3,196.38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4,462,614.53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8,511,989.60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11,653,405.25</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4"/>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19"/>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w:t>
      </w:r>
    </w:p>
    <w:p>
      <w:pPr>
        <w:spacing w:line="408" w:lineRule="auto" w:before="159"/>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（一）公司主要业务和产品介绍</w:t>
      </w:r>
      <w:r>
        <w:rPr>
          <w:rFonts w:ascii="宋体" w:hAnsi="宋体" w:cs="宋体" w:eastAsia="宋体" w:hint="default"/>
          <w:b/>
          <w:bCs/>
          <w:w w:val="100"/>
          <w:sz w:val="21"/>
          <w:szCs w:val="21"/>
        </w:rPr>
        <w:t> </w:t>
      </w:r>
      <w:r>
        <w:rPr>
          <w:rFonts w:ascii="宋体" w:hAnsi="宋体" w:cs="宋体" w:eastAsia="宋体" w:hint="default"/>
          <w:sz w:val="21"/>
          <w:szCs w:val="21"/>
        </w:rPr>
        <w:t>公司致力于针对运动健康、慢病管理等领域为行业客户提供健康</w:t>
      </w:r>
      <w:r>
        <w:rPr>
          <w:rFonts w:ascii="宋体" w:hAnsi="宋体" w:cs="宋体" w:eastAsia="宋体" w:hint="default"/>
          <w:sz w:val="21"/>
          <w:szCs w:val="21"/>
        </w:rPr>
        <w:t>IoT</w:t>
      </w:r>
      <w:r>
        <w:rPr>
          <w:rFonts w:ascii="宋体" w:hAnsi="宋体" w:cs="宋体" w:eastAsia="宋体" w:hint="default"/>
          <w:sz w:val="21"/>
          <w:szCs w:val="21"/>
        </w:rPr>
        <w:t>和智能健康整体解决方案战略，</w:t>
      </w:r>
    </w:p>
    <w:p>
      <w:pPr>
        <w:pStyle w:val="BodyText"/>
        <w:spacing w:line="408" w:lineRule="auto"/>
        <w:ind w:right="1126"/>
        <w:jc w:val="both"/>
      </w:pPr>
      <w:r>
        <w:rPr>
          <w:spacing w:val="-2"/>
        </w:rPr>
        <w:t>专业从事医疗健康产品、智能可穿戴产品的研发、生产与销售以及乐心智能健康云平台的研发与运营。旗</w:t>
      </w:r>
      <w:r>
        <w:rPr>
          <w:spacing w:val="-42"/>
        </w:rPr>
        <w:t> </w:t>
      </w:r>
      <w:r>
        <w:rPr>
          <w:spacing w:val="-42"/>
        </w:rPr>
      </w:r>
      <w:r>
        <w:rPr>
          <w:spacing w:val="-2"/>
        </w:rPr>
        <w:t>下医疗健康产品包括电子血压计、电子健康秤（可分为电子体重秤和电子厨房秤）、脂肪测量仪、电子血</w:t>
      </w:r>
      <w:r>
        <w:rPr>
          <w:spacing w:val="-43"/>
        </w:rPr>
        <w:t> </w:t>
      </w:r>
      <w:r>
        <w:rPr>
          <w:spacing w:val="-43"/>
        </w:rPr>
      </w:r>
      <w:r>
        <w:rPr/>
        <w:t>糖仪、心贴等；智能可穿戴产品包括可穿戴运动手环、智能手表、</w:t>
      </w:r>
      <w:r>
        <w:rPr>
          <w:rFonts w:ascii="宋体" w:hAnsi="宋体" w:cs="宋体" w:eastAsia="宋体" w:hint="default"/>
        </w:rPr>
        <w:t>TWS</w:t>
      </w:r>
      <w:r>
        <w:rPr/>
        <w:t>耳机等，其中，医疗级健康手表、</w:t>
      </w:r>
      <w:r>
        <w:rPr>
          <w:spacing w:val="-26"/>
        </w:rPr>
        <w:t> </w:t>
      </w:r>
      <w:r>
        <w:rPr>
          <w:spacing w:val="-26"/>
        </w:rPr>
      </w:r>
      <w:r>
        <w:rPr>
          <w:spacing w:val="-2"/>
        </w:rPr>
        <w:t>电子血压计、脂肪测量仪、电子血糖仪、心贴属于第二类医疗器械。乐心医疗秉持“让身体健康，让生活</w:t>
      </w:r>
      <w:r>
        <w:rPr>
          <w:spacing w:val="-42"/>
        </w:rPr>
        <w:t> </w:t>
      </w:r>
      <w:r>
        <w:rPr>
          <w:spacing w:val="-42"/>
        </w:rPr>
      </w:r>
      <w:r>
        <w:rPr>
          <w:spacing w:val="-7"/>
        </w:rPr>
        <w:t>快乐，让家人安心”的使命，深耕智能健康，搭建了智能健康云平台“乐心云”，推出“乐心运动”、“乐</w:t>
      </w:r>
      <w:r>
        <w:rPr>
          <w:spacing w:val="-21"/>
        </w:rPr>
        <w:t> </w:t>
      </w:r>
      <w:r>
        <w:rPr>
          <w:spacing w:val="-21"/>
        </w:rPr>
      </w:r>
      <w:r>
        <w:rPr>
          <w:spacing w:val="-2"/>
        </w:rPr>
        <w:t>心健康”、“乐心医生”等一系列移动互联网产品，完成各应用端全覆盖。与此同时，公司积极拓展远程</w:t>
      </w:r>
      <w:r>
        <w:rPr>
          <w:spacing w:val="-45"/>
        </w:rPr>
        <w:t> </w:t>
      </w:r>
      <w:r>
        <w:rPr>
          <w:spacing w:val="-45"/>
        </w:rPr>
      </w:r>
      <w:r>
        <w:rPr/>
        <w:t>健康管理系统（</w:t>
      </w:r>
      <w:r>
        <w:rPr>
          <w:rFonts w:ascii="宋体" w:hAnsi="宋体" w:cs="宋体" w:eastAsia="宋体" w:hint="default"/>
        </w:rPr>
        <w:t>RPM</w:t>
      </w:r>
      <w:r>
        <w:rPr/>
        <w:t>），推动与医疗机构、保险机构深度合作，实现用户、公司产品以及第三方健康服务</w:t>
      </w:r>
      <w:r>
        <w:rPr>
          <w:spacing w:val="-28"/>
        </w:rPr>
        <w:t> </w:t>
      </w:r>
      <w:r>
        <w:rPr>
          <w:spacing w:val="-28"/>
        </w:rPr>
      </w:r>
      <w:r>
        <w:rPr/>
        <w:t>的无缝链接，打造全方位的智能健康生态体系。</w:t>
      </w:r>
    </w:p>
    <w:p>
      <w:pPr>
        <w:pStyle w:val="BodyText"/>
        <w:spacing w:line="408" w:lineRule="auto"/>
        <w:ind w:left="573" w:right="1119"/>
        <w:jc w:val="left"/>
      </w:pPr>
      <w:r>
        <w:rPr/>
        <w:t>报告期内新增产品品类：</w:t>
      </w:r>
      <w:r>
        <w:rPr>
          <w:rFonts w:ascii="宋体" w:hAnsi="宋体" w:cs="宋体" w:eastAsia="宋体" w:hint="default"/>
        </w:rPr>
        <w:t>TWS</w:t>
      </w:r>
      <w:r>
        <w:rPr/>
        <w:t>耳机产品</w:t>
      </w:r>
      <w:r>
        <w:rPr>
          <w:w w:val="100"/>
        </w:rPr>
        <w:t> </w:t>
      </w:r>
      <w:r>
        <w:rPr>
          <w:spacing w:val="-2"/>
        </w:rPr>
        <w:t>为进一步丰富公司产品种类、拓展产品领域，寻找新的业务增长点，增强公司的综合竞争力，公司于</w:t>
      </w:r>
    </w:p>
    <w:p>
      <w:pPr>
        <w:pStyle w:val="BodyText"/>
        <w:spacing w:line="408" w:lineRule="auto"/>
        <w:ind w:right="1131"/>
        <w:jc w:val="both"/>
      </w:pP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月通过全资子公司中山乐恒收购声源科技（深圳）有限公司，切入</w:t>
      </w:r>
      <w:r>
        <w:rPr>
          <w:rFonts w:ascii="宋体" w:hAnsi="宋体" w:cs="宋体" w:eastAsia="宋体" w:hint="default"/>
          <w:spacing w:val="-2"/>
        </w:rPr>
        <w:t>TWS</w:t>
      </w:r>
      <w:r>
        <w:rPr>
          <w:spacing w:val="-2"/>
        </w:rPr>
        <w:t>耳机业务。截至本公告披露</w:t>
      </w:r>
      <w:r>
        <w:rPr>
          <w:spacing w:val="-43"/>
        </w:rPr>
        <w:t> </w:t>
      </w:r>
      <w:r>
        <w:rPr>
          <w:spacing w:val="-43"/>
        </w:rPr>
      </w:r>
      <w:r>
        <w:rPr/>
        <w:t>日，声源科技已成为公司的控股子公司。</w:t>
      </w:r>
    </w:p>
    <w:p>
      <w:pPr>
        <w:pStyle w:val="BodyText"/>
        <w:spacing w:line="408" w:lineRule="auto"/>
        <w:ind w:left="573" w:right="1119" w:firstLine="2"/>
        <w:jc w:val="left"/>
      </w:pPr>
      <w:r>
        <w:rPr>
          <w:rFonts w:ascii="宋体" w:hAnsi="宋体" w:cs="宋体" w:eastAsia="宋体" w:hint="default"/>
          <w:b/>
          <w:bCs/>
        </w:rPr>
        <w:t>（二）公司经营模式</w:t>
      </w:r>
      <w:r>
        <w:rPr>
          <w:rFonts w:ascii="宋体" w:hAnsi="宋体" w:cs="宋体" w:eastAsia="宋体" w:hint="default"/>
          <w:b/>
          <w:bCs/>
          <w:w w:val="100"/>
        </w:rPr>
        <w:t> </w:t>
      </w:r>
      <w:r>
        <w:rPr>
          <w:spacing w:val="-2"/>
        </w:rPr>
        <w:t>盈利模式：公司拥有独立、完整、适合自身发展的原材料采购、研究开发、产品制造、市场营销和用</w:t>
      </w:r>
    </w:p>
    <w:p>
      <w:pPr>
        <w:pStyle w:val="BodyText"/>
        <w:spacing w:line="408" w:lineRule="auto"/>
        <w:ind w:left="573" w:right="1119" w:hanging="421"/>
        <w:jc w:val="left"/>
      </w:pPr>
      <w:r>
        <w:rPr/>
        <w:t>户运营体系，形成了自身的盈利模式。</w:t>
      </w:r>
      <w:r>
        <w:rPr>
          <w:w w:val="100"/>
        </w:rPr>
        <w:t> </w:t>
      </w:r>
      <w:r>
        <w:rPr/>
        <w:t>公司目前主要通过向行业客户提供健康</w:t>
      </w:r>
      <w:r>
        <w:rPr>
          <w:rFonts w:ascii="宋体" w:hAnsi="宋体" w:cs="宋体" w:eastAsia="宋体" w:hint="default"/>
        </w:rPr>
        <w:t>IoT</w:t>
      </w:r>
      <w:r>
        <w:rPr/>
        <w:t>和智能健康整体解决方案实现盈利，依托公司在智能医疗</w:t>
      </w:r>
    </w:p>
    <w:p>
      <w:pPr>
        <w:pStyle w:val="BodyText"/>
        <w:spacing w:line="408" w:lineRule="auto"/>
        <w:ind w:right="1126"/>
        <w:jc w:val="both"/>
      </w:pPr>
      <w:r>
        <w:rPr>
          <w:spacing w:val="-2"/>
        </w:rPr>
        <w:t>健康领域产品创新研发实力、医疗级生产能力及应用技术等多方面的独特优势，以市场需求为导向，不断</w:t>
      </w:r>
      <w:r>
        <w:rPr>
          <w:spacing w:val="-42"/>
        </w:rPr>
        <w:t> </w:t>
      </w:r>
      <w:r>
        <w:rPr>
          <w:spacing w:val="-42"/>
        </w:rPr>
      </w:r>
      <w:r>
        <w:rPr>
          <w:spacing w:val="-2"/>
        </w:rPr>
        <w:t>研发和推出新产品、新应用，不断丰富健康管理服务内容、拓展公司业务领域，公司通过软硬件产品销售</w:t>
      </w:r>
      <w:r>
        <w:rPr>
          <w:spacing w:val="-49"/>
        </w:rPr>
        <w:t> </w:t>
      </w:r>
      <w:r>
        <w:rPr>
          <w:spacing w:val="-49"/>
        </w:rPr>
      </w:r>
      <w:r>
        <w:rPr>
          <w:spacing w:val="-2"/>
        </w:rPr>
        <w:t>积累了大量的用户及健康管理数据，并通过大数据分析及</w:t>
      </w:r>
      <w:r>
        <w:rPr>
          <w:rFonts w:ascii="宋体" w:hAnsi="宋体" w:cs="宋体" w:eastAsia="宋体" w:hint="default"/>
          <w:spacing w:val="-2"/>
        </w:rPr>
        <w:t>AI</w:t>
      </w:r>
      <w:r>
        <w:rPr>
          <w:spacing w:val="-2"/>
        </w:rPr>
        <w:t>技术进行用户的健康跟踪和疾病预防，联合第</w:t>
      </w:r>
      <w:r>
        <w:rPr>
          <w:spacing w:val="-41"/>
        </w:rPr>
        <w:t> </w:t>
      </w:r>
      <w:r>
        <w:rPr>
          <w:spacing w:val="-41"/>
        </w:rPr>
      </w:r>
      <w:r>
        <w:rPr>
          <w:spacing w:val="-2"/>
        </w:rPr>
        <w:t>三方健康服务机构为用户提供专业的健康管理解决方案等增值服务，进一步提高公司产品的用户粘性及核</w:t>
      </w:r>
      <w:r>
        <w:rPr>
          <w:spacing w:val="-43"/>
        </w:rPr>
        <w:t> </w:t>
      </w:r>
      <w:r>
        <w:rPr>
          <w:spacing w:val="-43"/>
        </w:rPr>
      </w:r>
      <w:r>
        <w:rPr/>
        <w:t>心竞争力，持续加大市场推广，提高公司盈利能力。</w:t>
      </w:r>
    </w:p>
    <w:p>
      <w:pPr>
        <w:pStyle w:val="BodyText"/>
        <w:spacing w:line="408" w:lineRule="auto"/>
        <w:ind w:right="1119" w:firstLine="420"/>
        <w:jc w:val="left"/>
      </w:pPr>
      <w:r>
        <w:rPr>
          <w:spacing w:val="-2"/>
        </w:rPr>
        <w:t>生产模式：公司销售的产品源于公司自主生产，且产品核心部件由公司自主研发生产，以保证产品核</w:t>
      </w:r>
      <w:r>
        <w:rPr>
          <w:w w:val="100"/>
        </w:rPr>
        <w:t> </w:t>
      </w:r>
      <w:r>
        <w:rPr>
          <w:spacing w:val="-2"/>
        </w:rPr>
        <w:t>心质量及自主知识产权。外销产品公司采用订单驱动式生产，对客户的订单进行严格的评审，通过评审的</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订单再行组织生产。内销产品则综合客户的订单情况及市场的需求预测制定均衡的生产计划，并利用动态</w:t>
      </w:r>
      <w:r>
        <w:rPr>
          <w:spacing w:val="-42"/>
        </w:rPr>
        <w:t> </w:t>
      </w:r>
      <w:r>
        <w:rPr>
          <w:spacing w:val="-42"/>
        </w:rPr>
      </w:r>
      <w:r>
        <w:rPr/>
        <w:t>需求及</w:t>
      </w:r>
      <w:r>
        <w:rPr>
          <w:rFonts w:ascii="宋体" w:hAnsi="宋体" w:cs="宋体" w:eastAsia="宋体" w:hint="default"/>
        </w:rPr>
        <w:t>ERP</w:t>
      </w:r>
      <w:r>
        <w:rPr/>
        <w:t>系统中出入库数据对实际销售与生产计划的偏差进行调整，在保证市场需求的同时，有效降低</w:t>
      </w:r>
      <w:r>
        <w:rPr>
          <w:spacing w:val="-28"/>
        </w:rPr>
        <w:t> </w:t>
      </w:r>
      <w:r>
        <w:rPr>
          <w:spacing w:val="-28"/>
        </w:rPr>
      </w:r>
      <w:r>
        <w:rPr/>
        <w:t>库存，提高存货周转率。</w:t>
      </w:r>
    </w:p>
    <w:p>
      <w:pPr>
        <w:pStyle w:val="BodyText"/>
        <w:spacing w:line="408" w:lineRule="auto"/>
        <w:ind w:right="1126" w:firstLine="420"/>
        <w:jc w:val="both"/>
      </w:pPr>
      <w:r>
        <w:rPr>
          <w:spacing w:val="-2"/>
        </w:rPr>
        <w:t>采购模式：公司主要采用集中式采购，由采购部根据销售及生产计划统一采购生产所需原料、辅料等</w:t>
      </w:r>
      <w:r>
        <w:rPr>
          <w:w w:val="100"/>
        </w:rPr>
        <w:t> </w:t>
      </w:r>
      <w:r>
        <w:rPr/>
        <w:t>物料。</w:t>
      </w:r>
    </w:p>
    <w:p>
      <w:pPr>
        <w:pStyle w:val="BodyText"/>
        <w:spacing w:line="408" w:lineRule="auto"/>
        <w:ind w:right="1126" w:firstLine="420"/>
        <w:jc w:val="both"/>
      </w:pPr>
      <w:r>
        <w:rPr>
          <w:spacing w:val="-2"/>
        </w:rPr>
        <w:t>销售模式：公司产品的销售分为国外市场销售和国内市场销售，根据市场及客户类型的特点不同，国</w:t>
      </w:r>
      <w:r>
        <w:rPr>
          <w:w w:val="100"/>
        </w:rPr>
        <w:t> </w:t>
      </w:r>
      <w:r>
        <w:rPr/>
        <w:t>外市场销售主要为</w:t>
      </w:r>
      <w:r>
        <w:rPr>
          <w:rFonts w:ascii="宋体" w:hAnsi="宋体" w:cs="宋体" w:eastAsia="宋体" w:hint="default"/>
        </w:rPr>
        <w:t>FOB</w:t>
      </w:r>
      <w:r>
        <w:rPr/>
        <w:t>交货模式，销售占比较大；国内市场销售主要包括直销（通过天猫旗舰店等自营店</w:t>
      </w:r>
      <w:r>
        <w:rPr>
          <w:spacing w:val="-27"/>
        </w:rPr>
        <w:t> </w:t>
      </w:r>
      <w:r>
        <w:rPr>
          <w:spacing w:val="-27"/>
        </w:rPr>
      </w:r>
      <w:r>
        <w:rPr>
          <w:spacing w:val="-2"/>
        </w:rPr>
        <w:t>铺、政企礼品客户、行业机构等销售）、买断式经销（通过代理商、分销商在线上网店、线下零售门店和</w:t>
      </w:r>
      <w:r>
        <w:rPr>
          <w:spacing w:val="-45"/>
        </w:rPr>
        <w:t> </w:t>
      </w:r>
      <w:r>
        <w:rPr>
          <w:spacing w:val="-45"/>
        </w:rPr>
      </w:r>
      <w:r>
        <w:rPr/>
        <w:t>礼品客户等销售）两种模式。</w:t>
      </w:r>
    </w:p>
    <w:p>
      <w:pPr>
        <w:spacing w:line="408" w:lineRule="auto" w:before="46"/>
        <w:ind w:left="573" w:right="5691" w:firstLine="2"/>
        <w:jc w:val="left"/>
        <w:rPr>
          <w:rFonts w:ascii="宋体" w:hAnsi="宋体" w:cs="宋体" w:eastAsia="宋体" w:hint="default"/>
          <w:sz w:val="21"/>
          <w:szCs w:val="21"/>
        </w:rPr>
      </w:pPr>
      <w:r>
        <w:rPr>
          <w:rFonts w:ascii="宋体" w:hAnsi="宋体" w:cs="宋体" w:eastAsia="宋体" w:hint="default"/>
          <w:b/>
          <w:bCs/>
          <w:sz w:val="21"/>
          <w:szCs w:val="21"/>
        </w:rPr>
        <w:t>（三）主要业绩驱动因素</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、重视健康、老龄化、国家政策驱动行业增长</w:t>
      </w:r>
    </w:p>
    <w:p>
      <w:pPr>
        <w:pStyle w:val="BodyText"/>
        <w:spacing w:line="408" w:lineRule="auto"/>
        <w:ind w:right="1130" w:firstLine="420"/>
        <w:jc w:val="both"/>
      </w:pPr>
      <w:r>
        <w:rPr/>
        <w:t>居民对健康日益重视、人口老龄化加剧以及国家产业政策是驱动健康</w:t>
      </w:r>
      <w:r>
        <w:rPr>
          <w:rFonts w:ascii="宋体" w:hAnsi="宋体" w:cs="宋体" w:eastAsia="宋体" w:hint="default"/>
        </w:rPr>
        <w:t>IoT</w:t>
      </w:r>
      <w:r>
        <w:rPr/>
        <w:t>行业快速发展的三个主要动</w:t>
      </w:r>
      <w:r>
        <w:rPr>
          <w:w w:val="100"/>
        </w:rPr>
        <w:t> </w:t>
      </w:r>
      <w:r>
        <w:rPr/>
        <w:t>力。</w:t>
      </w:r>
    </w:p>
    <w:p>
      <w:pPr>
        <w:pStyle w:val="BodyText"/>
        <w:spacing w:line="408" w:lineRule="auto"/>
        <w:ind w:right="1126" w:firstLine="420"/>
        <w:jc w:val="both"/>
      </w:pPr>
      <w:r>
        <w:rPr>
          <w:spacing w:val="-2"/>
        </w:rPr>
        <w:t>随着我国经济快速发展，人均收入水平和消费水平进一步提高，国内居民将越来越关注医疗保健这一</w:t>
      </w:r>
      <w:r>
        <w:rPr>
          <w:w w:val="100"/>
        </w:rPr>
        <w:t> </w:t>
      </w:r>
      <w:r>
        <w:rPr>
          <w:spacing w:val="-2"/>
        </w:rPr>
        <w:t>方面的消费。无论是农村居民还是城镇居民，其每年用于医疗保健的支出都在持续增长，表明我国家用医</w:t>
      </w:r>
      <w:r>
        <w:rPr>
          <w:spacing w:val="-42"/>
        </w:rPr>
        <w:t> </w:t>
      </w:r>
      <w:r>
        <w:rPr>
          <w:spacing w:val="-42"/>
        </w:rPr>
      </w:r>
      <w:r>
        <w:rPr>
          <w:spacing w:val="-2"/>
        </w:rPr>
        <w:t>疗器械市场有着旺盛的潜在需求。国家统计局数据显示，近三年医疗保健消费增速最快，</w:t>
      </w:r>
      <w:r>
        <w:rPr>
          <w:rFonts w:ascii="宋体" w:hAnsi="宋体" w:cs="宋体" w:eastAsia="宋体" w:hint="default"/>
          <w:spacing w:val="-2"/>
        </w:rPr>
        <w:t>2018</w:t>
      </w:r>
      <w:r>
        <w:rPr>
          <w:spacing w:val="-2"/>
        </w:rPr>
        <w:t>年全国居民</w:t>
      </w:r>
      <w:r>
        <w:rPr>
          <w:spacing w:val="-40"/>
        </w:rPr>
        <w:t> </w:t>
      </w:r>
      <w:r>
        <w:rPr>
          <w:spacing w:val="-40"/>
        </w:rPr>
      </w:r>
      <w:r>
        <w:rPr/>
        <w:t>人均医疗保健消费支出为</w:t>
      </w:r>
      <w:r>
        <w:rPr>
          <w:rFonts w:ascii="宋体" w:hAnsi="宋体" w:cs="宋体" w:eastAsia="宋体" w:hint="default"/>
        </w:rPr>
        <w:t>1685</w:t>
      </w:r>
      <w:r>
        <w:rPr/>
        <w:t>元，同比增长</w:t>
      </w:r>
      <w:r>
        <w:rPr>
          <w:rFonts w:ascii="宋体" w:hAnsi="宋体" w:cs="宋体" w:eastAsia="宋体" w:hint="default"/>
        </w:rPr>
        <w:t>16.1%</w:t>
      </w:r>
      <w:r>
        <w:rPr/>
        <w:t>，占人均消费支出的比重为</w:t>
      </w:r>
      <w:r>
        <w:rPr>
          <w:rFonts w:ascii="宋体" w:hAnsi="宋体" w:cs="宋体" w:eastAsia="宋体" w:hint="default"/>
        </w:rPr>
        <w:t>8.5%</w:t>
      </w:r>
      <w:r>
        <w:rPr/>
        <w:t>，其中城镇居民为</w:t>
      </w:r>
      <w:r>
        <w:rPr>
          <w:rFonts w:ascii="宋体" w:hAnsi="宋体" w:cs="宋体" w:eastAsia="宋体" w:hint="default"/>
        </w:rPr>
        <w:t>2046</w:t>
      </w:r>
      <w:r>
        <w:rPr>
          <w:rFonts w:ascii="宋体" w:hAnsi="宋体" w:cs="宋体" w:eastAsia="宋体" w:hint="default"/>
          <w:spacing w:val="-28"/>
        </w:rPr>
        <w:t> </w:t>
      </w:r>
      <w:r>
        <w:rPr>
          <w:rFonts w:ascii="宋体" w:hAnsi="宋体" w:cs="宋体" w:eastAsia="宋体" w:hint="default"/>
          <w:spacing w:val="-28"/>
        </w:rPr>
      </w:r>
      <w:r>
        <w:rPr>
          <w:spacing w:val="-2"/>
        </w:rPr>
        <w:t>元，同比增长</w:t>
      </w:r>
      <w:r>
        <w:rPr>
          <w:rFonts w:ascii="宋体" w:hAnsi="宋体" w:cs="宋体" w:eastAsia="宋体" w:hint="default"/>
          <w:spacing w:val="-2"/>
        </w:rPr>
        <w:t>15.1%</w:t>
      </w:r>
      <w:r>
        <w:rPr>
          <w:spacing w:val="-2"/>
        </w:rPr>
        <w:t>，农村居民为</w:t>
      </w:r>
      <w:r>
        <w:rPr>
          <w:rFonts w:ascii="宋体" w:hAnsi="宋体" w:cs="宋体" w:eastAsia="宋体" w:hint="default"/>
          <w:spacing w:val="-2"/>
        </w:rPr>
        <w:t>1240</w:t>
      </w:r>
      <w:r>
        <w:rPr>
          <w:spacing w:val="-2"/>
        </w:rPr>
        <w:t>元，同比增长</w:t>
      </w:r>
      <w:r>
        <w:rPr>
          <w:rFonts w:ascii="宋体" w:hAnsi="宋体" w:cs="宋体" w:eastAsia="宋体" w:hint="default"/>
          <w:spacing w:val="-2"/>
        </w:rPr>
        <w:t>11.1%</w:t>
      </w:r>
      <w:r>
        <w:rPr>
          <w:spacing w:val="-2"/>
        </w:rPr>
        <w:t>。从消费增长幅度上看，无论城乡，医疗保健消</w:t>
      </w:r>
      <w:r>
        <w:rPr>
          <w:spacing w:val="-32"/>
        </w:rPr>
        <w:t> </w:t>
      </w:r>
      <w:r>
        <w:rPr>
          <w:spacing w:val="-32"/>
        </w:rPr>
      </w:r>
      <w:r>
        <w:rPr/>
        <w:t>费增速均居八大类消费首位。</w:t>
      </w:r>
    </w:p>
    <w:p>
      <w:pPr>
        <w:pStyle w:val="BodyText"/>
        <w:spacing w:line="408" w:lineRule="auto"/>
        <w:ind w:right="1126" w:firstLine="420"/>
        <w:jc w:val="both"/>
      </w:pPr>
      <w:r>
        <w:rPr>
          <w:spacing w:val="-2"/>
        </w:rPr>
        <w:t>人口老龄化加速也是家用医疗器械发展的主要动力来源之一。老龄化的趋势必然会增加相应的医疗消</w:t>
      </w:r>
      <w:r>
        <w:rPr>
          <w:w w:val="100"/>
        </w:rPr>
        <w:t> </w:t>
      </w:r>
      <w:r>
        <w:rPr>
          <w:spacing w:val="-2"/>
        </w:rPr>
        <w:t>费和家用医疗器械的使用频率。各类家用医疗器械，例如可穿戴运动手环手表、医疗级健康手表、电子血</w:t>
      </w:r>
      <w:r>
        <w:rPr>
          <w:spacing w:val="-47"/>
        </w:rPr>
        <w:t> </w:t>
      </w:r>
      <w:r>
        <w:rPr>
          <w:spacing w:val="-47"/>
        </w:rPr>
      </w:r>
      <w:r>
        <w:rPr/>
        <w:t>压计、脂肪测量仪、电子血糖仪、心贴等，都会随着老龄化的加剧打开新的市场空间。</w:t>
      </w:r>
    </w:p>
    <w:p>
      <w:pPr>
        <w:pStyle w:val="BodyText"/>
        <w:spacing w:line="408" w:lineRule="auto"/>
        <w:ind w:right="996" w:firstLine="420"/>
        <w:jc w:val="left"/>
      </w:pPr>
      <w:r>
        <w:rPr/>
        <w:t>国家利好政策频发强有力支持健康</w:t>
      </w:r>
      <w:r>
        <w:rPr>
          <w:rFonts w:ascii="宋体" w:hAnsi="宋体" w:cs="宋体" w:eastAsia="宋体" w:hint="default"/>
        </w:rPr>
        <w:t>IoT</w:t>
      </w:r>
      <w:r>
        <w:rPr/>
        <w:t>行业发展。老龄化及不良习惯诱导慢性病患病率不断升高，多</w:t>
      </w:r>
      <w:r>
        <w:rPr>
          <w:w w:val="100"/>
        </w:rPr>
        <w:t> </w:t>
      </w:r>
      <w:r>
        <w:rPr>
          <w:spacing w:val="-2"/>
        </w:rPr>
        <w:t>省市医疗保险、医保基金将出现缺口，医疗体系面临巨大压力。在此背景下，国家中共中央、国务院印发</w:t>
      </w:r>
      <w:r>
        <w:rPr>
          <w:spacing w:val="-43"/>
        </w:rPr>
        <w:t> </w:t>
      </w:r>
      <w:r>
        <w:rPr>
          <w:spacing w:val="-43"/>
        </w:rPr>
      </w:r>
      <w:r>
        <w:rPr>
          <w:spacing w:val="-8"/>
        </w:rPr>
        <w:t>了《“健康中国2030”规划纲要》，“健康中国”上升为国家战略，随着《健康中国行动（</w:t>
      </w:r>
      <w:r>
        <w:rPr>
          <w:rFonts w:ascii="宋体" w:hAnsi="宋体" w:cs="宋体" w:eastAsia="宋体" w:hint="default"/>
          <w:spacing w:val="-8"/>
        </w:rPr>
        <w:t>2019</w:t>
      </w:r>
      <w:r>
        <w:rPr>
          <w:spacing w:val="-8"/>
        </w:rPr>
        <w:t>—</w:t>
      </w:r>
      <w:r>
        <w:rPr>
          <w:rFonts w:ascii="宋体" w:hAnsi="宋体" w:cs="宋体" w:eastAsia="宋体" w:hint="default"/>
          <w:spacing w:val="-8"/>
        </w:rPr>
        <w:t>2030</w:t>
      </w:r>
      <w:r>
        <w:rPr>
          <w:spacing w:val="-8"/>
        </w:rPr>
        <w:t>年）》</w:t>
      </w:r>
      <w:r>
        <w:rPr>
          <w:spacing w:val="-24"/>
        </w:rPr>
        <w:t> </w:t>
      </w:r>
      <w:r>
        <w:rPr>
          <w:spacing w:val="-24"/>
        </w:rPr>
      </w:r>
      <w:r>
        <w:rPr>
          <w:spacing w:val="-2"/>
        </w:rPr>
        <w:t>等一系列健康中国行动配套政策落地，明确提出支持推进可穿戴设备、智能健康电子产品和健康医疗移动</w:t>
      </w:r>
      <w:r>
        <w:rPr>
          <w:spacing w:val="-43"/>
        </w:rPr>
        <w:t> </w:t>
      </w:r>
      <w:r>
        <w:rPr>
          <w:spacing w:val="-43"/>
        </w:rPr>
      </w:r>
      <w:r>
        <w:rPr/>
        <w:t>应用服务等发展。强有力的产业政策支持助力行业发展。</w:t>
      </w:r>
    </w:p>
    <w:p>
      <w:pPr>
        <w:pStyle w:val="BodyText"/>
        <w:spacing w:line="408" w:lineRule="auto"/>
        <w:ind w:left="573" w:right="1119"/>
        <w:jc w:val="left"/>
      </w:pPr>
      <w:r>
        <w:rPr>
          <w:rFonts w:ascii="宋体" w:hAnsi="宋体" w:cs="宋体" w:eastAsia="宋体" w:hint="default"/>
        </w:rPr>
        <w:t>2</w:t>
      </w:r>
      <w:r>
        <w:rPr/>
        <w:t>、持续重视研发投入，保持核心竞争力优势</w:t>
      </w:r>
      <w:r>
        <w:rPr>
          <w:w w:val="100"/>
        </w:rPr>
        <w:t> </w:t>
      </w:r>
      <w:r>
        <w:rPr>
          <w:spacing w:val="-2"/>
        </w:rPr>
        <w:t>报告期内，公司高度重视对研发创新的投入，持续优化核心部件，提升生理检测传感器技术和相关算</w:t>
      </w:r>
    </w:p>
    <w:p>
      <w:pPr>
        <w:pStyle w:val="BodyText"/>
        <w:spacing w:line="240" w:lineRule="auto"/>
        <w:ind w:right="0"/>
        <w:jc w:val="both"/>
      </w:pPr>
      <w:r>
        <w:rPr>
          <w:spacing w:val="-5"/>
        </w:rPr>
        <w:t>法性能，持续对现有软硬件产品进行迭代升级，进一步增强产品稳定性、可靠性，提升用户体验和价值感。</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t>紧贴行业技术发展趋势，积极推动产品研发与业务相融合，深入</w:t>
      </w:r>
      <w:r>
        <w:rPr>
          <w:rFonts w:ascii="宋体" w:hAnsi="宋体" w:cs="宋体" w:eastAsia="宋体" w:hint="default"/>
        </w:rPr>
        <w:t>5G+AI+IoT</w:t>
      </w:r>
      <w:r>
        <w:rPr/>
        <w:t>产品研发布局，不断提升健康</w:t>
      </w:r>
      <w:r>
        <w:rPr>
          <w:spacing w:val="-24"/>
        </w:rPr>
        <w:t> </w:t>
      </w:r>
      <w:r>
        <w:rPr>
          <w:spacing w:val="-24"/>
        </w:rPr>
      </w:r>
      <w:r>
        <w:rPr>
          <w:spacing w:val="-2"/>
        </w:rPr>
        <w:t>大数据的开发能力及用户运营能力，实现个性化的有效管理，以公司发展战略为核心，通过与拥有成熟技</w:t>
      </w:r>
      <w:r>
        <w:rPr>
          <w:spacing w:val="-45"/>
        </w:rPr>
        <w:t> </w:t>
      </w:r>
      <w:r>
        <w:rPr>
          <w:spacing w:val="-45"/>
        </w:rPr>
      </w:r>
      <w:r>
        <w:rPr/>
        <w:t>术的国内外技术团队和研发机构合作，加快推进符合公司战略方向的新产品上市。</w:t>
      </w:r>
    </w:p>
    <w:p>
      <w:pPr>
        <w:pStyle w:val="BodyText"/>
        <w:spacing w:line="408" w:lineRule="auto"/>
        <w:ind w:left="573" w:right="1119"/>
        <w:jc w:val="left"/>
      </w:pPr>
      <w:r>
        <w:rPr>
          <w:rFonts w:ascii="宋体" w:hAnsi="宋体" w:cs="宋体" w:eastAsia="宋体" w:hint="default"/>
        </w:rPr>
        <w:t>3</w:t>
      </w:r>
      <w:r>
        <w:rPr/>
        <w:t>、管理效率提升</w:t>
      </w:r>
      <w:r>
        <w:rPr>
          <w:w w:val="100"/>
        </w:rPr>
        <w:t> </w:t>
      </w:r>
      <w:r>
        <w:rPr>
          <w:spacing w:val="-2"/>
        </w:rPr>
        <w:t>报告期内，公司持续加强企业文化建设工作，将“以用户为中心、追求卓越、持续创新、正直诚信”</w:t>
      </w:r>
    </w:p>
    <w:p>
      <w:pPr>
        <w:pStyle w:val="BodyText"/>
        <w:spacing w:line="408" w:lineRule="auto"/>
        <w:ind w:right="996"/>
        <w:jc w:val="left"/>
      </w:pPr>
      <w:r>
        <w:rPr>
          <w:spacing w:val="-2"/>
        </w:rPr>
        <w:t>的企业核心价值观融入日常的工作实践中，增强团队凝聚力。公司坚持内部培养与外部引进相结合的管理</w:t>
      </w:r>
      <w:r>
        <w:rPr>
          <w:spacing w:val="-43"/>
        </w:rPr>
        <w:t> </w:t>
      </w:r>
      <w:r>
        <w:rPr>
          <w:spacing w:val="-43"/>
        </w:rPr>
      </w:r>
      <w:r>
        <w:rPr>
          <w:spacing w:val="-5"/>
        </w:rPr>
        <w:t>思路，一方面积极选拔培养内部人才，一方面加大高精尖人才的引进力度，并大力开展对人才的培训工作，</w:t>
      </w:r>
      <w:r>
        <w:rPr>
          <w:spacing w:val="-4"/>
        </w:rPr>
        <w:t> </w:t>
      </w:r>
      <w:r>
        <w:rPr>
          <w:spacing w:val="-4"/>
        </w:rPr>
      </w:r>
      <w:r>
        <w:rPr/>
        <w:t>通过赋能员工胜任力，提高管理效率。</w:t>
      </w:r>
    </w:p>
    <w:p>
      <w:pPr>
        <w:spacing w:line="410" w:lineRule="auto" w:before="46"/>
        <w:ind w:left="573" w:right="996" w:firstLine="2"/>
        <w:jc w:val="left"/>
        <w:rPr>
          <w:rFonts w:ascii="宋体" w:hAnsi="宋体" w:cs="宋体" w:eastAsia="宋体" w:hint="default"/>
          <w:sz w:val="21"/>
          <w:szCs w:val="21"/>
        </w:rPr>
      </w:pPr>
      <w:r>
        <w:rPr>
          <w:rFonts w:ascii="宋体" w:hAnsi="宋体" w:cs="宋体" w:eastAsia="宋体" w:hint="default"/>
          <w:b/>
          <w:bCs/>
          <w:sz w:val="21"/>
          <w:szCs w:val="21"/>
        </w:rPr>
        <w:t>（四）公司所属行业的发展情况及公司所处的行业地位</w:t>
      </w:r>
      <w:r>
        <w:rPr>
          <w:rFonts w:ascii="宋体" w:hAnsi="宋体" w:cs="宋体" w:eastAsia="宋体" w:hint="default"/>
          <w:b/>
          <w:bCs/>
          <w:w w:val="100"/>
          <w:sz w:val="21"/>
          <w:szCs w:val="21"/>
        </w:rPr>
        <w:t> </w:t>
      </w:r>
      <w:r>
        <w:rPr>
          <w:rFonts w:ascii="宋体" w:hAnsi="宋体" w:cs="宋体" w:eastAsia="宋体" w:hint="default"/>
          <w:spacing w:val="-7"/>
          <w:sz w:val="21"/>
          <w:szCs w:val="21"/>
        </w:rPr>
        <w:t>根据中国证监会发布的《上市公司行业分类指引》（</w:t>
      </w:r>
      <w:r>
        <w:rPr>
          <w:rFonts w:ascii="宋体" w:hAnsi="宋体" w:cs="宋体" w:eastAsia="宋体" w:hint="default"/>
          <w:spacing w:val="-7"/>
          <w:sz w:val="21"/>
          <w:szCs w:val="21"/>
        </w:rPr>
        <w:t>2012</w:t>
      </w:r>
      <w:r>
        <w:rPr>
          <w:rFonts w:ascii="宋体" w:hAnsi="宋体" w:cs="宋体" w:eastAsia="宋体" w:hint="default"/>
          <w:spacing w:val="-7"/>
          <w:sz w:val="21"/>
          <w:szCs w:val="21"/>
        </w:rPr>
        <w:t>年修订），公司隶属于专用设备制造业（</w:t>
      </w:r>
      <w:r>
        <w:rPr>
          <w:rFonts w:ascii="宋体" w:hAnsi="宋体" w:cs="宋体" w:eastAsia="宋体" w:hint="default"/>
          <w:spacing w:val="-7"/>
          <w:sz w:val="21"/>
          <w:szCs w:val="21"/>
        </w:rPr>
        <w:t>C35</w:t>
      </w:r>
      <w:r>
        <w:rPr>
          <w:rFonts w:ascii="宋体" w:hAnsi="宋体" w:cs="宋体" w:eastAsia="宋体" w:hint="default"/>
          <w:spacing w:val="-7"/>
          <w:sz w:val="21"/>
          <w:szCs w:val="21"/>
        </w:rPr>
        <w:t>）</w:t>
      </w:r>
    </w:p>
    <w:p>
      <w:pPr>
        <w:spacing w:line="408" w:lineRule="auto" w:before="44"/>
        <w:ind w:left="575" w:right="1119" w:hanging="423"/>
        <w:jc w:val="left"/>
        <w:rPr>
          <w:rFonts w:ascii="宋体" w:hAnsi="宋体" w:cs="宋体" w:eastAsia="宋体" w:hint="default"/>
          <w:sz w:val="21"/>
          <w:szCs w:val="21"/>
        </w:rPr>
      </w:pPr>
      <w:r>
        <w:rPr>
          <w:rFonts w:ascii="宋体" w:hAnsi="宋体" w:cs="宋体" w:eastAsia="宋体" w:hint="default"/>
          <w:spacing w:val="-2"/>
          <w:sz w:val="21"/>
          <w:szCs w:val="21"/>
        </w:rPr>
        <w:t>中的医疗仪器设备及器械制造行业，进一步的细分行业为家用医疗器械制造行业。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、公司所属行业发展现状及趋势</w:t>
      </w:r>
      <w:r>
        <w:rPr>
          <w:rFonts w:ascii="宋体" w:hAnsi="宋体" w:cs="宋体" w:eastAsia="宋体" w:hint="default"/>
          <w:sz w:val="21"/>
          <w:szCs w:val="21"/>
        </w:rPr>
      </w:r>
    </w:p>
    <w:p>
      <w:pPr>
        <w:spacing w:line="408" w:lineRule="auto" w:before="46"/>
        <w:ind w:left="573" w:right="99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）医疗器械市场持续稳定增长</w:t>
      </w:r>
      <w:r>
        <w:rPr>
          <w:rFonts w:ascii="宋体" w:hAnsi="宋体" w:cs="宋体" w:eastAsia="宋体" w:hint="default"/>
          <w:b/>
          <w:bCs/>
          <w:w w:val="100"/>
          <w:sz w:val="21"/>
          <w:szCs w:val="21"/>
        </w:rPr>
        <w:t> </w:t>
      </w:r>
      <w:r>
        <w:rPr>
          <w:rFonts w:ascii="宋体" w:hAnsi="宋体" w:cs="宋体" w:eastAsia="宋体" w:hint="default"/>
          <w:spacing w:val="-5"/>
          <w:sz w:val="21"/>
          <w:szCs w:val="21"/>
        </w:rPr>
        <w:t>随着居民生活水平的提高、人口老龄化的加剧、居民医疗保健意识的增强、政府支持政策的不断深化，</w:t>
      </w:r>
    </w:p>
    <w:p>
      <w:pPr>
        <w:pStyle w:val="BodyText"/>
        <w:spacing w:line="408" w:lineRule="auto"/>
        <w:ind w:right="1107"/>
        <w:jc w:val="both"/>
      </w:pPr>
      <w:r>
        <w:rPr/>
        <w:t>医疗健康需求不断释放。从全球范围内看</w:t>
      </w:r>
      <w:r>
        <w:rPr>
          <w:rFonts w:ascii="宋体" w:hAnsi="宋体" w:cs="宋体" w:eastAsia="宋体" w:hint="default"/>
        </w:rPr>
        <w:t>,</w:t>
      </w:r>
      <w:r>
        <w:rPr/>
        <w:t>医疗器械行业将持续保持稳定增长。根据</w:t>
      </w:r>
      <w:r>
        <w:rPr>
          <w:rFonts w:ascii="宋体" w:hAnsi="宋体" w:cs="宋体" w:eastAsia="宋体" w:hint="default"/>
        </w:rPr>
        <w:t>Evaluate</w:t>
      </w:r>
      <w:r>
        <w:rPr>
          <w:rFonts w:ascii="宋体" w:hAnsi="宋体" w:cs="宋体" w:eastAsia="宋体" w:hint="default"/>
          <w:spacing w:val="59"/>
        </w:rPr>
        <w:t> </w:t>
      </w:r>
      <w:r>
        <w:rPr>
          <w:rFonts w:ascii="宋体" w:hAnsi="宋体" w:cs="宋体" w:eastAsia="宋体" w:hint="default"/>
        </w:rPr>
        <w:t>MedTech</w:t>
      </w:r>
      <w:r>
        <w:rPr/>
        <w:t>预</w:t>
      </w:r>
      <w:r>
        <w:rPr>
          <w:spacing w:val="-86"/>
        </w:rPr>
        <w:t> </w:t>
      </w:r>
      <w:r>
        <w:rPr>
          <w:spacing w:val="-2"/>
        </w:rPr>
        <w:t>计，</w:t>
      </w:r>
      <w:r>
        <w:rPr>
          <w:rFonts w:ascii="宋体" w:hAnsi="宋体" w:cs="宋体" w:eastAsia="宋体" w:hint="default"/>
          <w:spacing w:val="-2"/>
        </w:rPr>
        <w:t>2018</w:t>
      </w:r>
      <w:r>
        <w:rPr>
          <w:spacing w:val="-2"/>
        </w:rPr>
        <w:t>年全球医疗器械市场容量约为</w:t>
      </w:r>
      <w:r>
        <w:rPr>
          <w:rFonts w:ascii="宋体" w:hAnsi="宋体" w:cs="宋体" w:eastAsia="宋体" w:hint="default"/>
          <w:spacing w:val="-2"/>
        </w:rPr>
        <w:t>4,278</w:t>
      </w:r>
      <w:r>
        <w:rPr>
          <w:spacing w:val="-2"/>
        </w:rPr>
        <w:t>亿美元，</w:t>
      </w:r>
      <w:r>
        <w:rPr>
          <w:rFonts w:ascii="宋体" w:hAnsi="宋体" w:cs="宋体" w:eastAsia="宋体" w:hint="default"/>
          <w:spacing w:val="-2"/>
        </w:rPr>
        <w:t>2017</w:t>
      </w:r>
      <w:r>
        <w:rPr>
          <w:spacing w:val="-2"/>
        </w:rPr>
        <w:t>年</w:t>
      </w:r>
      <w:r>
        <w:rPr>
          <w:rFonts w:ascii="宋体" w:hAnsi="宋体" w:cs="宋体" w:eastAsia="宋体" w:hint="default"/>
          <w:spacing w:val="-2"/>
        </w:rPr>
        <w:t>-2024</w:t>
      </w:r>
      <w:r>
        <w:rPr>
          <w:spacing w:val="-2"/>
        </w:rPr>
        <w:t>年全球医疗器械销售额平均增长</w:t>
      </w:r>
      <w:r>
        <w:rPr>
          <w:rFonts w:ascii="宋体" w:hAnsi="宋体" w:cs="宋体" w:eastAsia="宋体" w:hint="default"/>
          <w:spacing w:val="-2"/>
        </w:rPr>
        <w:t>5.6%</w:t>
      </w:r>
      <w:r>
        <w:rPr>
          <w:spacing w:val="-2"/>
        </w:rPr>
        <w:t>，</w:t>
      </w:r>
      <w:r>
        <w:rPr>
          <w:spacing w:val="-4"/>
        </w:rPr>
        <w:t> </w:t>
      </w:r>
      <w:r>
        <w:rPr>
          <w:rFonts w:ascii="宋体" w:hAnsi="宋体" w:cs="宋体" w:eastAsia="宋体" w:hint="default"/>
        </w:rPr>
        <w:t>2024</w:t>
      </w:r>
      <w:r>
        <w:rPr/>
        <w:t>年将达到</w:t>
      </w:r>
      <w:r>
        <w:rPr>
          <w:rFonts w:ascii="宋体" w:hAnsi="宋体" w:cs="宋体" w:eastAsia="宋体" w:hint="default"/>
        </w:rPr>
        <w:t>5,945</w:t>
      </w:r>
      <w:r>
        <w:rPr/>
        <w:t>亿美元。与全球市场相比，医疗器械行业属我国重点支持的战略新兴产业，发展前景</w:t>
      </w:r>
      <w:r>
        <w:rPr>
          <w:spacing w:val="-27"/>
        </w:rPr>
        <w:t> </w:t>
      </w:r>
      <w:r>
        <w:rPr>
          <w:spacing w:val="-27"/>
        </w:rPr>
      </w:r>
      <w:r>
        <w:rPr>
          <w:spacing w:val="-2"/>
        </w:rPr>
        <w:t>广阔，我国医疗器械行业正处于发展的黄金期，《中国医疗器械行业发展报告》（</w:t>
      </w:r>
      <w:r>
        <w:rPr>
          <w:rFonts w:ascii="宋体" w:hAnsi="宋体" w:cs="宋体" w:eastAsia="宋体" w:hint="default"/>
          <w:spacing w:val="-2"/>
        </w:rPr>
        <w:t>2019</w:t>
      </w:r>
      <w:r>
        <w:rPr>
          <w:spacing w:val="-2"/>
        </w:rPr>
        <w:t>）分析，我国已成</w:t>
      </w:r>
      <w:r>
        <w:rPr>
          <w:spacing w:val="-45"/>
        </w:rPr>
        <w:t> </w:t>
      </w:r>
      <w:r>
        <w:rPr>
          <w:spacing w:val="-45"/>
        </w:rPr>
      </w:r>
      <w:r>
        <w:rPr>
          <w:spacing w:val="-2"/>
        </w:rPr>
        <w:t>为全球第二大医疗器械市场，</w:t>
      </w:r>
      <w:r>
        <w:rPr>
          <w:rFonts w:ascii="宋体" w:hAnsi="宋体" w:cs="宋体" w:eastAsia="宋体" w:hint="default"/>
          <w:spacing w:val="-2"/>
        </w:rPr>
        <w:t>2018</w:t>
      </w:r>
      <w:r>
        <w:rPr>
          <w:spacing w:val="-2"/>
        </w:rPr>
        <w:t>年中国医疗器械市场规模约为</w:t>
      </w:r>
      <w:r>
        <w:rPr>
          <w:rFonts w:ascii="宋体" w:hAnsi="宋体" w:cs="宋体" w:eastAsia="宋体" w:hint="default"/>
          <w:spacing w:val="-2"/>
        </w:rPr>
        <w:t>5304</w:t>
      </w:r>
      <w:r>
        <w:rPr>
          <w:spacing w:val="-2"/>
        </w:rPr>
        <w:t>亿元，同比增长</w:t>
      </w:r>
      <w:r>
        <w:rPr>
          <w:rFonts w:ascii="宋体" w:hAnsi="宋体" w:cs="宋体" w:eastAsia="宋体" w:hint="default"/>
          <w:spacing w:val="-2"/>
        </w:rPr>
        <w:t>19.86%</w:t>
      </w:r>
      <w:r>
        <w:rPr>
          <w:spacing w:val="-2"/>
        </w:rPr>
        <w:t>，延续了近几</w:t>
      </w:r>
      <w:r>
        <w:rPr>
          <w:spacing w:val="-30"/>
        </w:rPr>
        <w:t> </w:t>
      </w:r>
      <w:r>
        <w:rPr>
          <w:spacing w:val="-30"/>
        </w:rPr>
      </w:r>
      <w:r>
        <w:rPr/>
        <w:t>年的高增长趋势。</w:t>
      </w:r>
    </w:p>
    <w:p>
      <w:pPr>
        <w:pStyle w:val="BodyText"/>
        <w:spacing w:line="408" w:lineRule="auto"/>
        <w:ind w:right="1126" w:firstLine="420"/>
        <w:jc w:val="both"/>
      </w:pPr>
      <w:r>
        <w:rPr>
          <w:spacing w:val="-2"/>
        </w:rPr>
        <w:t>家用医疗器械行业是医疗器械领域中增长最快的子行业之一，居民消费升级及人口老龄化的加速是医</w:t>
      </w:r>
      <w:r>
        <w:rPr>
          <w:w w:val="100"/>
        </w:rPr>
        <w:t> </w:t>
      </w:r>
      <w:r>
        <w:rPr>
          <w:spacing w:val="-2"/>
        </w:rPr>
        <w:t>疗需求增加的推动力，制氧机、电子体温计、血压计、血糖仪、疾病监控系统等便携式医疗设备进入越来</w:t>
      </w:r>
      <w:r>
        <w:rPr>
          <w:spacing w:val="-43"/>
        </w:rPr>
        <w:t> </w:t>
      </w:r>
      <w:r>
        <w:rPr>
          <w:spacing w:val="-43"/>
        </w:rPr>
      </w:r>
      <w:r>
        <w:rPr>
          <w:spacing w:val="-2"/>
        </w:rPr>
        <w:t>越多的家庭。家用医疗器械产品技术含量较高，是结合医学、计算机、物理等多门学科的高技术产物。随</w:t>
      </w:r>
      <w:r>
        <w:rPr>
          <w:spacing w:val="-43"/>
        </w:rPr>
        <w:t> </w:t>
      </w:r>
      <w:r>
        <w:rPr>
          <w:spacing w:val="-43"/>
        </w:rPr>
      </w:r>
      <w:r>
        <w:rPr>
          <w:spacing w:val="-2"/>
        </w:rPr>
        <w:t>着中国医疗卫生体系的发展和进步，患者和医院对诊疗的准确性、可靠性和可跟踪性的要求不断提高，未</w:t>
      </w:r>
      <w:r>
        <w:rPr>
          <w:spacing w:val="-44"/>
        </w:rPr>
        <w:t> </w:t>
      </w:r>
      <w:r>
        <w:rPr>
          <w:spacing w:val="-44"/>
        </w:rPr>
      </w:r>
      <w:r>
        <w:rPr>
          <w:spacing w:val="-2"/>
        </w:rPr>
        <w:t>来家用医疗器械产品将朝着智能化、可穿戴、多功能及远程医疗方向发展。</w:t>
      </w:r>
      <w:r>
        <w:rPr>
          <w:rFonts w:ascii="宋体" w:hAnsi="宋体" w:cs="宋体" w:eastAsia="宋体" w:hint="default"/>
          <w:spacing w:val="-2"/>
        </w:rPr>
        <w:t>2016</w:t>
      </w:r>
      <w:r>
        <w:rPr>
          <w:spacing w:val="-2"/>
        </w:rPr>
        <w:t>年，我国家用医疗器械的</w:t>
      </w:r>
      <w:r>
        <w:rPr>
          <w:spacing w:val="-44"/>
        </w:rPr>
        <w:t> </w:t>
      </w:r>
      <w:r>
        <w:rPr>
          <w:spacing w:val="-44"/>
        </w:rPr>
      </w:r>
      <w:r>
        <w:rPr/>
        <w:t>市场规模达到</w:t>
      </w:r>
      <w:r>
        <w:rPr>
          <w:rFonts w:ascii="宋体" w:hAnsi="宋体" w:cs="宋体" w:eastAsia="宋体" w:hint="default"/>
        </w:rPr>
        <w:t>581</w:t>
      </w:r>
      <w:r>
        <w:rPr/>
        <w:t>亿元，国内家用医疗器械市场提升空间还很大，根据人民网的预测，</w:t>
      </w:r>
      <w:r>
        <w:rPr>
          <w:rFonts w:ascii="宋体" w:hAnsi="宋体" w:cs="宋体" w:eastAsia="宋体" w:hint="default"/>
        </w:rPr>
        <w:t>2020</w:t>
      </w:r>
      <w:r>
        <w:rPr/>
        <w:t>年我国家用医</w:t>
      </w:r>
      <w:r>
        <w:rPr>
          <w:spacing w:val="-26"/>
        </w:rPr>
        <w:t> </w:t>
      </w:r>
      <w:r>
        <w:rPr>
          <w:spacing w:val="-26"/>
        </w:rPr>
      </w:r>
      <w:r>
        <w:rPr/>
        <w:t>疗器械市场规模将达</w:t>
      </w:r>
      <w:r>
        <w:rPr>
          <w:rFonts w:ascii="宋体" w:hAnsi="宋体" w:cs="宋体" w:eastAsia="宋体" w:hint="default"/>
        </w:rPr>
        <w:t>1500</w:t>
      </w:r>
      <w:r>
        <w:rPr/>
        <w:t>亿元。</w:t>
      </w:r>
    </w:p>
    <w:p>
      <w:pPr>
        <w:pStyle w:val="Heading5"/>
        <w:spacing w:line="240" w:lineRule="auto" w:before="46"/>
        <w:ind w:left="575" w:right="1119"/>
        <w:jc w:val="left"/>
        <w:rPr>
          <w:b w:val="0"/>
          <w:bCs w:val="0"/>
        </w:rPr>
      </w:pPr>
      <w:r>
        <w:rPr/>
        <w:t>（</w:t>
      </w:r>
      <w:r>
        <w:rPr>
          <w:rFonts w:ascii="宋体" w:hAnsi="宋体" w:cs="宋体" w:eastAsia="宋体" w:hint="default"/>
        </w:rPr>
        <w:t>2</w:t>
      </w:r>
      <w:r>
        <w:rPr/>
        <w:t>）“健康中国”上升为国家战略，利好政策支持助行业扩容</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996" w:firstLine="420"/>
        <w:jc w:val="left"/>
      </w:pPr>
      <w:r>
        <w:rPr/>
        <w:t>《“健康中国2030”规划纲要》规划了健康中国的战略目标和重要指标，并预计我国医疗健康服务业</w:t>
      </w:r>
      <w:r>
        <w:rPr>
          <w:w w:val="100"/>
        </w:rPr>
        <w:t> </w:t>
      </w:r>
      <w:r>
        <w:rPr>
          <w:spacing w:val="-2"/>
        </w:rPr>
        <w:t>总规模将在</w:t>
      </w:r>
      <w:r>
        <w:rPr>
          <w:rFonts w:ascii="宋体" w:hAnsi="宋体" w:cs="宋体" w:eastAsia="宋体" w:hint="default"/>
          <w:spacing w:val="-2"/>
        </w:rPr>
        <w:t>2020</w:t>
      </w:r>
      <w:r>
        <w:rPr>
          <w:spacing w:val="-2"/>
        </w:rPr>
        <w:t>年超过</w:t>
      </w:r>
      <w:r>
        <w:rPr>
          <w:rFonts w:ascii="宋体" w:hAnsi="宋体" w:cs="宋体" w:eastAsia="宋体" w:hint="default"/>
          <w:spacing w:val="-2"/>
        </w:rPr>
        <w:t>8</w:t>
      </w:r>
      <w:r>
        <w:rPr>
          <w:spacing w:val="-2"/>
        </w:rPr>
        <w:t>万亿，在</w:t>
      </w:r>
      <w:r>
        <w:rPr>
          <w:rFonts w:ascii="宋体" w:hAnsi="宋体" w:cs="宋体" w:eastAsia="宋体" w:hint="default"/>
          <w:spacing w:val="-2"/>
        </w:rPr>
        <w:t>2030</w:t>
      </w:r>
      <w:r>
        <w:rPr>
          <w:spacing w:val="-2"/>
        </w:rPr>
        <w:t>年达到</w:t>
      </w:r>
      <w:r>
        <w:rPr>
          <w:rFonts w:ascii="宋体" w:hAnsi="宋体" w:cs="宋体" w:eastAsia="宋体" w:hint="default"/>
          <w:spacing w:val="-2"/>
        </w:rPr>
        <w:t>16</w:t>
      </w:r>
      <w:r>
        <w:rPr>
          <w:spacing w:val="-2"/>
        </w:rPr>
        <w:t>万亿元。为全面贯彻落实《“健康中国2030”规划纲要》，</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8"/>
        <w:jc w:val="both"/>
      </w:pPr>
      <w:r>
        <w:rPr>
          <w:rFonts w:ascii="宋体" w:hAnsi="宋体" w:cs="宋体" w:eastAsia="宋体" w:hint="default"/>
        </w:rPr>
        <w:t>2019</w:t>
      </w:r>
      <w:r>
        <w:rPr/>
        <w:t>年</w:t>
      </w:r>
      <w:r>
        <w:rPr>
          <w:rFonts w:ascii="宋体" w:hAnsi="宋体" w:cs="宋体" w:eastAsia="宋体" w:hint="default"/>
        </w:rPr>
        <w:t>7</w:t>
      </w:r>
      <w:r>
        <w:rPr/>
        <w:t>月，国务院印发《国务院关于实施健康中国行动的意见》，国务院办公厅印发《健康中国行动组</w:t>
      </w:r>
      <w:r>
        <w:rPr>
          <w:spacing w:val="-27"/>
        </w:rPr>
        <w:t> </w:t>
      </w:r>
      <w:r>
        <w:rPr>
          <w:spacing w:val="-27"/>
        </w:rPr>
      </w:r>
      <w:r>
        <w:rPr>
          <w:spacing w:val="-2"/>
        </w:rPr>
        <w:t>织实施和考核方案》，国家层面印发《健康中国行动（</w:t>
      </w:r>
      <w:r>
        <w:rPr>
          <w:rFonts w:ascii="宋体" w:hAnsi="宋体" w:cs="宋体" w:eastAsia="宋体" w:hint="default"/>
          <w:spacing w:val="-2"/>
        </w:rPr>
        <w:t>2019</w:t>
      </w:r>
      <w:r>
        <w:rPr>
          <w:spacing w:val="-2"/>
        </w:rPr>
        <w:t>—</w:t>
      </w:r>
      <w:r>
        <w:rPr>
          <w:rFonts w:ascii="宋体" w:hAnsi="宋体" w:cs="宋体" w:eastAsia="宋体" w:hint="default"/>
          <w:spacing w:val="-2"/>
        </w:rPr>
        <w:t>2030</w:t>
      </w:r>
      <w:r>
        <w:rPr>
          <w:spacing w:val="-2"/>
        </w:rPr>
        <w:t>年）》，以上健康中国行动相关文件从</w:t>
      </w:r>
      <w:r>
        <w:rPr>
          <w:spacing w:val="-39"/>
        </w:rPr>
        <w:t> </w:t>
      </w:r>
      <w:r>
        <w:rPr>
          <w:spacing w:val="-39"/>
        </w:rPr>
      </w:r>
      <w:r>
        <w:rPr>
          <w:spacing w:val="-2"/>
        </w:rPr>
        <w:t>政府、社会、个人三个层面协同推进，从以“疾病”为中心向以“健康”为中心转变，从注重“治已病”</w:t>
      </w:r>
      <w:r>
        <w:rPr>
          <w:spacing w:val="-46"/>
        </w:rPr>
        <w:t> </w:t>
      </w:r>
      <w:r>
        <w:rPr>
          <w:spacing w:val="-46"/>
        </w:rPr>
      </w:r>
      <w:r>
        <w:rPr/>
        <w:t>向注重“治未病”转变，从依靠卫生健康系统向社会整体联动转变。</w:t>
      </w:r>
    </w:p>
    <w:p>
      <w:pPr>
        <w:pStyle w:val="BodyText"/>
        <w:spacing w:line="408" w:lineRule="auto"/>
        <w:ind w:right="996" w:firstLine="420"/>
        <w:jc w:val="left"/>
      </w:pPr>
      <w:r>
        <w:rPr/>
        <w:t>在“社会</w:t>
      </w:r>
      <w:r>
        <w:rPr>
          <w:rFonts w:ascii="宋体" w:hAnsi="宋体" w:cs="宋体" w:eastAsia="宋体" w:hint="default"/>
        </w:rPr>
        <w:t>+</w:t>
      </w:r>
      <w:r>
        <w:rPr/>
        <w:t>政府”双资本助推下，行业市场规模和容量将不断扩大，为企业提供了良好的发展机遇和</w:t>
      </w:r>
      <w:r>
        <w:rPr>
          <w:w w:val="100"/>
        </w:rPr>
        <w:t> </w:t>
      </w:r>
      <w:r>
        <w:rPr>
          <w:spacing w:val="-5"/>
        </w:rPr>
        <w:t>外部市场环境。同时，未来将有更多的公司和社会资本切入医疗健康赛道，进一步加速行业优质资源整合，</w:t>
      </w:r>
      <w:r>
        <w:rPr>
          <w:spacing w:val="-4"/>
        </w:rPr>
        <w:t> </w:t>
      </w:r>
      <w:r>
        <w:rPr>
          <w:spacing w:val="-4"/>
        </w:rPr>
      </w:r>
      <w:r>
        <w:rPr/>
        <w:t>市场竞争日趋激烈，对整个行业市场参与者提出了更高的要求。</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）人口老龄化加速驱动行业需求持续增长</w:t>
      </w:r>
      <w:r>
        <w:rPr>
          <w:rFonts w:ascii="宋体" w:hAnsi="宋体" w:cs="宋体" w:eastAsia="宋体" w:hint="default"/>
          <w:b/>
          <w:bCs/>
          <w:w w:val="100"/>
          <w:sz w:val="21"/>
          <w:szCs w:val="21"/>
        </w:rPr>
        <w:t> </w:t>
      </w:r>
      <w:r>
        <w:rPr>
          <w:rFonts w:ascii="宋体" w:hAnsi="宋体" w:cs="宋体" w:eastAsia="宋体" w:hint="default"/>
          <w:spacing w:val="-2"/>
          <w:sz w:val="21"/>
          <w:szCs w:val="21"/>
        </w:rPr>
        <w:t>人口老龄化加速导致慢病患病率不断升高，带来大量未被满足的医疗健康需求。卫生部数据显示</w:t>
      </w:r>
      <w:r>
        <w:rPr>
          <w:rFonts w:ascii="宋体" w:hAnsi="宋体" w:cs="宋体" w:eastAsia="宋体" w:hint="default"/>
          <w:spacing w:val="-2"/>
          <w:sz w:val="21"/>
          <w:szCs w:val="21"/>
        </w:rPr>
        <w:t>60</w:t>
      </w:r>
      <w:r>
        <w:rPr>
          <w:rFonts w:ascii="宋体" w:hAnsi="宋体" w:cs="宋体" w:eastAsia="宋体" w:hint="default"/>
          <w:spacing w:val="-2"/>
          <w:sz w:val="21"/>
          <w:szCs w:val="21"/>
        </w:rPr>
        <w:t>岁</w:t>
      </w:r>
    </w:p>
    <w:p>
      <w:pPr>
        <w:pStyle w:val="BodyText"/>
        <w:spacing w:line="408" w:lineRule="auto"/>
        <w:ind w:right="996"/>
        <w:jc w:val="left"/>
      </w:pPr>
      <w:r>
        <w:rPr/>
        <w:t>以上老年人慢性病患病率是全部人口患病率的</w:t>
      </w:r>
      <w:r>
        <w:rPr>
          <w:rFonts w:ascii="宋体" w:hAnsi="宋体" w:cs="宋体" w:eastAsia="宋体" w:hint="default"/>
        </w:rPr>
        <w:t>3.2</w:t>
      </w:r>
      <w:r>
        <w:rPr/>
        <w:t>倍，老年人消耗的卫生资源是全部人口平均消耗卫生资</w:t>
      </w:r>
      <w:r>
        <w:rPr>
          <w:spacing w:val="-25"/>
        </w:rPr>
        <w:t> </w:t>
      </w:r>
      <w:r>
        <w:rPr>
          <w:spacing w:val="-25"/>
        </w:rPr>
      </w:r>
      <w:r>
        <w:rPr>
          <w:spacing w:val="-8"/>
          <w:w w:val="100"/>
        </w:rPr>
        <w:t>源的</w:t>
      </w:r>
      <w:r>
        <w:rPr>
          <w:rFonts w:ascii="宋体" w:hAnsi="宋体" w:cs="宋体" w:eastAsia="宋体" w:hint="default"/>
          <w:spacing w:val="-8"/>
          <w:w w:val="100"/>
        </w:rPr>
        <w:t>1.9</w:t>
      </w:r>
      <w:r>
        <w:rPr>
          <w:spacing w:val="-8"/>
          <w:w w:val="100"/>
        </w:rPr>
        <w:t>倍。国家统计局数据显示，截至</w:t>
      </w:r>
      <w:r>
        <w:rPr>
          <w:rFonts w:ascii="宋体" w:hAnsi="宋体" w:cs="宋体" w:eastAsia="宋体" w:hint="default"/>
          <w:spacing w:val="-8"/>
          <w:w w:val="100"/>
        </w:rPr>
        <w:t>2019</w:t>
      </w:r>
      <w:r>
        <w:rPr>
          <w:spacing w:val="-8"/>
          <w:w w:val="100"/>
        </w:rPr>
        <w:t>年底，我国</w:t>
      </w:r>
      <w:r>
        <w:rPr>
          <w:rFonts w:ascii="宋体" w:hAnsi="宋体" w:cs="宋体" w:eastAsia="宋体" w:hint="default"/>
          <w:spacing w:val="-8"/>
          <w:w w:val="100"/>
        </w:rPr>
        <w:t>60</w:t>
      </w:r>
      <w:r>
        <w:rPr>
          <w:spacing w:val="-8"/>
          <w:w w:val="100"/>
        </w:rPr>
        <w:t>岁及以上老年人口有</w:t>
      </w:r>
      <w:r>
        <w:rPr>
          <w:rFonts w:ascii="宋体" w:hAnsi="宋体" w:cs="宋体" w:eastAsia="宋体" w:hint="default"/>
          <w:spacing w:val="-8"/>
          <w:w w:val="100"/>
        </w:rPr>
        <w:t>2.54</w:t>
      </w:r>
      <w:r>
        <w:rPr>
          <w:rFonts w:ascii="宋体" w:hAnsi="宋体" w:cs="宋体" w:eastAsia="宋体" w:hint="default"/>
          <w:spacing w:val="33"/>
          <w:w w:val="100"/>
        </w:rPr>
        <w:t> </w:t>
      </w:r>
      <w:r>
        <w:rPr>
          <w:spacing w:val="-9"/>
          <w:w w:val="100"/>
        </w:rPr>
        <w:t>亿人，占总人口</w:t>
      </w:r>
      <w:r>
        <w:rPr>
          <w:rFonts w:ascii="宋体" w:hAnsi="宋体" w:cs="宋体" w:eastAsia="宋体" w:hint="default"/>
          <w:spacing w:val="-9"/>
          <w:w w:val="100"/>
        </w:rPr>
        <w:t>18.1</w:t>
      </w:r>
      <w:r>
        <w:rPr>
          <w:spacing w:val="-9"/>
          <w:w w:val="100"/>
        </w:rPr>
        <w:t>％，</w:t>
      </w:r>
      <w:r>
        <w:rPr>
          <w:spacing w:val="-96"/>
          <w:w w:val="100"/>
        </w:rPr>
        <w:t> </w:t>
      </w:r>
      <w:r>
        <w:rPr/>
        <w:t>同比增长</w:t>
      </w:r>
      <w:r>
        <w:rPr>
          <w:rFonts w:ascii="宋体" w:hAnsi="宋体" w:cs="宋体" w:eastAsia="宋体" w:hint="default"/>
        </w:rPr>
        <w:t>3.67%</w:t>
      </w:r>
      <w:r>
        <w:rPr/>
        <w:t>。</w:t>
      </w:r>
    </w:p>
    <w:p>
      <w:pPr>
        <w:pStyle w:val="BodyText"/>
        <w:spacing w:line="408" w:lineRule="auto"/>
        <w:ind w:right="1128" w:firstLine="420"/>
        <w:jc w:val="both"/>
      </w:pPr>
      <w:r>
        <w:rPr>
          <w:spacing w:val="-2"/>
        </w:rPr>
        <w:t>老年人口占比逐年增大，老龄化加速带来医疗就诊需求的增加，同时，随着居民消费收入的增长、人</w:t>
      </w:r>
      <w:r>
        <w:rPr>
          <w:w w:val="100"/>
        </w:rPr>
        <w:t> </w:t>
      </w:r>
      <w:r>
        <w:rPr>
          <w:spacing w:val="-3"/>
        </w:rPr>
        <w:t>口结构的改变，人民对健康管理、疫病预防的需求愈发旺盛，“防未病”的观念深入人心，相较旺盛的需</w:t>
      </w:r>
      <w:r>
        <w:rPr>
          <w:spacing w:val="-5"/>
        </w:rPr>
        <w:t> </w:t>
      </w:r>
      <w:r>
        <w:rPr>
          <w:spacing w:val="-5"/>
        </w:rPr>
      </w:r>
      <w:r>
        <w:rPr/>
        <w:t>求而言，我国公共医疗资源分配不均、供给严重不足，医疗健康市场前景极为广阔。</w:t>
      </w:r>
    </w:p>
    <w:p>
      <w:pPr>
        <w:spacing w:line="408" w:lineRule="auto" w:before="46"/>
        <w:ind w:left="573"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）智能可穿戴领域集中度快速提升，行业巨头竞争加剧</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在智能可穿戴领域，根据最新发布的全球运动健康趋势调查报告</w:t>
      </w:r>
      <w:r>
        <w:rPr>
          <w:rFonts w:ascii="宋体" w:hAnsi="宋体" w:cs="宋体" w:eastAsia="宋体" w:hint="default"/>
          <w:spacing w:val="-6"/>
          <w:w w:val="100"/>
          <w:sz w:val="21"/>
          <w:szCs w:val="21"/>
        </w:rPr>
        <w:t>2020</w:t>
      </w:r>
      <w:r>
        <w:rPr>
          <w:rFonts w:ascii="宋体" w:hAnsi="宋体" w:cs="宋体" w:eastAsia="宋体" w:hint="default"/>
          <w:spacing w:val="-6"/>
          <w:w w:val="100"/>
          <w:sz w:val="21"/>
          <w:szCs w:val="21"/>
        </w:rPr>
        <w:t>版（</w:t>
      </w:r>
      <w:r>
        <w:rPr>
          <w:rFonts w:ascii="宋体" w:hAnsi="宋体" w:cs="宋体" w:eastAsia="宋体" w:hint="default"/>
          <w:spacing w:val="-6"/>
          <w:w w:val="100"/>
          <w:sz w:val="21"/>
          <w:szCs w:val="21"/>
        </w:rPr>
        <w:t>Worldwide</w:t>
      </w:r>
      <w:r>
        <w:rPr>
          <w:rFonts w:ascii="宋体" w:hAnsi="宋体" w:cs="宋体" w:eastAsia="宋体" w:hint="default"/>
          <w:spacing w:val="-41"/>
          <w:w w:val="100"/>
          <w:sz w:val="21"/>
          <w:szCs w:val="21"/>
        </w:rPr>
        <w:t> </w:t>
      </w:r>
      <w:r>
        <w:rPr>
          <w:rFonts w:ascii="宋体" w:hAnsi="宋体" w:cs="宋体" w:eastAsia="宋体" w:hint="default"/>
          <w:spacing w:val="-1"/>
          <w:w w:val="100"/>
          <w:sz w:val="21"/>
          <w:szCs w:val="21"/>
        </w:rPr>
        <w:t>survey</w:t>
      </w:r>
      <w:r>
        <w:rPr>
          <w:rFonts w:ascii="宋体" w:hAnsi="宋体" w:cs="宋体" w:eastAsia="宋体" w:hint="default"/>
          <w:spacing w:val="-44"/>
          <w:w w:val="100"/>
          <w:sz w:val="21"/>
          <w:szCs w:val="21"/>
        </w:rPr>
        <w:t> </w:t>
      </w:r>
      <w:r>
        <w:rPr>
          <w:rFonts w:ascii="宋体" w:hAnsi="宋体" w:cs="宋体" w:eastAsia="宋体" w:hint="default"/>
          <w:w w:val="100"/>
          <w:sz w:val="21"/>
          <w:szCs w:val="21"/>
        </w:rPr>
        <w:t>of</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fitness</w:t>
      </w:r>
    </w:p>
    <w:p>
      <w:pPr>
        <w:pStyle w:val="BodyText"/>
        <w:spacing w:line="408" w:lineRule="auto"/>
        <w:ind w:right="1105"/>
        <w:jc w:val="both"/>
      </w:pPr>
      <w:r>
        <w:rPr>
          <w:rFonts w:ascii="宋体" w:hAnsi="宋体" w:cs="宋体" w:eastAsia="宋体" w:hint="default"/>
        </w:rPr>
        <w:t>trends</w:t>
      </w:r>
      <w:r>
        <w:rPr>
          <w:rFonts w:ascii="宋体" w:hAnsi="宋体" w:cs="宋体" w:eastAsia="宋体" w:hint="default"/>
          <w:spacing w:val="-41"/>
        </w:rPr>
        <w:t> </w:t>
      </w:r>
      <w:r>
        <w:rPr>
          <w:rFonts w:ascii="宋体" w:hAnsi="宋体" w:cs="宋体" w:eastAsia="宋体" w:hint="default"/>
        </w:rPr>
        <w:t>for</w:t>
      </w:r>
      <w:r>
        <w:rPr>
          <w:rFonts w:ascii="宋体" w:hAnsi="宋体" w:cs="宋体" w:eastAsia="宋体" w:hint="default"/>
          <w:spacing w:val="-41"/>
        </w:rPr>
        <w:t> </w:t>
      </w:r>
      <w:r>
        <w:rPr>
          <w:rFonts w:ascii="宋体" w:hAnsi="宋体" w:cs="宋体" w:eastAsia="宋体" w:hint="default"/>
          <w:spacing w:val="-3"/>
        </w:rPr>
        <w:t>2020</w:t>
      </w:r>
      <w:r>
        <w:rPr>
          <w:spacing w:val="-3"/>
        </w:rPr>
        <w:t>）中，可穿戴设备技术位列第</w:t>
      </w:r>
      <w:r>
        <w:rPr>
          <w:rFonts w:ascii="宋体" w:hAnsi="宋体" w:cs="宋体" w:eastAsia="宋体" w:hint="default"/>
          <w:spacing w:val="-3"/>
        </w:rPr>
        <w:t>1</w:t>
      </w:r>
      <w:r>
        <w:rPr>
          <w:spacing w:val="-3"/>
        </w:rPr>
        <w:t>位，但在中国运动健康趋势调查报告</w:t>
      </w:r>
      <w:r>
        <w:rPr>
          <w:rFonts w:ascii="宋体" w:hAnsi="宋体" w:cs="宋体" w:eastAsia="宋体" w:hint="default"/>
          <w:spacing w:val="-3"/>
        </w:rPr>
        <w:t>2020</w:t>
      </w:r>
      <w:r>
        <w:rPr>
          <w:spacing w:val="-3"/>
        </w:rPr>
        <w:t>版（</w:t>
      </w:r>
      <w:r>
        <w:rPr>
          <w:rFonts w:ascii="宋体" w:hAnsi="宋体" w:cs="宋体" w:eastAsia="宋体" w:hint="default"/>
          <w:spacing w:val="-3"/>
        </w:rPr>
        <w:t>China</w:t>
      </w:r>
      <w:r>
        <w:rPr>
          <w:rFonts w:ascii="宋体" w:hAnsi="宋体" w:cs="宋体" w:eastAsia="宋体" w:hint="default"/>
          <w:spacing w:val="-41"/>
        </w:rPr>
        <w:t> </w:t>
      </w:r>
      <w:r>
        <w:rPr>
          <w:rFonts w:ascii="宋体" w:hAnsi="宋体" w:cs="宋体" w:eastAsia="宋体" w:hint="default"/>
        </w:rPr>
        <w:t>survey</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of fitness trends for</w:t>
      </w:r>
      <w:r>
        <w:rPr>
          <w:rFonts w:ascii="宋体" w:hAnsi="宋体" w:cs="宋体" w:eastAsia="宋体" w:hint="default"/>
          <w:spacing w:val="-33"/>
        </w:rPr>
        <w:t> </w:t>
      </w:r>
      <w:r>
        <w:rPr>
          <w:rFonts w:ascii="宋体" w:hAnsi="宋体" w:cs="宋体" w:eastAsia="宋体" w:hint="default"/>
        </w:rPr>
        <w:t>2020</w:t>
      </w:r>
      <w:r>
        <w:rPr/>
        <w:t>）中，可穿戴技术仅位列第</w:t>
      </w:r>
      <w:r>
        <w:rPr>
          <w:rFonts w:ascii="宋体" w:hAnsi="宋体" w:cs="宋体" w:eastAsia="宋体" w:hint="default"/>
        </w:rPr>
        <w:t>13</w:t>
      </w:r>
      <w:r>
        <w:rPr/>
        <w:t>位，我们认为可穿戴技术在中国市场是一个极</w:t>
      </w:r>
      <w:r>
        <w:rPr>
          <w:w w:val="100"/>
        </w:rPr>
        <w:t> </w:t>
      </w:r>
      <w:r>
        <w:rPr>
          <w:spacing w:val="-2"/>
        </w:rPr>
        <w:t>具前景的行业与趋势，可穿戴技术具有很大的提升空间。据分析，提高可穿戴设备的数据精度与准确性，</w:t>
      </w:r>
      <w:r>
        <w:rPr>
          <w:spacing w:val="-21"/>
        </w:rPr>
        <w:t> </w:t>
      </w:r>
      <w:r>
        <w:rPr>
          <w:spacing w:val="-21"/>
        </w:rPr>
      </w:r>
      <w:r>
        <w:rPr/>
        <w:t>会在未来医疗健康行业中扮演重要的角色。</w:t>
      </w:r>
    </w:p>
    <w:p>
      <w:pPr>
        <w:pStyle w:val="BodyText"/>
        <w:spacing w:line="408" w:lineRule="auto"/>
        <w:ind w:right="1126" w:firstLine="420"/>
        <w:jc w:val="both"/>
      </w:pPr>
      <w:r>
        <w:rPr>
          <w:rFonts w:ascii="宋体" w:hAnsi="宋体" w:cs="宋体" w:eastAsia="宋体" w:hint="default"/>
          <w:spacing w:val="-2"/>
        </w:rPr>
        <w:t>IDC</w:t>
      </w:r>
      <w:r>
        <w:rPr>
          <w:spacing w:val="-2"/>
        </w:rPr>
        <w:t>数据显示，</w:t>
      </w:r>
      <w:r>
        <w:rPr>
          <w:rFonts w:ascii="宋体" w:hAnsi="宋体" w:cs="宋体" w:eastAsia="宋体" w:hint="default"/>
          <w:spacing w:val="-2"/>
        </w:rPr>
        <w:t>2019</w:t>
      </w:r>
      <w:r>
        <w:rPr>
          <w:spacing w:val="-2"/>
        </w:rPr>
        <w:t>年中国可穿戴市场同比增长</w:t>
      </w:r>
      <w:r>
        <w:rPr>
          <w:rFonts w:ascii="宋体" w:hAnsi="宋体" w:cs="宋体" w:eastAsia="宋体" w:hint="default"/>
          <w:spacing w:val="-2"/>
        </w:rPr>
        <w:t>25.2%</w:t>
      </w:r>
      <w:r>
        <w:rPr>
          <w:spacing w:val="-2"/>
        </w:rPr>
        <w:t>，前五名的厂商份额逐渐增长，市场向头部厂商</w:t>
      </w:r>
      <w:r>
        <w:rPr>
          <w:w w:val="100"/>
        </w:rPr>
        <w:t> </w:t>
      </w:r>
      <w:r>
        <w:rPr>
          <w:spacing w:val="-2"/>
        </w:rPr>
        <w:t>倾斜，</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年，我国前三大可穿戴企业的市场占有率提升了</w:t>
      </w:r>
      <w:r>
        <w:rPr>
          <w:rFonts w:ascii="宋体" w:hAnsi="宋体" w:cs="宋体" w:eastAsia="宋体" w:hint="default"/>
          <w:spacing w:val="-2"/>
        </w:rPr>
        <w:t>15</w:t>
      </w:r>
      <w:r>
        <w:rPr>
          <w:spacing w:val="-2"/>
        </w:rPr>
        <w:t>个百分点至</w:t>
      </w:r>
      <w:r>
        <w:rPr>
          <w:rFonts w:ascii="宋体" w:hAnsi="宋体" w:cs="宋体" w:eastAsia="宋体" w:hint="default"/>
          <w:spacing w:val="-2"/>
        </w:rPr>
        <w:t>2019</w:t>
      </w:r>
      <w:r>
        <w:rPr>
          <w:spacing w:val="-2"/>
        </w:rPr>
        <w:t>年的</w:t>
      </w:r>
      <w:r>
        <w:rPr>
          <w:rFonts w:ascii="宋体" w:hAnsi="宋体" w:cs="宋体" w:eastAsia="宋体" w:hint="default"/>
          <w:spacing w:val="-2"/>
        </w:rPr>
        <w:t>59%</w:t>
      </w:r>
      <w:r>
        <w:rPr>
          <w:spacing w:val="-2"/>
        </w:rPr>
        <w:t>，充分说明</w:t>
      </w:r>
      <w:r>
        <w:rPr>
          <w:spacing w:val="-31"/>
        </w:rPr>
        <w:t> </w:t>
      </w:r>
      <w:r>
        <w:rPr>
          <w:spacing w:val="-31"/>
        </w:rPr>
      </w:r>
      <w:r>
        <w:rPr>
          <w:spacing w:val="-2"/>
        </w:rPr>
        <w:t>可穿戴行业的竞争已经是巨头之间的竞争，头部企业集中度快速提升。受到新冠疫情影响，促使更多人注</w:t>
      </w:r>
      <w:r>
        <w:rPr>
          <w:spacing w:val="-44"/>
        </w:rPr>
        <w:t> </w:t>
      </w:r>
      <w:r>
        <w:rPr>
          <w:spacing w:val="-44"/>
        </w:rPr>
      </w:r>
      <w:r>
        <w:rPr/>
        <w:t>重运动习惯的养成、身体指标的监测，这将激活更多潜在需求。</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、公司所处的行业地位</w:t>
      </w:r>
      <w:r>
        <w:rPr>
          <w:rFonts w:ascii="宋体" w:hAnsi="宋体" w:cs="宋体" w:eastAsia="宋体" w:hint="default"/>
          <w:b/>
          <w:bCs/>
          <w:w w:val="100"/>
          <w:sz w:val="21"/>
          <w:szCs w:val="21"/>
        </w:rPr>
        <w:t> </w:t>
      </w:r>
      <w:r>
        <w:rPr>
          <w:rFonts w:ascii="宋体" w:hAnsi="宋体" w:cs="宋体" w:eastAsia="宋体" w:hint="default"/>
          <w:spacing w:val="2"/>
          <w:sz w:val="21"/>
          <w:szCs w:val="21"/>
        </w:rPr>
        <w:t>公司具备长期服务全球高端客户的经验与能力以及全球一流的供应链能力。凭借优良的研发设计能</w:t>
      </w:r>
    </w:p>
    <w:p>
      <w:pPr>
        <w:pStyle w:val="BodyText"/>
        <w:spacing w:line="408" w:lineRule="auto"/>
        <w:ind w:right="1023"/>
        <w:jc w:val="left"/>
      </w:pPr>
      <w:r>
        <w:rPr/>
        <w:t>力、产品品质和及时交付能力而受到全球知名客户青睐，与众多国内外知名健康</w:t>
      </w:r>
      <w:r>
        <w:rPr>
          <w:rFonts w:ascii="宋体" w:hAnsi="宋体" w:cs="宋体" w:eastAsia="宋体" w:hint="default"/>
        </w:rPr>
        <w:t>IoT</w:t>
      </w:r>
      <w:r>
        <w:rPr/>
        <w:t>行业巨头建立了稳定</w:t>
      </w:r>
      <w:r>
        <w:rPr>
          <w:spacing w:val="-23"/>
        </w:rPr>
        <w:t> </w:t>
      </w:r>
      <w:r>
        <w:rPr>
          <w:spacing w:val="-23"/>
        </w:rPr>
      </w:r>
      <w:r>
        <w:rPr>
          <w:spacing w:val="-7"/>
          <w:w w:val="100"/>
        </w:rPr>
        <w:t>的合作关系。根据</w:t>
      </w:r>
      <w:r>
        <w:rPr>
          <w:rFonts w:ascii="宋体" w:hAnsi="宋体" w:cs="宋体" w:eastAsia="宋体" w:hint="default"/>
          <w:spacing w:val="-7"/>
          <w:w w:val="100"/>
        </w:rPr>
        <w:t>2019</w:t>
      </w:r>
      <w:r>
        <w:rPr>
          <w:spacing w:val="-7"/>
          <w:w w:val="100"/>
        </w:rPr>
        <w:t>年国家海关统计数据显示，</w:t>
      </w:r>
      <w:r>
        <w:rPr>
          <w:rFonts w:ascii="宋体" w:hAnsi="宋体" w:cs="宋体" w:eastAsia="宋体" w:hint="default"/>
          <w:spacing w:val="-7"/>
          <w:w w:val="100"/>
        </w:rPr>
        <w:t>2019</w:t>
      </w:r>
      <w:r>
        <w:rPr>
          <w:spacing w:val="-7"/>
          <w:w w:val="100"/>
        </w:rPr>
        <w:t>年公司电子衡器（</w:t>
      </w:r>
      <w:r>
        <w:rPr>
          <w:rFonts w:ascii="宋体" w:hAnsi="宋体" w:cs="宋体" w:eastAsia="宋体" w:hint="default"/>
          <w:spacing w:val="-7"/>
          <w:w w:val="100"/>
        </w:rPr>
        <w:t>HS</w:t>
      </w:r>
      <w:r>
        <w:rPr>
          <w:spacing w:val="-7"/>
          <w:w w:val="100"/>
        </w:rPr>
        <w:t>编码</w:t>
      </w:r>
      <w:r>
        <w:rPr>
          <w:rFonts w:ascii="宋体" w:hAnsi="宋体" w:cs="宋体" w:eastAsia="宋体" w:hint="default"/>
          <w:spacing w:val="-7"/>
          <w:w w:val="100"/>
        </w:rPr>
        <w:t>-10HS</w:t>
      </w:r>
      <w:r>
        <w:rPr>
          <w:spacing w:val="-7"/>
          <w:w w:val="100"/>
        </w:rPr>
        <w:t>：</w:t>
      </w:r>
      <w:r>
        <w:rPr>
          <w:rFonts w:ascii="宋体" w:hAnsi="宋体" w:cs="宋体" w:eastAsia="宋体" w:hint="default"/>
          <w:spacing w:val="-7"/>
          <w:w w:val="100"/>
        </w:rPr>
        <w:t>84231000/90318090</w:t>
      </w:r>
      <w:r>
        <w:rPr>
          <w:spacing w:val="-7"/>
          <w:w w:val="100"/>
        </w:rPr>
        <w:t>）</w:t>
      </w:r>
      <w:r>
        <w:rPr>
          <w:spacing w:val="-64"/>
          <w:w w:val="100"/>
        </w:rPr>
        <w:t> </w:t>
      </w:r>
      <w:r>
        <w:rPr/>
        <w:t>出口总额在国内该商品分类出口总额排名第二，电子血压计（</w:t>
      </w:r>
      <w:r>
        <w:rPr>
          <w:rFonts w:ascii="宋体" w:hAnsi="宋体" w:cs="宋体" w:eastAsia="宋体" w:hint="default"/>
        </w:rPr>
        <w:t>HS</w:t>
      </w:r>
      <w:r>
        <w:rPr/>
        <w:t>编码</w:t>
      </w:r>
      <w:r>
        <w:rPr>
          <w:rFonts w:ascii="宋体" w:hAnsi="宋体" w:cs="宋体" w:eastAsia="宋体" w:hint="default"/>
        </w:rPr>
        <w:t>-10HS</w:t>
      </w:r>
      <w:r>
        <w:rPr/>
        <w:t>：</w:t>
      </w:r>
      <w:r>
        <w:rPr>
          <w:rFonts w:ascii="宋体" w:hAnsi="宋体" w:cs="宋体" w:eastAsia="宋体" w:hint="default"/>
        </w:rPr>
        <w:t>90189020</w:t>
      </w:r>
      <w:r>
        <w:rPr/>
        <w:t>）出口总额在国内</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该商品分类出口总额排名第三，公司产品广泛销往</w:t>
      </w:r>
      <w:r>
        <w:rPr>
          <w:rFonts w:ascii="宋体" w:hAnsi="宋体" w:cs="宋体" w:eastAsia="宋体" w:hint="default"/>
        </w:rPr>
        <w:t>50</w:t>
      </w:r>
      <w:r>
        <w:rPr/>
        <w:t>多个国家和地区。</w:t>
      </w:r>
    </w:p>
    <w:p>
      <w:pPr>
        <w:spacing w:line="240" w:lineRule="auto" w:before="12"/>
        <w:rPr>
          <w:rFonts w:ascii="宋体" w:hAnsi="宋体" w:cs="宋体" w:eastAsia="宋体" w:hint="default"/>
          <w:sz w:val="29"/>
          <w:szCs w:val="29"/>
        </w:rPr>
      </w:pPr>
    </w:p>
    <w:p>
      <w:pPr>
        <w:pStyle w:val="Heading3"/>
        <w:spacing w:line="240" w:lineRule="auto"/>
        <w:ind w:right="1119"/>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主要系乐心产业园三期工程投入建设所致。</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主要系按新金融工具准则列报购入的闲置募集资金理财增加所致。</w:t>
            </w:r>
          </w:p>
        </w:tc>
      </w:tr>
      <w:tr>
        <w:trPr>
          <w:trHeight w:val="715"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主要系原可供出售金融资产按新金融工具准则调整列报，以及公司新增投资及权益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工具本身公允价格变动影响所致。</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spacing w:line="408" w:lineRule="auto" w:before="0"/>
        <w:ind w:left="633" w:right="1119"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、具有技术与研发优势，多项产品获得全球医疗资质</w:t>
      </w:r>
      <w:r>
        <w:rPr>
          <w:rFonts w:ascii="宋体" w:hAnsi="宋体" w:cs="宋体" w:eastAsia="宋体" w:hint="default"/>
          <w:b/>
          <w:bCs/>
          <w:w w:val="100"/>
          <w:sz w:val="21"/>
          <w:szCs w:val="21"/>
        </w:rPr>
        <w:t> </w:t>
      </w:r>
      <w:r>
        <w:rPr>
          <w:rFonts w:ascii="宋体" w:hAnsi="宋体" w:cs="宋体" w:eastAsia="宋体" w:hint="default"/>
          <w:spacing w:val="-4"/>
          <w:sz w:val="21"/>
          <w:szCs w:val="21"/>
        </w:rPr>
        <w:t>公司作为国家级高新技术企业，一直高度重视产品研发，始终坚持以市场为导向、创新为原则、用户</w:t>
      </w:r>
    </w:p>
    <w:p>
      <w:pPr>
        <w:pStyle w:val="BodyText"/>
        <w:spacing w:line="408" w:lineRule="auto"/>
        <w:ind w:right="1126"/>
        <w:jc w:val="both"/>
      </w:pPr>
      <w:r>
        <w:rPr>
          <w:spacing w:val="-2"/>
        </w:rPr>
        <w:t>需求为核心，持续加强在研发上的投入，紧密捕捉市场需求并快速响应。硬件、软件和服务的设计及研发</w:t>
      </w:r>
      <w:r>
        <w:rPr>
          <w:spacing w:val="-50"/>
        </w:rPr>
        <w:t> </w:t>
      </w:r>
      <w:r>
        <w:rPr>
          <w:spacing w:val="-50"/>
        </w:rPr>
      </w:r>
      <w:r>
        <w:rPr>
          <w:spacing w:val="-2"/>
        </w:rPr>
        <w:t>能力在国内处于领先地位，同时公司本着合作共赢、开发创新的价值观，深入布局数据驱动和数据开放平</w:t>
      </w:r>
      <w:r>
        <w:rPr>
          <w:spacing w:val="-44"/>
        </w:rPr>
        <w:t> </w:t>
      </w:r>
      <w:r>
        <w:rPr>
          <w:spacing w:val="-44"/>
        </w:rPr>
      </w:r>
      <w:r>
        <w:rPr/>
        <w:t>台战略，构建了</w:t>
      </w:r>
      <w:r>
        <w:rPr>
          <w:rFonts w:ascii="宋体" w:hAnsi="宋体" w:cs="宋体" w:eastAsia="宋体" w:hint="default"/>
        </w:rPr>
        <w:t>IoT</w:t>
      </w:r>
      <w:r>
        <w:rPr/>
        <w:t>端、健康医疗云与大数据</w:t>
      </w:r>
      <w:r>
        <w:rPr>
          <w:rFonts w:ascii="宋体" w:hAnsi="宋体" w:cs="宋体" w:eastAsia="宋体" w:hint="default"/>
        </w:rPr>
        <w:t>AI</w:t>
      </w:r>
      <w:r>
        <w:rPr/>
        <w:t>协同的生态。公司十分重视数据安全与用户隐私，在用户</w:t>
      </w:r>
      <w:r>
        <w:rPr>
          <w:spacing w:val="-27"/>
        </w:rPr>
        <w:t> </w:t>
      </w:r>
      <w:r>
        <w:rPr>
          <w:spacing w:val="-27"/>
        </w:rPr>
      </w:r>
      <w:r>
        <w:rPr>
          <w:spacing w:val="-2"/>
        </w:rPr>
        <w:t>授权、数据加密存储、传输及开放合作资格审查上都建立了严格的标准。公司在硬件技术上不断创新，覆</w:t>
      </w:r>
      <w:r>
        <w:rPr>
          <w:spacing w:val="-44"/>
        </w:rPr>
        <w:t> </w:t>
      </w:r>
      <w:r>
        <w:rPr>
          <w:spacing w:val="-44"/>
        </w:rPr>
      </w:r>
      <w:r>
        <w:rPr>
          <w:spacing w:val="-2"/>
        </w:rPr>
        <w:t>盖产品定义、设计、生产、制造全流程，不仅在核心部件和算法上实现自研自产，而且在生物信号传感等</w:t>
      </w:r>
      <w:r>
        <w:rPr>
          <w:spacing w:val="-43"/>
        </w:rPr>
        <w:t> </w:t>
      </w:r>
      <w:r>
        <w:rPr>
          <w:spacing w:val="-43"/>
        </w:rPr>
      </w:r>
      <w:r>
        <w:rPr>
          <w:spacing w:val="-2"/>
        </w:rPr>
        <w:t>方面的创新能力亦不断增强，形成了公司特有的产品研发优势，多项产品拥有国家二类医疗设备生产体系</w:t>
      </w:r>
      <w:r>
        <w:rPr>
          <w:spacing w:val="-44"/>
        </w:rPr>
        <w:t> </w:t>
      </w:r>
      <w:r>
        <w:rPr>
          <w:spacing w:val="-44"/>
        </w:rPr>
      </w:r>
      <w:r>
        <w:rPr/>
        <w:t>和全球主流国家的医疗认证。</w:t>
      </w:r>
    </w:p>
    <w:p>
      <w:pPr>
        <w:pStyle w:val="BodyText"/>
        <w:spacing w:line="408" w:lineRule="auto"/>
        <w:ind w:right="996" w:firstLine="480"/>
        <w:jc w:val="left"/>
      </w:pPr>
      <w:r>
        <w:rPr/>
        <w:t>公司研发总人数超过</w:t>
      </w:r>
      <w:r>
        <w:rPr>
          <w:rFonts w:ascii="宋体" w:hAnsi="宋体" w:cs="宋体" w:eastAsia="宋体" w:hint="default"/>
        </w:rPr>
        <w:t>300</w:t>
      </w:r>
      <w:r>
        <w:rPr/>
        <w:t>人，除中山总部的研发中心外，在深圳、上海等多地均设有研发中心。公司</w:t>
      </w:r>
      <w:r>
        <w:rPr>
          <w:w w:val="100"/>
        </w:rPr>
        <w:t> </w:t>
      </w:r>
      <w:r>
        <w:rPr>
          <w:spacing w:val="-2"/>
        </w:rPr>
        <w:t>高度重视产品自主知识产权建设，截至报告期末，公司累计取得国内专利证书</w:t>
      </w:r>
      <w:r>
        <w:rPr>
          <w:rFonts w:ascii="宋体" w:hAnsi="宋体" w:cs="宋体" w:eastAsia="宋体" w:hint="default"/>
          <w:spacing w:val="-2"/>
        </w:rPr>
        <w:t>337</w:t>
      </w:r>
      <w:r>
        <w:rPr>
          <w:spacing w:val="-2"/>
        </w:rPr>
        <w:t>件，其中发明专利</w:t>
      </w:r>
      <w:r>
        <w:rPr>
          <w:rFonts w:ascii="宋体" w:hAnsi="宋体" w:cs="宋体" w:eastAsia="宋体" w:hint="default"/>
          <w:spacing w:val="-2"/>
        </w:rPr>
        <w:t>44</w:t>
      </w:r>
      <w:r>
        <w:rPr>
          <w:spacing w:val="-2"/>
        </w:rPr>
        <w:t>件，</w:t>
      </w:r>
      <w:r>
        <w:rPr>
          <w:spacing w:val="-38"/>
        </w:rPr>
        <w:t> </w:t>
      </w:r>
      <w:r>
        <w:rPr/>
        <w:t>实用新型专利</w:t>
      </w:r>
      <w:r>
        <w:rPr>
          <w:rFonts w:ascii="宋体" w:hAnsi="宋体" w:cs="宋体" w:eastAsia="宋体" w:hint="default"/>
        </w:rPr>
        <w:t>109</w:t>
      </w:r>
      <w:r>
        <w:rPr/>
        <w:t>件，外观设计专利</w:t>
      </w:r>
      <w:r>
        <w:rPr>
          <w:rFonts w:ascii="宋体" w:hAnsi="宋体" w:cs="宋体" w:eastAsia="宋体" w:hint="default"/>
        </w:rPr>
        <w:t>184</w:t>
      </w:r>
      <w:r>
        <w:rPr/>
        <w:t>件。报告期末国内累计有效专利</w:t>
      </w:r>
      <w:r>
        <w:rPr>
          <w:rFonts w:ascii="宋体" w:hAnsi="宋体" w:cs="宋体" w:eastAsia="宋体" w:hint="default"/>
        </w:rPr>
        <w:t>247</w:t>
      </w:r>
      <w:r>
        <w:rPr/>
        <w:t>件，其中发明专利</w:t>
      </w:r>
      <w:r>
        <w:rPr>
          <w:rFonts w:ascii="宋体" w:hAnsi="宋体" w:cs="宋体" w:eastAsia="宋体" w:hint="default"/>
        </w:rPr>
        <w:t>44</w:t>
      </w:r>
      <w:r>
        <w:rPr/>
        <w:t>件，实用</w:t>
      </w:r>
      <w:r>
        <w:rPr>
          <w:spacing w:val="-25"/>
        </w:rPr>
        <w:t> </w:t>
      </w:r>
      <w:r>
        <w:rPr>
          <w:spacing w:val="-25"/>
        </w:rPr>
      </w:r>
      <w:r>
        <w:rPr>
          <w:spacing w:val="-2"/>
        </w:rPr>
        <w:t>新型专利</w:t>
      </w:r>
      <w:r>
        <w:rPr>
          <w:rFonts w:ascii="宋体" w:hAnsi="宋体" w:cs="宋体" w:eastAsia="宋体" w:hint="default"/>
          <w:spacing w:val="-2"/>
        </w:rPr>
        <w:t>92</w:t>
      </w:r>
      <w:r>
        <w:rPr>
          <w:spacing w:val="-2"/>
        </w:rPr>
        <w:t>件，外观设计专利</w:t>
      </w:r>
      <w:r>
        <w:rPr>
          <w:rFonts w:ascii="宋体" w:hAnsi="宋体" w:cs="宋体" w:eastAsia="宋体" w:hint="default"/>
          <w:spacing w:val="-2"/>
        </w:rPr>
        <w:t>111</w:t>
      </w:r>
      <w:r>
        <w:rPr>
          <w:spacing w:val="-2"/>
        </w:rPr>
        <w:t>件。累计取得软件著作权</w:t>
      </w:r>
      <w:r>
        <w:rPr>
          <w:rFonts w:ascii="宋体" w:hAnsi="宋体" w:cs="宋体" w:eastAsia="宋体" w:hint="default"/>
          <w:spacing w:val="-2"/>
        </w:rPr>
        <w:t>38</w:t>
      </w:r>
      <w:r>
        <w:rPr>
          <w:spacing w:val="-2"/>
        </w:rPr>
        <w:t>件，累计取得国内注册商标</w:t>
      </w:r>
      <w:r>
        <w:rPr>
          <w:rFonts w:ascii="宋体" w:hAnsi="宋体" w:cs="宋体" w:eastAsia="宋体" w:hint="default"/>
          <w:spacing w:val="-2"/>
        </w:rPr>
        <w:t>404</w:t>
      </w:r>
      <w:r>
        <w:rPr>
          <w:spacing w:val="-2"/>
        </w:rPr>
        <w:t>件。累计取得</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海外专利证书</w:t>
      </w:r>
      <w:r>
        <w:rPr>
          <w:rFonts w:ascii="宋体" w:hAnsi="宋体" w:cs="宋体" w:eastAsia="宋体" w:hint="default"/>
          <w:spacing w:val="-2"/>
        </w:rPr>
        <w:t>18</w:t>
      </w:r>
      <w:r>
        <w:rPr>
          <w:spacing w:val="-2"/>
        </w:rPr>
        <w:t>件，报告期末公司有效海外专利</w:t>
      </w:r>
      <w:r>
        <w:rPr>
          <w:rFonts w:ascii="宋体" w:hAnsi="宋体" w:cs="宋体" w:eastAsia="宋体" w:hint="default"/>
          <w:spacing w:val="-2"/>
        </w:rPr>
        <w:t>10</w:t>
      </w:r>
      <w:r>
        <w:rPr>
          <w:spacing w:val="-2"/>
        </w:rPr>
        <w:t>件，其中发明专利</w:t>
      </w:r>
      <w:r>
        <w:rPr>
          <w:rFonts w:ascii="宋体" w:hAnsi="宋体" w:cs="宋体" w:eastAsia="宋体" w:hint="default"/>
          <w:spacing w:val="-2"/>
        </w:rPr>
        <w:t>5</w:t>
      </w:r>
      <w:r>
        <w:rPr>
          <w:spacing w:val="-2"/>
        </w:rPr>
        <w:t>件，外观设计专利</w:t>
      </w:r>
      <w:r>
        <w:rPr>
          <w:rFonts w:ascii="宋体" w:hAnsi="宋体" w:cs="宋体" w:eastAsia="宋体" w:hint="default"/>
          <w:spacing w:val="-2"/>
        </w:rPr>
        <w:t>5</w:t>
      </w:r>
      <w:r>
        <w:rPr>
          <w:spacing w:val="-2"/>
        </w:rPr>
        <w:t>件。累计获得海</w:t>
      </w:r>
      <w:r>
        <w:rPr>
          <w:spacing w:val="-41"/>
        </w:rPr>
        <w:t> </w:t>
      </w:r>
      <w:r>
        <w:rPr>
          <w:spacing w:val="-41"/>
        </w:rPr>
      </w:r>
      <w:r>
        <w:rPr/>
        <w:t>外注册商标</w:t>
      </w:r>
      <w:r>
        <w:rPr>
          <w:rFonts w:ascii="宋体" w:hAnsi="宋体" w:cs="宋体" w:eastAsia="宋体" w:hint="default"/>
        </w:rPr>
        <w:t>71</w:t>
      </w:r>
      <w:r>
        <w:rPr/>
        <w:t>件。</w:t>
      </w:r>
    </w:p>
    <w:p>
      <w:pPr>
        <w:pStyle w:val="BodyText"/>
        <w:spacing w:line="408" w:lineRule="auto"/>
        <w:ind w:right="1128" w:firstLine="480"/>
        <w:jc w:val="both"/>
      </w:pPr>
      <w:r>
        <w:rPr>
          <w:spacing w:val="-1"/>
        </w:rPr>
        <w:t>报告期内，公司在国内新增专利申请</w:t>
      </w:r>
      <w:r>
        <w:rPr>
          <w:rFonts w:ascii="宋体" w:hAnsi="宋体" w:cs="宋体" w:eastAsia="宋体" w:hint="default"/>
          <w:spacing w:val="-1"/>
        </w:rPr>
        <w:t>62</w:t>
      </w:r>
      <w:r>
        <w:rPr>
          <w:spacing w:val="-1"/>
        </w:rPr>
        <w:t>件，其中发明专利</w:t>
      </w:r>
      <w:r>
        <w:rPr>
          <w:rFonts w:ascii="宋体" w:hAnsi="宋体" w:cs="宋体" w:eastAsia="宋体" w:hint="default"/>
          <w:spacing w:val="-1"/>
        </w:rPr>
        <w:t>29</w:t>
      </w:r>
      <w:r>
        <w:rPr>
          <w:spacing w:val="-1"/>
        </w:rPr>
        <w:t>件，实用新型专利</w:t>
      </w:r>
      <w:r>
        <w:rPr>
          <w:rFonts w:ascii="宋体" w:hAnsi="宋体" w:cs="宋体" w:eastAsia="宋体" w:hint="default"/>
          <w:spacing w:val="-1"/>
        </w:rPr>
        <w:t>24</w:t>
      </w:r>
      <w:r>
        <w:rPr>
          <w:spacing w:val="-1"/>
        </w:rPr>
        <w:t>件，外观设计专利</w:t>
      </w:r>
      <w:r>
        <w:rPr>
          <w:rFonts w:ascii="宋体" w:hAnsi="宋体" w:cs="宋体" w:eastAsia="宋体" w:hint="default"/>
          <w:spacing w:val="-1"/>
        </w:rPr>
        <w:t>9</w:t>
      </w:r>
      <w:r>
        <w:rPr>
          <w:rFonts w:ascii="宋体" w:hAnsi="宋体" w:cs="宋体" w:eastAsia="宋体" w:hint="default"/>
          <w:w w:val="100"/>
        </w:rPr>
        <w:t> </w:t>
      </w:r>
      <w:r>
        <w:rPr/>
        <w:t>件。新增授权专利</w:t>
      </w:r>
      <w:r>
        <w:rPr>
          <w:rFonts w:ascii="宋体" w:hAnsi="宋体" w:cs="宋体" w:eastAsia="宋体" w:hint="default"/>
        </w:rPr>
        <w:t>41</w:t>
      </w:r>
      <w:r>
        <w:rPr/>
        <w:t>件，其中发明专利</w:t>
      </w:r>
      <w:r>
        <w:rPr>
          <w:rFonts w:ascii="宋体" w:hAnsi="宋体" w:cs="宋体" w:eastAsia="宋体" w:hint="default"/>
        </w:rPr>
        <w:t>16</w:t>
      </w:r>
      <w:r>
        <w:rPr/>
        <w:t>件，实用新型专利</w:t>
      </w:r>
      <w:r>
        <w:rPr>
          <w:rFonts w:ascii="宋体" w:hAnsi="宋体" w:cs="宋体" w:eastAsia="宋体" w:hint="default"/>
        </w:rPr>
        <w:t>15</w:t>
      </w:r>
      <w:r>
        <w:rPr/>
        <w:t>件，外观设计专利</w:t>
      </w:r>
      <w:r>
        <w:rPr>
          <w:rFonts w:ascii="宋体" w:hAnsi="宋体" w:cs="宋体" w:eastAsia="宋体" w:hint="default"/>
        </w:rPr>
        <w:t>10</w:t>
      </w:r>
      <w:r>
        <w:rPr/>
        <w:t>件。新增软件著作权</w:t>
      </w:r>
      <w:r>
        <w:rPr>
          <w:rFonts w:ascii="宋体" w:hAnsi="宋体" w:cs="宋体" w:eastAsia="宋体" w:hint="default"/>
        </w:rPr>
        <w:t>4</w:t>
      </w:r>
      <w:r>
        <w:rPr>
          <w:rFonts w:ascii="宋体" w:hAnsi="宋体" w:cs="宋体" w:eastAsia="宋体" w:hint="default"/>
          <w:spacing w:val="-23"/>
        </w:rPr>
        <w:t> </w:t>
      </w:r>
      <w:r>
        <w:rPr/>
        <w:t>件。新增国内商标申请</w:t>
      </w:r>
      <w:r>
        <w:rPr>
          <w:rFonts w:ascii="宋体" w:hAnsi="宋体" w:cs="宋体" w:eastAsia="宋体" w:hint="default"/>
        </w:rPr>
        <w:t>32</w:t>
      </w:r>
      <w:r>
        <w:rPr/>
        <w:t>件，新增国内注册商标</w:t>
      </w:r>
      <w:r>
        <w:rPr>
          <w:rFonts w:ascii="宋体" w:hAnsi="宋体" w:cs="宋体" w:eastAsia="宋体" w:hint="default"/>
        </w:rPr>
        <w:t>54</w:t>
      </w:r>
      <w:r>
        <w:rPr/>
        <w:t>件。新增海外商标申请</w:t>
      </w:r>
      <w:r>
        <w:rPr>
          <w:rFonts w:ascii="宋体" w:hAnsi="宋体" w:cs="宋体" w:eastAsia="宋体" w:hint="default"/>
        </w:rPr>
        <w:t>7</w:t>
      </w:r>
      <w:r>
        <w:rPr/>
        <w:t>件，新增海外注册商标</w:t>
      </w:r>
      <w:r>
        <w:rPr>
          <w:rFonts w:ascii="宋体" w:hAnsi="宋体" w:cs="宋体" w:eastAsia="宋体" w:hint="default"/>
        </w:rPr>
        <w:t>18</w:t>
      </w:r>
      <w:r>
        <w:rPr/>
        <w:t>件。</w:t>
      </w:r>
    </w:p>
    <w:p>
      <w:pPr>
        <w:pStyle w:val="BodyText"/>
        <w:spacing w:line="408" w:lineRule="auto"/>
        <w:ind w:right="1127" w:firstLine="480"/>
        <w:jc w:val="both"/>
      </w:pPr>
      <w:r>
        <w:rPr>
          <w:spacing w:val="-4"/>
        </w:rPr>
        <w:t>公司在不断提升自身技术研发投入、加强研发团队建设及完善技术研发创新体系的同时，还积极与外</w:t>
      </w:r>
      <w:r>
        <w:rPr>
          <w:w w:val="100"/>
        </w:rPr>
        <w:t> </w:t>
      </w:r>
      <w:r>
        <w:rPr>
          <w:spacing w:val="-2"/>
        </w:rPr>
        <w:t>部科研机构进行产学研合作，与全球知名行业专家建立了良好的合作关系。自</w:t>
      </w:r>
      <w:r>
        <w:rPr>
          <w:rFonts w:ascii="宋体" w:hAnsi="宋体" w:cs="宋体" w:eastAsia="宋体" w:hint="default"/>
          <w:spacing w:val="-2"/>
        </w:rPr>
        <w:t>2018</w:t>
      </w:r>
      <w:r>
        <w:rPr>
          <w:spacing w:val="-2"/>
        </w:rPr>
        <w:t>年起，资助</w:t>
      </w:r>
      <w:r>
        <w:rPr>
          <w:rFonts w:ascii="宋体" w:hAnsi="宋体" w:cs="宋体" w:eastAsia="宋体" w:hint="default"/>
          <w:spacing w:val="-2"/>
        </w:rPr>
        <w:t>UIUC</w:t>
      </w:r>
      <w:r>
        <w:rPr>
          <w:spacing w:val="-2"/>
        </w:rPr>
        <w:t>终身教</w:t>
      </w:r>
      <w:r>
        <w:rPr>
          <w:spacing w:val="-38"/>
        </w:rPr>
        <w:t> </w:t>
      </w:r>
      <w:r>
        <w:rPr/>
        <w:t>授</w:t>
      </w:r>
      <w:r>
        <w:rPr>
          <w:rFonts w:ascii="宋体" w:hAnsi="宋体" w:cs="宋体" w:eastAsia="宋体" w:hint="default"/>
        </w:rPr>
        <w:t>Weimo</w:t>
      </w:r>
      <w:r>
        <w:rPr>
          <w:rFonts w:ascii="宋体" w:hAnsi="宋体" w:cs="宋体" w:eastAsia="宋体" w:hint="default"/>
          <w:spacing w:val="69"/>
        </w:rPr>
        <w:t> </w:t>
      </w:r>
      <w:r>
        <w:rPr>
          <w:rFonts w:ascii="宋体" w:hAnsi="宋体" w:cs="宋体" w:eastAsia="宋体" w:hint="default"/>
        </w:rPr>
        <w:t>Zhu</w:t>
      </w:r>
      <w:r>
        <w:rPr/>
        <w:t>研究团队进行人体运动与测量方面的研究。同时，与德国汉堡科学院院士、人工智能机器人</w:t>
      </w:r>
      <w:r>
        <w:rPr>
          <w:spacing w:val="-95"/>
        </w:rPr>
        <w:t> </w:t>
      </w:r>
      <w:r>
        <w:rPr>
          <w:spacing w:val="-95"/>
        </w:rPr>
      </w:r>
      <w:r>
        <w:rPr>
          <w:spacing w:val="-2"/>
        </w:rPr>
        <w:t>权威张建伟院士开始合作。充分利用各自的人才、技术，优化资源配置，形成良好的技术创新机制，从而</w:t>
      </w:r>
      <w:r>
        <w:rPr>
          <w:spacing w:val="-43"/>
        </w:rPr>
        <w:t> </w:t>
      </w:r>
      <w:r>
        <w:rPr>
          <w:spacing w:val="-43"/>
        </w:rPr>
      </w:r>
      <w:r>
        <w:rPr/>
        <w:t>保证公司产品技术研发在行业内持续保持领先地位。</w:t>
      </w:r>
    </w:p>
    <w:p>
      <w:pPr>
        <w:spacing w:line="408" w:lineRule="auto" w:before="46"/>
        <w:ind w:left="633" w:right="9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、生产能力获得医疗器械质量体系认证</w:t>
      </w:r>
      <w:r>
        <w:rPr>
          <w:rFonts w:ascii="宋体" w:hAnsi="宋体" w:cs="宋体" w:eastAsia="宋体" w:hint="default"/>
          <w:b/>
          <w:bCs/>
          <w:w w:val="100"/>
          <w:sz w:val="21"/>
          <w:szCs w:val="21"/>
        </w:rPr>
        <w:t> </w:t>
      </w:r>
      <w:r>
        <w:rPr>
          <w:rFonts w:ascii="宋体" w:hAnsi="宋体" w:cs="宋体" w:eastAsia="宋体" w:hint="default"/>
          <w:spacing w:val="-4"/>
          <w:sz w:val="21"/>
          <w:szCs w:val="21"/>
        </w:rPr>
        <w:t>智能</w:t>
      </w:r>
      <w:r>
        <w:rPr>
          <w:rFonts w:ascii="宋体" w:hAnsi="宋体" w:cs="宋体" w:eastAsia="宋体" w:hint="default"/>
          <w:spacing w:val="-4"/>
          <w:sz w:val="21"/>
          <w:szCs w:val="21"/>
        </w:rPr>
        <w:t>IoT</w:t>
      </w:r>
      <w:r>
        <w:rPr>
          <w:rFonts w:ascii="宋体" w:hAnsi="宋体" w:cs="宋体" w:eastAsia="宋体" w:hint="default"/>
          <w:spacing w:val="-4"/>
          <w:sz w:val="21"/>
          <w:szCs w:val="21"/>
        </w:rPr>
        <w:t>与医疗健康的联系日益紧密，公司生产资质获得医疗器械质量体系认证的价值将会愈加明显。</w:t>
      </w:r>
    </w:p>
    <w:p>
      <w:pPr>
        <w:pStyle w:val="BodyText"/>
        <w:spacing w:line="408" w:lineRule="auto"/>
        <w:ind w:right="996"/>
        <w:jc w:val="left"/>
      </w:pPr>
      <w:r>
        <w:rPr/>
        <w:t>公司已经通过</w:t>
      </w:r>
      <w:r>
        <w:rPr>
          <w:rFonts w:ascii="宋体" w:hAnsi="宋体" w:cs="宋体" w:eastAsia="宋体" w:hint="default"/>
        </w:rPr>
        <w:t>ISO13485:2016</w:t>
      </w:r>
      <w:r>
        <w:rPr/>
        <w:t>医疗器械质量体系认证和</w:t>
      </w:r>
      <w:r>
        <w:rPr>
          <w:rFonts w:ascii="宋体" w:hAnsi="宋体" w:cs="宋体" w:eastAsia="宋体" w:hint="default"/>
        </w:rPr>
        <w:t>ISO9001:2015</w:t>
      </w:r>
      <w:r>
        <w:rPr/>
        <w:t>质量管理体系认证及</w:t>
      </w:r>
      <w:r>
        <w:rPr>
          <w:rFonts w:ascii="宋体" w:hAnsi="宋体" w:cs="宋体" w:eastAsia="宋体" w:hint="default"/>
        </w:rPr>
        <w:t>ISO14001:2015</w:t>
      </w:r>
      <w:r>
        <w:rPr>
          <w:rFonts w:ascii="宋体" w:hAnsi="宋体" w:cs="宋体" w:eastAsia="宋体" w:hint="default"/>
          <w:spacing w:val="57"/>
        </w:rPr>
        <w:t> </w:t>
      </w:r>
      <w:r>
        <w:rPr>
          <w:rFonts w:ascii="宋体" w:hAnsi="宋体" w:cs="宋体" w:eastAsia="宋体" w:hint="default"/>
          <w:spacing w:val="57"/>
        </w:rPr>
      </w:r>
      <w:r>
        <w:rPr>
          <w:spacing w:val="-6"/>
        </w:rPr>
        <w:t>环境管理体系。公司出口产品获得了美国</w:t>
      </w:r>
      <w:r>
        <w:rPr>
          <w:rFonts w:ascii="宋体" w:hAnsi="宋体" w:cs="宋体" w:eastAsia="宋体" w:hint="default"/>
          <w:spacing w:val="-6"/>
        </w:rPr>
        <w:t>FDA</w:t>
      </w:r>
      <w:r>
        <w:rPr>
          <w:spacing w:val="-6"/>
        </w:rPr>
        <w:t>注册认证、欧盟</w:t>
      </w:r>
      <w:r>
        <w:rPr>
          <w:rFonts w:ascii="宋体" w:hAnsi="宋体" w:cs="宋体" w:eastAsia="宋体" w:hint="default"/>
          <w:spacing w:val="-6"/>
        </w:rPr>
        <w:t>CE</w:t>
      </w:r>
      <w:r>
        <w:rPr>
          <w:spacing w:val="-6"/>
        </w:rPr>
        <w:t>认证、日本《指定外国制造事业者指定书》、</w:t>
      </w:r>
      <w:r>
        <w:rPr>
          <w:spacing w:val="-48"/>
        </w:rPr>
        <w:t> </w:t>
      </w:r>
      <w:r>
        <w:rPr>
          <w:spacing w:val="-48"/>
        </w:rPr>
      </w:r>
      <w:r>
        <w:rPr/>
        <w:t>韩国</w:t>
      </w:r>
      <w:r>
        <w:rPr>
          <w:rFonts w:ascii="宋体" w:hAnsi="宋体" w:cs="宋体" w:eastAsia="宋体" w:hint="default"/>
        </w:rPr>
        <w:t>GMP</w:t>
      </w:r>
      <w:r>
        <w:rPr/>
        <w:t>认证。公司长期与国外优质高端品牌企业合作，产品出口至欧美、亚洲等多个国家，公司的质量</w:t>
      </w:r>
      <w:r>
        <w:rPr>
          <w:spacing w:val="-27"/>
        </w:rPr>
        <w:t> </w:t>
      </w:r>
      <w:r>
        <w:rPr>
          <w:spacing w:val="-27"/>
        </w:rPr>
      </w:r>
      <w:r>
        <w:rPr/>
        <w:t>控制体系及产品质量已达到国际先进水平。</w:t>
      </w:r>
    </w:p>
    <w:p>
      <w:pPr>
        <w:pStyle w:val="BodyText"/>
        <w:spacing w:line="408" w:lineRule="auto"/>
        <w:ind w:right="1126" w:firstLine="480"/>
        <w:jc w:val="both"/>
      </w:pPr>
      <w:r>
        <w:rPr>
          <w:spacing w:val="-4"/>
        </w:rPr>
        <w:t>公司从成立至今高度重视产品质量管控，坚持“质量零缺陷，服务零距离”的质量方针，建立了完善</w:t>
      </w:r>
      <w:r>
        <w:rPr>
          <w:w w:val="100"/>
        </w:rPr>
        <w:t> </w:t>
      </w:r>
      <w:r>
        <w:rPr>
          <w:spacing w:val="-2"/>
        </w:rPr>
        <w:t>的质量管理体系，实施了科学的质量管理流程，聘用了高素质的质量管理人才，配备了先进的质量管理设</w:t>
      </w:r>
      <w:r>
        <w:rPr>
          <w:spacing w:val="-44"/>
        </w:rPr>
        <w:t> </w:t>
      </w:r>
      <w:r>
        <w:rPr>
          <w:spacing w:val="-44"/>
        </w:rPr>
      </w:r>
      <w:r>
        <w:rPr>
          <w:spacing w:val="-2"/>
        </w:rPr>
        <w:t>施。公司通过自主研发、生产产品核心部件，保证产品核心质量及自主知识产权，同时加强对供应商的管</w:t>
      </w:r>
      <w:r>
        <w:rPr>
          <w:spacing w:val="-47"/>
        </w:rPr>
        <w:t> </w:t>
      </w:r>
      <w:r>
        <w:rPr>
          <w:spacing w:val="-47"/>
        </w:rPr>
      </w:r>
      <w:r>
        <w:rPr>
          <w:spacing w:val="-2"/>
        </w:rPr>
        <w:t>理，对采购的原材料进行严格的控制及检测，从原材料源头把控产品质量。在生产过程中，公司严格按照</w:t>
      </w:r>
      <w:r>
        <w:rPr>
          <w:spacing w:val="-50"/>
        </w:rPr>
        <w:t> </w:t>
      </w:r>
      <w:r>
        <w:rPr>
          <w:spacing w:val="-50"/>
        </w:rPr>
      </w:r>
      <w:r>
        <w:rPr>
          <w:spacing w:val="-2"/>
        </w:rPr>
        <w:t>质量手册、程序文件、质量记录清单、以及作业指导书等质量管理流程对生产过程中的各个环节进行控制</w:t>
      </w:r>
      <w:r>
        <w:rPr>
          <w:spacing w:val="-43"/>
        </w:rPr>
        <w:t> </w:t>
      </w:r>
      <w:r>
        <w:rPr>
          <w:spacing w:val="-43"/>
        </w:rPr>
      </w:r>
      <w:r>
        <w:rPr/>
        <w:t>及检验，实现全流程质量管控。</w:t>
      </w:r>
    </w:p>
    <w:p>
      <w:pPr>
        <w:spacing w:line="408" w:lineRule="auto" w:before="46"/>
        <w:ind w:left="633" w:right="1119"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、公司拥有健康</w:t>
      </w:r>
      <w:r>
        <w:rPr>
          <w:rFonts w:ascii="宋体" w:hAnsi="宋体" w:cs="宋体" w:eastAsia="宋体" w:hint="default"/>
          <w:b/>
          <w:bCs/>
          <w:sz w:val="21"/>
          <w:szCs w:val="21"/>
        </w:rPr>
        <w:t>IoT</w:t>
      </w:r>
      <w:r>
        <w:rPr>
          <w:rFonts w:ascii="宋体" w:hAnsi="宋体" w:cs="宋体" w:eastAsia="宋体" w:hint="default"/>
          <w:b/>
          <w:bCs/>
          <w:sz w:val="21"/>
          <w:szCs w:val="21"/>
        </w:rPr>
        <w:t>领域最全的产品线</w:t>
      </w:r>
      <w:r>
        <w:rPr>
          <w:rFonts w:ascii="宋体" w:hAnsi="宋体" w:cs="宋体" w:eastAsia="宋体" w:hint="default"/>
          <w:b/>
          <w:bCs/>
          <w:w w:val="100"/>
          <w:sz w:val="21"/>
          <w:szCs w:val="21"/>
        </w:rPr>
        <w:t> </w:t>
      </w:r>
      <w:r>
        <w:rPr>
          <w:rFonts w:ascii="宋体" w:hAnsi="宋体" w:cs="宋体" w:eastAsia="宋体" w:hint="default"/>
          <w:spacing w:val="-4"/>
          <w:sz w:val="21"/>
          <w:szCs w:val="21"/>
        </w:rPr>
        <w:t>公司产品线包括智能可穿戴运动手环手表、医疗级健康手表、电子血压计、血糖仪、脂肪测量仪、睡</w:t>
      </w:r>
      <w:r>
        <w:rPr>
          <w:rFonts w:ascii="宋体" w:hAnsi="宋体" w:cs="宋体" w:eastAsia="宋体" w:hint="default"/>
          <w:sz w:val="21"/>
          <w:szCs w:val="21"/>
        </w:rPr>
      </w:r>
    </w:p>
    <w:p>
      <w:pPr>
        <w:pStyle w:val="BodyText"/>
        <w:spacing w:line="408" w:lineRule="auto"/>
        <w:ind w:right="1126"/>
        <w:jc w:val="both"/>
      </w:pPr>
      <w:r>
        <w:rPr>
          <w:spacing w:val="-2"/>
        </w:rPr>
        <w:t>眠监测仪、心贴等多个品类，可以满足多个行业、不同领域细分人群的产品组合需求。产品族群为终端用</w:t>
      </w:r>
      <w:r>
        <w:rPr>
          <w:spacing w:val="-47"/>
        </w:rPr>
        <w:t> </w:t>
      </w:r>
      <w:r>
        <w:rPr>
          <w:spacing w:val="-47"/>
        </w:rPr>
      </w:r>
      <w:r>
        <w:rPr>
          <w:spacing w:val="-2"/>
        </w:rPr>
        <w:t>户和第三方健康医疗机构提供海量、连续、多维的身体体征数据，这些多维体征数据通过公司的智能大数</w:t>
      </w:r>
      <w:r>
        <w:rPr>
          <w:spacing w:val="-44"/>
        </w:rPr>
        <w:t> </w:t>
      </w:r>
      <w:r>
        <w:rPr>
          <w:spacing w:val="-44"/>
        </w:rPr>
      </w:r>
      <w:r>
        <w:rPr>
          <w:spacing w:val="-2"/>
        </w:rPr>
        <w:t>据平台进行关联挖掘、交叉分析和知识图谱建设，建立了更深层次的用户健康价值体系，联合第三方健康</w:t>
      </w:r>
      <w:r>
        <w:rPr>
          <w:spacing w:val="-43"/>
        </w:rPr>
        <w:t> </w:t>
      </w:r>
      <w:r>
        <w:rPr>
          <w:spacing w:val="-43"/>
        </w:rPr>
      </w:r>
      <w:r>
        <w:rPr/>
        <w:t>医疗服务机构为用户提供更多样化和专业的服务。</w:t>
      </w:r>
    </w:p>
    <w:p>
      <w:pPr>
        <w:spacing w:line="408" w:lineRule="auto" w:before="46"/>
        <w:ind w:left="633" w:right="1119"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、为健康</w:t>
      </w:r>
      <w:r>
        <w:rPr>
          <w:rFonts w:ascii="宋体" w:hAnsi="宋体" w:cs="宋体" w:eastAsia="宋体" w:hint="default"/>
          <w:b/>
          <w:bCs/>
          <w:sz w:val="21"/>
          <w:szCs w:val="21"/>
        </w:rPr>
        <w:t>IoT</w:t>
      </w:r>
      <w:r>
        <w:rPr>
          <w:rFonts w:ascii="宋体" w:hAnsi="宋体" w:cs="宋体" w:eastAsia="宋体" w:hint="default"/>
          <w:b/>
          <w:bCs/>
          <w:sz w:val="21"/>
          <w:szCs w:val="21"/>
        </w:rPr>
        <w:t>用户提供医疗服务的能力</w:t>
      </w:r>
      <w:r>
        <w:rPr>
          <w:rFonts w:ascii="宋体" w:hAnsi="宋体" w:cs="宋体" w:eastAsia="宋体" w:hint="default"/>
          <w:b/>
          <w:bCs/>
          <w:w w:val="100"/>
          <w:sz w:val="21"/>
          <w:szCs w:val="21"/>
        </w:rPr>
        <w:t> </w:t>
      </w:r>
      <w:r>
        <w:rPr>
          <w:rFonts w:ascii="宋体" w:hAnsi="宋体" w:cs="宋体" w:eastAsia="宋体" w:hint="default"/>
          <w:spacing w:val="-1"/>
          <w:sz w:val="21"/>
          <w:szCs w:val="21"/>
        </w:rPr>
        <w:t>公司将健康</w:t>
      </w:r>
      <w:r>
        <w:rPr>
          <w:rFonts w:ascii="宋体" w:hAnsi="宋体" w:cs="宋体" w:eastAsia="宋体" w:hint="default"/>
          <w:spacing w:val="-1"/>
          <w:sz w:val="21"/>
          <w:szCs w:val="21"/>
        </w:rPr>
        <w:t>IoT</w:t>
      </w:r>
      <w:r>
        <w:rPr>
          <w:rFonts w:ascii="宋体" w:hAnsi="宋体" w:cs="宋体" w:eastAsia="宋体" w:hint="default"/>
          <w:spacing w:val="-1"/>
          <w:sz w:val="21"/>
          <w:szCs w:val="21"/>
        </w:rPr>
        <w:t>、大数据与医疗深度结合，深耕多年，同时与医疗健康专家通力合作，产生了丰富的</w:t>
      </w:r>
    </w:p>
    <w:p>
      <w:pPr>
        <w:spacing w:after="0" w:line="40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019"/>
        <w:jc w:val="left"/>
      </w:pPr>
      <w:r>
        <w:rPr>
          <w:spacing w:val="-5"/>
        </w:rPr>
        <w:t>循证医学研究成果。同时公司也在物联网、大数据和医疗深度融合的场景和方式上积累了宝贵的实战经验。 </w:t>
      </w:r>
      <w:r>
        <w:rPr/>
        <w:t>公司与库珀（</w:t>
      </w:r>
      <w:r>
        <w:rPr>
          <w:rFonts w:ascii="宋体" w:hAnsi="宋体" w:cs="宋体" w:eastAsia="宋体" w:hint="default"/>
        </w:rPr>
        <w:t>Cooper</w:t>
      </w:r>
      <w:r>
        <w:rPr/>
        <w:t>）有氧大健康产业有限公司进行深度战略合作；作为主要参与单位承接国家重点研发</w:t>
      </w:r>
      <w:r>
        <w:rPr>
          <w:w w:val="100"/>
        </w:rPr>
        <w:t> </w:t>
      </w:r>
      <w:r>
        <w:rPr/>
        <w:t>计划“重大慢性非传染性疾病防控研究”专项“2型糖尿病智能化健康管理体系的建立”课题；持续推动</w:t>
      </w:r>
      <w:r>
        <w:rPr>
          <w:spacing w:val="-24"/>
        </w:rPr>
        <w:t> </w:t>
      </w:r>
      <w:r>
        <w:rPr>
          <w:spacing w:val="-24"/>
        </w:rPr>
      </w:r>
      <w:r>
        <w:rPr/>
        <w:t>中国好血压项目；与新加坡</w:t>
      </w:r>
      <w:r>
        <w:rPr>
          <w:rFonts w:ascii="宋体" w:hAnsi="宋体" w:cs="宋体" w:eastAsia="宋体" w:hint="default"/>
        </w:rPr>
        <w:t>Sport Medicine</w:t>
      </w:r>
      <w:r>
        <w:rPr>
          <w:rFonts w:ascii="宋体" w:hAnsi="宋体" w:cs="宋体" w:eastAsia="宋体" w:hint="default"/>
          <w:spacing w:val="-30"/>
        </w:rPr>
        <w:t> </w:t>
      </w:r>
      <w:r>
        <w:rPr>
          <w:rFonts w:ascii="宋体" w:hAnsi="宋体" w:cs="宋体" w:eastAsia="宋体" w:hint="default"/>
        </w:rPr>
        <w:t>Clinic</w:t>
      </w:r>
      <w:r>
        <w:rPr/>
        <w:t>首席医生</w:t>
      </w:r>
      <w:r>
        <w:rPr>
          <w:rFonts w:ascii="宋体" w:hAnsi="宋体" w:cs="宋体" w:eastAsia="宋体" w:hint="default"/>
        </w:rPr>
        <w:t>Dr.Chook</w:t>
      </w:r>
      <w:r>
        <w:rPr/>
        <w:t>试验远程慢病管理与运动干预合作。</w:t>
      </w:r>
      <w:r>
        <w:rPr>
          <w:w w:val="100"/>
        </w:rPr>
        <w:t> </w:t>
      </w:r>
      <w:r>
        <w:rPr/>
        <w:t>与此同时，公司成立了数字健康研发中心，积极拓展远程健康管理系统（</w:t>
      </w:r>
      <w:r>
        <w:rPr>
          <w:rFonts w:ascii="宋体" w:hAnsi="宋体" w:cs="宋体" w:eastAsia="宋体" w:hint="default"/>
        </w:rPr>
        <w:t>RPM</w:t>
      </w:r>
      <w:r>
        <w:rPr/>
        <w:t>），创建软硬件一体化远程</w:t>
      </w:r>
      <w:r>
        <w:rPr>
          <w:spacing w:val="-25"/>
        </w:rPr>
        <w:t> </w:t>
      </w:r>
      <w:r>
        <w:rPr>
          <w:spacing w:val="-25"/>
        </w:rPr>
      </w:r>
      <w:r>
        <w:rPr>
          <w:spacing w:val="-2"/>
        </w:rPr>
        <w:t>数据监控、朱为模院士有氧健康计划、疾病风险评估体系、六大闭环健康管理系统等智能健康模块，着力</w:t>
      </w:r>
      <w:r>
        <w:rPr>
          <w:spacing w:val="-50"/>
        </w:rPr>
        <w:t> </w:t>
      </w:r>
      <w:r>
        <w:rPr>
          <w:spacing w:val="-50"/>
        </w:rPr>
      </w:r>
      <w:r>
        <w:rPr/>
        <w:t>为医疗机构、保险公司等健康机构提供权威的远程健康管理工具和服务（</w:t>
      </w:r>
      <w:r>
        <w:rPr>
          <w:rFonts w:ascii="宋体" w:hAnsi="宋体" w:cs="宋体" w:eastAsia="宋体" w:hint="default"/>
        </w:rPr>
        <w:t>RPM</w:t>
      </w:r>
      <w:r>
        <w:rPr/>
        <w:t>），探索一体化的健康管理</w:t>
      </w:r>
      <w:r>
        <w:rPr>
          <w:spacing w:val="-25"/>
        </w:rPr>
        <w:t> </w:t>
      </w:r>
      <w:r>
        <w:rPr>
          <w:spacing w:val="-25"/>
        </w:rPr>
      </w:r>
      <w:r>
        <w:rPr/>
        <w:t>解决方案，进一步提升公司在医疗健康领域的核心能力。</w:t>
      </w:r>
    </w:p>
    <w:p>
      <w:pPr>
        <w:spacing w:line="410" w:lineRule="auto" w:before="46"/>
        <w:ind w:left="633" w:right="1119"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、千万级用户产生的多维生理指标大数据的价值</w:t>
      </w:r>
      <w:r>
        <w:rPr>
          <w:rFonts w:ascii="宋体" w:hAnsi="宋体" w:cs="宋体" w:eastAsia="宋体" w:hint="default"/>
          <w:b/>
          <w:bCs/>
          <w:w w:val="100"/>
          <w:sz w:val="21"/>
          <w:szCs w:val="21"/>
        </w:rPr>
        <w:t> </w:t>
      </w:r>
      <w:r>
        <w:rPr>
          <w:rFonts w:ascii="宋体" w:hAnsi="宋体" w:cs="宋体" w:eastAsia="宋体" w:hint="default"/>
          <w:spacing w:val="-1"/>
          <w:sz w:val="21"/>
          <w:szCs w:val="21"/>
        </w:rPr>
        <w:t>随着乐心健康</w:t>
      </w:r>
      <w:r>
        <w:rPr>
          <w:rFonts w:ascii="宋体" w:hAnsi="宋体" w:cs="宋体" w:eastAsia="宋体" w:hint="default"/>
          <w:spacing w:val="-1"/>
          <w:sz w:val="21"/>
          <w:szCs w:val="21"/>
        </w:rPr>
        <w:t>IoT</w:t>
      </w:r>
      <w:r>
        <w:rPr>
          <w:rFonts w:ascii="宋体" w:hAnsi="宋体" w:cs="宋体" w:eastAsia="宋体" w:hint="default"/>
          <w:spacing w:val="-1"/>
          <w:sz w:val="21"/>
          <w:szCs w:val="21"/>
        </w:rPr>
        <w:t>产品的市场渗透，以及数据开放平台战略的实施，公司积累了超千万量级用户产生</w:t>
      </w:r>
    </w:p>
    <w:p>
      <w:pPr>
        <w:pStyle w:val="BodyText"/>
        <w:spacing w:line="408" w:lineRule="auto" w:before="44"/>
        <w:ind w:right="1119"/>
        <w:jc w:val="left"/>
      </w:pPr>
      <w:r>
        <w:rPr>
          <w:spacing w:val="-2"/>
        </w:rPr>
        <w:t>的多维生理指标数据。这些数据拥有海量、多维度、精准、个性化、持续跟踪、源源不断等特性，为用户</w:t>
      </w:r>
      <w:r>
        <w:rPr>
          <w:spacing w:val="-48"/>
        </w:rPr>
        <w:t> </w:t>
      </w:r>
      <w:r>
        <w:rPr>
          <w:spacing w:val="-48"/>
        </w:rPr>
      </w:r>
      <w:r>
        <w:rPr/>
        <w:t>健康监控管理、数据关联挖掘、健康算法模型优化及智能分析与预测等工作奠定了坚实的基础。</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9"/>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96" w:firstLine="480"/>
        <w:jc w:val="left"/>
      </w:pPr>
      <w:r>
        <w:rPr>
          <w:spacing w:val="-6"/>
        </w:rPr>
        <w:t>随着居民生活水平的提高、人口老龄化的加剧、居民医疗保健意识的增强、政府支持政策的不断深化，</w:t>
      </w:r>
      <w:r>
        <w:rPr>
          <w:w w:val="100"/>
        </w:rPr>
        <w:t> </w:t>
      </w:r>
      <w:r>
        <w:rPr/>
        <w:t>医疗健康需求不断释放，智能健康</w:t>
      </w:r>
      <w:r>
        <w:rPr>
          <w:rFonts w:ascii="宋体" w:hAnsi="宋体" w:cs="宋体" w:eastAsia="宋体" w:hint="default"/>
        </w:rPr>
        <w:t>IoT</w:t>
      </w:r>
      <w:r>
        <w:rPr/>
        <w:t>行业呈现平稳快速的增长态势。</w:t>
      </w:r>
    </w:p>
    <w:p>
      <w:pPr>
        <w:pStyle w:val="BodyText"/>
        <w:spacing w:line="408" w:lineRule="auto" w:before="84"/>
        <w:ind w:right="1126" w:firstLine="480"/>
        <w:jc w:val="both"/>
      </w:pPr>
      <w:r>
        <w:rPr>
          <w:rFonts w:ascii="宋体" w:hAnsi="宋体" w:cs="宋体" w:eastAsia="宋体" w:hint="default"/>
          <w:spacing w:val="-4"/>
        </w:rPr>
        <w:t>2019</w:t>
      </w:r>
      <w:r>
        <w:rPr>
          <w:spacing w:val="-4"/>
        </w:rPr>
        <w:t>年，乐心医疗积极顺应和拥抱市场环境与行业格局的变化，致力于针对运动健康、慢病管理等领</w:t>
      </w:r>
      <w:r>
        <w:rPr>
          <w:w w:val="100"/>
        </w:rPr>
        <w:t> </w:t>
      </w:r>
      <w:r>
        <w:rPr/>
        <w:t>域为行业优质客户提供健康</w:t>
      </w:r>
      <w:r>
        <w:rPr>
          <w:rFonts w:ascii="宋体" w:hAnsi="宋体" w:cs="宋体" w:eastAsia="宋体" w:hint="default"/>
        </w:rPr>
        <w:t>IoT</w:t>
      </w:r>
      <w:r>
        <w:rPr/>
        <w:t>和智能健康整体解决方案战略。公司积极拓展国内外高端市场，聚焦主营</w:t>
      </w:r>
      <w:r>
        <w:rPr>
          <w:spacing w:val="-27"/>
        </w:rPr>
        <w:t> </w:t>
      </w:r>
      <w:r>
        <w:rPr>
          <w:spacing w:val="-27"/>
        </w:rPr>
      </w:r>
      <w:r>
        <w:rPr>
          <w:spacing w:val="-2"/>
        </w:rPr>
        <w:t>业务的同时，不断拓展成长性业务，持续注重产品创新研发投入，提升产品核心竞争力。依托公司在智能</w:t>
      </w:r>
      <w:r>
        <w:rPr>
          <w:spacing w:val="-50"/>
        </w:rPr>
        <w:t> </w:t>
      </w:r>
      <w:r>
        <w:rPr>
          <w:spacing w:val="-50"/>
        </w:rPr>
      </w:r>
      <w:r>
        <w:rPr>
          <w:spacing w:val="-2"/>
        </w:rPr>
        <w:t>医疗健康领域产品创新研发、生产制造和应用技术等方面的独特优势，积极探索与优质客户在更多领域实</w:t>
      </w:r>
      <w:r>
        <w:rPr>
          <w:spacing w:val="-43"/>
        </w:rPr>
        <w:t> </w:t>
      </w:r>
      <w:r>
        <w:rPr>
          <w:spacing w:val="-43"/>
        </w:rPr>
      </w:r>
      <w:r>
        <w:rPr/>
        <w:t>现更全面更密切合作的可能性，实现共同可持续发展。</w:t>
      </w:r>
    </w:p>
    <w:p>
      <w:pPr>
        <w:pStyle w:val="BodyText"/>
        <w:spacing w:line="408" w:lineRule="auto" w:before="87"/>
        <w:ind w:right="1127" w:firstLine="480"/>
        <w:jc w:val="both"/>
      </w:pPr>
      <w:r>
        <w:rPr>
          <w:spacing w:val="-1"/>
        </w:rPr>
        <w:t>报告期内，公司整体经营稳健，抓住健康</w:t>
      </w:r>
      <w:r>
        <w:rPr>
          <w:rFonts w:ascii="宋体" w:hAnsi="宋体" w:cs="宋体" w:eastAsia="宋体" w:hint="default"/>
          <w:spacing w:val="-1"/>
        </w:rPr>
        <w:t>IoT</w:t>
      </w:r>
      <w:r>
        <w:rPr>
          <w:spacing w:val="-1"/>
        </w:rPr>
        <w:t>行业快速发展的市场机遇，大客户战略成效显著，公司</w:t>
      </w:r>
      <w:r>
        <w:rPr>
          <w:w w:val="100"/>
        </w:rPr>
        <w:t> </w:t>
      </w:r>
      <w:r>
        <w:rPr/>
        <w:t>长期合作的关键客户保持平稳增长，与健康</w:t>
      </w:r>
      <w:r>
        <w:rPr>
          <w:rFonts w:ascii="宋体" w:hAnsi="宋体" w:cs="宋体" w:eastAsia="宋体" w:hint="default"/>
        </w:rPr>
        <w:t>IoT</w:t>
      </w:r>
      <w:r>
        <w:rPr/>
        <w:t>行业战略大客户达成合作，新增订单推动业绩快速增长。</w:t>
      </w:r>
      <w:r>
        <w:rPr>
          <w:spacing w:val="-26"/>
        </w:rPr>
        <w:t> </w:t>
      </w:r>
      <w:r>
        <w:rPr>
          <w:spacing w:val="-26"/>
        </w:rPr>
      </w:r>
      <w:r>
        <w:rPr>
          <w:spacing w:val="-2"/>
        </w:rPr>
        <w:t>与此同时，公司积极拓展成长性新业务，加强与医疗、保险等专业机构的合作，多点布局，培育新的利润</w:t>
      </w:r>
      <w:r>
        <w:rPr>
          <w:spacing w:val="-43"/>
        </w:rPr>
        <w:t> </w:t>
      </w:r>
      <w:r>
        <w:rPr>
          <w:spacing w:val="-43"/>
        </w:rPr>
      </w:r>
      <w:r>
        <w:rPr>
          <w:spacing w:val="3"/>
        </w:rPr>
        <w:t>增长点。公司全年实现营业收入</w:t>
      </w:r>
      <w:r>
        <w:rPr>
          <w:rFonts w:ascii="宋体" w:hAnsi="宋体" w:cs="宋体" w:eastAsia="宋体" w:hint="default"/>
          <w:spacing w:val="3"/>
        </w:rPr>
        <w:t>88,366.82</w:t>
      </w:r>
      <w:r>
        <w:rPr>
          <w:spacing w:val="3"/>
        </w:rPr>
        <w:t>万元，较上年同期增长</w:t>
      </w:r>
      <w:r>
        <w:rPr>
          <w:rFonts w:ascii="宋体" w:hAnsi="宋体" w:cs="宋体" w:eastAsia="宋体" w:hint="default"/>
          <w:spacing w:val="3"/>
        </w:rPr>
        <w:t>14.01%</w:t>
      </w:r>
      <w:r>
        <w:rPr>
          <w:spacing w:val="3"/>
        </w:rPr>
        <w:t>，其中外销业务实现营业收入</w:t>
      </w:r>
      <w:r>
        <w:rPr>
          <w:spacing w:val="-3"/>
        </w:rPr>
        <w:t> </w:t>
      </w:r>
      <w:r>
        <w:rPr>
          <w:spacing w:val="-3"/>
        </w:rPr>
      </w:r>
      <w:r>
        <w:rPr>
          <w:rFonts w:ascii="宋体" w:hAnsi="宋体" w:cs="宋体" w:eastAsia="宋体" w:hint="default"/>
        </w:rPr>
        <w:t>62,867.45</w:t>
      </w:r>
      <w:r>
        <w:rPr/>
        <w:t>万元，同比增长</w:t>
      </w:r>
      <w:r>
        <w:rPr>
          <w:rFonts w:ascii="宋体" w:hAnsi="宋体" w:cs="宋体" w:eastAsia="宋体" w:hint="default"/>
        </w:rPr>
        <w:t>16.78%</w:t>
      </w:r>
      <w:r>
        <w:rPr/>
        <w:t>，外销营业收入呈稳定增长态势，主要得益于战略大客户的开拓及电子</w:t>
      </w:r>
      <w:r>
        <w:rPr>
          <w:spacing w:val="-29"/>
        </w:rPr>
        <w:t> </w:t>
      </w:r>
      <w:r>
        <w:rPr>
          <w:spacing w:val="-29"/>
        </w:rPr>
      </w:r>
      <w:r>
        <w:rPr>
          <w:spacing w:val="-2"/>
        </w:rPr>
        <w:t>血压计、电子体重秤营业收入的增长；内销业务实现营业收入</w:t>
      </w:r>
      <w:r>
        <w:rPr>
          <w:rFonts w:ascii="宋体" w:hAnsi="宋体" w:cs="宋体" w:eastAsia="宋体" w:hint="default"/>
          <w:spacing w:val="-2"/>
        </w:rPr>
        <w:t>25,010.12</w:t>
      </w:r>
      <w:r>
        <w:rPr>
          <w:spacing w:val="-2"/>
        </w:rPr>
        <w:t>万元，同比增长</w:t>
      </w:r>
      <w:r>
        <w:rPr>
          <w:rFonts w:ascii="宋体" w:hAnsi="宋体" w:cs="宋体" w:eastAsia="宋体" w:hint="default"/>
          <w:spacing w:val="-2"/>
        </w:rPr>
        <w:t>7.34%</w:t>
      </w:r>
      <w:r>
        <w:rPr>
          <w:spacing w:val="-2"/>
        </w:rPr>
        <w:t>，主要得益</w:t>
      </w:r>
      <w:r>
        <w:rPr>
          <w:spacing w:val="-37"/>
        </w:rPr>
        <w:t> </w:t>
      </w:r>
      <w:r>
        <w:rPr>
          <w:spacing w:val="-37"/>
        </w:rPr>
      </w:r>
      <w:r>
        <w:rPr/>
        <w:t>于战略大客户营业收入增长。</w:t>
      </w:r>
    </w:p>
    <w:p>
      <w:pPr>
        <w:pStyle w:val="BodyText"/>
        <w:spacing w:line="408" w:lineRule="auto" w:before="87"/>
        <w:ind w:right="1107" w:firstLine="480"/>
        <w:jc w:val="both"/>
      </w:pPr>
      <w:r>
        <w:rPr>
          <w:spacing w:val="-3"/>
        </w:rPr>
        <w:t>报告期内，公司实现净利润</w:t>
      </w:r>
      <w:r>
        <w:rPr>
          <w:rFonts w:ascii="宋体" w:hAnsi="宋体" w:cs="宋体" w:eastAsia="宋体" w:hint="default"/>
          <w:spacing w:val="-3"/>
        </w:rPr>
        <w:t>2,989.34</w:t>
      </w:r>
      <w:r>
        <w:rPr>
          <w:spacing w:val="-3"/>
        </w:rPr>
        <w:t>万元，较上年同期增长</w:t>
      </w:r>
      <w:r>
        <w:rPr>
          <w:rFonts w:ascii="宋体" w:hAnsi="宋体" w:cs="宋体" w:eastAsia="宋体" w:hint="default"/>
          <w:spacing w:val="-3"/>
        </w:rPr>
        <w:t>35.66%</w:t>
      </w:r>
      <w:r>
        <w:rPr>
          <w:spacing w:val="-3"/>
        </w:rPr>
        <w:t>，实现归属母公司股东的净利润为</w:t>
      </w:r>
      <w:r>
        <w:rPr>
          <w:w w:val="100"/>
        </w:rPr>
        <w:t> </w:t>
      </w:r>
      <w:r>
        <w:rPr>
          <w:rFonts w:ascii="宋体" w:hAnsi="宋体" w:cs="宋体" w:eastAsia="宋体" w:hint="default"/>
          <w:spacing w:val="-2"/>
        </w:rPr>
        <w:t>3,106.41</w:t>
      </w:r>
      <w:r>
        <w:rPr>
          <w:spacing w:val="-2"/>
        </w:rPr>
        <w:t>万元</w:t>
      </w:r>
      <w:r>
        <w:rPr>
          <w:rFonts w:ascii="宋体" w:hAnsi="宋体" w:cs="宋体" w:eastAsia="宋体" w:hint="default"/>
          <w:spacing w:val="-2"/>
        </w:rPr>
        <w:t>,</w:t>
      </w:r>
      <w:r>
        <w:rPr>
          <w:spacing w:val="-2"/>
        </w:rPr>
        <w:t>较上年同期增长</w:t>
      </w:r>
      <w:r>
        <w:rPr>
          <w:rFonts w:ascii="宋体" w:hAnsi="宋体" w:cs="宋体" w:eastAsia="宋体" w:hint="default"/>
          <w:spacing w:val="-2"/>
        </w:rPr>
        <w:t>29.35%</w:t>
      </w:r>
      <w:r>
        <w:rPr>
          <w:spacing w:val="-2"/>
        </w:rPr>
        <w:t>，</w:t>
      </w:r>
      <w:r>
        <w:rPr>
          <w:rFonts w:ascii="宋体" w:hAnsi="宋体" w:cs="宋体" w:eastAsia="宋体" w:hint="default"/>
          <w:spacing w:val="-2"/>
        </w:rPr>
        <w:t>2019</w:t>
      </w:r>
      <w:r>
        <w:rPr>
          <w:spacing w:val="-2"/>
        </w:rPr>
        <w:t>年公司研发投入总额为</w:t>
      </w:r>
      <w:r>
        <w:rPr>
          <w:rFonts w:ascii="宋体" w:hAnsi="宋体" w:cs="宋体" w:eastAsia="宋体" w:hint="default"/>
          <w:spacing w:val="-2"/>
        </w:rPr>
        <w:t>7,090.03</w:t>
      </w:r>
      <w:r>
        <w:rPr>
          <w:spacing w:val="-2"/>
        </w:rPr>
        <w:t>万元，占总营业收入</w:t>
      </w:r>
      <w:r>
        <w:rPr>
          <w:rFonts w:ascii="宋体" w:hAnsi="宋体" w:cs="宋体" w:eastAsia="宋体" w:hint="default"/>
          <w:spacing w:val="-2"/>
        </w:rPr>
        <w:t>8.02%</w:t>
      </w:r>
      <w:r>
        <w:rPr>
          <w:spacing w:val="-2"/>
        </w:rPr>
        <w:t>。</w:t>
      </w:r>
    </w:p>
    <w:p>
      <w:pPr>
        <w:pStyle w:val="BodyText"/>
        <w:spacing w:line="240" w:lineRule="auto" w:before="84"/>
        <w:ind w:left="633" w:right="1119"/>
        <w:jc w:val="left"/>
      </w:pPr>
      <w:r>
        <w:rPr/>
        <w:t>回顾</w:t>
      </w:r>
      <w:r>
        <w:rPr>
          <w:rFonts w:ascii="宋体" w:hAnsi="宋体" w:cs="宋体" w:eastAsia="宋体" w:hint="default"/>
        </w:rPr>
        <w:t>2019</w:t>
      </w:r>
      <w:r>
        <w:rPr/>
        <w:t>年，公司紧紧围绕年度经营目标有序开展各项工作：</w:t>
      </w:r>
    </w:p>
    <w:p>
      <w:pPr>
        <w:spacing w:line="240" w:lineRule="auto" w:before="12"/>
        <w:rPr>
          <w:rFonts w:ascii="宋体" w:hAnsi="宋体" w:cs="宋体" w:eastAsia="宋体" w:hint="default"/>
          <w:sz w:val="17"/>
          <w:szCs w:val="17"/>
        </w:rPr>
      </w:pPr>
    </w:p>
    <w:p>
      <w:pPr>
        <w:spacing w:line="444" w:lineRule="auto" w:before="0"/>
        <w:ind w:left="633" w:right="1119" w:firstLine="0"/>
        <w:jc w:val="left"/>
        <w:rPr>
          <w:rFonts w:ascii="宋体" w:hAnsi="宋体" w:cs="宋体" w:eastAsia="宋体" w:hint="default"/>
          <w:sz w:val="21"/>
          <w:szCs w:val="21"/>
        </w:rPr>
      </w:pPr>
      <w:r>
        <w:rPr>
          <w:rFonts w:ascii="宋体" w:hAnsi="宋体" w:cs="宋体" w:eastAsia="宋体" w:hint="default"/>
          <w:b/>
          <w:bCs/>
          <w:sz w:val="21"/>
          <w:szCs w:val="21"/>
        </w:rPr>
        <w:t>（一）市场客户开拓成效显著</w:t>
      </w:r>
      <w:r>
        <w:rPr>
          <w:rFonts w:ascii="宋体" w:hAnsi="宋体" w:cs="宋体" w:eastAsia="宋体" w:hint="default"/>
          <w:b/>
          <w:bCs/>
          <w:w w:val="100"/>
          <w:sz w:val="21"/>
          <w:szCs w:val="21"/>
        </w:rPr>
        <w:t> </w:t>
      </w:r>
      <w:r>
        <w:rPr>
          <w:rFonts w:ascii="宋体" w:hAnsi="宋体" w:cs="宋体" w:eastAsia="宋体" w:hint="default"/>
          <w:spacing w:val="-1"/>
          <w:sz w:val="21"/>
          <w:szCs w:val="21"/>
        </w:rPr>
        <w:t>公司紧抓健康</w:t>
      </w:r>
      <w:r>
        <w:rPr>
          <w:rFonts w:ascii="宋体" w:hAnsi="宋体" w:cs="宋体" w:eastAsia="宋体" w:hint="default"/>
          <w:spacing w:val="-1"/>
          <w:sz w:val="21"/>
          <w:szCs w:val="21"/>
        </w:rPr>
        <w:t>IoT</w:t>
      </w:r>
      <w:r>
        <w:rPr>
          <w:rFonts w:ascii="宋体" w:hAnsi="宋体" w:cs="宋体" w:eastAsia="宋体" w:hint="default"/>
          <w:spacing w:val="-1"/>
          <w:sz w:val="21"/>
          <w:szCs w:val="21"/>
        </w:rPr>
        <w:t>黄金十年的发展机遇，实施与行业巨头共同成长的发展战略，充分发挥技术、产品</w:t>
      </w:r>
    </w:p>
    <w:p>
      <w:pPr>
        <w:pStyle w:val="BodyText"/>
        <w:spacing w:line="408" w:lineRule="auto" w:before="14"/>
        <w:ind w:right="1128"/>
        <w:jc w:val="both"/>
      </w:pPr>
      <w:r>
        <w:rPr>
          <w:spacing w:val="-2"/>
        </w:rPr>
        <w:t>及市场优势，成功与多家战略大客户在医疗健康、智能可穿戴等领域达成合作。通过全资子公司中山乐恒</w:t>
      </w:r>
      <w:r>
        <w:rPr>
          <w:spacing w:val="-45"/>
        </w:rPr>
        <w:t> </w:t>
      </w:r>
      <w:r>
        <w:rPr>
          <w:spacing w:val="-45"/>
        </w:rPr>
      </w:r>
      <w:r>
        <w:rPr/>
        <w:t>收购声源科技，切入</w:t>
      </w:r>
      <w:r>
        <w:rPr>
          <w:rFonts w:ascii="宋体" w:hAnsi="宋体" w:cs="宋体" w:eastAsia="宋体" w:hint="default"/>
        </w:rPr>
        <w:t>TWS</w:t>
      </w:r>
      <w:r>
        <w:rPr/>
        <w:t>耳机业务，推出了具有竞争力的产品，提升了市场占有率；同时通过对核心传感</w:t>
      </w:r>
      <w:r>
        <w:rPr>
          <w:spacing w:val="-27"/>
        </w:rPr>
        <w:t> </w:t>
      </w:r>
      <w:r>
        <w:rPr>
          <w:spacing w:val="-27"/>
        </w:rPr>
      </w:r>
      <w:r>
        <w:rPr/>
        <w:t>器的延伸应用研究，公司将进一步拓展新的细分市场，培育新的业绩增长点。</w:t>
      </w:r>
    </w:p>
    <w:p>
      <w:pPr>
        <w:spacing w:line="444" w:lineRule="auto" w:before="84"/>
        <w:ind w:left="633" w:right="1119" w:firstLine="0"/>
        <w:jc w:val="left"/>
        <w:rPr>
          <w:rFonts w:ascii="宋体" w:hAnsi="宋体" w:cs="宋体" w:eastAsia="宋体" w:hint="default"/>
          <w:sz w:val="21"/>
          <w:szCs w:val="21"/>
        </w:rPr>
      </w:pPr>
      <w:r>
        <w:rPr>
          <w:rFonts w:ascii="宋体" w:hAnsi="宋体" w:cs="宋体" w:eastAsia="宋体" w:hint="default"/>
          <w:b/>
          <w:bCs/>
          <w:sz w:val="21"/>
          <w:szCs w:val="21"/>
        </w:rPr>
        <w:t>（二）坚持创新驱动，持续重视研发投入，保持核心竞争力优势</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报告期内，公司高度重视对研发创新的投入，持续优化核心部件，提升生理检测传感器技术和相关算</w:t>
      </w:r>
    </w:p>
    <w:p>
      <w:pPr>
        <w:pStyle w:val="BodyText"/>
        <w:spacing w:line="240" w:lineRule="auto" w:before="14"/>
        <w:ind w:right="0"/>
        <w:jc w:val="both"/>
      </w:pPr>
      <w:r>
        <w:rPr>
          <w:spacing w:val="-5"/>
        </w:rPr>
        <w:t>法性能，持续对现有软硬件产品进行迭代升级，进一步增强产品稳定性、可靠性，提升用户体验和价值感。</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t>紧贴行业技术发展趋势，积极推动产品研发与业务相融合，深入</w:t>
      </w:r>
      <w:r>
        <w:rPr>
          <w:rFonts w:ascii="宋体" w:hAnsi="宋体" w:cs="宋体" w:eastAsia="宋体" w:hint="default"/>
        </w:rPr>
        <w:t>5G+AI+IoT</w:t>
      </w:r>
      <w:r>
        <w:rPr/>
        <w:t>产品研发布局，不断提升健康</w:t>
      </w:r>
      <w:r>
        <w:rPr>
          <w:spacing w:val="-24"/>
        </w:rPr>
        <w:t> </w:t>
      </w:r>
      <w:r>
        <w:rPr>
          <w:spacing w:val="-24"/>
        </w:rPr>
      </w:r>
      <w:r>
        <w:rPr>
          <w:spacing w:val="-2"/>
        </w:rPr>
        <w:t>大数据的开发能力及用户运营能力，实现个性化的有效管理，以公司发展战略为核心，通过与拥有成熟技</w:t>
      </w:r>
      <w:r>
        <w:rPr>
          <w:spacing w:val="-45"/>
        </w:rPr>
        <w:t> </w:t>
      </w:r>
      <w:r>
        <w:rPr>
          <w:spacing w:val="-45"/>
        </w:rPr>
      </w:r>
      <w:r>
        <w:rPr/>
        <w:t>术的国内外技术团队和研发机构合作，加快推进符合公司战略方向的新产品上市。</w:t>
      </w:r>
    </w:p>
    <w:p>
      <w:pPr>
        <w:pStyle w:val="BodyText"/>
        <w:spacing w:line="408" w:lineRule="auto" w:before="87"/>
        <w:ind w:right="1126" w:firstLine="480"/>
        <w:jc w:val="both"/>
      </w:pPr>
      <w:r>
        <w:rPr>
          <w:spacing w:val="-3"/>
        </w:rPr>
        <w:t>报告期内，公司研发投入总额为</w:t>
      </w:r>
      <w:r>
        <w:rPr>
          <w:rFonts w:ascii="宋体" w:hAnsi="宋体" w:cs="宋体" w:eastAsia="宋体" w:hint="default"/>
          <w:spacing w:val="-3"/>
        </w:rPr>
        <w:t>7,090.03</w:t>
      </w:r>
      <w:r>
        <w:rPr>
          <w:spacing w:val="-3"/>
        </w:rPr>
        <w:t>万元，占营业收入</w:t>
      </w:r>
      <w:r>
        <w:rPr>
          <w:rFonts w:ascii="宋体" w:hAnsi="宋体" w:cs="宋体" w:eastAsia="宋体" w:hint="default"/>
          <w:spacing w:val="-3"/>
        </w:rPr>
        <w:t>8.02%</w:t>
      </w:r>
      <w:r>
        <w:rPr>
          <w:spacing w:val="-3"/>
        </w:rPr>
        <w:t>，研发人员共</w:t>
      </w:r>
      <w:r>
        <w:rPr>
          <w:rFonts w:ascii="宋体" w:hAnsi="宋体" w:cs="宋体" w:eastAsia="宋体" w:hint="default"/>
          <w:spacing w:val="-3"/>
        </w:rPr>
        <w:t>305</w:t>
      </w:r>
      <w:r>
        <w:rPr>
          <w:spacing w:val="-3"/>
        </w:rPr>
        <w:t>人，占员工总数的</w:t>
      </w:r>
      <w:r>
        <w:rPr>
          <w:w w:val="100"/>
        </w:rPr>
        <w:t> </w:t>
      </w:r>
      <w:r>
        <w:rPr>
          <w:rFonts w:ascii="宋体" w:hAnsi="宋体" w:cs="宋体" w:eastAsia="宋体" w:hint="default"/>
          <w:spacing w:val="-2"/>
        </w:rPr>
        <w:t>13.55%</w:t>
      </w:r>
      <w:r>
        <w:rPr>
          <w:spacing w:val="-2"/>
        </w:rPr>
        <w:t>，拥有结构、固件、电子、计算机软件、算法、管理等各方面的人才。公司一直注重完善知识产权</w:t>
      </w:r>
      <w:r>
        <w:rPr>
          <w:spacing w:val="-41"/>
        </w:rPr>
        <w:t> </w:t>
      </w:r>
      <w:r>
        <w:rPr>
          <w:spacing w:val="-41"/>
        </w:rPr>
      </w:r>
      <w:r>
        <w:rPr>
          <w:spacing w:val="-2"/>
        </w:rPr>
        <w:t>保护体系，积极投入知识产权管理。</w:t>
      </w:r>
      <w:r>
        <w:rPr>
          <w:rFonts w:ascii="宋体" w:hAnsi="宋体" w:cs="宋体" w:eastAsia="宋体" w:hint="default"/>
          <w:spacing w:val="-2"/>
        </w:rPr>
        <w:t>2019</w:t>
      </w:r>
      <w:r>
        <w:rPr>
          <w:spacing w:val="-2"/>
        </w:rPr>
        <w:t>年通过了知识产权贯标，拥有一支具有专业资格和专业能力的专</w:t>
      </w:r>
      <w:r>
        <w:rPr>
          <w:spacing w:val="-42"/>
        </w:rPr>
        <w:t> </w:t>
      </w:r>
      <w:r>
        <w:rPr>
          <w:spacing w:val="-42"/>
        </w:rPr>
      </w:r>
      <w:r>
        <w:rPr/>
        <w:t>职知识产权团队，具备成熟的二类医疗设备生产体系和全球主流国家的医疗认证。</w:t>
      </w:r>
    </w:p>
    <w:p>
      <w:pPr>
        <w:pStyle w:val="BodyText"/>
        <w:spacing w:line="408" w:lineRule="auto" w:before="84"/>
        <w:ind w:right="1128" w:firstLine="480"/>
        <w:jc w:val="both"/>
      </w:pPr>
      <w:r>
        <w:rPr>
          <w:spacing w:val="-4"/>
        </w:rPr>
        <w:t>截至报告期末，公司累计取得国内专利证书</w:t>
      </w:r>
      <w:r>
        <w:rPr>
          <w:rFonts w:ascii="宋体" w:hAnsi="宋体" w:cs="宋体" w:eastAsia="宋体" w:hint="default"/>
          <w:spacing w:val="-4"/>
        </w:rPr>
        <w:t>337</w:t>
      </w:r>
      <w:r>
        <w:rPr>
          <w:spacing w:val="-4"/>
        </w:rPr>
        <w:t>件，其中发明专利</w:t>
      </w:r>
      <w:r>
        <w:rPr>
          <w:rFonts w:ascii="宋体" w:hAnsi="宋体" w:cs="宋体" w:eastAsia="宋体" w:hint="default"/>
          <w:spacing w:val="-4"/>
        </w:rPr>
        <w:t>44</w:t>
      </w:r>
      <w:r>
        <w:rPr>
          <w:spacing w:val="-4"/>
        </w:rPr>
        <w:t>件，实用新型专利</w:t>
      </w:r>
      <w:r>
        <w:rPr>
          <w:rFonts w:ascii="宋体" w:hAnsi="宋体" w:cs="宋体" w:eastAsia="宋体" w:hint="default"/>
          <w:spacing w:val="-4"/>
        </w:rPr>
        <w:t>109</w:t>
      </w:r>
      <w:r>
        <w:rPr>
          <w:spacing w:val="-4"/>
        </w:rPr>
        <w:t>件，外观设</w:t>
      </w:r>
      <w:r>
        <w:rPr>
          <w:w w:val="100"/>
        </w:rPr>
        <w:t> </w:t>
      </w:r>
      <w:r>
        <w:rPr>
          <w:spacing w:val="-2"/>
        </w:rPr>
        <w:t>计专利</w:t>
      </w:r>
      <w:r>
        <w:rPr>
          <w:rFonts w:ascii="宋体" w:hAnsi="宋体" w:cs="宋体" w:eastAsia="宋体" w:hint="default"/>
          <w:spacing w:val="-2"/>
        </w:rPr>
        <w:t>184</w:t>
      </w:r>
      <w:r>
        <w:rPr>
          <w:spacing w:val="-2"/>
        </w:rPr>
        <w:t>件。报告期末国内累计有效专利</w:t>
      </w:r>
      <w:r>
        <w:rPr>
          <w:rFonts w:ascii="宋体" w:hAnsi="宋体" w:cs="宋体" w:eastAsia="宋体" w:hint="default"/>
          <w:spacing w:val="-2"/>
        </w:rPr>
        <w:t>247</w:t>
      </w:r>
      <w:r>
        <w:rPr>
          <w:spacing w:val="-2"/>
        </w:rPr>
        <w:t>件，其中发明专利</w:t>
      </w:r>
      <w:r>
        <w:rPr>
          <w:rFonts w:ascii="宋体" w:hAnsi="宋体" w:cs="宋体" w:eastAsia="宋体" w:hint="default"/>
          <w:spacing w:val="-2"/>
        </w:rPr>
        <w:t>44</w:t>
      </w:r>
      <w:r>
        <w:rPr>
          <w:spacing w:val="-2"/>
        </w:rPr>
        <w:t>件，实用新型专利</w:t>
      </w:r>
      <w:r>
        <w:rPr>
          <w:rFonts w:ascii="宋体" w:hAnsi="宋体" w:cs="宋体" w:eastAsia="宋体" w:hint="default"/>
          <w:spacing w:val="-2"/>
        </w:rPr>
        <w:t>92</w:t>
      </w:r>
      <w:r>
        <w:rPr>
          <w:spacing w:val="-2"/>
        </w:rPr>
        <w:t>件，外观设计专利</w:t>
      </w:r>
      <w:r>
        <w:rPr>
          <w:spacing w:val="-39"/>
        </w:rPr>
        <w:t> </w:t>
      </w:r>
      <w:r>
        <w:rPr>
          <w:spacing w:val="-39"/>
        </w:rPr>
      </w:r>
      <w:r>
        <w:rPr>
          <w:rFonts w:ascii="宋体" w:hAnsi="宋体" w:cs="宋体" w:eastAsia="宋体" w:hint="default"/>
          <w:spacing w:val="-2"/>
        </w:rPr>
        <w:t>111</w:t>
      </w:r>
      <w:r>
        <w:rPr>
          <w:spacing w:val="-2"/>
        </w:rPr>
        <w:t>件。累计取得软件著作权</w:t>
      </w:r>
      <w:r>
        <w:rPr>
          <w:rFonts w:ascii="宋体" w:hAnsi="宋体" w:cs="宋体" w:eastAsia="宋体" w:hint="default"/>
          <w:spacing w:val="-2"/>
        </w:rPr>
        <w:t>38</w:t>
      </w:r>
      <w:r>
        <w:rPr>
          <w:spacing w:val="-2"/>
        </w:rPr>
        <w:t>件，累计取得国内注册商标</w:t>
      </w:r>
      <w:r>
        <w:rPr>
          <w:rFonts w:ascii="宋体" w:hAnsi="宋体" w:cs="宋体" w:eastAsia="宋体" w:hint="default"/>
          <w:spacing w:val="-2"/>
        </w:rPr>
        <w:t>404</w:t>
      </w:r>
      <w:r>
        <w:rPr>
          <w:spacing w:val="-2"/>
        </w:rPr>
        <w:t>件。累计取得海外专利证书</w:t>
      </w:r>
      <w:r>
        <w:rPr>
          <w:rFonts w:ascii="宋体" w:hAnsi="宋体" w:cs="宋体" w:eastAsia="宋体" w:hint="default"/>
          <w:spacing w:val="-2"/>
        </w:rPr>
        <w:t>18</w:t>
      </w:r>
      <w:r>
        <w:rPr>
          <w:spacing w:val="-2"/>
        </w:rPr>
        <w:t>件，报告期末</w:t>
      </w:r>
      <w:r>
        <w:rPr>
          <w:spacing w:val="-40"/>
        </w:rPr>
        <w:t> </w:t>
      </w:r>
      <w:r>
        <w:rPr>
          <w:spacing w:val="-40"/>
        </w:rPr>
      </w:r>
      <w:r>
        <w:rPr/>
        <w:t>公司有效海外专利</w:t>
      </w:r>
      <w:r>
        <w:rPr>
          <w:rFonts w:ascii="宋体" w:hAnsi="宋体" w:cs="宋体" w:eastAsia="宋体" w:hint="default"/>
        </w:rPr>
        <w:t>10</w:t>
      </w:r>
      <w:r>
        <w:rPr/>
        <w:t>件，其中发明专利</w:t>
      </w:r>
      <w:r>
        <w:rPr>
          <w:rFonts w:ascii="宋体" w:hAnsi="宋体" w:cs="宋体" w:eastAsia="宋体" w:hint="default"/>
        </w:rPr>
        <w:t>5</w:t>
      </w:r>
      <w:r>
        <w:rPr/>
        <w:t>件，外观设计专利</w:t>
      </w:r>
      <w:r>
        <w:rPr>
          <w:rFonts w:ascii="宋体" w:hAnsi="宋体" w:cs="宋体" w:eastAsia="宋体" w:hint="default"/>
        </w:rPr>
        <w:t>5</w:t>
      </w:r>
      <w:r>
        <w:rPr/>
        <w:t>件。累计获得海外注册商标</w:t>
      </w:r>
      <w:r>
        <w:rPr>
          <w:rFonts w:ascii="宋体" w:hAnsi="宋体" w:cs="宋体" w:eastAsia="宋体" w:hint="default"/>
        </w:rPr>
        <w:t>71</w:t>
      </w:r>
      <w:r>
        <w:rPr/>
        <w:t>件。</w:t>
      </w:r>
    </w:p>
    <w:p>
      <w:pPr>
        <w:pStyle w:val="BodyText"/>
        <w:spacing w:line="408" w:lineRule="auto" w:before="87"/>
        <w:ind w:right="1128" w:firstLine="480"/>
        <w:jc w:val="both"/>
      </w:pPr>
      <w:r>
        <w:rPr>
          <w:spacing w:val="-1"/>
        </w:rPr>
        <w:t>报告期内，公司在国内新增专利申请</w:t>
      </w:r>
      <w:r>
        <w:rPr>
          <w:rFonts w:ascii="宋体" w:hAnsi="宋体" w:cs="宋体" w:eastAsia="宋体" w:hint="default"/>
          <w:spacing w:val="-1"/>
        </w:rPr>
        <w:t>62</w:t>
      </w:r>
      <w:r>
        <w:rPr>
          <w:spacing w:val="-1"/>
        </w:rPr>
        <w:t>件，其中发明专利</w:t>
      </w:r>
      <w:r>
        <w:rPr>
          <w:rFonts w:ascii="宋体" w:hAnsi="宋体" w:cs="宋体" w:eastAsia="宋体" w:hint="default"/>
          <w:spacing w:val="-1"/>
        </w:rPr>
        <w:t>29</w:t>
      </w:r>
      <w:r>
        <w:rPr>
          <w:spacing w:val="-1"/>
        </w:rPr>
        <w:t>件，实用新型专利</w:t>
      </w:r>
      <w:r>
        <w:rPr>
          <w:rFonts w:ascii="宋体" w:hAnsi="宋体" w:cs="宋体" w:eastAsia="宋体" w:hint="default"/>
          <w:spacing w:val="-1"/>
        </w:rPr>
        <w:t>24</w:t>
      </w:r>
      <w:r>
        <w:rPr>
          <w:spacing w:val="-1"/>
        </w:rPr>
        <w:t>件，外观设计专利</w:t>
      </w:r>
      <w:r>
        <w:rPr>
          <w:rFonts w:ascii="宋体" w:hAnsi="宋体" w:cs="宋体" w:eastAsia="宋体" w:hint="default"/>
          <w:spacing w:val="-1"/>
        </w:rPr>
        <w:t>9</w:t>
      </w:r>
      <w:r>
        <w:rPr>
          <w:rFonts w:ascii="宋体" w:hAnsi="宋体" w:cs="宋体" w:eastAsia="宋体" w:hint="default"/>
          <w:w w:val="100"/>
        </w:rPr>
        <w:t> </w:t>
      </w:r>
      <w:r>
        <w:rPr/>
        <w:t>件。新增授权专利</w:t>
      </w:r>
      <w:r>
        <w:rPr>
          <w:rFonts w:ascii="宋体" w:hAnsi="宋体" w:cs="宋体" w:eastAsia="宋体" w:hint="default"/>
        </w:rPr>
        <w:t>41</w:t>
      </w:r>
      <w:r>
        <w:rPr/>
        <w:t>件，其中发明专利</w:t>
      </w:r>
      <w:r>
        <w:rPr>
          <w:rFonts w:ascii="宋体" w:hAnsi="宋体" w:cs="宋体" w:eastAsia="宋体" w:hint="default"/>
        </w:rPr>
        <w:t>16</w:t>
      </w:r>
      <w:r>
        <w:rPr/>
        <w:t>件，实用新型专利</w:t>
      </w:r>
      <w:r>
        <w:rPr>
          <w:rFonts w:ascii="宋体" w:hAnsi="宋体" w:cs="宋体" w:eastAsia="宋体" w:hint="default"/>
        </w:rPr>
        <w:t>15</w:t>
      </w:r>
      <w:r>
        <w:rPr/>
        <w:t>件，外观设计专利</w:t>
      </w:r>
      <w:r>
        <w:rPr>
          <w:rFonts w:ascii="宋体" w:hAnsi="宋体" w:cs="宋体" w:eastAsia="宋体" w:hint="default"/>
        </w:rPr>
        <w:t>10</w:t>
      </w:r>
      <w:r>
        <w:rPr/>
        <w:t>件。新增软件著作权</w:t>
      </w:r>
      <w:r>
        <w:rPr>
          <w:rFonts w:ascii="宋体" w:hAnsi="宋体" w:cs="宋体" w:eastAsia="宋体" w:hint="default"/>
        </w:rPr>
        <w:t>4</w:t>
      </w:r>
      <w:r>
        <w:rPr>
          <w:rFonts w:ascii="宋体" w:hAnsi="宋体" w:cs="宋体" w:eastAsia="宋体" w:hint="default"/>
          <w:spacing w:val="-23"/>
        </w:rPr>
        <w:t> </w:t>
      </w:r>
      <w:r>
        <w:rPr/>
        <w:t>件。新增国内商标申请</w:t>
      </w:r>
      <w:r>
        <w:rPr>
          <w:rFonts w:ascii="宋体" w:hAnsi="宋体" w:cs="宋体" w:eastAsia="宋体" w:hint="default"/>
        </w:rPr>
        <w:t>32</w:t>
      </w:r>
      <w:r>
        <w:rPr/>
        <w:t>件，新增国内注册商标</w:t>
      </w:r>
      <w:r>
        <w:rPr>
          <w:rFonts w:ascii="宋体" w:hAnsi="宋体" w:cs="宋体" w:eastAsia="宋体" w:hint="default"/>
        </w:rPr>
        <w:t>54</w:t>
      </w:r>
      <w:r>
        <w:rPr/>
        <w:t>件。新增海外商标申请</w:t>
      </w:r>
      <w:r>
        <w:rPr>
          <w:rFonts w:ascii="宋体" w:hAnsi="宋体" w:cs="宋体" w:eastAsia="宋体" w:hint="default"/>
        </w:rPr>
        <w:t>7</w:t>
      </w:r>
      <w:r>
        <w:rPr/>
        <w:t>件，新增海外注册商标</w:t>
      </w:r>
      <w:r>
        <w:rPr>
          <w:rFonts w:ascii="宋体" w:hAnsi="宋体" w:cs="宋体" w:eastAsia="宋体" w:hint="default"/>
        </w:rPr>
        <w:t>18</w:t>
      </w:r>
      <w:r>
        <w:rPr/>
        <w:t>件。</w:t>
      </w:r>
      <w:r>
        <w:rPr>
          <w:spacing w:val="-23"/>
        </w:rPr>
        <w:t> </w:t>
      </w:r>
      <w:r>
        <w:rPr/>
        <w:t>公司获得“广东省知识产权优势企业”、“国家知识产权优势企业”认定。</w:t>
      </w:r>
    </w:p>
    <w:p>
      <w:pPr>
        <w:spacing w:line="441" w:lineRule="auto" w:before="87"/>
        <w:ind w:left="633" w:right="1119" w:firstLine="0"/>
        <w:jc w:val="left"/>
        <w:rPr>
          <w:rFonts w:ascii="宋体" w:hAnsi="宋体" w:cs="宋体" w:eastAsia="宋体" w:hint="default"/>
          <w:sz w:val="21"/>
          <w:szCs w:val="21"/>
        </w:rPr>
      </w:pPr>
      <w:r>
        <w:rPr>
          <w:rFonts w:ascii="宋体" w:hAnsi="宋体" w:cs="宋体" w:eastAsia="宋体" w:hint="default"/>
          <w:b/>
          <w:bCs/>
          <w:sz w:val="21"/>
          <w:szCs w:val="21"/>
        </w:rPr>
        <w:t>（三）不断完善人力资源战略体系，着力打造高绩效团队，助力公司达成战略目标</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报告期内，公司关注可持续创造客户价值，始终将客户第一，效率领先的理念贯穿内部，铸造求变和</w:t>
      </w:r>
    </w:p>
    <w:p>
      <w:pPr>
        <w:pStyle w:val="BodyText"/>
        <w:spacing w:line="408" w:lineRule="auto" w:before="16"/>
        <w:ind w:right="1126"/>
        <w:jc w:val="both"/>
      </w:pPr>
      <w:r>
        <w:rPr>
          <w:spacing w:val="-2"/>
        </w:rPr>
        <w:t>创造力的团队。未来公司将在文化驱动和绩效导向的管理部署上继续践行，通过从管理层到基层的文化共</w:t>
      </w:r>
      <w:r>
        <w:rPr>
          <w:spacing w:val="-42"/>
        </w:rPr>
        <w:t> </w:t>
      </w:r>
      <w:r>
        <w:rPr>
          <w:spacing w:val="-42"/>
        </w:rPr>
      </w:r>
      <w:r>
        <w:rPr>
          <w:spacing w:val="-2"/>
        </w:rPr>
        <w:t>识和价值观统一，激活每一位成员的内驱性，同时通过有效的绩效考核机制，目标的引领，激活个体的创</w:t>
      </w:r>
      <w:r>
        <w:rPr>
          <w:spacing w:val="-46"/>
        </w:rPr>
        <w:t> </w:t>
      </w:r>
      <w:r>
        <w:rPr>
          <w:spacing w:val="-46"/>
        </w:rPr>
      </w:r>
      <w:r>
        <w:rPr/>
        <w:t>造力和价值，从而提升管理效率。</w:t>
      </w:r>
    </w:p>
    <w:p>
      <w:pPr>
        <w:pStyle w:val="BodyText"/>
        <w:spacing w:line="408" w:lineRule="auto" w:before="87"/>
        <w:ind w:right="1119" w:firstLine="480"/>
        <w:jc w:val="left"/>
      </w:pPr>
      <w:r>
        <w:rPr>
          <w:spacing w:val="-4"/>
        </w:rPr>
        <w:t>为进一步完善公司法人治理结构，建立、健全公司长效激励约束机制，吸引和留住专业管理人员及核</w:t>
      </w:r>
      <w:r>
        <w:rPr>
          <w:w w:val="100"/>
        </w:rPr>
        <w:t> </w:t>
      </w:r>
      <w:r>
        <w:rPr>
          <w:spacing w:val="-2"/>
        </w:rPr>
        <w:t>心骨干人员，有效提升核心团队凝聚力和企业核心竞争力，公司积极推进实施公司</w:t>
      </w:r>
      <w:r>
        <w:rPr>
          <w:rFonts w:ascii="宋体" w:hAnsi="宋体" w:cs="宋体" w:eastAsia="宋体" w:hint="default"/>
          <w:spacing w:val="-2"/>
        </w:rPr>
        <w:t>2018</w:t>
      </w:r>
      <w:r>
        <w:rPr>
          <w:spacing w:val="-2"/>
        </w:rPr>
        <w:t>年股票期权与限制</w:t>
      </w:r>
      <w:r>
        <w:rPr>
          <w:spacing w:val="-40"/>
        </w:rPr>
        <w:t> </w:t>
      </w:r>
      <w:r>
        <w:rPr>
          <w:spacing w:val="-40"/>
        </w:rPr>
      </w:r>
      <w:r>
        <w:rPr/>
        <w:t>性股票激励计划</w:t>
      </w:r>
      <w:r>
        <w:rPr>
          <w:rFonts w:ascii="宋体" w:hAnsi="宋体" w:cs="宋体" w:eastAsia="宋体" w:hint="default"/>
        </w:rPr>
        <w:t>,</w:t>
      </w:r>
      <w:r>
        <w:rPr/>
        <w:t>并完成了</w:t>
      </w:r>
      <w:r>
        <w:rPr>
          <w:rFonts w:ascii="宋体" w:hAnsi="宋体" w:cs="宋体" w:eastAsia="宋体" w:hint="default"/>
        </w:rPr>
        <w:t>2018</w:t>
      </w:r>
      <w:r>
        <w:rPr/>
        <w:t>年股票期权与限制性股票激励计划股票期权和限制性股票的首次授予登记</w:t>
      </w:r>
      <w:r>
        <w:rPr>
          <w:w w:val="100"/>
        </w:rPr>
        <w:t> </w:t>
      </w:r>
      <w:r>
        <w:rPr/>
        <w:t>工作，授予的股票期权登记时间为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日，授予的限制性股票上市日期为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w:t>
      </w:r>
    </w:p>
    <w:p>
      <w:pPr>
        <w:pStyle w:val="BodyText"/>
        <w:spacing w:line="408" w:lineRule="auto"/>
        <w:ind w:right="1023" w:firstLine="480"/>
        <w:jc w:val="left"/>
      </w:pPr>
      <w:r>
        <w:rPr>
          <w:spacing w:val="-6"/>
          <w:w w:val="100"/>
        </w:rPr>
        <w:t>报告期内，公司为充分调动高级管理人员工作的积极性和创造性，增强高级管理人员对实现公司持续、</w:t>
      </w:r>
      <w:r>
        <w:rPr>
          <w:w w:val="100"/>
        </w:rPr>
        <w:t> </w:t>
      </w:r>
      <w:r>
        <w:rPr>
          <w:spacing w:val="-2"/>
        </w:rPr>
        <w:t>健康、稳定发展的责任感、使命感，进一步提高公司经营管理水平，公司制定了《高级管理人员薪酬考核</w:t>
      </w:r>
      <w:r>
        <w:rPr>
          <w:spacing w:val="-43"/>
        </w:rPr>
        <w:t> </w:t>
      </w:r>
      <w:r>
        <w:rPr>
          <w:spacing w:val="-43"/>
        </w:rPr>
      </w:r>
      <w:r>
        <w:rPr/>
        <w:t>方案（</w:t>
      </w:r>
      <w:r>
        <w:rPr>
          <w:rFonts w:ascii="宋体" w:hAnsi="宋体" w:cs="宋体" w:eastAsia="宋体" w:hint="default"/>
        </w:rPr>
        <w:t>2019</w:t>
      </w:r>
      <w:r>
        <w:rPr/>
        <w:t>年</w:t>
      </w:r>
      <w:r>
        <w:rPr>
          <w:rFonts w:ascii="宋体" w:hAnsi="宋体" w:cs="宋体" w:eastAsia="宋体" w:hint="default"/>
        </w:rPr>
        <w:t>-2021</w:t>
      </w:r>
      <w:r>
        <w:rPr/>
        <w:t>年）》并于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22</w:t>
      </w:r>
      <w:r>
        <w:rPr/>
        <w:t>日经第三届董事会第四次会议审议通过。</w:t>
      </w:r>
    </w:p>
    <w:p>
      <w:pPr>
        <w:pStyle w:val="BodyText"/>
        <w:spacing w:line="408" w:lineRule="auto"/>
        <w:ind w:right="1044" w:firstLine="480"/>
        <w:jc w:val="both"/>
      </w:pPr>
      <w:r>
        <w:rPr>
          <w:spacing w:val="-2"/>
        </w:rPr>
        <w:t>股权激励计划的实施及高管薪酬考核方案的推行提高了核心团队的凝聚力和战斗力，有效地将股东、</w:t>
      </w:r>
      <w:r>
        <w:rPr>
          <w:w w:val="100"/>
        </w:rPr>
        <w:t> </w:t>
      </w:r>
      <w:r>
        <w:rPr>
          <w:spacing w:val="-2"/>
        </w:rPr>
        <w:t>公司和核心团队三方利益结合在一起，使各方共同关注公司的长远发展，确保公司发展战略和经营目标的</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实现，共同分享公司成长带来的收益。</w:t>
      </w:r>
    </w:p>
    <w:p>
      <w:pPr>
        <w:spacing w:line="240" w:lineRule="auto" w:before="12"/>
        <w:rPr>
          <w:rFonts w:ascii="宋体" w:hAnsi="宋体" w:cs="宋体" w:eastAsia="宋体" w:hint="default"/>
          <w:sz w:val="17"/>
          <w:szCs w:val="17"/>
        </w:rPr>
      </w:pPr>
    </w:p>
    <w:p>
      <w:pPr>
        <w:pStyle w:val="BodyText"/>
        <w:spacing w:line="441" w:lineRule="auto" w:before="0"/>
        <w:ind w:left="633" w:right="1119"/>
        <w:jc w:val="left"/>
      </w:pPr>
      <w:r>
        <w:rPr>
          <w:rFonts w:ascii="宋体" w:hAnsi="宋体" w:cs="宋体" w:eastAsia="宋体" w:hint="default"/>
          <w:b/>
          <w:bCs/>
        </w:rPr>
        <w:t>（四）优化供应链体系</w:t>
      </w:r>
      <w:r>
        <w:rPr>
          <w:rFonts w:ascii="宋体" w:hAnsi="宋体" w:cs="宋体" w:eastAsia="宋体" w:hint="default"/>
          <w:b/>
          <w:bCs/>
          <w:w w:val="100"/>
        </w:rPr>
        <w:t> </w:t>
      </w:r>
      <w:r>
        <w:rPr>
          <w:spacing w:val="-4"/>
        </w:rPr>
        <w:t>报告期内，公司针对现有国际头部企业客户以及新引入的战略客户的项目需求，以成本有优势、品质</w:t>
      </w:r>
    </w:p>
    <w:p>
      <w:pPr>
        <w:pStyle w:val="BodyText"/>
        <w:spacing w:line="408" w:lineRule="auto" w:before="16"/>
        <w:ind w:right="1126"/>
        <w:jc w:val="both"/>
      </w:pPr>
      <w:r>
        <w:rPr>
          <w:spacing w:val="-2"/>
        </w:rPr>
        <w:t>优良和响应快速为主要目标，持续优化自身供应链体系，配合各个项目高交付质量的推进，更好的服务公</w:t>
      </w:r>
      <w:r>
        <w:rPr>
          <w:spacing w:val="-44"/>
        </w:rPr>
        <w:t> </w:t>
      </w:r>
      <w:r>
        <w:rPr>
          <w:spacing w:val="-44"/>
        </w:rPr>
      </w:r>
      <w:r>
        <w:rPr>
          <w:spacing w:val="-2"/>
        </w:rPr>
        <w:t>司的市场及客户战略。公司在报告期内开辟新的产品线，随着行业影响力的逐步提升，对于核心物料和关</w:t>
      </w:r>
      <w:r>
        <w:rPr>
          <w:spacing w:val="-45"/>
        </w:rPr>
        <w:t> </w:t>
      </w:r>
      <w:r>
        <w:rPr>
          <w:spacing w:val="-45"/>
        </w:rPr>
      </w:r>
      <w:r>
        <w:rPr/>
        <w:t>键部件的选择更有主动权，在供应侧上可以获得更有力的支持，整体供应链体系得到进一步优化。</w:t>
      </w:r>
    </w:p>
    <w:p>
      <w:pPr>
        <w:spacing w:line="444" w:lineRule="auto" w:before="46"/>
        <w:ind w:left="633" w:right="1119" w:firstLine="0"/>
        <w:jc w:val="left"/>
        <w:rPr>
          <w:rFonts w:ascii="宋体" w:hAnsi="宋体" w:cs="宋体" w:eastAsia="宋体" w:hint="default"/>
          <w:sz w:val="21"/>
          <w:szCs w:val="21"/>
        </w:rPr>
      </w:pPr>
      <w:r>
        <w:rPr>
          <w:rFonts w:ascii="宋体" w:hAnsi="宋体" w:cs="宋体" w:eastAsia="宋体" w:hint="default"/>
          <w:b/>
          <w:bCs/>
          <w:sz w:val="21"/>
          <w:szCs w:val="21"/>
        </w:rPr>
        <w:t>（五）积极探索健康</w:t>
      </w:r>
      <w:r>
        <w:rPr>
          <w:rFonts w:ascii="宋体" w:hAnsi="宋体" w:cs="宋体" w:eastAsia="宋体" w:hint="default"/>
          <w:b/>
          <w:bCs/>
          <w:sz w:val="21"/>
          <w:szCs w:val="21"/>
        </w:rPr>
        <w:t>IoT</w:t>
      </w:r>
      <w:r>
        <w:rPr>
          <w:rFonts w:ascii="宋体" w:hAnsi="宋体" w:cs="宋体" w:eastAsia="宋体" w:hint="default"/>
          <w:b/>
          <w:bCs/>
          <w:sz w:val="21"/>
          <w:szCs w:val="21"/>
        </w:rPr>
        <w:t>与医疗服务结合的模式，拓展远程健康管理系统（</w:t>
      </w:r>
      <w:r>
        <w:rPr>
          <w:rFonts w:ascii="宋体" w:hAnsi="宋体" w:cs="宋体" w:eastAsia="宋体" w:hint="default"/>
          <w:b/>
          <w:bCs/>
          <w:sz w:val="21"/>
          <w:szCs w:val="21"/>
        </w:rPr>
        <w:t>RPM</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4"/>
          <w:sz w:val="21"/>
          <w:szCs w:val="21"/>
        </w:rPr>
        <w:t>随着技术的进步，智能可穿戴设备迅速发展，由原来的运动和日常活动的记录逐步转向更精准的医疗</w:t>
      </w:r>
    </w:p>
    <w:p>
      <w:pPr>
        <w:pStyle w:val="BodyText"/>
        <w:spacing w:line="408" w:lineRule="auto" w:before="15"/>
        <w:ind w:right="1126"/>
        <w:jc w:val="both"/>
      </w:pPr>
      <w:r>
        <w:rPr/>
        <w:t>数据采集。报告期内，公司倾力打造的专业医疗级心电手表</w:t>
      </w:r>
      <w:r>
        <w:rPr>
          <w:rFonts w:ascii="宋体" w:hAnsi="宋体" w:cs="宋体" w:eastAsia="宋体" w:hint="default"/>
        </w:rPr>
        <w:t>Lifesense Health Watch</w:t>
      </w:r>
      <w:r>
        <w:rPr>
          <w:rFonts w:ascii="宋体" w:hAnsi="宋体" w:cs="宋体" w:eastAsia="宋体" w:hint="default"/>
          <w:spacing w:val="-33"/>
        </w:rPr>
        <w:t> </w:t>
      </w:r>
      <w:r>
        <w:rPr>
          <w:rFonts w:ascii="宋体" w:hAnsi="宋体" w:cs="宋体" w:eastAsia="宋体" w:hint="default"/>
        </w:rPr>
        <w:t>H1</w:t>
      </w:r>
      <w:r>
        <w:rPr/>
        <w:t>（手表形态的腕</w:t>
      </w:r>
      <w:r>
        <w:rPr>
          <w:w w:val="100"/>
        </w:rPr>
        <w:t> </w:t>
      </w:r>
      <w:r>
        <w:rPr/>
        <w:t>部单导心电采集器）通过国家二类医疗器械认证，成为国内首款完成</w:t>
      </w:r>
      <w:r>
        <w:rPr>
          <w:rFonts w:ascii="宋体" w:hAnsi="宋体" w:cs="宋体" w:eastAsia="宋体" w:hint="default"/>
        </w:rPr>
        <w:t>CFDA</w:t>
      </w:r>
      <w:r>
        <w:rPr/>
        <w:t>认证的</w:t>
      </w:r>
      <w:r>
        <w:rPr>
          <w:rFonts w:ascii="宋体" w:hAnsi="宋体" w:cs="宋体" w:eastAsia="宋体" w:hint="default"/>
        </w:rPr>
        <w:t>ECG</w:t>
      </w:r>
      <w:r>
        <w:rPr/>
        <w:t>心电监测智能手表，</w:t>
      </w:r>
      <w:r>
        <w:rPr>
          <w:spacing w:val="-24"/>
        </w:rPr>
        <w:t> </w:t>
      </w:r>
      <w:r>
        <w:rPr>
          <w:spacing w:val="-24"/>
        </w:rPr>
      </w:r>
      <w:r>
        <w:rPr>
          <w:spacing w:val="-2"/>
        </w:rPr>
        <w:t>专业医疗级心电手表是乐心智能健康整体解决方案中的重要组成部分，有利于进一步增强公司产品的综合</w:t>
      </w:r>
      <w:r>
        <w:rPr>
          <w:spacing w:val="-43"/>
        </w:rPr>
        <w:t> </w:t>
      </w:r>
      <w:r>
        <w:rPr>
          <w:spacing w:val="-43"/>
        </w:rPr>
      </w:r>
      <w:r>
        <w:rPr/>
        <w:t>竞争力和市场拓展能力，推动乐心医疗产品在保险、慢病管理，心血管疾病管理等领域的合作。</w:t>
      </w:r>
    </w:p>
    <w:p>
      <w:pPr>
        <w:pStyle w:val="BodyText"/>
        <w:spacing w:line="408" w:lineRule="auto" w:before="87"/>
        <w:ind w:right="1126" w:firstLine="480"/>
        <w:jc w:val="both"/>
      </w:pPr>
      <w:r>
        <w:rPr>
          <w:rFonts w:ascii="宋体" w:hAnsi="宋体" w:cs="宋体" w:eastAsia="宋体" w:hint="default"/>
          <w:spacing w:val="-1"/>
        </w:rPr>
        <w:t>2019</w:t>
      </w:r>
      <w:r>
        <w:rPr>
          <w:spacing w:val="-1"/>
        </w:rPr>
        <w:t>年，乐心着力为医疗机构、保险公司等健康机构提供权威的远程健康管理工具和服务（</w:t>
      </w:r>
      <w:r>
        <w:rPr>
          <w:rFonts w:ascii="宋体" w:hAnsi="宋体" w:cs="宋体" w:eastAsia="宋体" w:hint="default"/>
          <w:spacing w:val="-1"/>
        </w:rPr>
        <w:t>RPM</w:t>
      </w:r>
      <w:r>
        <w:rPr>
          <w:spacing w:val="-1"/>
        </w:rPr>
        <w:t>），</w:t>
      </w:r>
      <w:r>
        <w:rPr>
          <w:w w:val="100"/>
        </w:rPr>
        <w:t> </w:t>
      </w:r>
      <w:r>
        <w:rPr>
          <w:spacing w:val="-2"/>
        </w:rPr>
        <w:t>公司成立数字健康研发中心，创建硬软件一体化远程数据监控、朱为模院士有氧健康计划、疾病风险评估</w:t>
      </w:r>
      <w:r>
        <w:rPr>
          <w:spacing w:val="-43"/>
        </w:rPr>
        <w:t> </w:t>
      </w:r>
      <w:r>
        <w:rPr>
          <w:spacing w:val="-43"/>
        </w:rPr>
      </w:r>
      <w:r>
        <w:rPr>
          <w:spacing w:val="-2"/>
        </w:rPr>
        <w:t>体系、六大闭环健康管理系统等智能健康模块，积极探索一体化的健康管理解决方案，不断夯实公司在医</w:t>
      </w:r>
      <w:r>
        <w:rPr>
          <w:spacing w:val="-45"/>
        </w:rPr>
        <w:t> </w:t>
      </w:r>
      <w:r>
        <w:rPr>
          <w:spacing w:val="-45"/>
        </w:rPr>
      </w:r>
      <w:r>
        <w:rPr/>
        <w:t>疗健康领域的坚实基础。</w:t>
      </w:r>
    </w:p>
    <w:p>
      <w:pPr>
        <w:pStyle w:val="BodyText"/>
        <w:spacing w:line="408" w:lineRule="auto" w:before="85"/>
        <w:ind w:right="1126" w:firstLine="480"/>
        <w:jc w:val="both"/>
      </w:pPr>
      <w:r>
        <w:rPr>
          <w:spacing w:val="-4"/>
        </w:rPr>
        <w:t>报告期内，公司推出了采用</w:t>
      </w:r>
      <w:r>
        <w:rPr>
          <w:rFonts w:ascii="宋体" w:hAnsi="宋体" w:cs="宋体" w:eastAsia="宋体" w:hint="default"/>
          <w:spacing w:val="-4"/>
        </w:rPr>
        <w:t>BIA</w:t>
      </w:r>
      <w:r>
        <w:rPr>
          <w:spacing w:val="-4"/>
        </w:rPr>
        <w:t>生物测量芯片、</w:t>
      </w:r>
      <w:r>
        <w:rPr>
          <w:rFonts w:ascii="宋体" w:hAnsi="宋体" w:cs="宋体" w:eastAsia="宋体" w:hint="default"/>
          <w:spacing w:val="-4"/>
        </w:rPr>
        <w:t>ITO</w:t>
      </w:r>
      <w:r>
        <w:rPr>
          <w:spacing w:val="-4"/>
        </w:rPr>
        <w:t>无感电极及高精度</w:t>
      </w:r>
      <w:r>
        <w:rPr>
          <w:rFonts w:ascii="宋体" w:hAnsi="宋体" w:cs="宋体" w:eastAsia="宋体" w:hint="default"/>
          <w:spacing w:val="-4"/>
        </w:rPr>
        <w:t>G</w:t>
      </w:r>
      <w:r>
        <w:rPr>
          <w:spacing w:val="-4"/>
        </w:rPr>
        <w:t>型传感器的“乐心</w:t>
      </w:r>
      <w:r>
        <w:rPr>
          <w:rFonts w:ascii="宋体" w:hAnsi="宋体" w:cs="宋体" w:eastAsia="宋体" w:hint="default"/>
          <w:spacing w:val="-4"/>
        </w:rPr>
        <w:t>S11</w:t>
      </w:r>
      <w:r>
        <w:rPr>
          <w:spacing w:val="-4"/>
        </w:rPr>
        <w:t>脂肪测量</w:t>
      </w:r>
      <w:r>
        <w:rPr>
          <w:w w:val="100"/>
        </w:rPr>
        <w:t> </w:t>
      </w:r>
      <w:r>
        <w:rPr/>
        <w:t>仪”</w:t>
      </w:r>
      <w:r>
        <w:rPr>
          <w:spacing w:val="65"/>
        </w:rPr>
        <w:t> </w:t>
      </w:r>
      <w:r>
        <w:rPr/>
        <w:t>等多款健康秤、血压计新品，并均取得二类医疗器械认证，夯实乐心在医疗健康领域的坚实基础。</w:t>
      </w:r>
      <w:r>
        <w:rPr>
          <w:spacing w:val="-93"/>
        </w:rPr>
        <w:t> </w:t>
      </w:r>
      <w:r>
        <w:rPr>
          <w:spacing w:val="-93"/>
        </w:rPr>
      </w:r>
      <w:r>
        <w:rPr>
          <w:spacing w:val="-2"/>
        </w:rPr>
        <w:t>联名支付宝推出了“乐心手环5S”、“乐心智能支付卡二代”，实现技术和外观的升级，顺应消费者不断</w:t>
      </w:r>
      <w:r>
        <w:rPr>
          <w:spacing w:val="-41"/>
        </w:rPr>
        <w:t> </w:t>
      </w:r>
      <w:r>
        <w:rPr>
          <w:spacing w:val="-41"/>
        </w:rPr>
      </w:r>
      <w:r>
        <w:rPr>
          <w:spacing w:val="-2"/>
        </w:rPr>
        <w:t>攀升的使用需求，进一步增强产品稳定性、可靠性，提升用户体验和价值感。公司与香港品牌“B.Duck”</w:t>
      </w:r>
      <w:r>
        <w:rPr>
          <w:spacing w:val="-43"/>
        </w:rPr>
        <w:t> </w:t>
      </w:r>
      <w:r>
        <w:rPr>
          <w:spacing w:val="-43"/>
        </w:rPr>
      </w:r>
      <w:r>
        <w:rPr>
          <w:spacing w:val="-2"/>
        </w:rPr>
        <w:t>达成联名合作，打造一系列符合年轻群体喜好的“潮酷”系列智能可穿戴产品，展示多元的企业文化和品</w:t>
      </w:r>
      <w:r>
        <w:rPr>
          <w:spacing w:val="-43"/>
        </w:rPr>
        <w:t> </w:t>
      </w:r>
      <w:r>
        <w:rPr>
          <w:spacing w:val="-43"/>
        </w:rPr>
      </w:r>
      <w:r>
        <w:rPr/>
        <w:t>牌理念。同时，乐心收购的智能可穿戴运动品牌迈欧（</w:t>
      </w:r>
      <w:r>
        <w:rPr>
          <w:rFonts w:ascii="宋体" w:hAnsi="宋体" w:cs="宋体" w:eastAsia="宋体" w:hint="default"/>
        </w:rPr>
        <w:t>MIO</w:t>
      </w:r>
      <w:r>
        <w:rPr/>
        <w:t>）</w:t>
      </w:r>
      <w:r>
        <w:rPr>
          <w:rFonts w:ascii="宋体" w:hAnsi="宋体" w:cs="宋体" w:eastAsia="宋体" w:hint="default"/>
        </w:rPr>
        <w:t>2019</w:t>
      </w:r>
      <w:r>
        <w:rPr/>
        <w:t>年推出专业心率监测方案，旨在指导运</w:t>
      </w:r>
      <w:r>
        <w:rPr>
          <w:spacing w:val="-28"/>
        </w:rPr>
        <w:t> </w:t>
      </w:r>
      <w:r>
        <w:rPr>
          <w:spacing w:val="-28"/>
        </w:rPr>
      </w:r>
      <w:r>
        <w:rPr/>
        <w:t>动爱好者科学训练，从而提升运动水平，该方案由心率监测硬件</w:t>
      </w:r>
      <w:r>
        <w:rPr>
          <w:rFonts w:ascii="宋体" w:hAnsi="宋体" w:cs="宋体" w:eastAsia="宋体" w:hint="default"/>
        </w:rPr>
        <w:t>MioPOD</w:t>
      </w:r>
      <w:r>
        <w:rPr/>
        <w:t>和手机应用软件</w:t>
      </w:r>
      <w:r>
        <w:rPr>
          <w:rFonts w:ascii="宋体" w:hAnsi="宋体" w:cs="宋体" w:eastAsia="宋体" w:hint="default"/>
        </w:rPr>
        <w:t>Mio</w:t>
      </w:r>
      <w:r>
        <w:rPr>
          <w:rFonts w:ascii="宋体" w:hAnsi="宋体" w:cs="宋体" w:eastAsia="宋体" w:hint="default"/>
          <w:spacing w:val="71"/>
        </w:rPr>
        <w:t> </w:t>
      </w:r>
      <w:r>
        <w:rPr>
          <w:rFonts w:ascii="宋体" w:hAnsi="宋体" w:cs="宋体" w:eastAsia="宋体" w:hint="default"/>
        </w:rPr>
        <w:t>APP</w:t>
      </w:r>
      <w:r>
        <w:rPr/>
        <w:t>组成，为</w:t>
      </w:r>
      <w:r>
        <w:rPr>
          <w:spacing w:val="-95"/>
        </w:rPr>
        <w:t> </w:t>
      </w:r>
      <w:r>
        <w:rPr>
          <w:spacing w:val="-95"/>
        </w:rPr>
      </w:r>
      <w:r>
        <w:rPr/>
        <w:t>用户提供专业训练指导以及科学的数据洞察，让其训练更高效，表现更出色。</w:t>
      </w:r>
    </w:p>
    <w:p>
      <w:pPr>
        <w:pStyle w:val="BodyText"/>
        <w:spacing w:line="408" w:lineRule="auto" w:before="87"/>
        <w:ind w:right="1126" w:firstLine="480"/>
        <w:jc w:val="both"/>
      </w:pPr>
      <w:r>
        <w:rPr>
          <w:spacing w:val="-4"/>
        </w:rPr>
        <w:t>公司新产品的亮相进一步将大众消费领域与医疗健康领域相融合，提升公司在医疗健康领域为用户提</w:t>
      </w:r>
      <w:r>
        <w:rPr>
          <w:w w:val="100"/>
        </w:rPr>
        <w:t> </w:t>
      </w:r>
      <w:r>
        <w:rPr/>
        <w:t>供的效用和价值。</w:t>
      </w:r>
    </w:p>
    <w:p>
      <w:pPr>
        <w:spacing w:line="441" w:lineRule="auto" w:before="87"/>
        <w:ind w:left="633" w:right="1119" w:firstLine="0"/>
        <w:jc w:val="left"/>
        <w:rPr>
          <w:rFonts w:ascii="宋体" w:hAnsi="宋体" w:cs="宋体" w:eastAsia="宋体" w:hint="default"/>
          <w:sz w:val="21"/>
          <w:szCs w:val="21"/>
        </w:rPr>
      </w:pPr>
      <w:r>
        <w:rPr>
          <w:rFonts w:ascii="宋体" w:hAnsi="宋体" w:cs="宋体" w:eastAsia="宋体" w:hint="default"/>
          <w:b/>
          <w:bCs/>
          <w:sz w:val="21"/>
          <w:szCs w:val="21"/>
        </w:rPr>
        <w:t>（六）资本助力，积极拓展外延式发展</w:t>
      </w:r>
      <w:r>
        <w:rPr>
          <w:rFonts w:ascii="宋体" w:hAnsi="宋体" w:cs="宋体" w:eastAsia="宋体" w:hint="default"/>
          <w:b/>
          <w:bCs/>
          <w:w w:val="100"/>
          <w:sz w:val="21"/>
          <w:szCs w:val="21"/>
        </w:rPr>
        <w:t> </w:t>
      </w:r>
      <w:r>
        <w:rPr>
          <w:rFonts w:ascii="宋体" w:hAnsi="宋体" w:cs="宋体" w:eastAsia="宋体" w:hint="default"/>
          <w:spacing w:val="-4"/>
          <w:sz w:val="21"/>
          <w:szCs w:val="21"/>
        </w:rPr>
        <w:t>公司坚持内生增长和外延发展共同推进、互作支撑的策略。公司充分结合行业发展形势，积极调配资</w:t>
      </w:r>
    </w:p>
    <w:p>
      <w:pPr>
        <w:pStyle w:val="BodyText"/>
        <w:spacing w:line="240" w:lineRule="auto" w:before="16"/>
        <w:ind w:right="0"/>
        <w:jc w:val="both"/>
      </w:pPr>
      <w:r>
        <w:rPr/>
        <w:t>源，加快推进募投项目建设。</w:t>
      </w:r>
      <w:r>
        <w:rPr>
          <w:rFonts w:ascii="宋体" w:hAnsi="宋体" w:cs="宋体" w:eastAsia="宋体" w:hint="default"/>
        </w:rPr>
        <w:t>2019</w:t>
      </w:r>
      <w:r>
        <w:rPr/>
        <w:t>年</w:t>
      </w:r>
      <w:r>
        <w:rPr>
          <w:rFonts w:ascii="宋体" w:hAnsi="宋体" w:cs="宋体" w:eastAsia="宋体" w:hint="default"/>
        </w:rPr>
        <w:t>8</w:t>
      </w:r>
      <w:r>
        <w:rPr/>
        <w:t>月，公司启动乐心产业园三期工程建设，总建筑面积约</w:t>
      </w:r>
      <w:r>
        <w:rPr>
          <w:rFonts w:ascii="宋体" w:hAnsi="宋体" w:cs="宋体" w:eastAsia="宋体" w:hint="default"/>
        </w:rPr>
        <w:t>4</w:t>
      </w:r>
      <w:r>
        <w:rPr/>
        <w:t>万平方米，</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主要建设智能生产厂房、自动生产线、全自动立体仓库、全自动物流传输线、研发实验室、先进的实验及</w:t>
      </w:r>
      <w:r>
        <w:rPr>
          <w:spacing w:val="-43"/>
        </w:rPr>
        <w:t> </w:t>
      </w:r>
      <w:r>
        <w:rPr>
          <w:spacing w:val="-43"/>
        </w:rPr>
      </w:r>
      <w:r>
        <w:rPr>
          <w:spacing w:val="-2"/>
        </w:rPr>
        <w:t>检测设备等，募投项目的加快实施有利于公司整体规划及合理布局，提升公司规模优势和全产业链整合优</w:t>
      </w:r>
      <w:r>
        <w:rPr>
          <w:spacing w:val="-44"/>
        </w:rPr>
        <w:t> </w:t>
      </w:r>
      <w:r>
        <w:rPr>
          <w:spacing w:val="-44"/>
        </w:rPr>
      </w:r>
      <w:r>
        <w:rPr/>
        <w:t>势，符合公司长远发展需求。</w:t>
      </w:r>
    </w:p>
    <w:p>
      <w:pPr>
        <w:pStyle w:val="BodyText"/>
        <w:spacing w:line="408" w:lineRule="auto" w:before="87"/>
        <w:ind w:right="1128" w:firstLine="480"/>
        <w:jc w:val="both"/>
      </w:pPr>
      <w:r>
        <w:rPr>
          <w:spacing w:val="-4"/>
        </w:rPr>
        <w:t>报告期内，公司积极把握市场机会，依托公司的产品优势和品牌优势，积极通过对外投资的外延式发</w:t>
      </w:r>
      <w:r>
        <w:rPr>
          <w:w w:val="100"/>
        </w:rPr>
        <w:t> </w:t>
      </w:r>
      <w:r>
        <w:rPr>
          <w:spacing w:val="-2"/>
        </w:rPr>
        <w:t>展方式，积极寻求与公司主营业务相关，具有协同效应的项目开展包括股权、业务在内的深度合作，为上</w:t>
      </w:r>
      <w:r>
        <w:rPr>
          <w:spacing w:val="-47"/>
        </w:rPr>
        <w:t> </w:t>
      </w:r>
      <w:r>
        <w:rPr>
          <w:spacing w:val="-47"/>
        </w:rPr>
      </w:r>
      <w:r>
        <w:rPr/>
        <w:t>市公司带来新的利润增长点，增厚公司盈利能力。公司于</w:t>
      </w:r>
      <w:r>
        <w:rPr>
          <w:rFonts w:ascii="宋体" w:hAnsi="宋体" w:cs="宋体" w:eastAsia="宋体" w:hint="default"/>
        </w:rPr>
        <w:t>2019</w:t>
      </w:r>
      <w:r>
        <w:rPr/>
        <w:t>年</w:t>
      </w:r>
      <w:r>
        <w:rPr>
          <w:rFonts w:ascii="宋体" w:hAnsi="宋体" w:cs="宋体" w:eastAsia="宋体" w:hint="default"/>
        </w:rPr>
        <w:t>6</w:t>
      </w:r>
      <w:r>
        <w:rPr/>
        <w:t>月通过全资子公司中山乐恒收购声源科</w:t>
      </w:r>
      <w:r>
        <w:rPr>
          <w:spacing w:val="-25"/>
        </w:rPr>
        <w:t> </w:t>
      </w:r>
      <w:r>
        <w:rPr>
          <w:spacing w:val="-25"/>
        </w:rPr>
      </w:r>
      <w:r>
        <w:rPr/>
        <w:t>技，切入</w:t>
      </w:r>
      <w:r>
        <w:rPr>
          <w:rFonts w:ascii="宋体" w:hAnsi="宋体" w:cs="宋体" w:eastAsia="宋体" w:hint="default"/>
        </w:rPr>
        <w:t>TWS</w:t>
      </w:r>
      <w:r>
        <w:rPr/>
        <w:t>耳机业务，声源科技旗下拥有聆耳（</w:t>
      </w:r>
      <w:r>
        <w:rPr>
          <w:rFonts w:ascii="宋体" w:hAnsi="宋体" w:cs="宋体" w:eastAsia="宋体" w:hint="default"/>
        </w:rPr>
        <w:t>Linner</w:t>
      </w:r>
      <w:r>
        <w:rPr/>
        <w:t>）品牌，是一个以智能主动降噪技术为核心的降</w:t>
      </w:r>
      <w:r>
        <w:rPr>
          <w:spacing w:val="-25"/>
        </w:rPr>
        <w:t> </w:t>
      </w:r>
      <w:r>
        <w:rPr>
          <w:spacing w:val="-25"/>
        </w:rPr>
      </w:r>
      <w:r>
        <w:rPr/>
        <w:t>噪耳机品牌。截至目前，声源科技已成为公司的控股子公司。</w:t>
      </w:r>
    </w:p>
    <w:p>
      <w:pPr>
        <w:spacing w:line="408" w:lineRule="auto" w:before="85"/>
        <w:ind w:left="633" w:right="996" w:firstLine="0"/>
        <w:jc w:val="left"/>
        <w:rPr>
          <w:rFonts w:ascii="宋体" w:hAnsi="宋体" w:cs="宋体" w:eastAsia="宋体" w:hint="default"/>
          <w:sz w:val="21"/>
          <w:szCs w:val="21"/>
        </w:rPr>
      </w:pPr>
      <w:r>
        <w:rPr>
          <w:rFonts w:ascii="宋体" w:hAnsi="宋体" w:cs="宋体" w:eastAsia="宋体" w:hint="default"/>
          <w:b/>
          <w:bCs/>
          <w:sz w:val="21"/>
          <w:szCs w:val="21"/>
        </w:rPr>
        <w:t>（七）完善公司治理结构，合规保障可持续发展</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报告期内，公司严格根据《公司法》、《创业板股票上市规则》、《创业板上市公司规范运作指引》</w:t>
      </w:r>
    </w:p>
    <w:p>
      <w:pPr>
        <w:pStyle w:val="BodyText"/>
        <w:spacing w:line="408" w:lineRule="auto"/>
        <w:ind w:right="1105"/>
        <w:jc w:val="both"/>
      </w:pPr>
      <w:r>
        <w:rPr>
          <w:spacing w:val="-2"/>
        </w:rPr>
        <w:t>等法律法规规范及《公司章程》等内部管理制度的要求，持续健全、完善内控制度和公司治理结构，进一</w:t>
      </w:r>
      <w:r>
        <w:rPr>
          <w:spacing w:val="-43"/>
        </w:rPr>
        <w:t> </w:t>
      </w:r>
      <w:r>
        <w:rPr>
          <w:spacing w:val="-43"/>
        </w:rPr>
      </w:r>
      <w:r>
        <w:rPr>
          <w:spacing w:val="-2"/>
        </w:rPr>
        <w:t>步强化“三会”的规范运作机制，强化董事、监事、高级管理人员及核心团队的责任意识和守法意识，梳</w:t>
      </w:r>
      <w:r>
        <w:rPr>
          <w:spacing w:val="-44"/>
        </w:rPr>
        <w:t> </w:t>
      </w:r>
      <w:r>
        <w:rPr>
          <w:spacing w:val="-44"/>
        </w:rPr>
      </w:r>
      <w:r>
        <w:rPr>
          <w:spacing w:val="-2"/>
        </w:rPr>
        <w:t>理公司组织架构，积极推进内控建设、信息披露、投资者关系等工作，提升公司治理水平。在公司内部建</w:t>
      </w:r>
      <w:r>
        <w:rPr>
          <w:spacing w:val="-43"/>
        </w:rPr>
        <w:t> </w:t>
      </w:r>
      <w:r>
        <w:rPr>
          <w:spacing w:val="-43"/>
        </w:rPr>
      </w:r>
      <w:r>
        <w:rPr>
          <w:spacing w:val="-2"/>
        </w:rPr>
        <w:t>设方面，结合公司实际生产经营需要和实际情况，加强风险防控，在公司内部逐步完善具有可操作性的内</w:t>
      </w:r>
      <w:r>
        <w:rPr>
          <w:spacing w:val="-43"/>
        </w:rPr>
        <w:t> </w:t>
      </w:r>
      <w:r>
        <w:rPr>
          <w:spacing w:val="-43"/>
        </w:rPr>
      </w:r>
      <w:r>
        <w:rPr>
          <w:spacing w:val="-2"/>
        </w:rPr>
        <w:t>部控制系统，避免因内控不完善而有损上市公司及股东利益情况的发生；稳步推进了全面预算管理体系，</w:t>
      </w:r>
      <w:r>
        <w:rPr>
          <w:spacing w:val="-21"/>
        </w:rPr>
        <w:t> </w:t>
      </w:r>
      <w:r>
        <w:rPr>
          <w:spacing w:val="-21"/>
        </w:rPr>
      </w:r>
      <w:r>
        <w:rPr/>
        <w:t>继续完善财务数据分析体系，完成</w:t>
      </w:r>
      <w:r>
        <w:rPr>
          <w:rFonts w:ascii="宋体" w:hAnsi="宋体" w:cs="宋体" w:eastAsia="宋体" w:hint="default"/>
        </w:rPr>
        <w:t>OA</w:t>
      </w:r>
      <w:r>
        <w:rPr/>
        <w:t>等管理系统信息化建设优化工作；为公司的稳步发展奠定基础。</w:t>
      </w:r>
    </w:p>
    <w:p>
      <w:pPr>
        <w:spacing w:line="240" w:lineRule="auto" w:before="9"/>
        <w:rPr>
          <w:rFonts w:ascii="宋体" w:hAnsi="宋体" w:cs="宋体" w:eastAsia="宋体" w:hint="default"/>
          <w:sz w:val="18"/>
          <w:szCs w:val="18"/>
        </w:rPr>
      </w:pPr>
    </w:p>
    <w:p>
      <w:pPr>
        <w:pStyle w:val="Heading3"/>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94"/>
        <w:gridCol w:w="1588"/>
        <w:gridCol w:w="1602"/>
        <w:gridCol w:w="1582"/>
        <w:gridCol w:w="1600"/>
      </w:tblGrid>
      <w:tr>
        <w:trPr>
          <w:trHeight w:val="207" w:hRule="exact"/>
        </w:trPr>
        <w:tc>
          <w:tcPr>
            <w:tcW w:w="1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0"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883,668,227.98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775,103,192.35</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14.01%</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878,775,662.27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99.45%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771,329,473.91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99.51%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4,892,565.71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3,773,718.44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445,847,731.41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336,577,283.63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258,725,724.27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207,538,931.48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115,679,409.73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195,232,655.20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63,415,362.57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35,754,322.04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77.36%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250,101,161.37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232,993,713.31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628,674,500.90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538,335,760.60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4,892,565.71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3,773,718.44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29.65%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878,775,662.27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668,205,133.41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4,892,565.71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958,472.37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445,847,731.41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329,029,008.67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258,725,724.27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213,230,839.88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115,679,409.73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87,809,331.38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63,415,362.57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39,094,425.85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250,101,161.37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207,806,397.33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628,674,500.90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460,398,736.08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4,892,565.71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958,472.37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2"/>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1,443.41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1,304.08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9.68%</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1409"/>
        <w:gridCol w:w="1366"/>
        <w:gridCol w:w="1368"/>
        <w:gridCol w:w="1366"/>
        <w:gridCol w:w="101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271,694,475.42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211,028,064.19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22,276,606.39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18,862,615.58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35,057,926.86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21,704,425.66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329,029,008.67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251,595,105.43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162,673,461.77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134,499,166.90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23.42%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18,260,973.99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14,315,320.39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32,296,404.12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18,640,818.45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213,230,839.88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167,455,305.75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76,868,047.65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121,587,426.75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5,689,096.28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5,989,370.00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5,252,187.45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5,400,793.59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不得免征和抵税税额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174,558.08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87,809,331.38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133,152,148.42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35,810,318.61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18,318,194.54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910,528.11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1,566,632.01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1,411,543.11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1,166,830.45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不得免征和抵税税额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3,563.65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958,472.37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984,723.58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39,094,425.85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22,036,380.58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669,163,605.78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574,238,940.18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157"/>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日公司注销了福州乐医成信息技术服务有限公司。自注销之日起，不再纳入合并范围。</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26</w:t>
      </w:r>
      <w:r>
        <w:rPr/>
        <w:t>日公司完成注销子公司</w:t>
      </w:r>
      <w:r>
        <w:rPr>
          <w:rFonts w:ascii="宋体" w:hAnsi="宋体" w:cs="宋体" w:eastAsia="宋体" w:hint="default"/>
        </w:rPr>
        <w:t>FutureIOT Labs</w:t>
      </w:r>
      <w:r>
        <w:rPr>
          <w:rFonts w:ascii="宋体" w:hAnsi="宋体" w:cs="宋体" w:eastAsia="宋体" w:hint="default"/>
          <w:spacing w:val="-10"/>
        </w:rPr>
        <w:t> </w:t>
      </w:r>
      <w:r>
        <w:rPr>
          <w:rFonts w:ascii="宋体" w:hAnsi="宋体" w:cs="宋体" w:eastAsia="宋体" w:hint="default"/>
        </w:rPr>
        <w:t>LLC</w:t>
      </w:r>
      <w:r>
        <w:rPr/>
        <w:t>。自注销之日起，不再纳入合并范围。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234,933,224.38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26.59%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87,537,169.05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43,697,013.77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35,856,567.17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4.06%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34,118,592.12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33,723,882.27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234,933,224.38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131,335,394.59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23.96%</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36,283,664.76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26,540,951.04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25,705,573.97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23,521,010.48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19,284,194.34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131,335,394.59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23.96%</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07"/>
        <w:gridCol w:w="1702"/>
        <w:gridCol w:w="1558"/>
        <w:gridCol w:w="1277"/>
        <w:gridCol w:w="3615"/>
      </w:tblGrid>
      <w:tr>
        <w:trPr>
          <w:trHeight w:val="40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69,078,757.90</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75,033,670.43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-7.94%</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主要系上年度品牌推广投入的陈伟霆代言费 已摊销完毕所致。</w:t>
            </w:r>
          </w:p>
        </w:tc>
      </w:tr>
      <w:tr>
        <w:trPr>
          <w:trHeight w:val="394"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vMerge/>
            <w:tcBorders>
              <w:left w:val="single" w:sz="9" w:space="0" w:color="D2D2D2"/>
              <w:right w:val="single" w:sz="4" w:space="0" w:color="000000"/>
            </w:tcBorders>
          </w:tcPr>
          <w:p>
            <w:pPr/>
          </w:p>
        </w:tc>
        <w:tc>
          <w:tcPr>
            <w:tcW w:w="155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46,792,196.67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43,055,194.85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8.68%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主要系本报告期股权激励费用增加所致。</w:t>
            </w:r>
          </w:p>
        </w:tc>
      </w:tr>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6" w:right="0"/>
              <w:jc w:val="left"/>
              <w:rPr>
                <w:rFonts w:ascii="Times New Roman" w:hAnsi="Times New Roman" w:cs="Times New Roman" w:eastAsia="Times New Roman" w:hint="default"/>
                <w:sz w:val="18"/>
                <w:szCs w:val="18"/>
              </w:rPr>
            </w:pPr>
            <w:r>
              <w:rPr>
                <w:rFonts w:ascii="Times New Roman"/>
                <w:sz w:val="18"/>
              </w:rPr>
              <w:t>-2,048,160.38</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-3,946,834.12</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48.11%</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主要系本报告期银行借款利息支出增加及汇 总收益减少所致。</w:t>
            </w:r>
          </w:p>
        </w:tc>
      </w:tr>
      <w:tr>
        <w:trPr>
          <w:trHeight w:val="394"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vMerge/>
            <w:tcBorders>
              <w:left w:val="single" w:sz="9" w:space="0" w:color="D2D2D2"/>
              <w:right w:val="single" w:sz="4" w:space="0" w:color="000000"/>
            </w:tcBorders>
          </w:tcPr>
          <w:p>
            <w:pPr/>
          </w:p>
        </w:tc>
        <w:tc>
          <w:tcPr>
            <w:tcW w:w="155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68,673,306.33</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56,404,153.45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21.75%</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主要系本报告期持续对研发投入以致研发人 力成本增加所致。</w:t>
            </w:r>
          </w:p>
        </w:tc>
      </w:tr>
      <w:tr>
        <w:trPr>
          <w:trHeight w:val="391"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vMerge/>
            <w:tcBorders>
              <w:left w:val="single" w:sz="9" w:space="0" w:color="D2D2D2"/>
              <w:right w:val="single" w:sz="4" w:space="0" w:color="000000"/>
            </w:tcBorders>
          </w:tcPr>
          <w:p>
            <w:pPr/>
          </w:p>
        </w:tc>
        <w:tc>
          <w:tcPr>
            <w:tcW w:w="155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60"/>
        <w:ind w:right="996" w:firstLine="420"/>
        <w:jc w:val="left"/>
      </w:pPr>
      <w:r>
        <w:rPr>
          <w:spacing w:val="-2"/>
        </w:rPr>
        <w:t>报告期内，公司研发投入</w:t>
      </w:r>
      <w:r>
        <w:rPr>
          <w:rFonts w:ascii="宋体" w:hAnsi="宋体" w:cs="宋体" w:eastAsia="宋体" w:hint="default"/>
          <w:spacing w:val="-2"/>
        </w:rPr>
        <w:t>7,090.03</w:t>
      </w:r>
      <w:r>
        <w:rPr>
          <w:spacing w:val="-2"/>
        </w:rPr>
        <w:t>万元，占营业收入比</w:t>
      </w:r>
      <w:r>
        <w:rPr>
          <w:rFonts w:ascii="宋体" w:hAnsi="宋体" w:cs="宋体" w:eastAsia="宋体" w:hint="default"/>
          <w:spacing w:val="-2"/>
        </w:rPr>
        <w:t>8.02%</w:t>
      </w:r>
      <w:r>
        <w:rPr>
          <w:spacing w:val="-2"/>
        </w:rPr>
        <w:t>，较</w:t>
      </w:r>
      <w:r>
        <w:rPr>
          <w:rFonts w:ascii="宋体" w:hAnsi="宋体" w:cs="宋体" w:eastAsia="宋体" w:hint="default"/>
          <w:spacing w:val="-2"/>
        </w:rPr>
        <w:t>2018</w:t>
      </w:r>
      <w:r>
        <w:rPr>
          <w:spacing w:val="-2"/>
        </w:rPr>
        <w:t>年研发投入增加</w:t>
      </w:r>
      <w:r>
        <w:rPr>
          <w:rFonts w:ascii="宋体" w:hAnsi="宋体" w:cs="宋体" w:eastAsia="宋体" w:hint="default"/>
          <w:spacing w:val="-2"/>
        </w:rPr>
        <w:t>1,449.61</w:t>
      </w:r>
      <w:r>
        <w:rPr>
          <w:spacing w:val="-2"/>
        </w:rPr>
        <w:t>万元，</w:t>
      </w:r>
      <w:r>
        <w:rPr>
          <w:w w:val="100"/>
        </w:rPr>
        <w:t> </w:t>
      </w:r>
      <w:r>
        <w:rPr/>
        <w:t>主要系本报告期重视对研发创新的投入，持续优化核心部件，提升生理检测传感器技术和相关算法性能，</w:t>
      </w:r>
      <w:r>
        <w:rPr>
          <w:w w:val="100"/>
        </w:rPr>
        <w:t> </w:t>
      </w:r>
      <w:r>
        <w:rPr/>
        <w:t>不断提升健康大数据的开发能力及用户运营能力，实现个性化的有效管理，致使研发人员人数同比增加，</w:t>
      </w:r>
      <w:r>
        <w:rPr>
          <w:w w:val="100"/>
        </w:rPr>
        <w:t> </w:t>
      </w:r>
      <w:r>
        <w:rPr/>
        <w:t>相应研发人工成本增加。</w:t>
      </w:r>
    </w:p>
    <w:p>
      <w:pPr>
        <w:spacing w:before="31"/>
        <w:ind w:left="152" w:right="1119"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2124"/>
        <w:gridCol w:w="2057"/>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214</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70,900,276.51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56,404,153.45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66,116,633.84</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2,226,970.18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7.45%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126" w:firstLine="420"/>
        <w:jc w:val="both"/>
      </w:pPr>
      <w:r>
        <w:rPr>
          <w:spacing w:val="-2"/>
        </w:rPr>
        <w:t>公司本报告期研发支出资本化为</w:t>
      </w:r>
      <w:r>
        <w:rPr>
          <w:rFonts w:ascii="宋体" w:hAnsi="宋体" w:cs="宋体" w:eastAsia="宋体" w:hint="default"/>
          <w:spacing w:val="-2"/>
        </w:rPr>
        <w:t>222.70</w:t>
      </w:r>
      <w:r>
        <w:rPr>
          <w:spacing w:val="-2"/>
        </w:rPr>
        <w:t>万元，占研发投入比例为</w:t>
      </w:r>
      <w:r>
        <w:rPr>
          <w:rFonts w:ascii="宋体" w:hAnsi="宋体" w:cs="宋体" w:eastAsia="宋体" w:hint="default"/>
          <w:spacing w:val="-2"/>
        </w:rPr>
        <w:t>3.14%</w:t>
      </w:r>
      <w:r>
        <w:rPr>
          <w:spacing w:val="-2"/>
        </w:rPr>
        <w:t>，同比增加</w:t>
      </w:r>
      <w:r>
        <w:rPr>
          <w:rFonts w:ascii="宋体" w:hAnsi="宋体" w:cs="宋体" w:eastAsia="宋体" w:hint="default"/>
          <w:spacing w:val="-2"/>
        </w:rPr>
        <w:t>3.14%</w:t>
      </w:r>
      <w:r>
        <w:rPr>
          <w:spacing w:val="-2"/>
        </w:rPr>
        <w:t>。主要为资本</w:t>
      </w:r>
      <w:r>
        <w:rPr>
          <w:w w:val="100"/>
        </w:rPr>
        <w:t> </w:t>
      </w:r>
      <w:r>
        <w:rPr>
          <w:spacing w:val="-2"/>
        </w:rPr>
        <w:t>化项目以使其能够使用或出售在技术上已具有可行性；并具有完成该无形资产并使用或出售的意图；能够</w:t>
      </w:r>
      <w:r>
        <w:rPr>
          <w:spacing w:val="-43"/>
        </w:rPr>
        <w:t> </w:t>
      </w:r>
      <w:r>
        <w:rPr>
          <w:spacing w:val="-43"/>
        </w:rPr>
      </w:r>
      <w:r>
        <w:rPr>
          <w:spacing w:val="-2"/>
        </w:rPr>
        <w:t>运用该无形资产生产的产品存在市场或无形资产自身存在市场；后续具有足够的技术、财务资源和其他资</w:t>
      </w:r>
      <w:r>
        <w:rPr>
          <w:spacing w:val="-43"/>
        </w:rPr>
        <w:t> </w:t>
      </w:r>
      <w:r>
        <w:rPr>
          <w:spacing w:val="-43"/>
        </w:rPr>
      </w:r>
      <w:r>
        <w:rPr>
          <w:spacing w:val="-2"/>
        </w:rPr>
        <w:t>源支持，以完成该无形资产的开发，并有能力使用或出售该无形资产；归属于该无形资产开发阶段的支出</w:t>
      </w:r>
      <w:r>
        <w:rPr>
          <w:spacing w:val="-43"/>
        </w:rPr>
        <w:t> </w:t>
      </w:r>
      <w:r>
        <w:rPr>
          <w:spacing w:val="-43"/>
        </w:rPr>
      </w:r>
      <w:r>
        <w:rPr/>
        <w:t>能够可靠地计量。</w:t>
      </w:r>
    </w:p>
    <w:p>
      <w:pPr>
        <w:spacing w:line="240" w:lineRule="auto" w:before="3"/>
        <w:rPr>
          <w:rFonts w:ascii="宋体" w:hAnsi="宋体" w:cs="宋体" w:eastAsia="宋体" w:hint="default"/>
          <w:sz w:val="26"/>
          <w:szCs w:val="26"/>
        </w:rPr>
      </w:pPr>
    </w:p>
    <w:p>
      <w:pPr>
        <w:spacing w:line="338" w:lineRule="auto" w:before="0"/>
        <w:ind w:left="152" w:right="24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医疗器械产品相关情况</w:t>
      </w:r>
    </w:p>
    <w:p>
      <w:pPr>
        <w:spacing w:before="43"/>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0"/>
          <w:szCs w:val="10"/>
        </w:rPr>
      </w:pPr>
    </w:p>
    <w:p>
      <w:pPr>
        <w:spacing w:line="427" w:lineRule="auto" w:before="36"/>
        <w:ind w:left="140" w:right="504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7"/>
          <w:sz w:val="21"/>
          <w:szCs w:val="21"/>
        </w:rPr>
        <w:t> </w:t>
      </w:r>
      <w:r>
        <w:rPr>
          <w:rFonts w:ascii="宋体" w:hAnsi="宋体" w:cs="宋体" w:eastAsia="宋体" w:hint="default"/>
          <w:b/>
          <w:bCs/>
          <w:sz w:val="21"/>
          <w:szCs w:val="21"/>
        </w:rPr>
        <w:t>截止报告期末在研项目情况表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截止报告期末，公司从事的与医疗器械相关的研发项目如下：</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725"/>
        <w:gridCol w:w="2693"/>
        <w:gridCol w:w="8065"/>
        <w:gridCol w:w="2410"/>
      </w:tblGrid>
      <w:tr>
        <w:trPr>
          <w:trHeight w:val="45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8" w:right="0"/>
              <w:jc w:val="left"/>
              <w:rPr>
                <w:rFonts w:ascii="宋体" w:hAnsi="宋体" w:cs="宋体" w:eastAsia="宋体" w:hint="default"/>
                <w:sz w:val="20"/>
                <w:szCs w:val="20"/>
              </w:rPr>
            </w:pPr>
            <w:r>
              <w:rPr>
                <w:rFonts w:ascii="宋体" w:hAnsi="宋体" w:cs="宋体" w:eastAsia="宋体" w:hint="default"/>
                <w:b/>
                <w:bCs/>
                <w:sz w:val="20"/>
                <w:szCs w:val="20"/>
              </w:rPr>
              <w:t>正在研发的项目</w:t>
            </w:r>
            <w:r>
              <w:rPr>
                <w:rFonts w:ascii="宋体" w:hAnsi="宋体" w:cs="宋体" w:eastAsia="宋体" w:hint="default"/>
                <w:sz w:val="20"/>
                <w:szCs w:val="20"/>
              </w:rPr>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0"/>
                <w:szCs w:val="20"/>
              </w:rPr>
            </w:pPr>
            <w:r>
              <w:rPr>
                <w:rFonts w:ascii="宋体" w:hAnsi="宋体" w:cs="宋体" w:eastAsia="宋体" w:hint="default"/>
                <w:b/>
                <w:bCs/>
                <w:sz w:val="20"/>
                <w:szCs w:val="20"/>
              </w:rPr>
              <w:t>项目拟达到的效果</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97" w:right="0"/>
              <w:jc w:val="left"/>
              <w:rPr>
                <w:rFonts w:ascii="宋体" w:hAnsi="宋体" w:cs="宋体" w:eastAsia="宋体" w:hint="default"/>
                <w:sz w:val="20"/>
                <w:szCs w:val="20"/>
              </w:rPr>
            </w:pPr>
            <w:r>
              <w:rPr>
                <w:rFonts w:ascii="宋体" w:hAnsi="宋体" w:cs="宋体" w:eastAsia="宋体" w:hint="default"/>
                <w:b/>
                <w:bCs/>
                <w:sz w:val="20"/>
                <w:szCs w:val="20"/>
              </w:rPr>
              <w:t>进展情况</w:t>
            </w:r>
            <w:r>
              <w:rPr>
                <w:rFonts w:ascii="宋体" w:hAnsi="宋体" w:cs="宋体" w:eastAsia="宋体" w:hint="default"/>
                <w:sz w:val="20"/>
                <w:szCs w:val="20"/>
              </w:rPr>
            </w:r>
          </w:p>
        </w:tc>
      </w:tr>
      <w:tr>
        <w:trPr>
          <w:trHeight w:val="150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67"/>
              <w:ind w:left="940" w:right="42" w:hanging="900"/>
              <w:jc w:val="left"/>
              <w:rPr>
                <w:rFonts w:ascii="宋体" w:hAnsi="宋体" w:cs="宋体" w:eastAsia="宋体" w:hint="default"/>
                <w:sz w:val="20"/>
                <w:szCs w:val="20"/>
              </w:rPr>
            </w:pPr>
            <w:r>
              <w:rPr>
                <w:rFonts w:ascii="宋体" w:hAnsi="宋体" w:cs="宋体" w:eastAsia="宋体" w:hint="default"/>
                <w:sz w:val="20"/>
                <w:szCs w:val="20"/>
              </w:rPr>
              <w:t>单芯片人体脂肪秤方案产品研</w:t>
            </w:r>
            <w:r>
              <w:rPr>
                <w:rFonts w:ascii="宋体" w:hAnsi="宋体" w:cs="宋体" w:eastAsia="宋体" w:hint="default"/>
                <w:w w:val="99"/>
                <w:sz w:val="20"/>
                <w:szCs w:val="20"/>
              </w:rPr>
              <w:t> </w:t>
            </w:r>
            <w:r>
              <w:rPr>
                <w:rFonts w:ascii="宋体" w:hAnsi="宋体" w:cs="宋体" w:eastAsia="宋体" w:hint="default"/>
                <w:sz w:val="20"/>
                <w:szCs w:val="20"/>
              </w:rPr>
              <w:t>究与应用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7"/>
              <w:ind w:left="4" w:right="5"/>
              <w:jc w:val="both"/>
              <w:rPr>
                <w:rFonts w:ascii="宋体" w:hAnsi="宋体" w:cs="宋体" w:eastAsia="宋体" w:hint="default"/>
                <w:sz w:val="20"/>
                <w:szCs w:val="20"/>
              </w:rPr>
            </w:pPr>
            <w:r>
              <w:rPr>
                <w:rFonts w:ascii="宋体" w:hAnsi="宋体" w:cs="宋体" w:eastAsia="宋体" w:hint="default"/>
                <w:spacing w:val="-2"/>
                <w:w w:val="95"/>
                <w:sz w:val="20"/>
                <w:szCs w:val="20"/>
              </w:rPr>
              <w:t>脂肪秤产品可以提供与肥胖相关的信息，除了可以测量人体的体重外，还可以基于</w:t>
            </w:r>
            <w:r>
              <w:rPr>
                <w:rFonts w:ascii="Times New Roman" w:hAnsi="Times New Roman" w:cs="Times New Roman" w:eastAsia="Times New Roman" w:hint="default"/>
                <w:spacing w:val="-2"/>
                <w:w w:val="95"/>
                <w:sz w:val="20"/>
                <w:szCs w:val="20"/>
              </w:rPr>
              <w:t>BIA</w:t>
            </w:r>
            <w:r>
              <w:rPr>
                <w:rFonts w:ascii="宋体" w:hAnsi="宋体" w:cs="宋体" w:eastAsia="宋体" w:hint="default"/>
                <w:spacing w:val="-2"/>
                <w:w w:val="95"/>
                <w:sz w:val="20"/>
                <w:szCs w:val="20"/>
              </w:rPr>
              <w:t>技术来</w:t>
            </w:r>
            <w:r>
              <w:rPr>
                <w:rFonts w:ascii="宋体" w:hAnsi="宋体" w:cs="宋体" w:eastAsia="宋体" w:hint="default"/>
                <w:spacing w:val="5"/>
                <w:w w:val="95"/>
                <w:sz w:val="20"/>
                <w:szCs w:val="20"/>
              </w:rPr>
              <w:t> </w:t>
            </w:r>
            <w:r>
              <w:rPr>
                <w:rFonts w:ascii="宋体" w:hAnsi="宋体" w:cs="宋体" w:eastAsia="宋体" w:hint="default"/>
                <w:spacing w:val="5"/>
                <w:w w:val="95"/>
                <w:sz w:val="20"/>
                <w:szCs w:val="20"/>
              </w:rPr>
            </w:r>
            <w:r>
              <w:rPr>
                <w:rFonts w:ascii="宋体" w:hAnsi="宋体" w:cs="宋体" w:eastAsia="宋体" w:hint="default"/>
                <w:sz w:val="20"/>
                <w:szCs w:val="20"/>
              </w:rPr>
              <w:t>推算出人体的脂肪率成份比例，可以让用户了解自己体重和脂肪率是否合理，其变化趋势是</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否合理，根据体重和脂肪率的变化，结合专业的医生和营养师的专业意见来调节自己膳食和</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运动，让自己的体重和脂肪率控制到一个合理的范围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183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一种新型体脂秤的研发</w:t>
            </w:r>
          </w:p>
          <w:p>
            <w:pPr>
              <w:pStyle w:val="TableParagraph"/>
              <w:spacing w:line="240" w:lineRule="auto" w:before="50"/>
              <w:ind w:right="2"/>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宋体" w:hAnsi="宋体" w:cs="宋体" w:eastAsia="宋体" w:hint="default"/>
                <w:sz w:val="20"/>
                <w:szCs w:val="20"/>
              </w:rPr>
              <w:t>电极脂肪秤）</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26"/>
              <w:ind w:left="4" w:right="5"/>
              <w:jc w:val="left"/>
              <w:rPr>
                <w:rFonts w:ascii="宋体" w:hAnsi="宋体" w:cs="宋体" w:eastAsia="宋体" w:hint="default"/>
                <w:sz w:val="20"/>
                <w:szCs w:val="20"/>
              </w:rPr>
            </w:pPr>
            <w:r>
              <w:rPr>
                <w:rFonts w:ascii="宋体" w:hAnsi="宋体" w:cs="宋体" w:eastAsia="宋体" w:hint="default"/>
                <w:sz w:val="20"/>
                <w:szCs w:val="20"/>
              </w:rPr>
              <w:t>分段阻抗测量在脂肪秤上应用最多的是通过八电极测量来实现的，即在原有四电极基础上，</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增加手部的四个电极，这样，可以在人体的上肢、下肢、躯干之间分别形成测量回路。另外</w:t>
            </w:r>
            <w:r>
              <w:rPr>
                <w:rFonts w:ascii="宋体" w:hAnsi="宋体" w:cs="宋体" w:eastAsia="宋体" w:hint="default"/>
                <w:w w:val="99"/>
                <w:sz w:val="20"/>
                <w:szCs w:val="20"/>
              </w:rPr>
              <w:t> </w:t>
            </w:r>
            <w:r>
              <w:rPr>
                <w:rFonts w:ascii="宋体" w:hAnsi="宋体" w:cs="宋体" w:eastAsia="宋体" w:hint="default"/>
                <w:sz w:val="20"/>
                <w:szCs w:val="20"/>
              </w:rPr>
              <w:t>在八电极的应用中，为了让测量更加准确，一般会采用多频率测量结合，多频率提供对包括</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Times New Roman" w:hAnsi="Times New Roman" w:cs="Times New Roman" w:eastAsia="Times New Roman" w:hint="default"/>
                <w:spacing w:val="-1"/>
                <w:sz w:val="20"/>
                <w:szCs w:val="20"/>
              </w:rPr>
              <w:t>ECW</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TBW</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FFM</w:t>
            </w:r>
            <w:r>
              <w:rPr>
                <w:rFonts w:ascii="宋体" w:hAnsi="宋体" w:cs="宋体" w:eastAsia="宋体" w:hint="default"/>
                <w:spacing w:val="-1"/>
                <w:sz w:val="20"/>
                <w:szCs w:val="20"/>
              </w:rPr>
              <w:t>等生物变量的更为精确的阻抗指数。这样可以更加准确的测量出人体的实</w:t>
            </w:r>
            <w:r>
              <w:rPr>
                <w:rFonts w:ascii="宋体" w:hAnsi="宋体" w:cs="宋体" w:eastAsia="宋体" w:hint="default"/>
                <w:w w:val="99"/>
                <w:sz w:val="20"/>
                <w:szCs w:val="20"/>
              </w:rPr>
              <w:t> </w:t>
            </w:r>
            <w:r>
              <w:rPr>
                <w:rFonts w:ascii="宋体" w:hAnsi="宋体" w:cs="宋体" w:eastAsia="宋体" w:hint="default"/>
                <w:sz w:val="20"/>
                <w:szCs w:val="20"/>
              </w:rPr>
              <w:t>际阻抗值和阻抗的分布，从而可以更加准确的分析出人体不同成份的比例。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22"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50"/>
              <w:ind w:left="4"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965"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7"/>
              <w:ind w:left="1041" w:right="42" w:hanging="1001"/>
              <w:jc w:val="left"/>
              <w:rPr>
                <w:rFonts w:ascii="宋体" w:hAnsi="宋体" w:cs="宋体" w:eastAsia="宋体" w:hint="default"/>
                <w:sz w:val="20"/>
                <w:szCs w:val="20"/>
              </w:rPr>
            </w:pPr>
            <w:r>
              <w:rPr>
                <w:rFonts w:ascii="宋体" w:hAnsi="宋体" w:cs="宋体" w:eastAsia="宋体" w:hint="default"/>
                <w:sz w:val="20"/>
                <w:szCs w:val="20"/>
              </w:rPr>
              <w:t>带心率测量功能智能秤的研究</w:t>
            </w:r>
            <w:r>
              <w:rPr>
                <w:rFonts w:ascii="宋体" w:hAnsi="宋体" w:cs="宋体" w:eastAsia="宋体" w:hint="default"/>
                <w:w w:val="99"/>
                <w:sz w:val="20"/>
                <w:szCs w:val="20"/>
              </w:rPr>
              <w:t> </w:t>
            </w:r>
            <w:r>
              <w:rPr>
                <w:rFonts w:ascii="宋体" w:hAnsi="宋体" w:cs="宋体" w:eastAsia="宋体" w:hint="default"/>
                <w:sz w:val="20"/>
                <w:szCs w:val="20"/>
              </w:rPr>
              <w:t>与应用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
              <w:ind w:left="4" w:right="5"/>
              <w:jc w:val="both"/>
              <w:rPr>
                <w:rFonts w:ascii="宋体" w:hAnsi="宋体" w:cs="宋体" w:eastAsia="宋体" w:hint="default"/>
                <w:sz w:val="20"/>
                <w:szCs w:val="20"/>
              </w:rPr>
            </w:pPr>
            <w:r>
              <w:rPr>
                <w:rFonts w:ascii="宋体" w:hAnsi="宋体" w:cs="宋体" w:eastAsia="宋体" w:hint="default"/>
                <w:w w:val="95"/>
                <w:sz w:val="20"/>
                <w:szCs w:val="20"/>
              </w:rPr>
              <w:t>该项目是全新的可以测量人体心率的脂肪秤产品，可采用</w:t>
            </w:r>
            <w:r>
              <w:rPr>
                <w:rFonts w:ascii="Times New Roman" w:hAnsi="Times New Roman" w:cs="Times New Roman" w:eastAsia="Times New Roman" w:hint="default"/>
                <w:w w:val="95"/>
                <w:sz w:val="20"/>
                <w:szCs w:val="20"/>
              </w:rPr>
              <w:t>4/8</w:t>
            </w:r>
            <w:r>
              <w:rPr>
                <w:rFonts w:ascii="宋体" w:hAnsi="宋体" w:cs="宋体" w:eastAsia="宋体" w:hint="default"/>
                <w:w w:val="95"/>
                <w:sz w:val="20"/>
                <w:szCs w:val="20"/>
              </w:rPr>
              <w:t>电极的形式。在常规脂肪秤产品</w:t>
            </w:r>
            <w:r>
              <w:rPr>
                <w:rFonts w:ascii="宋体" w:hAnsi="宋体" w:cs="宋体" w:eastAsia="宋体" w:hint="default"/>
                <w:spacing w:val="6"/>
                <w:w w:val="95"/>
                <w:sz w:val="20"/>
                <w:szCs w:val="20"/>
              </w:rPr>
              <w:t> </w:t>
            </w:r>
            <w:r>
              <w:rPr>
                <w:rFonts w:ascii="宋体" w:hAnsi="宋体" w:cs="宋体" w:eastAsia="宋体" w:hint="default"/>
                <w:spacing w:val="6"/>
                <w:w w:val="95"/>
                <w:sz w:val="20"/>
                <w:szCs w:val="20"/>
              </w:rPr>
            </w:r>
            <w:r>
              <w:rPr>
                <w:rFonts w:ascii="宋体" w:hAnsi="宋体" w:cs="宋体" w:eastAsia="宋体" w:hint="default"/>
                <w:sz w:val="20"/>
                <w:szCs w:val="20"/>
              </w:rPr>
              <w:t>能测量人体脂肪、水份、肌肉等成份的同时，测量计算出人体心跳的频率，为用户获取更多</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的身体健康指标。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7"/>
              <w:ind w:left="4" w:right="-2"/>
              <w:jc w:val="left"/>
              <w:rPr>
                <w:rFonts w:ascii="宋体" w:hAnsi="宋体" w:cs="宋体" w:eastAsia="宋体" w:hint="default"/>
                <w:sz w:val="20"/>
                <w:szCs w:val="20"/>
              </w:rPr>
            </w:pPr>
            <w:r>
              <w:rPr>
                <w:rFonts w:ascii="宋体" w:hAnsi="宋体" w:cs="宋体" w:eastAsia="宋体" w:hint="default"/>
                <w:sz w:val="20"/>
                <w:szCs w:val="20"/>
              </w:rPr>
              <w:t>完成并在量产出货中，并将</w:t>
            </w:r>
            <w:r>
              <w:rPr>
                <w:rFonts w:ascii="宋体" w:hAnsi="宋体" w:cs="宋体" w:eastAsia="宋体" w:hint="default"/>
                <w:w w:val="99"/>
                <w:sz w:val="20"/>
                <w:szCs w:val="20"/>
              </w:rPr>
              <w:t> </w:t>
            </w:r>
            <w:r>
              <w:rPr>
                <w:rFonts w:ascii="宋体" w:hAnsi="宋体" w:cs="宋体" w:eastAsia="宋体" w:hint="default"/>
                <w:sz w:val="20"/>
                <w:szCs w:val="20"/>
              </w:rPr>
              <w:t>此方案向其它新产品推广。</w:t>
            </w:r>
          </w:p>
        </w:tc>
      </w:tr>
      <w:tr>
        <w:trPr>
          <w:trHeight w:val="159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4"/>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85" w:lineRule="auto"/>
              <w:ind w:left="840" w:right="42" w:hanging="800"/>
              <w:jc w:val="left"/>
              <w:rPr>
                <w:rFonts w:ascii="宋体" w:hAnsi="宋体" w:cs="宋体" w:eastAsia="宋体" w:hint="default"/>
                <w:sz w:val="20"/>
                <w:szCs w:val="20"/>
              </w:rPr>
            </w:pPr>
            <w:r>
              <w:rPr>
                <w:rFonts w:ascii="宋体" w:hAnsi="宋体" w:cs="宋体" w:eastAsia="宋体" w:hint="default"/>
                <w:sz w:val="20"/>
                <w:szCs w:val="20"/>
              </w:rPr>
              <w:t>血压测量气路系统的优化升级</w:t>
            </w:r>
            <w:r>
              <w:rPr>
                <w:rFonts w:ascii="宋体" w:hAnsi="宋体" w:cs="宋体" w:eastAsia="宋体" w:hint="default"/>
                <w:w w:val="99"/>
                <w:sz w:val="20"/>
                <w:szCs w:val="20"/>
              </w:rPr>
              <w:t> </w:t>
            </w:r>
            <w:r>
              <w:rPr>
                <w:rFonts w:ascii="宋体" w:hAnsi="宋体" w:cs="宋体" w:eastAsia="宋体" w:hint="default"/>
                <w:sz w:val="20"/>
                <w:szCs w:val="20"/>
              </w:rPr>
              <w:t>研究及应用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
              <w:ind w:left="4" w:right="6"/>
              <w:jc w:val="both"/>
              <w:rPr>
                <w:rFonts w:ascii="宋体" w:hAnsi="宋体" w:cs="宋体" w:eastAsia="宋体" w:hint="default"/>
                <w:sz w:val="20"/>
                <w:szCs w:val="20"/>
              </w:rPr>
            </w:pPr>
            <w:r>
              <w:rPr>
                <w:rFonts w:ascii="宋体" w:hAnsi="宋体" w:cs="宋体" w:eastAsia="宋体" w:hint="default"/>
                <w:sz w:val="20"/>
                <w:szCs w:val="20"/>
              </w:rPr>
              <w:t>项目在公司现在血压测量气路系统的基础上，优化气泵的气体流量输出稳定性及噪音，优化</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Times New Roman" w:hAnsi="Times New Roman" w:cs="Times New Roman" w:eastAsia="Times New Roman" w:hint="default"/>
                <w:w w:val="95"/>
                <w:sz w:val="20"/>
                <w:szCs w:val="20"/>
              </w:rPr>
              <w:t>CUFF</w:t>
            </w:r>
            <w:r>
              <w:rPr>
                <w:rFonts w:ascii="宋体" w:hAnsi="宋体" w:cs="宋体" w:eastAsia="宋体" w:hint="default"/>
                <w:w w:val="95"/>
                <w:sz w:val="20"/>
                <w:szCs w:val="20"/>
              </w:rPr>
              <w:t>的舒适性，优化气泵</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压力传感器</w:t>
            </w:r>
            <w:r>
              <w:rPr>
                <w:rFonts w:ascii="Times New Roman" w:hAnsi="Times New Roman" w:cs="Times New Roman" w:eastAsia="Times New Roman" w:hint="default"/>
                <w:w w:val="95"/>
                <w:sz w:val="20"/>
                <w:szCs w:val="20"/>
              </w:rPr>
              <w:t>-CUFF-</w:t>
            </w:r>
            <w:r>
              <w:rPr>
                <w:rFonts w:ascii="宋体" w:hAnsi="宋体" w:cs="宋体" w:eastAsia="宋体" w:hint="default"/>
                <w:w w:val="95"/>
                <w:sz w:val="20"/>
                <w:szCs w:val="20"/>
              </w:rPr>
              <w:t>漏气阀</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连接气管之间的传输效率及有效性，减</w:t>
            </w:r>
            <w:r>
              <w:rPr>
                <w:rFonts w:ascii="宋体" w:hAnsi="宋体" w:cs="宋体" w:eastAsia="宋体" w:hint="default"/>
                <w:spacing w:val="84"/>
                <w:w w:val="95"/>
                <w:sz w:val="20"/>
                <w:szCs w:val="20"/>
              </w:rPr>
              <w:t> </w:t>
            </w:r>
            <w:r>
              <w:rPr>
                <w:rFonts w:ascii="宋体" w:hAnsi="宋体" w:cs="宋体" w:eastAsia="宋体" w:hint="default"/>
                <w:spacing w:val="84"/>
                <w:w w:val="95"/>
                <w:sz w:val="20"/>
                <w:szCs w:val="20"/>
              </w:rPr>
            </w:r>
            <w:r>
              <w:rPr>
                <w:rFonts w:ascii="宋体" w:hAnsi="宋体" w:cs="宋体" w:eastAsia="宋体" w:hint="default"/>
                <w:sz w:val="20"/>
                <w:szCs w:val="20"/>
              </w:rPr>
              <w:t>少气流信号干扰及流噪，得到一个稳定可靠高效低噪的血压测量气路系统，配合公司精准的</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pacing w:val="-2"/>
                <w:w w:val="95"/>
                <w:sz w:val="20"/>
                <w:szCs w:val="20"/>
              </w:rPr>
              <w:t>软件算法，并通过蓝牙</w:t>
            </w:r>
            <w:r>
              <w:rPr>
                <w:rFonts w:ascii="Times New Roman" w:hAnsi="Times New Roman" w:cs="Times New Roman" w:eastAsia="Times New Roman" w:hint="default"/>
                <w:spacing w:val="-2"/>
                <w:w w:val="95"/>
                <w:sz w:val="20"/>
                <w:szCs w:val="20"/>
              </w:rPr>
              <w:t>/WIFI</w:t>
            </w:r>
            <w:r>
              <w:rPr>
                <w:rFonts w:ascii="宋体" w:hAnsi="宋体" w:cs="宋体" w:eastAsia="宋体" w:hint="default"/>
                <w:spacing w:val="-2"/>
                <w:w w:val="95"/>
                <w:sz w:val="20"/>
                <w:szCs w:val="20"/>
              </w:rPr>
              <w:t>等无线传输</w:t>
            </w:r>
            <w:r>
              <w:rPr>
                <w:rFonts w:ascii="Times New Roman" w:hAnsi="Times New Roman" w:cs="Times New Roman" w:eastAsia="Times New Roman" w:hint="default"/>
                <w:spacing w:val="-2"/>
                <w:w w:val="95"/>
                <w:sz w:val="20"/>
                <w:szCs w:val="20"/>
              </w:rPr>
              <w:t>/</w:t>
            </w:r>
            <w:r>
              <w:rPr>
                <w:rFonts w:ascii="宋体" w:hAnsi="宋体" w:cs="宋体" w:eastAsia="宋体" w:hint="default"/>
                <w:spacing w:val="-2"/>
                <w:w w:val="95"/>
                <w:sz w:val="20"/>
                <w:szCs w:val="20"/>
              </w:rPr>
              <w:t>通信技术、信息推送服务技术、云计算技术应用的有</w:t>
            </w:r>
            <w:r>
              <w:rPr>
                <w:rFonts w:ascii="宋体" w:hAnsi="宋体" w:cs="宋体" w:eastAsia="宋体" w:hint="default"/>
                <w:spacing w:val="3"/>
                <w:w w:val="95"/>
                <w:sz w:val="20"/>
                <w:szCs w:val="20"/>
              </w:rPr>
              <w:t> </w:t>
            </w:r>
            <w:r>
              <w:rPr>
                <w:rFonts w:ascii="宋体" w:hAnsi="宋体" w:cs="宋体" w:eastAsia="宋体" w:hint="default"/>
                <w:spacing w:val="3"/>
                <w:w w:val="95"/>
                <w:sz w:val="20"/>
                <w:szCs w:val="20"/>
              </w:rPr>
            </w:r>
            <w:r>
              <w:rPr>
                <w:rFonts w:ascii="宋体" w:hAnsi="宋体" w:cs="宋体" w:eastAsia="宋体" w:hint="default"/>
                <w:sz w:val="20"/>
                <w:szCs w:val="20"/>
              </w:rPr>
              <w:t>机结合，为用户提供专业的后台健康信息分析增值服务。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965"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7"/>
              <w:ind w:left="940" w:right="42" w:hanging="900"/>
              <w:jc w:val="left"/>
              <w:rPr>
                <w:rFonts w:ascii="宋体" w:hAnsi="宋体" w:cs="宋体" w:eastAsia="宋体" w:hint="default"/>
                <w:sz w:val="20"/>
                <w:szCs w:val="20"/>
              </w:rPr>
            </w:pPr>
            <w:r>
              <w:rPr>
                <w:rFonts w:ascii="宋体" w:hAnsi="宋体" w:cs="宋体" w:eastAsia="宋体" w:hint="default"/>
                <w:sz w:val="20"/>
                <w:szCs w:val="20"/>
              </w:rPr>
              <w:t>云端血压计管理产品的升级研</w:t>
            </w:r>
            <w:r>
              <w:rPr>
                <w:rFonts w:ascii="宋体" w:hAnsi="宋体" w:cs="宋体" w:eastAsia="宋体" w:hint="default"/>
                <w:w w:val="99"/>
                <w:sz w:val="20"/>
                <w:szCs w:val="20"/>
              </w:rPr>
              <w:t> </w:t>
            </w:r>
            <w:r>
              <w:rPr>
                <w:rFonts w:ascii="宋体" w:hAnsi="宋体" w:cs="宋体" w:eastAsia="宋体" w:hint="default"/>
                <w:sz w:val="20"/>
                <w:szCs w:val="20"/>
              </w:rPr>
              <w:t>究及应用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4" w:right="2"/>
              <w:jc w:val="both"/>
              <w:rPr>
                <w:rFonts w:ascii="宋体" w:hAnsi="宋体" w:cs="宋体" w:eastAsia="宋体" w:hint="default"/>
                <w:sz w:val="20"/>
                <w:szCs w:val="20"/>
              </w:rPr>
            </w:pPr>
            <w:r>
              <w:rPr>
                <w:rFonts w:ascii="宋体" w:hAnsi="宋体" w:cs="宋体" w:eastAsia="宋体" w:hint="default"/>
                <w:spacing w:val="2"/>
                <w:sz w:val="20"/>
                <w:szCs w:val="20"/>
              </w:rPr>
              <w:t>研究开发出达到医用级别的血压测量仪，引入无线连接技术，包括</w:t>
            </w:r>
            <w:r>
              <w:rPr>
                <w:rFonts w:ascii="Times New Roman" w:hAnsi="Times New Roman" w:cs="Times New Roman" w:eastAsia="Times New Roman" w:hint="default"/>
                <w:spacing w:val="2"/>
                <w:sz w:val="20"/>
                <w:szCs w:val="20"/>
              </w:rPr>
              <w:t>Wi-Fi</w:t>
            </w:r>
            <w:r>
              <w:rPr>
                <w:rFonts w:ascii="宋体" w:hAnsi="宋体" w:cs="宋体" w:eastAsia="宋体" w:hint="default"/>
                <w:spacing w:val="2"/>
                <w:sz w:val="20"/>
                <w:szCs w:val="20"/>
              </w:rPr>
              <w:t>和</w:t>
            </w:r>
            <w:r>
              <w:rPr>
                <w:rFonts w:ascii="Times New Roman" w:hAnsi="Times New Roman" w:cs="Times New Roman" w:eastAsia="Times New Roman" w:hint="default"/>
                <w:spacing w:val="2"/>
                <w:sz w:val="20"/>
                <w:szCs w:val="20"/>
              </w:rPr>
              <w:t>BLE</w:t>
            </w:r>
            <w:r>
              <w:rPr>
                <w:rFonts w:ascii="宋体" w:hAnsi="宋体" w:cs="宋体" w:eastAsia="宋体" w:hint="default"/>
                <w:spacing w:val="2"/>
                <w:sz w:val="20"/>
                <w:szCs w:val="20"/>
              </w:rPr>
              <w:t>，实现</w:t>
            </w:r>
            <w:r>
              <w:rPr>
                <w:rFonts w:ascii="Times New Roman" w:hAnsi="Times New Roman" w:cs="Times New Roman" w:eastAsia="Times New Roman" w:hint="default"/>
                <w:spacing w:val="2"/>
                <w:sz w:val="20"/>
                <w:szCs w:val="20"/>
              </w:rPr>
              <w:t>Wi-Fi</w:t>
            </w:r>
            <w:r>
              <w:rPr>
                <w:rFonts w:ascii="Times New Roman" w:hAnsi="Times New Roman" w:cs="Times New Roman" w:eastAsia="Times New Roman" w:hint="default"/>
                <w:spacing w:val="-1"/>
                <w:w w:val="99"/>
                <w:sz w:val="20"/>
                <w:szCs w:val="20"/>
              </w:rPr>
              <w:t> </w:t>
            </w:r>
            <w:r>
              <w:rPr>
                <w:rFonts w:ascii="宋体" w:hAnsi="宋体" w:cs="宋体" w:eastAsia="宋体" w:hint="default"/>
                <w:spacing w:val="2"/>
                <w:w w:val="95"/>
                <w:sz w:val="20"/>
                <w:szCs w:val="20"/>
              </w:rPr>
              <w:t>和</w:t>
            </w:r>
            <w:r>
              <w:rPr>
                <w:rFonts w:ascii="Times New Roman" w:hAnsi="Times New Roman" w:cs="Times New Roman" w:eastAsia="Times New Roman" w:hint="default"/>
                <w:spacing w:val="2"/>
                <w:w w:val="95"/>
                <w:sz w:val="20"/>
                <w:szCs w:val="20"/>
              </w:rPr>
              <w:t>BLE</w:t>
            </w:r>
            <w:r>
              <w:rPr>
                <w:rFonts w:ascii="宋体" w:hAnsi="宋体" w:cs="宋体" w:eastAsia="宋体" w:hint="default"/>
                <w:spacing w:val="2"/>
                <w:w w:val="95"/>
                <w:sz w:val="20"/>
                <w:szCs w:val="20"/>
              </w:rPr>
              <w:t>通信技术、信息推送服务技术、云计算技术的有机结合应用，为用户提供增值健康信</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sz w:val="20"/>
                <w:szCs w:val="20"/>
              </w:rPr>
              <w:t>息服务，打造公司高端战略性产品，提高公司竞争力。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967"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0"/>
              <w:ind w:left="741" w:right="24" w:hanging="718"/>
              <w:jc w:val="left"/>
              <w:rPr>
                <w:rFonts w:ascii="宋体" w:hAnsi="宋体" w:cs="宋体" w:eastAsia="宋体" w:hint="default"/>
                <w:sz w:val="20"/>
                <w:szCs w:val="20"/>
              </w:rPr>
            </w:pP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物联网技术在血压计上</w:t>
            </w:r>
            <w:r>
              <w:rPr>
                <w:rFonts w:ascii="宋体" w:hAnsi="宋体" w:cs="宋体" w:eastAsia="宋体" w:hint="default"/>
                <w:w w:val="99"/>
                <w:sz w:val="20"/>
                <w:szCs w:val="20"/>
              </w:rPr>
              <w:t> </w:t>
            </w:r>
            <w:r>
              <w:rPr>
                <w:rFonts w:ascii="宋体" w:hAnsi="宋体" w:cs="宋体" w:eastAsia="宋体" w:hint="default"/>
                <w:sz w:val="20"/>
                <w:szCs w:val="20"/>
              </w:rPr>
              <w:t>的研究及应用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4" w:right="4"/>
              <w:jc w:val="both"/>
              <w:rPr>
                <w:rFonts w:ascii="宋体" w:hAnsi="宋体" w:cs="宋体" w:eastAsia="宋体" w:hint="default"/>
                <w:sz w:val="20"/>
                <w:szCs w:val="20"/>
              </w:rPr>
            </w:pPr>
            <w:r>
              <w:rPr>
                <w:rFonts w:ascii="宋体" w:hAnsi="宋体" w:cs="宋体" w:eastAsia="宋体" w:hint="default"/>
                <w:sz w:val="20"/>
                <w:szCs w:val="20"/>
              </w:rPr>
              <w:t>开发设计出一款运用</w:t>
            </w: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物联网技术的智能人体血压测量产品，并实现量产推向各应用场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所，提高公司竞争力及盈利途径和能力。通过</w:t>
            </w: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物联网技术、大数据平台技术和现有的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电子血压计有机结合应用，给用户提供更可靠、更便捷、更全面的血压管理服务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
              <w:ind w:left="4" w:right="8"/>
              <w:jc w:val="left"/>
              <w:rPr>
                <w:rFonts w:ascii="宋体" w:hAnsi="宋体" w:cs="宋体" w:eastAsia="宋体" w:hint="default"/>
                <w:sz w:val="20"/>
                <w:szCs w:val="20"/>
              </w:rPr>
            </w:pPr>
            <w:r>
              <w:rPr>
                <w:rFonts w:ascii="Times New Roman" w:hAnsi="Times New Roman" w:cs="Times New Roman" w:eastAsia="Times New Roman" w:hint="default"/>
                <w:spacing w:val="7"/>
                <w:sz w:val="20"/>
                <w:szCs w:val="20"/>
              </w:rPr>
              <w:t>1</w:t>
            </w:r>
            <w:r>
              <w:rPr>
                <w:rFonts w:ascii="宋体" w:hAnsi="宋体" w:cs="宋体" w:eastAsia="宋体" w:hint="default"/>
                <w:spacing w:val="7"/>
                <w:sz w:val="20"/>
                <w:szCs w:val="20"/>
              </w:rPr>
              <w:t>、服务器与设备端已完成</w:t>
            </w:r>
            <w:r>
              <w:rPr>
                <w:rFonts w:ascii="宋体" w:hAnsi="宋体" w:cs="宋体" w:eastAsia="宋体" w:hint="default"/>
                <w:w w:val="99"/>
                <w:sz w:val="20"/>
                <w:szCs w:val="20"/>
              </w:rPr>
              <w:t> </w:t>
            </w:r>
            <w:r>
              <w:rPr>
                <w:rFonts w:ascii="宋体" w:hAnsi="宋体" w:cs="宋体" w:eastAsia="宋体" w:hint="default"/>
                <w:sz w:val="20"/>
                <w:szCs w:val="20"/>
              </w:rPr>
              <w:t>商用试运行测试。</w:t>
            </w:r>
            <w:r>
              <w:rPr>
                <w:rFonts w:ascii="宋体" w:hAnsi="宋体" w:cs="宋体" w:eastAsia="宋体" w:hint="default"/>
                <w:w w:val="99"/>
                <w:sz w:val="20"/>
                <w:szCs w:val="20"/>
              </w:rPr>
              <w:t> </w:t>
            </w:r>
            <w:r>
              <w:rPr>
                <w:rFonts w:ascii="Times New Roman" w:hAnsi="Times New Roman" w:cs="Times New Roman" w:eastAsia="Times New Roman" w:hint="default"/>
                <w:spacing w:val="7"/>
                <w:sz w:val="20"/>
                <w:szCs w:val="20"/>
              </w:rPr>
              <w:t>2</w:t>
            </w:r>
            <w:r>
              <w:rPr>
                <w:rFonts w:ascii="宋体" w:hAnsi="宋体" w:cs="宋体" w:eastAsia="宋体" w:hint="default"/>
                <w:spacing w:val="7"/>
                <w:sz w:val="20"/>
                <w:szCs w:val="20"/>
              </w:rPr>
              <w:t>、设备端已通临床确认，</w:t>
            </w:r>
          </w:p>
        </w:tc>
      </w:tr>
    </w:tbl>
    <w:p>
      <w:pPr>
        <w:spacing w:after="0" w:line="278" w:lineRule="auto"/>
        <w:jc w:val="left"/>
        <w:rPr>
          <w:rFonts w:ascii="宋体" w:hAnsi="宋体" w:cs="宋体" w:eastAsia="宋体" w:hint="default"/>
          <w:sz w:val="20"/>
          <w:szCs w:val="20"/>
        </w:rPr>
        <w:sectPr>
          <w:headerReference w:type="default" r:id="rId12"/>
          <w:footerReference w:type="default" r:id="rId13"/>
          <w:pgSz w:w="16840" w:h="11910" w:orient="landscape"/>
          <w:pgMar w:header="867" w:footer="980" w:top="1060" w:bottom="1160" w:left="1300" w:right="1300"/>
          <w:pgNumType w:start="2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7"/>
        <w:ind w:left="0" w:right="113" w:firstLine="0"/>
        <w:jc w:val="right"/>
        <w:rPr>
          <w:rFonts w:ascii="宋体" w:hAnsi="宋体" w:cs="宋体" w:eastAsia="宋体" w:hint="default"/>
          <w:sz w:val="20"/>
          <w:szCs w:val="20"/>
        </w:rPr>
      </w:pPr>
      <w:r>
        <w:rPr/>
        <w:pict>
          <v:shape style="position:absolute;margin-left:71.760002pt;margin-top:-233.600327pt;width:695.4pt;height:378.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2693"/>
                    <w:gridCol w:w="8065"/>
                    <w:gridCol w:w="2410"/>
                  </w:tblGrid>
                  <w:tr>
                    <w:trPr>
                      <w:trHeight w:val="982" w:hRule="exact"/>
                    </w:trPr>
                    <w:tc>
                      <w:tcPr>
                        <w:tcW w:w="725" w:type="dxa"/>
                        <w:tcBorders>
                          <w:top w:val="single" w:sz="15" w:space="0" w:color="000000"/>
                          <w:left w:val="single" w:sz="4" w:space="0" w:color="000000"/>
                          <w:bottom w:val="single" w:sz="4" w:space="0" w:color="000000"/>
                          <w:right w:val="single" w:sz="4" w:space="0" w:color="000000"/>
                        </w:tcBorders>
                      </w:tcPr>
                      <w:p>
                        <w:pPr/>
                      </w:p>
                    </w:tc>
                    <w:tc>
                      <w:tcPr>
                        <w:tcW w:w="2693" w:type="dxa"/>
                        <w:tcBorders>
                          <w:top w:val="single" w:sz="15" w:space="0" w:color="000000"/>
                          <w:left w:val="single" w:sz="4" w:space="0" w:color="000000"/>
                          <w:bottom w:val="single" w:sz="4" w:space="0" w:color="000000"/>
                          <w:right w:val="single" w:sz="4" w:space="0" w:color="000000"/>
                        </w:tcBorders>
                      </w:tcPr>
                      <w:p>
                        <w:pPr/>
                      </w:p>
                    </w:tc>
                    <w:tc>
                      <w:tcPr>
                        <w:tcW w:w="8065" w:type="dxa"/>
                        <w:tcBorders>
                          <w:top w:val="single" w:sz="15" w:space="0" w:color="000000"/>
                          <w:left w:val="single" w:sz="4" w:space="0" w:color="000000"/>
                          <w:bottom w:val="single" w:sz="4" w:space="0" w:color="000000"/>
                          <w:right w:val="single" w:sz="4" w:space="0" w:color="000000"/>
                        </w:tcBorders>
                      </w:tcPr>
                      <w:p>
                        <w:pP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278" w:lineRule="auto" w:before="4"/>
                          <w:ind w:left="4" w:right="-2"/>
                          <w:jc w:val="both"/>
                          <w:rPr>
                            <w:rFonts w:ascii="宋体" w:hAnsi="宋体" w:cs="宋体" w:eastAsia="宋体" w:hint="default"/>
                            <w:sz w:val="20"/>
                            <w:szCs w:val="20"/>
                          </w:rPr>
                        </w:pPr>
                        <w:r>
                          <w:rPr>
                            <w:rFonts w:ascii="宋体" w:hAnsi="宋体" w:cs="宋体" w:eastAsia="宋体" w:hint="default"/>
                            <w:sz w:val="20"/>
                            <w:szCs w:val="20"/>
                          </w:rPr>
                          <w:t>注册批准后即可量产上市。</w:t>
                        </w:r>
                        <w:r>
                          <w:rPr>
                            <w:rFonts w:ascii="宋体" w:hAnsi="宋体" w:cs="宋体" w:eastAsia="宋体" w:hint="default"/>
                            <w:w w:val="99"/>
                            <w:sz w:val="20"/>
                            <w:szCs w:val="20"/>
                          </w:rPr>
                          <w:t> </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、设备正在进行</w:t>
                        </w:r>
                        <w:r>
                          <w:rPr>
                            <w:rFonts w:ascii="Times New Roman" w:hAnsi="Times New Roman" w:cs="Times New Roman" w:eastAsia="Times New Roman" w:hint="default"/>
                            <w:spacing w:val="-3"/>
                            <w:sz w:val="20"/>
                            <w:szCs w:val="20"/>
                          </w:rPr>
                          <w:t>CDFA</w:t>
                        </w:r>
                        <w:r>
                          <w:rPr>
                            <w:rFonts w:ascii="宋体" w:hAnsi="宋体" w:cs="宋体" w:eastAsia="宋体" w:hint="default"/>
                            <w:spacing w:val="-3"/>
                            <w:sz w:val="20"/>
                            <w:szCs w:val="20"/>
                          </w:rPr>
                          <w:t>认证</w:t>
                        </w:r>
                        <w:r>
                          <w:rPr>
                            <w:rFonts w:ascii="宋体" w:hAnsi="宋体" w:cs="宋体" w:eastAsia="宋体" w:hint="default"/>
                            <w:w w:val="99"/>
                            <w:sz w:val="20"/>
                            <w:szCs w:val="20"/>
                          </w:rPr>
                          <w:t> </w:t>
                        </w:r>
                        <w:r>
                          <w:rPr>
                            <w:rFonts w:ascii="宋体" w:hAnsi="宋体" w:cs="宋体" w:eastAsia="宋体" w:hint="default"/>
                            <w:sz w:val="20"/>
                            <w:szCs w:val="20"/>
                          </w:rPr>
                          <w:t>注册，已完成计量。</w:t>
                        </w:r>
                      </w:p>
                    </w:tc>
                  </w:tr>
                  <w:tr>
                    <w:trPr>
                      <w:trHeight w:val="965"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三通道心电血压记录仪</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57"/>
                          <w:ind w:left="4" w:right="6"/>
                          <w:jc w:val="left"/>
                          <w:rPr>
                            <w:rFonts w:ascii="宋体" w:hAnsi="宋体" w:cs="宋体" w:eastAsia="宋体" w:hint="default"/>
                            <w:sz w:val="20"/>
                            <w:szCs w:val="20"/>
                          </w:rPr>
                        </w:pPr>
                        <w:r>
                          <w:rPr>
                            <w:rFonts w:ascii="宋体" w:hAnsi="宋体" w:cs="宋体" w:eastAsia="宋体" w:hint="default"/>
                            <w:w w:val="95"/>
                            <w:sz w:val="20"/>
                            <w:szCs w:val="20"/>
                          </w:rPr>
                          <w:t>开发设计出一款能同步记录心电及血压的测量产品</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给用户提供更可靠、更便捷、更全面的心</w:t>
                        </w:r>
                        <w:r>
                          <w:rPr>
                            <w:rFonts w:ascii="宋体" w:hAnsi="宋体" w:cs="宋体" w:eastAsia="宋体" w:hint="default"/>
                            <w:spacing w:val="11"/>
                            <w:w w:val="95"/>
                            <w:sz w:val="20"/>
                            <w:szCs w:val="20"/>
                          </w:rPr>
                          <w:t> </w:t>
                        </w:r>
                        <w:r>
                          <w:rPr>
                            <w:rFonts w:ascii="宋体" w:hAnsi="宋体" w:cs="宋体" w:eastAsia="宋体" w:hint="default"/>
                            <w:spacing w:val="11"/>
                            <w:w w:val="95"/>
                            <w:sz w:val="20"/>
                            <w:szCs w:val="20"/>
                          </w:rPr>
                        </w:r>
                        <w:r>
                          <w:rPr>
                            <w:rFonts w:ascii="宋体" w:hAnsi="宋体" w:cs="宋体" w:eastAsia="宋体" w:hint="default"/>
                            <w:sz w:val="20"/>
                            <w:szCs w:val="20"/>
                          </w:rPr>
                          <w:t>血管管理服务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
                          <w:ind w:left="4" w:right="6"/>
                          <w:jc w:val="both"/>
                          <w:rPr>
                            <w:rFonts w:ascii="宋体" w:hAnsi="宋体" w:cs="宋体" w:eastAsia="宋体" w:hint="default"/>
                            <w:sz w:val="20"/>
                            <w:szCs w:val="20"/>
                          </w:rPr>
                        </w:pPr>
                        <w:r>
                          <w:rPr>
                            <w:rFonts w:ascii="宋体" w:hAnsi="宋体" w:cs="宋体" w:eastAsia="宋体" w:hint="default"/>
                            <w:spacing w:val="16"/>
                            <w:sz w:val="20"/>
                            <w:szCs w:val="20"/>
                          </w:rPr>
                          <w:t>目前已完成可行性研究及</w:t>
                        </w:r>
                        <w:r>
                          <w:rPr>
                            <w:rFonts w:ascii="宋体" w:hAnsi="宋体" w:cs="宋体" w:eastAsia="宋体" w:hint="default"/>
                            <w:w w:val="99"/>
                            <w:sz w:val="20"/>
                            <w:szCs w:val="20"/>
                          </w:rPr>
                          <w:t> </w:t>
                        </w:r>
                        <w:r>
                          <w:rPr>
                            <w:rFonts w:ascii="宋体" w:hAnsi="宋体" w:cs="宋体" w:eastAsia="宋体" w:hint="default"/>
                            <w:w w:val="95"/>
                            <w:sz w:val="20"/>
                            <w:szCs w:val="20"/>
                          </w:rPr>
                          <w:t>市场调研，目前处于方案选</w:t>
                        </w:r>
                        <w:r>
                          <w:rPr>
                            <w:rFonts w:ascii="宋体" w:hAnsi="宋体" w:cs="宋体" w:eastAsia="宋体" w:hint="default"/>
                            <w:spacing w:val="11"/>
                            <w:w w:val="95"/>
                            <w:sz w:val="20"/>
                            <w:szCs w:val="20"/>
                          </w:rPr>
                          <w:t> </w:t>
                        </w:r>
                        <w:r>
                          <w:rPr>
                            <w:rFonts w:ascii="宋体" w:hAnsi="宋体" w:cs="宋体" w:eastAsia="宋体" w:hint="default"/>
                            <w:spacing w:val="11"/>
                            <w:w w:val="95"/>
                            <w:sz w:val="20"/>
                            <w:szCs w:val="20"/>
                          </w:rPr>
                        </w:r>
                        <w:r>
                          <w:rPr>
                            <w:rFonts w:ascii="宋体" w:hAnsi="宋体" w:cs="宋体" w:eastAsia="宋体" w:hint="default"/>
                            <w:sz w:val="20"/>
                            <w:szCs w:val="20"/>
                          </w:rPr>
                          <w:t>型及电路验证阶段。</w:t>
                        </w:r>
                      </w:p>
                    </w:tc>
                  </w:tr>
                  <w:tr>
                    <w:trPr>
                      <w:trHeight w:val="1174"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85" w:lineRule="auto"/>
                          <w:ind w:left="940" w:right="42" w:hanging="900"/>
                          <w:jc w:val="left"/>
                          <w:rPr>
                            <w:rFonts w:ascii="宋体" w:hAnsi="宋体" w:cs="宋体" w:eastAsia="宋体" w:hint="default"/>
                            <w:sz w:val="20"/>
                            <w:szCs w:val="20"/>
                          </w:rPr>
                        </w:pPr>
                        <w:r>
                          <w:rPr>
                            <w:rFonts w:ascii="宋体" w:hAnsi="宋体" w:cs="宋体" w:eastAsia="宋体" w:hint="default"/>
                            <w:sz w:val="20"/>
                            <w:szCs w:val="20"/>
                          </w:rPr>
                          <w:t>血压计的实时监控关键技术研</w:t>
                        </w:r>
                        <w:r>
                          <w:rPr>
                            <w:rFonts w:ascii="宋体" w:hAnsi="宋体" w:cs="宋体" w:eastAsia="宋体" w:hint="default"/>
                            <w:w w:val="99"/>
                            <w:sz w:val="20"/>
                            <w:szCs w:val="20"/>
                          </w:rPr>
                          <w:t> </w:t>
                        </w:r>
                        <w:r>
                          <w:rPr>
                            <w:rFonts w:ascii="宋体" w:hAnsi="宋体" w:cs="宋体" w:eastAsia="宋体" w:hint="default"/>
                            <w:sz w:val="20"/>
                            <w:szCs w:val="20"/>
                          </w:rPr>
                          <w:t>发及应用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7"/>
                          <w:ind w:left="4" w:right="-15"/>
                          <w:jc w:val="both"/>
                          <w:rPr>
                            <w:rFonts w:ascii="宋体" w:hAnsi="宋体" w:cs="宋体" w:eastAsia="宋体" w:hint="default"/>
                            <w:sz w:val="20"/>
                            <w:szCs w:val="20"/>
                          </w:rPr>
                        </w:pPr>
                        <w:r>
                          <w:rPr>
                            <w:rFonts w:ascii="宋体" w:hAnsi="宋体" w:cs="宋体" w:eastAsia="宋体" w:hint="default"/>
                            <w:sz w:val="20"/>
                            <w:szCs w:val="20"/>
                          </w:rPr>
                          <w:t>研究开发出达到医用级别的血压测量仪，运用</w:t>
                        </w:r>
                        <w:r>
                          <w:rPr>
                            <w:rFonts w:ascii="Times New Roman" w:hAnsi="Times New Roman" w:cs="Times New Roman" w:eastAsia="Times New Roman" w:hint="default"/>
                            <w:sz w:val="20"/>
                            <w:szCs w:val="20"/>
                          </w:rPr>
                          <w:t>24</w:t>
                        </w:r>
                        <w:r>
                          <w:rPr>
                            <w:rFonts w:ascii="宋体" w:hAnsi="宋体" w:cs="宋体" w:eastAsia="宋体" w:hint="default"/>
                            <w:sz w:val="20"/>
                            <w:szCs w:val="20"/>
                          </w:rPr>
                          <w:t>小时实时监测的相关技术，定制的蓝牙通信</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3"/>
                            <w:w w:val="95"/>
                            <w:sz w:val="20"/>
                            <w:szCs w:val="20"/>
                          </w:rPr>
                          <w:t>协议，实现信息推送服务技术、云计算技术的有机结合应用，为用户提供增值健康信息服务，</w:t>
                        </w:r>
                        <w:r>
                          <w:rPr>
                            <w:rFonts w:ascii="宋体" w:hAnsi="宋体" w:cs="宋体" w:eastAsia="宋体" w:hint="default"/>
                            <w:spacing w:val="23"/>
                            <w:w w:val="95"/>
                            <w:sz w:val="20"/>
                            <w:szCs w:val="20"/>
                          </w:rPr>
                          <w:t> </w:t>
                        </w:r>
                        <w:r>
                          <w:rPr>
                            <w:rFonts w:ascii="宋体" w:hAnsi="宋体" w:cs="宋体" w:eastAsia="宋体" w:hint="default"/>
                            <w:spacing w:val="23"/>
                            <w:w w:val="95"/>
                            <w:sz w:val="20"/>
                            <w:szCs w:val="20"/>
                          </w:rPr>
                        </w:r>
                        <w:r>
                          <w:rPr>
                            <w:rFonts w:ascii="宋体" w:hAnsi="宋体" w:cs="宋体" w:eastAsia="宋体" w:hint="default"/>
                            <w:sz w:val="20"/>
                            <w:szCs w:val="20"/>
                          </w:rPr>
                          <w:t>打造公司高端战略性产品，提高公司竞争力。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07"/>
                          <w:ind w:left="4" w:right="6"/>
                          <w:jc w:val="both"/>
                          <w:rPr>
                            <w:rFonts w:ascii="宋体" w:hAnsi="宋体" w:cs="宋体" w:eastAsia="宋体" w:hint="default"/>
                            <w:sz w:val="20"/>
                            <w:szCs w:val="20"/>
                          </w:rPr>
                        </w:pPr>
                        <w:r>
                          <w:rPr>
                            <w:rFonts w:ascii="宋体" w:hAnsi="宋体" w:cs="宋体" w:eastAsia="宋体" w:hint="default"/>
                            <w:spacing w:val="16"/>
                            <w:sz w:val="20"/>
                            <w:szCs w:val="20"/>
                          </w:rPr>
                          <w:t>目前已完成了设备端的中</w:t>
                        </w:r>
                        <w:r>
                          <w:rPr>
                            <w:rFonts w:ascii="宋体" w:hAnsi="宋体" w:cs="宋体" w:eastAsia="宋体" w:hint="default"/>
                            <w:w w:val="99"/>
                            <w:sz w:val="20"/>
                            <w:szCs w:val="20"/>
                          </w:rPr>
                          <w:t> </w:t>
                        </w:r>
                        <w:r>
                          <w:rPr>
                            <w:rFonts w:ascii="宋体" w:hAnsi="宋体" w:cs="宋体" w:eastAsia="宋体" w:hint="default"/>
                            <w:w w:val="95"/>
                            <w:sz w:val="20"/>
                            <w:szCs w:val="20"/>
                          </w:rPr>
                          <w:t>期开发，项目处于临床精度</w:t>
                        </w:r>
                        <w:r>
                          <w:rPr>
                            <w:rFonts w:ascii="宋体" w:hAnsi="宋体" w:cs="宋体" w:eastAsia="宋体" w:hint="default"/>
                            <w:spacing w:val="11"/>
                            <w:w w:val="95"/>
                            <w:sz w:val="20"/>
                            <w:szCs w:val="20"/>
                          </w:rPr>
                          <w:t> </w:t>
                        </w:r>
                        <w:r>
                          <w:rPr>
                            <w:rFonts w:ascii="宋体" w:hAnsi="宋体" w:cs="宋体" w:eastAsia="宋体" w:hint="default"/>
                            <w:spacing w:val="11"/>
                            <w:w w:val="95"/>
                            <w:sz w:val="20"/>
                            <w:szCs w:val="20"/>
                          </w:rPr>
                        </w:r>
                        <w:r>
                          <w:rPr>
                            <w:rFonts w:ascii="宋体" w:hAnsi="宋体" w:cs="宋体" w:eastAsia="宋体" w:hint="default"/>
                            <w:sz w:val="20"/>
                            <w:szCs w:val="20"/>
                          </w:rPr>
                          <w:t>验证阶段。</w:t>
                        </w:r>
                      </w:p>
                    </w:tc>
                  </w:tr>
                  <w:tr>
                    <w:trPr>
                      <w:trHeight w:val="2215"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1" w:lineRule="auto"/>
                          <w:ind w:left="741" w:right="24" w:hanging="718"/>
                          <w:jc w:val="left"/>
                          <w:rPr>
                            <w:rFonts w:ascii="宋体" w:hAnsi="宋体" w:cs="宋体" w:eastAsia="宋体" w:hint="default"/>
                            <w:sz w:val="20"/>
                            <w:szCs w:val="20"/>
                          </w:rPr>
                        </w:pP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物联网技术在电子秤上</w:t>
                        </w:r>
                        <w:r>
                          <w:rPr>
                            <w:rFonts w:ascii="宋体" w:hAnsi="宋体" w:cs="宋体" w:eastAsia="宋体" w:hint="default"/>
                            <w:w w:val="99"/>
                            <w:sz w:val="20"/>
                            <w:szCs w:val="20"/>
                          </w:rPr>
                          <w:t> </w:t>
                        </w:r>
                        <w:r>
                          <w:rPr>
                            <w:rFonts w:ascii="宋体" w:hAnsi="宋体" w:cs="宋体" w:eastAsia="宋体" w:hint="default"/>
                            <w:sz w:val="20"/>
                            <w:szCs w:val="20"/>
                          </w:rPr>
                          <w:t>的研究及应用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71" w:lineRule="auto"/>
                          <w:ind w:left="4" w:right="5"/>
                          <w:jc w:val="both"/>
                          <w:rPr>
                            <w:rFonts w:ascii="宋体" w:hAnsi="宋体" w:cs="宋体" w:eastAsia="宋体" w:hint="default"/>
                            <w:sz w:val="20"/>
                            <w:szCs w:val="20"/>
                          </w:rPr>
                        </w:pPr>
                        <w:r>
                          <w:rPr>
                            <w:rFonts w:ascii="宋体" w:hAnsi="宋体" w:cs="宋体" w:eastAsia="宋体" w:hint="default"/>
                            <w:sz w:val="20"/>
                            <w:szCs w:val="20"/>
                          </w:rPr>
                          <w:t>开发设计出一款运用</w:t>
                        </w: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物联网技术的智能体脂秤，并实现量产推向各应用场所，提高公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司竞争力及盈利途径和能力。通过</w:t>
                        </w:r>
                        <w:r>
                          <w:rPr>
                            <w:rFonts w:ascii="Times New Roman" w:hAnsi="Times New Roman" w:cs="Times New Roman" w:eastAsia="Times New Roman" w:hint="default"/>
                            <w:sz w:val="20"/>
                            <w:szCs w:val="20"/>
                          </w:rPr>
                          <w:t>NB-IoT</w:t>
                        </w:r>
                        <w:r>
                          <w:rPr>
                            <w:rFonts w:ascii="宋体" w:hAnsi="宋体" w:cs="宋体" w:eastAsia="宋体" w:hint="default"/>
                            <w:sz w:val="20"/>
                            <w:szCs w:val="20"/>
                          </w:rPr>
                          <w:t>物联网技术、大数据平台技术和现有的电子秤有机</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结合应用，给用户提供更可靠、更便捷、更全面的体重管理服务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5"/>
                          <w:jc w:val="left"/>
                          <w:rPr>
                            <w:rFonts w:ascii="宋体" w:hAnsi="宋体" w:cs="宋体" w:eastAsia="宋体" w:hint="default"/>
                            <w:sz w:val="20"/>
                            <w:szCs w:val="20"/>
                          </w:rPr>
                        </w:pPr>
                        <w:r>
                          <w:rPr>
                            <w:rFonts w:ascii="宋体" w:hAnsi="宋体" w:cs="宋体" w:eastAsia="宋体" w:hint="default"/>
                            <w:spacing w:val="7"/>
                            <w:sz w:val="20"/>
                            <w:szCs w:val="20"/>
                          </w:rPr>
                          <w:t>1</w:t>
                        </w:r>
                        <w:r>
                          <w:rPr>
                            <w:rFonts w:ascii="宋体" w:hAnsi="宋体" w:cs="宋体" w:eastAsia="宋体" w:hint="default"/>
                            <w:spacing w:val="7"/>
                            <w:sz w:val="20"/>
                            <w:szCs w:val="20"/>
                          </w:rPr>
                          <w:t>、服务器与设备端的设备</w:t>
                        </w:r>
                        <w:r>
                          <w:rPr>
                            <w:rFonts w:ascii="宋体" w:hAnsi="宋体" w:cs="宋体" w:eastAsia="宋体" w:hint="default"/>
                            <w:w w:val="99"/>
                            <w:sz w:val="20"/>
                            <w:szCs w:val="20"/>
                          </w:rPr>
                          <w:t> </w:t>
                        </w:r>
                        <w:r>
                          <w:rPr>
                            <w:rFonts w:ascii="宋体" w:hAnsi="宋体" w:cs="宋体" w:eastAsia="宋体" w:hint="default"/>
                            <w:sz w:val="20"/>
                            <w:szCs w:val="20"/>
                          </w:rPr>
                          <w:t>通信框架、协议已设计并调</w:t>
                        </w:r>
                        <w:r>
                          <w:rPr>
                            <w:rFonts w:ascii="宋体" w:hAnsi="宋体" w:cs="宋体" w:eastAsia="宋体" w:hint="default"/>
                            <w:w w:val="99"/>
                            <w:sz w:val="20"/>
                            <w:szCs w:val="20"/>
                          </w:rPr>
                          <w:t> </w:t>
                        </w:r>
                        <w:r>
                          <w:rPr>
                            <w:rFonts w:ascii="宋体" w:hAnsi="宋体" w:cs="宋体" w:eastAsia="宋体" w:hint="default"/>
                            <w:sz w:val="20"/>
                            <w:szCs w:val="20"/>
                          </w:rPr>
                          <w:t>试完成；</w:t>
                        </w:r>
                        <w:r>
                          <w:rPr>
                            <w:rFonts w:ascii="宋体" w:hAnsi="宋体" w:cs="宋体" w:eastAsia="宋体" w:hint="default"/>
                            <w:w w:val="99"/>
                            <w:sz w:val="20"/>
                            <w:szCs w:val="20"/>
                          </w:rPr>
                          <w:t> </w:t>
                        </w:r>
                        <w:r>
                          <w:rPr>
                            <w:rFonts w:ascii="宋体" w:hAnsi="宋体" w:cs="宋体" w:eastAsia="宋体" w:hint="default"/>
                            <w:spacing w:val="7"/>
                            <w:sz w:val="20"/>
                            <w:szCs w:val="20"/>
                          </w:rPr>
                          <w:t>2</w:t>
                        </w:r>
                        <w:r>
                          <w:rPr>
                            <w:rFonts w:ascii="宋体" w:hAnsi="宋体" w:cs="宋体" w:eastAsia="宋体" w:hint="default"/>
                            <w:spacing w:val="7"/>
                            <w:sz w:val="20"/>
                            <w:szCs w:val="20"/>
                          </w:rPr>
                          <w:t>、设备端已设计并内部验</w:t>
                        </w:r>
                        <w:r>
                          <w:rPr>
                            <w:rFonts w:ascii="宋体" w:hAnsi="宋体" w:cs="宋体" w:eastAsia="宋体" w:hint="default"/>
                            <w:w w:val="99"/>
                            <w:sz w:val="20"/>
                            <w:szCs w:val="20"/>
                          </w:rPr>
                          <w:t> </w:t>
                        </w:r>
                        <w:r>
                          <w:rPr>
                            <w:rFonts w:ascii="宋体" w:hAnsi="宋体" w:cs="宋体" w:eastAsia="宋体" w:hint="default"/>
                            <w:sz w:val="20"/>
                            <w:szCs w:val="20"/>
                          </w:rPr>
                          <w:t>证完成；</w:t>
                        </w:r>
                        <w:r>
                          <w:rPr>
                            <w:rFonts w:ascii="宋体" w:hAnsi="宋体" w:cs="宋体" w:eastAsia="宋体" w:hint="default"/>
                            <w:w w:val="99"/>
                            <w:sz w:val="20"/>
                            <w:szCs w:val="20"/>
                          </w:rPr>
                          <w:t> </w:t>
                        </w:r>
                        <w:r>
                          <w:rPr>
                            <w:rFonts w:ascii="宋体" w:hAnsi="宋体" w:cs="宋体" w:eastAsia="宋体" w:hint="default"/>
                            <w:sz w:val="20"/>
                            <w:szCs w:val="20"/>
                          </w:rPr>
                          <w:t>3</w:t>
                        </w:r>
                        <w:r>
                          <w:rPr>
                            <w:rFonts w:ascii="宋体" w:hAnsi="宋体" w:cs="宋体" w:eastAsia="宋体" w:hint="default"/>
                            <w:sz w:val="20"/>
                            <w:szCs w:val="20"/>
                          </w:rPr>
                          <w:t>、目前产品正在进行</w:t>
                        </w:r>
                        <w:r>
                          <w:rPr>
                            <w:rFonts w:ascii="宋体" w:hAnsi="宋体" w:cs="宋体" w:eastAsia="宋体" w:hint="default"/>
                            <w:sz w:val="20"/>
                            <w:szCs w:val="20"/>
                          </w:rPr>
                          <w:t>SRRC</w:t>
                        </w:r>
                        <w:r>
                          <w:rPr>
                            <w:rFonts w:ascii="宋体" w:hAnsi="宋体" w:cs="宋体" w:eastAsia="宋体" w:hint="default"/>
                            <w:spacing w:val="1"/>
                            <w:w w:val="99"/>
                            <w:sz w:val="20"/>
                            <w:szCs w:val="20"/>
                          </w:rPr>
                          <w:t> </w:t>
                        </w:r>
                        <w:r>
                          <w:rPr>
                            <w:rFonts w:ascii="宋体" w:hAnsi="宋体" w:cs="宋体" w:eastAsia="宋体" w:hint="default"/>
                            <w:sz w:val="20"/>
                            <w:szCs w:val="20"/>
                          </w:rPr>
                          <w:t>注网、质检、 </w:t>
                        </w:r>
                        <w:r>
                          <w:rPr>
                            <w:rFonts w:ascii="宋体" w:hAnsi="宋体" w:cs="宋体" w:eastAsia="宋体" w:hint="default"/>
                            <w:sz w:val="20"/>
                            <w:szCs w:val="20"/>
                          </w:rPr>
                          <w:t>ROHS</w:t>
                        </w:r>
                        <w:r>
                          <w:rPr>
                            <w:rFonts w:ascii="宋体" w:hAnsi="宋体" w:cs="宋体" w:eastAsia="宋体" w:hint="default"/>
                            <w:spacing w:val="-1"/>
                            <w:sz w:val="20"/>
                            <w:szCs w:val="20"/>
                          </w:rPr>
                          <w:t> </w:t>
                        </w:r>
                        <w:r>
                          <w:rPr>
                            <w:rFonts w:ascii="宋体" w:hAnsi="宋体" w:cs="宋体" w:eastAsia="宋体" w:hint="default"/>
                            <w:sz w:val="20"/>
                            <w:szCs w:val="20"/>
                          </w:rPr>
                          <w:t>认证；</w:t>
                        </w:r>
                      </w:p>
                    </w:tc>
                  </w:tr>
                  <w:tr>
                    <w:trPr>
                      <w:trHeight w:val="221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801" w:right="79" w:hanging="720"/>
                          <w:jc w:val="left"/>
                          <w:rPr>
                            <w:rFonts w:ascii="宋体" w:hAnsi="宋体" w:cs="宋体" w:eastAsia="宋体" w:hint="default"/>
                            <w:sz w:val="18"/>
                            <w:szCs w:val="18"/>
                          </w:rPr>
                        </w:pPr>
                        <w:r>
                          <w:rPr>
                            <w:rFonts w:ascii="宋体" w:hAnsi="宋体" w:cs="宋体" w:eastAsia="宋体" w:hint="default"/>
                            <w:sz w:val="18"/>
                            <w:szCs w:val="18"/>
                          </w:rPr>
                          <w:t>远程可穿戴多导联心电监测设备 的研发及应用</w:t>
                        </w:r>
                      </w:p>
                    </w:tc>
                    <w:tc>
                      <w:tcPr>
                        <w:tcW w:w="8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4" w:right="1"/>
                          <w:jc w:val="both"/>
                          <w:rPr>
                            <w:rFonts w:ascii="宋体" w:hAnsi="宋体" w:cs="宋体" w:eastAsia="宋体" w:hint="default"/>
                            <w:sz w:val="18"/>
                            <w:szCs w:val="18"/>
                          </w:rPr>
                        </w:pPr>
                        <w:r>
                          <w:rPr>
                            <w:rFonts w:ascii="宋体" w:hAnsi="宋体" w:cs="宋体" w:eastAsia="宋体" w:hint="default"/>
                            <w:spacing w:val="-2"/>
                            <w:sz w:val="18"/>
                            <w:szCs w:val="18"/>
                          </w:rPr>
                          <w:t>通过将心电测量技术集成于常用的智能穿戴设备，让用户可以随时随地简便的进行多导联心电测量，并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可将测量结果通过广域物联网实时传送给医生，为用于提供可靠的保障。成功的研发出智能穿戴式心电</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记录仪，使公司掌握积累更先进的核心技术，有助于公司在激烈的医疗设备市场占据一席之地。本项目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投产后，预计产品年销售量可达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万台，为公司带来经济效益的同时，也增强了公司的市场效应。这 </w:t>
                        </w:r>
                        <w:r>
                          <w:rPr>
                            <w:rFonts w:ascii="宋体" w:hAnsi="宋体" w:cs="宋体" w:eastAsia="宋体" w:hint="default"/>
                            <w:spacing w:val="-2"/>
                            <w:sz w:val="18"/>
                            <w:szCs w:val="18"/>
                          </w:rPr>
                          <w:t>一目标的实现，将使智能穿戴式心电记录仪得到更广泛的推广，为用户提供便捷的心电测试方法，从而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降低因无法实时监测心电而导致用户出现危险的可能。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开发阶段</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585" w:lineRule="auto" w:before="36"/>
        <w:ind w:left="120" w:right="6181" w:firstLine="0"/>
        <w:jc w:val="left"/>
        <w:rPr>
          <w:rFonts w:ascii="宋体" w:hAnsi="宋体" w:cs="宋体" w:eastAsia="宋体" w:hint="default"/>
          <w:sz w:val="21"/>
          <w:szCs w:val="21"/>
        </w:rPr>
      </w:pPr>
      <w:r>
        <w:rPr>
          <w:rFonts w:ascii="宋体" w:hAnsi="宋体" w:cs="宋体" w:eastAsia="宋体" w:hint="default"/>
          <w:b/>
          <w:bCs/>
          <w:spacing w:val="-1"/>
          <w:sz w:val="21"/>
          <w:szCs w:val="21"/>
        </w:rPr>
        <w:t>（二）报告期内公司医疗器械注册相关信息</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、报告期内，处于注册</w:t>
      </w:r>
      <w:r>
        <w:rPr>
          <w:rFonts w:ascii="宋体" w:hAnsi="宋体" w:cs="宋体" w:eastAsia="宋体" w:hint="default"/>
          <w:spacing w:val="-2"/>
          <w:sz w:val="21"/>
          <w:szCs w:val="21"/>
        </w:rPr>
        <w:t>/</w:t>
      </w:r>
      <w:r>
        <w:rPr>
          <w:rFonts w:ascii="宋体" w:hAnsi="宋体" w:cs="宋体" w:eastAsia="宋体" w:hint="default"/>
          <w:spacing w:val="-2"/>
          <w:sz w:val="21"/>
          <w:szCs w:val="21"/>
        </w:rPr>
        <w:t>变更中的医疗器械</w:t>
      </w:r>
    </w:p>
    <w:p>
      <w:pPr>
        <w:spacing w:after="0" w:line="585" w:lineRule="auto"/>
        <w:jc w:val="left"/>
        <w:rPr>
          <w:rFonts w:ascii="宋体" w:hAnsi="宋体" w:cs="宋体" w:eastAsia="宋体" w:hint="default"/>
          <w:sz w:val="21"/>
          <w:szCs w:val="21"/>
        </w:rPr>
        <w:sectPr>
          <w:pgSz w:w="16840" w:h="11910" w:orient="landscape"/>
          <w:pgMar w:header="867" w:footer="980" w:top="1060" w:bottom="1160" w:left="1320" w:right="1300"/>
        </w:sectPr>
      </w:pP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99"/>
        <w:gridCol w:w="1320"/>
        <w:gridCol w:w="1402"/>
        <w:gridCol w:w="1323"/>
        <w:gridCol w:w="1289"/>
        <w:gridCol w:w="1457"/>
        <w:gridCol w:w="4568"/>
        <w:gridCol w:w="1985"/>
      </w:tblGrid>
      <w:tr>
        <w:trPr>
          <w:trHeight w:val="653" w:hRule="exact"/>
        </w:trPr>
        <w:tc>
          <w:tcPr>
            <w:tcW w:w="6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4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注册分类</w:t>
            </w:r>
            <w:r>
              <w:rPr>
                <w:rFonts w:ascii="宋体" w:hAnsi="宋体" w:cs="宋体" w:eastAsia="宋体" w:hint="default"/>
                <w:sz w:val="18"/>
                <w:szCs w:val="18"/>
              </w:rPr>
            </w:r>
          </w:p>
        </w:tc>
        <w:tc>
          <w:tcPr>
            <w:tcW w:w="13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受理号</w:t>
            </w:r>
            <w:r>
              <w:rPr>
                <w:rFonts w:ascii="宋体" w:hAnsi="宋体" w:cs="宋体" w:eastAsia="宋体" w:hint="default"/>
                <w:sz w:val="18"/>
                <w:szCs w:val="18"/>
              </w:rPr>
            </w:r>
          </w:p>
        </w:tc>
        <w:tc>
          <w:tcPr>
            <w:tcW w:w="12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产品型号</w:t>
            </w:r>
            <w:r>
              <w:rPr>
                <w:rFonts w:ascii="宋体" w:hAnsi="宋体" w:cs="宋体" w:eastAsia="宋体" w:hint="default"/>
                <w:sz w:val="18"/>
                <w:szCs w:val="18"/>
              </w:rPr>
            </w:r>
          </w:p>
        </w:tc>
        <w:tc>
          <w:tcPr>
            <w:tcW w:w="45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审批阶段</w:t>
            </w:r>
            <w:r>
              <w:rPr>
                <w:rFonts w:ascii="宋体" w:hAnsi="宋体" w:cs="宋体" w:eastAsia="宋体" w:hint="default"/>
                <w:sz w:val="18"/>
                <w:szCs w:val="18"/>
              </w:rPr>
            </w:r>
          </w:p>
        </w:tc>
      </w:tr>
      <w:tr>
        <w:trPr>
          <w:trHeight w:val="890" w:hRule="exact"/>
        </w:trPr>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sz w:val="18"/>
              </w:rPr>
              <w:t>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001060042019</w:t>
            </w:r>
          </w:p>
          <w:p>
            <w:pPr>
              <w:pStyle w:val="TableParagraph"/>
              <w:spacing w:line="240" w:lineRule="auto" w:before="76"/>
              <w:ind w:right="0"/>
              <w:jc w:val="center"/>
              <w:rPr>
                <w:rFonts w:ascii="宋体" w:hAnsi="宋体" w:cs="宋体" w:eastAsia="宋体" w:hint="default"/>
                <w:sz w:val="18"/>
                <w:szCs w:val="18"/>
              </w:rPr>
            </w:pPr>
            <w:r>
              <w:rPr>
                <w:rFonts w:ascii="宋体"/>
                <w:sz w:val="18"/>
              </w:rPr>
              <w:t>0352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5"/>
              <w:ind w:left="143" w:right="141" w:firstLine="134"/>
              <w:jc w:val="left"/>
              <w:rPr>
                <w:rFonts w:ascii="宋体" w:hAnsi="宋体" w:cs="宋体" w:eastAsia="宋体" w:hint="default"/>
                <w:sz w:val="18"/>
                <w:szCs w:val="18"/>
              </w:rPr>
            </w:pPr>
            <w:r>
              <w:rPr>
                <w:rFonts w:ascii="宋体" w:hAnsi="宋体" w:cs="宋体" w:eastAsia="宋体" w:hint="default"/>
                <w:sz w:val="18"/>
                <w:szCs w:val="18"/>
              </w:rPr>
              <w:t>粤械注准 </w:t>
            </w:r>
            <w:r>
              <w:rPr>
                <w:rFonts w:ascii="宋体" w:hAnsi="宋体" w:cs="宋体" w:eastAsia="宋体" w:hint="default"/>
                <w:sz w:val="18"/>
                <w:szCs w:val="18"/>
              </w:rPr>
              <w:t>20192071008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5"/>
              <w:ind w:left="273" w:right="134" w:hanging="137"/>
              <w:jc w:val="left"/>
              <w:rPr>
                <w:rFonts w:ascii="宋体" w:hAnsi="宋体" w:cs="宋体" w:eastAsia="宋体" w:hint="default"/>
                <w:sz w:val="18"/>
                <w:szCs w:val="18"/>
              </w:rPr>
            </w:pPr>
            <w:r>
              <w:rPr>
                <w:rFonts w:ascii="宋体" w:hAnsi="宋体" w:cs="宋体" w:eastAsia="宋体" w:hint="default"/>
                <w:sz w:val="18"/>
                <w:szCs w:val="18"/>
              </w:rPr>
              <w:t>TMB-1491-DS</w:t>
            </w:r>
            <w:r>
              <w:rPr>
                <w:rFonts w:ascii="宋体" w:hAnsi="宋体" w:cs="宋体" w:eastAsia="宋体" w:hint="default"/>
                <w:sz w:val="18"/>
                <w:szCs w:val="18"/>
              </w:rPr>
              <w:t>、 </w:t>
            </w:r>
            <w:r>
              <w:rPr>
                <w:rFonts w:ascii="宋体" w:hAnsi="宋体" w:cs="宋体" w:eastAsia="宋体" w:hint="default"/>
                <w:sz w:val="18"/>
                <w:szCs w:val="18"/>
              </w:rPr>
              <w:t>TMB-1491-S</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5"/>
              <w:ind w:left="2009" w:right="120" w:hanging="1892"/>
              <w:jc w:val="left"/>
              <w:rPr>
                <w:rFonts w:ascii="宋体" w:hAnsi="宋体" w:cs="宋体" w:eastAsia="宋体" w:hint="default"/>
                <w:sz w:val="18"/>
                <w:szCs w:val="18"/>
              </w:rPr>
            </w:pPr>
            <w:r>
              <w:rPr>
                <w:rFonts w:ascii="宋体" w:hAnsi="宋体" w:cs="宋体" w:eastAsia="宋体" w:hint="default"/>
                <w:sz w:val="18"/>
                <w:szCs w:val="18"/>
              </w:rPr>
              <w:t>适用于测量成人舒张压、收缩压、脉率，其数值供诊断 参考。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已进入注册发补阶段</w:t>
            </w:r>
          </w:p>
        </w:tc>
      </w:tr>
    </w:tbl>
    <w:p>
      <w:pPr>
        <w:spacing w:line="240" w:lineRule="auto" w:before="10"/>
        <w:rPr>
          <w:rFonts w:ascii="宋体" w:hAnsi="宋体" w:cs="宋体" w:eastAsia="宋体" w:hint="default"/>
          <w:sz w:val="17"/>
          <w:szCs w:val="17"/>
        </w:rPr>
      </w:pPr>
    </w:p>
    <w:p>
      <w:pPr>
        <w:pStyle w:val="BodyText"/>
        <w:spacing w:line="240" w:lineRule="auto" w:before="36"/>
        <w:ind w:left="160" w:right="0"/>
        <w:jc w:val="left"/>
      </w:pPr>
      <w:r>
        <w:rPr>
          <w:rFonts w:ascii="宋体" w:hAnsi="宋体" w:cs="宋体" w:eastAsia="宋体" w:hint="default"/>
        </w:rPr>
        <w:t>2</w:t>
      </w:r>
      <w:r>
        <w:rPr/>
        <w:t>、报告期内，已获得医疗器械注册证的产品</w:t>
      </w:r>
    </w:p>
    <w:p>
      <w:pPr>
        <w:spacing w:line="240" w:lineRule="auto" w:before="1"/>
        <w:rPr>
          <w:rFonts w:ascii="宋体" w:hAnsi="宋体" w:cs="宋体" w:eastAsia="宋体" w:hint="default"/>
          <w:sz w:val="25"/>
          <w:szCs w:val="25"/>
        </w:rPr>
      </w:pPr>
    </w:p>
    <w:tbl>
      <w:tblPr>
        <w:tblW w:w="0" w:type="auto"/>
        <w:jc w:val="left"/>
        <w:tblInd w:w="183" w:type="dxa"/>
        <w:tblLayout w:type="fixed"/>
        <w:tblCellMar>
          <w:top w:w="0" w:type="dxa"/>
          <w:left w:w="0" w:type="dxa"/>
          <w:bottom w:w="0" w:type="dxa"/>
          <w:right w:w="0" w:type="dxa"/>
        </w:tblCellMar>
        <w:tblLook w:val="01E0"/>
      </w:tblPr>
      <w:tblGrid>
        <w:gridCol w:w="716"/>
        <w:gridCol w:w="1133"/>
        <w:gridCol w:w="1428"/>
        <w:gridCol w:w="1277"/>
        <w:gridCol w:w="2047"/>
        <w:gridCol w:w="4131"/>
        <w:gridCol w:w="1640"/>
        <w:gridCol w:w="1531"/>
      </w:tblGrid>
      <w:tr>
        <w:trPr>
          <w:trHeight w:val="59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7" w:right="0"/>
              <w:jc w:val="left"/>
              <w:rPr>
                <w:rFonts w:ascii="宋体" w:hAnsi="宋体" w:cs="宋体" w:eastAsia="宋体" w:hint="default"/>
                <w:sz w:val="18"/>
                <w:szCs w:val="18"/>
              </w:rPr>
            </w:pPr>
            <w:r>
              <w:rPr>
                <w:rFonts w:ascii="宋体" w:hAnsi="宋体" w:cs="宋体" w:eastAsia="宋体" w:hint="default"/>
                <w:b/>
                <w:bCs/>
                <w:sz w:val="18"/>
                <w:szCs w:val="18"/>
              </w:rPr>
              <w:t>注册分类</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2" w:right="0"/>
              <w:jc w:val="lef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b/>
                <w:bCs/>
                <w:sz w:val="18"/>
                <w:szCs w:val="18"/>
              </w:rPr>
              <w:t>产品型号</w:t>
            </w:r>
            <w:r>
              <w:rPr>
                <w:rFonts w:ascii="宋体" w:hAnsi="宋体" w:cs="宋体" w:eastAsia="宋体" w:hint="default"/>
                <w:sz w:val="18"/>
                <w:szCs w:val="18"/>
              </w:rPr>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宋体" w:hAnsi="宋体" w:cs="宋体" w:eastAsia="宋体" w:hint="default"/>
                <w:sz w:val="18"/>
                <w:szCs w:val="18"/>
              </w:rPr>
            </w:pPr>
            <w:r>
              <w:rPr>
                <w:rFonts w:ascii="宋体" w:hAnsi="宋体" w:cs="宋体" w:eastAsia="宋体" w:hint="default"/>
                <w:b/>
                <w:bCs/>
                <w:sz w:val="18"/>
                <w:szCs w:val="18"/>
              </w:rPr>
              <w:t>有效期至</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33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347" w:right="127" w:hanging="21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普通</w:t>
            </w:r>
            <w:r>
              <w:rPr>
                <w:rFonts w:ascii="宋体" w:hAnsi="宋体" w:cs="宋体" w:eastAsia="宋体" w:hint="default"/>
                <w:w w:val="99"/>
                <w:sz w:val="18"/>
                <w:szCs w:val="18"/>
              </w:rPr>
              <w:t> </w:t>
            </w:r>
            <w:r>
              <w:rPr>
                <w:rFonts w:ascii="宋体" w:hAnsi="宋体" w:cs="宋体" w:eastAsia="宋体" w:hint="default"/>
                <w:sz w:val="18"/>
                <w:szCs w:val="18"/>
              </w:rPr>
              <w:t>诊察器械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20192071008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LS805</w:t>
            </w:r>
            <w:r>
              <w:rPr>
                <w:rFonts w:ascii="宋体" w:hAnsi="宋体" w:cs="宋体" w:eastAsia="宋体" w:hint="default"/>
                <w:sz w:val="18"/>
                <w:szCs w:val="18"/>
              </w:rPr>
              <w:t>、</w:t>
            </w:r>
            <w:r>
              <w:rPr>
                <w:rFonts w:ascii="Times New Roman" w:hAnsi="Times New Roman" w:cs="Times New Roman" w:eastAsia="Times New Roman" w:hint="default"/>
                <w:sz w:val="18"/>
                <w:szCs w:val="18"/>
              </w:rPr>
              <w:t>LS805-F</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8" w:right="104" w:hanging="1506"/>
              <w:jc w:val="left"/>
              <w:rPr>
                <w:rFonts w:ascii="宋体" w:hAnsi="宋体" w:cs="宋体" w:eastAsia="宋体" w:hint="default"/>
                <w:sz w:val="18"/>
                <w:szCs w:val="18"/>
              </w:rPr>
            </w:pPr>
            <w:r>
              <w:rPr>
                <w:rFonts w:ascii="宋体" w:hAnsi="宋体" w:cs="宋体" w:eastAsia="宋体" w:hint="default"/>
                <w:spacing w:val="-3"/>
                <w:sz w:val="18"/>
                <w:szCs w:val="18"/>
              </w:rPr>
              <w:t>适用于测量成人舒张压、收缩压、脉率，其数值供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诊断参考。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firstLine="26"/>
              <w:jc w:val="both"/>
              <w:rPr>
                <w:rFonts w:ascii="Times New Roman" w:hAnsi="Times New Roman" w:cs="Times New Roman" w:eastAsia="Times New Roman" w:hint="default"/>
                <w:sz w:val="18"/>
                <w:szCs w:val="18"/>
              </w:rPr>
            </w:pPr>
            <w:r>
              <w:rPr>
                <w:rFonts w:ascii="宋体" w:hAnsi="宋体" w:cs="宋体" w:eastAsia="宋体" w:hint="default"/>
                <w:sz w:val="18"/>
                <w:szCs w:val="18"/>
              </w:rPr>
              <w:t>注册证延续原注 册证书：粤食药 </w:t>
            </w:r>
            <w:r>
              <w:rPr>
                <w:rFonts w:ascii="宋体" w:hAnsi="宋体" w:cs="宋体" w:eastAsia="宋体" w:hint="default"/>
                <w:spacing w:val="-29"/>
                <w:sz w:val="18"/>
                <w:szCs w:val="18"/>
              </w:rPr>
              <w:t>监械（准）字</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z w:val="18"/>
                <w:szCs w:val="18"/>
              </w:rPr>
            </w:r>
          </w:p>
          <w:p>
            <w:pPr>
              <w:pStyle w:val="TableParagraph"/>
              <w:spacing w:line="248" w:lineRule="exact"/>
              <w:ind w:left="218"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2201289 </w:t>
            </w:r>
            <w:r>
              <w:rPr>
                <w:rFonts w:ascii="宋体" w:hAnsi="宋体" w:cs="宋体" w:eastAsia="宋体" w:hint="default"/>
                <w:sz w:val="18"/>
                <w:szCs w:val="18"/>
              </w:rPr>
              <w:t>号</w:t>
            </w:r>
          </w:p>
        </w:tc>
      </w:tr>
      <w:tr>
        <w:trPr>
          <w:trHeight w:val="134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347" w:right="127" w:hanging="21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普通</w:t>
            </w:r>
            <w:r>
              <w:rPr>
                <w:rFonts w:ascii="宋体" w:hAnsi="宋体" w:cs="宋体" w:eastAsia="宋体" w:hint="default"/>
                <w:w w:val="99"/>
                <w:sz w:val="18"/>
                <w:szCs w:val="18"/>
              </w:rPr>
              <w:t> </w:t>
            </w:r>
            <w:r>
              <w:rPr>
                <w:rFonts w:ascii="宋体" w:hAnsi="宋体" w:cs="宋体" w:eastAsia="宋体" w:hint="default"/>
                <w:sz w:val="18"/>
                <w:szCs w:val="18"/>
              </w:rPr>
              <w:t>诊察器械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20162200530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31" w:right="131"/>
              <w:jc w:val="center"/>
              <w:rPr>
                <w:rFonts w:ascii="宋体" w:hAnsi="宋体" w:cs="宋体" w:eastAsia="宋体" w:hint="default"/>
                <w:sz w:val="18"/>
                <w:szCs w:val="18"/>
              </w:rPr>
            </w:pPr>
            <w:r>
              <w:rPr>
                <w:rFonts w:ascii="Times New Roman" w:hAnsi="Times New Roman" w:cs="Times New Roman" w:eastAsia="Times New Roman" w:hint="default"/>
                <w:sz w:val="18"/>
                <w:szCs w:val="18"/>
              </w:rPr>
              <w:t>LS812-GF</w:t>
            </w:r>
            <w:r>
              <w:rPr>
                <w:rFonts w:ascii="宋体" w:hAnsi="宋体" w:cs="宋体" w:eastAsia="宋体" w:hint="default"/>
                <w:sz w:val="18"/>
                <w:szCs w:val="18"/>
              </w:rPr>
              <w:t>、</w:t>
            </w:r>
            <w:r>
              <w:rPr>
                <w:rFonts w:ascii="Times New Roman" w:hAnsi="Times New Roman" w:cs="Times New Roman" w:eastAsia="Times New Roman" w:hint="default"/>
                <w:sz w:val="18"/>
                <w:szCs w:val="18"/>
              </w:rPr>
              <w:t>LS812-F</w:t>
            </w:r>
            <w:r>
              <w:rPr>
                <w:rFonts w:ascii="宋体" w:hAnsi="宋体" w:cs="宋体" w:eastAsia="宋体" w:hint="default"/>
                <w:sz w:val="18"/>
                <w:szCs w:val="18"/>
              </w:rPr>
              <w:t>、 </w:t>
            </w:r>
            <w:r>
              <w:rPr>
                <w:rFonts w:ascii="Times New Roman" w:hAnsi="Times New Roman" w:cs="Times New Roman" w:eastAsia="Times New Roman" w:hint="default"/>
                <w:sz w:val="18"/>
                <w:szCs w:val="18"/>
              </w:rPr>
              <w:t>LS813-F</w:t>
            </w:r>
            <w:r>
              <w:rPr>
                <w:rFonts w:ascii="宋体" w:hAnsi="宋体" w:cs="宋体" w:eastAsia="宋体" w:hint="default"/>
                <w:sz w:val="18"/>
                <w:szCs w:val="18"/>
              </w:rPr>
              <w:t>、</w:t>
            </w:r>
            <w:r>
              <w:rPr>
                <w:rFonts w:ascii="Times New Roman" w:hAnsi="Times New Roman" w:cs="Times New Roman" w:eastAsia="Times New Roman" w:hint="default"/>
                <w:sz w:val="18"/>
                <w:szCs w:val="18"/>
              </w:rPr>
              <w:t>LS815-F</w:t>
            </w:r>
            <w:r>
              <w:rPr>
                <w:rFonts w:ascii="宋体" w:hAnsi="宋体" w:cs="宋体" w:eastAsia="宋体" w:hint="default"/>
                <w:sz w:val="18"/>
                <w:szCs w:val="18"/>
              </w:rPr>
              <w:t>、 </w:t>
            </w:r>
            <w:r>
              <w:rPr>
                <w:rFonts w:ascii="Times New Roman" w:hAnsi="Times New Roman" w:cs="Times New Roman" w:eastAsia="Times New Roman" w:hint="default"/>
                <w:sz w:val="18"/>
                <w:szCs w:val="18"/>
              </w:rPr>
              <w:t>LS818-F</w:t>
            </w:r>
            <w:r>
              <w:rPr>
                <w:rFonts w:ascii="宋体" w:hAnsi="宋体" w:cs="宋体" w:eastAsia="宋体" w:hint="default"/>
                <w:sz w:val="18"/>
                <w:szCs w:val="18"/>
              </w:rPr>
              <w:t>、</w:t>
            </w:r>
            <w:r>
              <w:rPr>
                <w:rFonts w:ascii="Times New Roman" w:hAnsi="Times New Roman" w:cs="Times New Roman" w:eastAsia="Times New Roman" w:hint="default"/>
                <w:sz w:val="18"/>
                <w:szCs w:val="18"/>
              </w:rPr>
              <w:t>LS818-B</w:t>
            </w:r>
            <w:r>
              <w:rPr>
                <w:rFonts w:ascii="宋体" w:hAnsi="宋体" w:cs="宋体" w:eastAsia="宋体" w:hint="default"/>
                <w:sz w:val="18"/>
                <w:szCs w:val="18"/>
              </w:rPr>
              <w:t>、</w:t>
            </w:r>
          </w:p>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LS818-NB</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608" w:right="104" w:hanging="1506"/>
              <w:jc w:val="left"/>
              <w:rPr>
                <w:rFonts w:ascii="宋体" w:hAnsi="宋体" w:cs="宋体" w:eastAsia="宋体" w:hint="default"/>
                <w:sz w:val="18"/>
                <w:szCs w:val="18"/>
              </w:rPr>
            </w:pPr>
            <w:r>
              <w:rPr>
                <w:rFonts w:ascii="宋体" w:hAnsi="宋体" w:cs="宋体" w:eastAsia="宋体" w:hint="default"/>
                <w:spacing w:val="-3"/>
                <w:sz w:val="18"/>
                <w:szCs w:val="18"/>
              </w:rPr>
              <w:t>适用于测量成人舒张压、收缩压、脉率，其数值供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诊断参考。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83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1"/>
              <w:ind w:left="347" w:right="127" w:hanging="21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普通</w:t>
            </w:r>
            <w:r>
              <w:rPr>
                <w:rFonts w:ascii="宋体" w:hAnsi="宋体" w:cs="宋体" w:eastAsia="宋体" w:hint="default"/>
                <w:w w:val="99"/>
                <w:sz w:val="18"/>
                <w:szCs w:val="18"/>
              </w:rPr>
              <w:t> </w:t>
            </w:r>
            <w:r>
              <w:rPr>
                <w:rFonts w:ascii="宋体" w:hAnsi="宋体" w:cs="宋体" w:eastAsia="宋体" w:hint="default"/>
                <w:sz w:val="18"/>
                <w:szCs w:val="18"/>
              </w:rPr>
              <w:t>诊察器械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20162201388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11"/>
              <w:ind w:left="611" w:right="53" w:hanging="50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TMB-1117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TMB-988</w:t>
            </w:r>
            <w:r>
              <w:rPr>
                <w:rFonts w:ascii="宋体" w:hAnsi="宋体" w:cs="宋体" w:eastAsia="宋体" w:hint="default"/>
                <w:spacing w:val="-1"/>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TMB-1014</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1519" w:right="103" w:hanging="1417"/>
              <w:jc w:val="left"/>
              <w:rPr>
                <w:rFonts w:ascii="宋体" w:hAnsi="宋体" w:cs="宋体" w:eastAsia="宋体" w:hint="default"/>
                <w:sz w:val="18"/>
                <w:szCs w:val="18"/>
              </w:rPr>
            </w:pPr>
            <w:r>
              <w:rPr>
                <w:rFonts w:ascii="宋体" w:hAnsi="宋体" w:cs="宋体" w:eastAsia="宋体" w:hint="default"/>
                <w:spacing w:val="-3"/>
                <w:sz w:val="18"/>
                <w:szCs w:val="18"/>
              </w:rPr>
              <w:t>适用于测量成人收缩压、舒张压及脉率，其数值供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临床参考用。</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血糖仪</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临床</w:t>
            </w:r>
            <w:r>
              <w:rPr>
                <w:rFonts w:ascii="宋体" w:hAnsi="宋体" w:cs="宋体" w:eastAsia="宋体" w:hint="default"/>
                <w:w w:val="99"/>
                <w:sz w:val="18"/>
                <w:szCs w:val="18"/>
              </w:rPr>
              <w:t> </w:t>
            </w:r>
            <w:r>
              <w:rPr>
                <w:rFonts w:ascii="宋体" w:hAnsi="宋体" w:cs="宋体" w:eastAsia="宋体" w:hint="default"/>
                <w:sz w:val="18"/>
                <w:szCs w:val="18"/>
              </w:rPr>
              <w:t>检验分析仪器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20172400088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LS602-B1</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4"/>
              <w:jc w:val="center"/>
              <w:rPr>
                <w:rFonts w:ascii="宋体" w:hAnsi="宋体" w:cs="宋体" w:eastAsia="宋体" w:hint="default"/>
                <w:sz w:val="18"/>
                <w:szCs w:val="18"/>
              </w:rPr>
            </w:pPr>
            <w:r>
              <w:rPr>
                <w:rFonts w:ascii="宋体" w:hAnsi="宋体" w:cs="宋体" w:eastAsia="宋体" w:hint="default"/>
                <w:spacing w:val="-3"/>
                <w:sz w:val="18"/>
                <w:szCs w:val="18"/>
              </w:rPr>
              <w:t>该产品与配套的血糖试纸配合使用，用于体外监测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人体毛细血管全血中葡萄糖浓度；该产品可以由专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业人员、熟练掌握该项操作的患有糖尿病的非专业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人员或其家属在家中或医疗单位进行血糖监测；该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产品只用于监测糖尿病人血糖控制的效果，而不能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用于糖尿病的诊断和筛查，也不能作为治疗药物调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整的依据。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280" w:right="1280"/>
        </w:sectPr>
      </w:pPr>
    </w:p>
    <w:p>
      <w:pPr>
        <w:spacing w:line="240" w:lineRule="auto" w:before="11"/>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716"/>
        <w:gridCol w:w="1133"/>
        <w:gridCol w:w="1428"/>
        <w:gridCol w:w="1277"/>
        <w:gridCol w:w="2047"/>
        <w:gridCol w:w="4131"/>
        <w:gridCol w:w="1640"/>
        <w:gridCol w:w="1531"/>
      </w:tblGrid>
      <w:tr>
        <w:trPr>
          <w:trHeight w:val="1116" w:hRule="exact"/>
        </w:trPr>
        <w:tc>
          <w:tcPr>
            <w:tcW w:w="7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381" w:right="110" w:hanging="272"/>
              <w:jc w:val="left"/>
              <w:rPr>
                <w:rFonts w:ascii="宋体" w:hAnsi="宋体" w:cs="宋体" w:eastAsia="宋体" w:hint="default"/>
                <w:sz w:val="18"/>
                <w:szCs w:val="18"/>
              </w:rPr>
            </w:pPr>
            <w:r>
              <w:rPr>
                <w:rFonts w:ascii="宋体" w:hAnsi="宋体" w:cs="宋体" w:eastAsia="宋体" w:hint="default"/>
                <w:sz w:val="18"/>
                <w:szCs w:val="18"/>
              </w:rPr>
              <w:t>体重脂肪测 量仪</w:t>
            </w:r>
          </w:p>
        </w:tc>
        <w:tc>
          <w:tcPr>
            <w:tcW w:w="14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00" w:lineRule="auto"/>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医用</w:t>
            </w:r>
            <w:r>
              <w:rPr>
                <w:rFonts w:ascii="宋体" w:hAnsi="宋体" w:cs="宋体" w:eastAsia="宋体" w:hint="default"/>
                <w:w w:val="99"/>
                <w:sz w:val="18"/>
                <w:szCs w:val="18"/>
              </w:rPr>
              <w:t> </w:t>
            </w:r>
            <w:r>
              <w:rPr>
                <w:rFonts w:ascii="宋体" w:hAnsi="宋体" w:cs="宋体" w:eastAsia="宋体" w:hint="default"/>
                <w:sz w:val="18"/>
                <w:szCs w:val="18"/>
              </w:rPr>
              <w:t>电子仪器设备</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20182070898</w:t>
            </w:r>
          </w:p>
        </w:tc>
        <w:tc>
          <w:tcPr>
            <w:tcW w:w="20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00" w:lineRule="auto"/>
              <w:ind w:left="177" w:right="1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LS213-B</w:t>
            </w:r>
            <w:r>
              <w:rPr>
                <w:rFonts w:ascii="宋体" w:hAnsi="宋体" w:cs="宋体" w:eastAsia="宋体" w:hint="default"/>
                <w:sz w:val="18"/>
                <w:szCs w:val="18"/>
              </w:rPr>
              <w:t>、</w:t>
            </w:r>
            <w:r>
              <w:rPr>
                <w:rFonts w:ascii="Times New Roman" w:hAnsi="Times New Roman" w:cs="Times New Roman" w:eastAsia="Times New Roman" w:hint="default"/>
                <w:sz w:val="18"/>
                <w:szCs w:val="18"/>
              </w:rPr>
              <w:t>LS212-B</w:t>
            </w:r>
            <w:r>
              <w:rPr>
                <w:rFonts w:ascii="宋体" w:hAnsi="宋体" w:cs="宋体" w:eastAsia="宋体" w:hint="default"/>
                <w:sz w:val="18"/>
                <w:szCs w:val="18"/>
              </w:rPr>
              <w:t>、 </w:t>
            </w:r>
            <w:r>
              <w:rPr>
                <w:rFonts w:ascii="Times New Roman" w:hAnsi="Times New Roman" w:cs="Times New Roman" w:eastAsia="Times New Roman" w:hint="default"/>
                <w:sz w:val="18"/>
                <w:szCs w:val="18"/>
              </w:rPr>
              <w:t>LS212-B1</w:t>
            </w:r>
            <w:r>
              <w:rPr>
                <w:rFonts w:ascii="宋体" w:hAnsi="宋体" w:cs="宋体" w:eastAsia="宋体" w:hint="default"/>
                <w:sz w:val="18"/>
                <w:szCs w:val="18"/>
              </w:rPr>
              <w:t>、</w:t>
            </w:r>
            <w:r>
              <w:rPr>
                <w:rFonts w:ascii="Times New Roman" w:hAnsi="Times New Roman" w:cs="Times New Roman" w:eastAsia="Times New Roman" w:hint="default"/>
                <w:sz w:val="18"/>
                <w:szCs w:val="18"/>
              </w:rPr>
              <w:t>LS212-B2</w:t>
            </w:r>
          </w:p>
        </w:tc>
        <w:tc>
          <w:tcPr>
            <w:tcW w:w="41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
                <w:sz w:val="18"/>
                <w:szCs w:val="18"/>
              </w:rPr>
              <w:t>通过人体体重、身体阻抗的测量，算出体脂肪率和</w:t>
            </w:r>
          </w:p>
          <w:p>
            <w:pPr>
              <w:pStyle w:val="TableParagraph"/>
              <w:spacing w:line="300" w:lineRule="auto" w:before="76"/>
              <w:ind w:left="1358" w:right="144" w:hanging="1215"/>
              <w:jc w:val="left"/>
              <w:rPr>
                <w:rFonts w:ascii="宋体" w:hAnsi="宋体" w:cs="宋体" w:eastAsia="宋体" w:hint="default"/>
                <w:sz w:val="18"/>
                <w:szCs w:val="18"/>
              </w:rPr>
            </w:pPr>
            <w:r>
              <w:rPr>
                <w:rFonts w:ascii="宋体" w:hAnsi="宋体" w:cs="宋体" w:eastAsia="宋体" w:hint="default"/>
                <w:sz w:val="18"/>
                <w:szCs w:val="18"/>
              </w:rPr>
              <w:t>（或）体脂肪量，并推出非脂肪量（骨质量</w:t>
            </w:r>
            <w:r>
              <w:rPr>
                <w:rFonts w:ascii="Times New Roman" w:hAnsi="Times New Roman" w:cs="Times New Roman" w:eastAsia="Times New Roman" w:hint="default"/>
                <w:sz w:val="18"/>
                <w:szCs w:val="18"/>
              </w:rPr>
              <w:t>/</w:t>
            </w:r>
            <w:r>
              <w:rPr>
                <w:rFonts w:ascii="宋体" w:hAnsi="宋体" w:cs="宋体" w:eastAsia="宋体" w:hint="default"/>
                <w:sz w:val="18"/>
                <w:szCs w:val="18"/>
              </w:rPr>
              <w:t>肌肉 </w:t>
            </w:r>
            <w:r>
              <w:rPr>
                <w:rFonts w:ascii="宋体" w:hAnsi="宋体" w:cs="宋体" w:eastAsia="宋体" w:hint="default"/>
                <w:spacing w:val="-11"/>
                <w:sz w:val="18"/>
                <w:szCs w:val="18"/>
              </w:rPr>
              <w:t>含量</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体水含量）。</w:t>
            </w:r>
          </w:p>
        </w:tc>
        <w:tc>
          <w:tcPr>
            <w:tcW w:w="16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31" w:type="dxa"/>
            <w:tcBorders>
              <w:top w:val="single" w:sz="15" w:space="0" w:color="000000"/>
              <w:left w:val="single" w:sz="4" w:space="0" w:color="000000"/>
              <w:bottom w:val="single" w:sz="4" w:space="0" w:color="000000"/>
              <w:right w:val="single" w:sz="4" w:space="0" w:color="000000"/>
            </w:tcBorders>
          </w:tcPr>
          <w:p>
            <w:pPr/>
          </w:p>
        </w:tc>
      </w:tr>
      <w:tr>
        <w:trPr>
          <w:trHeight w:val="17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381" w:right="110" w:hanging="272"/>
              <w:jc w:val="left"/>
              <w:rPr>
                <w:rFonts w:ascii="宋体" w:hAnsi="宋体" w:cs="宋体" w:eastAsia="宋体" w:hint="default"/>
                <w:sz w:val="18"/>
                <w:szCs w:val="18"/>
              </w:rPr>
            </w:pPr>
            <w:r>
              <w:rPr>
                <w:rFonts w:ascii="宋体" w:hAnsi="宋体" w:cs="宋体" w:eastAsia="宋体" w:hint="default"/>
                <w:sz w:val="18"/>
                <w:szCs w:val="18"/>
              </w:rPr>
              <w:t>腕部心电采 集器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97" w:lineRule="auto"/>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医用诊</w:t>
            </w:r>
            <w:r>
              <w:rPr>
                <w:rFonts w:ascii="宋体" w:hAnsi="宋体" w:cs="宋体" w:eastAsia="宋体" w:hint="default"/>
                <w:w w:val="99"/>
                <w:sz w:val="18"/>
                <w:szCs w:val="18"/>
              </w:rPr>
              <w:t> </w:t>
            </w:r>
            <w:r>
              <w:rPr>
                <w:rFonts w:ascii="宋体" w:hAnsi="宋体" w:cs="宋体" w:eastAsia="宋体" w:hint="default"/>
                <w:sz w:val="18"/>
                <w:szCs w:val="18"/>
              </w:rPr>
              <w:t>察和监护器械</w:t>
            </w:r>
          </w:p>
          <w:p>
            <w:pPr>
              <w:pStyle w:val="TableParagraph"/>
              <w:spacing w:line="300" w:lineRule="auto" w:before="33"/>
              <w:ind w:left="259" w:right="113" w:hanging="144"/>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生理参数分</w:t>
            </w:r>
            <w:r>
              <w:rPr>
                <w:rFonts w:ascii="宋体" w:hAnsi="宋体" w:cs="宋体" w:eastAsia="宋体" w:hint="default"/>
                <w:w w:val="99"/>
                <w:sz w:val="18"/>
                <w:szCs w:val="18"/>
              </w:rPr>
              <w:t> </w:t>
            </w:r>
            <w:r>
              <w:rPr>
                <w:rFonts w:ascii="宋体" w:hAnsi="宋体" w:cs="宋体" w:eastAsia="宋体" w:hint="default"/>
                <w:sz w:val="18"/>
                <w:szCs w:val="18"/>
              </w:rPr>
              <w:t>析测量设备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20192070823</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LS430-B</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1068" w:right="57" w:hanging="965"/>
              <w:jc w:val="left"/>
              <w:rPr>
                <w:rFonts w:ascii="宋体" w:hAnsi="宋体" w:cs="宋体" w:eastAsia="宋体" w:hint="default"/>
                <w:sz w:val="18"/>
                <w:szCs w:val="18"/>
              </w:rPr>
            </w:pPr>
            <w:r>
              <w:rPr>
                <w:rFonts w:ascii="宋体" w:hAnsi="宋体" w:cs="宋体" w:eastAsia="宋体" w:hint="default"/>
                <w:sz w:val="18"/>
                <w:szCs w:val="18"/>
              </w:rPr>
              <w:t>供人体腕部单导心电数据的采集、记录和存储用， 不包括自动分析诊断功能</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141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数字式多道 心电图机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9"/>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医用诊</w:t>
            </w:r>
            <w:r>
              <w:rPr>
                <w:rFonts w:ascii="宋体" w:hAnsi="宋体" w:cs="宋体" w:eastAsia="宋体" w:hint="default"/>
                <w:w w:val="99"/>
                <w:sz w:val="18"/>
                <w:szCs w:val="18"/>
              </w:rPr>
              <w:t> </w:t>
            </w:r>
            <w:r>
              <w:rPr>
                <w:rFonts w:ascii="宋体" w:hAnsi="宋体" w:cs="宋体" w:eastAsia="宋体" w:hint="default"/>
                <w:sz w:val="18"/>
                <w:szCs w:val="18"/>
              </w:rPr>
              <w:t>察和监护器械</w:t>
            </w:r>
          </w:p>
          <w:p>
            <w:pPr>
              <w:pStyle w:val="TableParagraph"/>
              <w:spacing w:line="300" w:lineRule="auto" w:before="31"/>
              <w:ind w:left="259" w:right="113" w:hanging="144"/>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生理参数分</w:t>
            </w:r>
            <w:r>
              <w:rPr>
                <w:rFonts w:ascii="宋体" w:hAnsi="宋体" w:cs="宋体" w:eastAsia="宋体" w:hint="default"/>
                <w:w w:val="99"/>
                <w:sz w:val="18"/>
                <w:szCs w:val="18"/>
              </w:rPr>
              <w:t> </w:t>
            </w:r>
            <w:r>
              <w:rPr>
                <w:rFonts w:ascii="宋体" w:hAnsi="宋体" w:cs="宋体" w:eastAsia="宋体" w:hint="default"/>
                <w:sz w:val="18"/>
                <w:szCs w:val="18"/>
              </w:rPr>
              <w:t>析测量设备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20172211217</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316" w:right="223" w:hanging="9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e1200</w:t>
            </w:r>
            <w:r>
              <w:rPr>
                <w:rFonts w:ascii="宋体" w:hAnsi="宋体" w:cs="宋体" w:eastAsia="宋体" w:hint="default"/>
                <w:sz w:val="18"/>
                <w:szCs w:val="18"/>
              </w:rPr>
              <w:t>、</w:t>
            </w:r>
            <w:r>
              <w:rPr>
                <w:rFonts w:ascii="Times New Roman" w:hAnsi="Times New Roman" w:cs="Times New Roman" w:eastAsia="Times New Roman" w:hint="default"/>
                <w:sz w:val="18"/>
                <w:szCs w:val="18"/>
              </w:rPr>
              <w:t>e1200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 </w:t>
            </w:r>
            <w:r>
              <w:rPr>
                <w:rFonts w:ascii="Times New Roman" w:hAnsi="Times New Roman" w:cs="Times New Roman" w:eastAsia="Times New Roman" w:hint="default"/>
                <w:sz w:val="18"/>
                <w:szCs w:val="18"/>
              </w:rPr>
              <w:t>e1800</w:t>
            </w:r>
            <w:r>
              <w:rPr>
                <w:rFonts w:ascii="宋体" w:hAnsi="宋体" w:cs="宋体" w:eastAsia="宋体" w:hint="default"/>
                <w:sz w:val="18"/>
                <w:szCs w:val="18"/>
              </w:rPr>
              <w:t>、</w:t>
            </w:r>
            <w:r>
              <w:rPr>
                <w:rFonts w:ascii="Times New Roman" w:hAnsi="Times New Roman" w:cs="Times New Roman" w:eastAsia="Times New Roman" w:hint="default"/>
                <w:sz w:val="18"/>
                <w:szCs w:val="18"/>
              </w:rPr>
              <w:t>e1800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plus</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88" w:right="171" w:hanging="720"/>
              <w:jc w:val="left"/>
              <w:rPr>
                <w:rFonts w:ascii="宋体" w:hAnsi="宋体" w:cs="宋体" w:eastAsia="宋体" w:hint="default"/>
                <w:sz w:val="18"/>
                <w:szCs w:val="18"/>
              </w:rPr>
            </w:pPr>
            <w:r>
              <w:rPr>
                <w:rFonts w:ascii="宋体" w:hAnsi="宋体" w:cs="宋体" w:eastAsia="宋体" w:hint="default"/>
                <w:sz w:val="18"/>
                <w:szCs w:val="18"/>
              </w:rPr>
              <w:t>供医疗部门用于提取人体的十二导联或十八导联 电波群，供临床诊断和研究。</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142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心电工作站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92"/>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医用诊</w:t>
            </w:r>
            <w:r>
              <w:rPr>
                <w:rFonts w:ascii="宋体" w:hAnsi="宋体" w:cs="宋体" w:eastAsia="宋体" w:hint="default"/>
                <w:w w:val="99"/>
                <w:sz w:val="18"/>
                <w:szCs w:val="18"/>
              </w:rPr>
              <w:t> </w:t>
            </w:r>
            <w:r>
              <w:rPr>
                <w:rFonts w:ascii="宋体" w:hAnsi="宋体" w:cs="宋体" w:eastAsia="宋体" w:hint="default"/>
                <w:sz w:val="18"/>
                <w:szCs w:val="18"/>
              </w:rPr>
              <w:t>察和监护器械</w:t>
            </w:r>
          </w:p>
          <w:p>
            <w:pPr>
              <w:pStyle w:val="TableParagraph"/>
              <w:spacing w:line="300" w:lineRule="auto" w:before="33"/>
              <w:ind w:left="259" w:right="113" w:hanging="144"/>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生理参数分</w:t>
            </w:r>
            <w:r>
              <w:rPr>
                <w:rFonts w:ascii="宋体" w:hAnsi="宋体" w:cs="宋体" w:eastAsia="宋体" w:hint="default"/>
                <w:w w:val="99"/>
                <w:sz w:val="18"/>
                <w:szCs w:val="18"/>
              </w:rPr>
              <w:t> </w:t>
            </w:r>
            <w:r>
              <w:rPr>
                <w:rFonts w:ascii="宋体" w:hAnsi="宋体" w:cs="宋体" w:eastAsia="宋体" w:hint="default"/>
                <w:sz w:val="18"/>
                <w:szCs w:val="18"/>
              </w:rPr>
              <w:t>析测量设备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20172211166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38" w:lineRule="auto"/>
              <w:ind w:left="568" w:right="451" w:hanging="1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ePCECG -12</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ePCECG-18</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4" w:lineRule="auto"/>
              <w:ind w:left="888" w:right="171" w:hanging="720"/>
              <w:jc w:val="left"/>
              <w:rPr>
                <w:rFonts w:ascii="宋体" w:hAnsi="宋体" w:cs="宋体" w:eastAsia="宋体" w:hint="default"/>
                <w:sz w:val="18"/>
                <w:szCs w:val="18"/>
              </w:rPr>
            </w:pPr>
            <w:r>
              <w:rPr>
                <w:rFonts w:ascii="宋体" w:hAnsi="宋体" w:cs="宋体" w:eastAsia="宋体" w:hint="default"/>
                <w:sz w:val="18"/>
                <w:szCs w:val="18"/>
              </w:rPr>
              <w:t>供医疗部门用于提取人体的十二导联或十八导联 电波群，供临床诊断和研究。</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141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5"/>
              <w:jc w:val="left"/>
              <w:rPr>
                <w:rFonts w:ascii="宋体" w:hAnsi="宋体" w:cs="宋体" w:eastAsia="宋体" w:hint="default"/>
                <w:sz w:val="18"/>
                <w:szCs w:val="18"/>
              </w:rPr>
            </w:pPr>
            <w:r>
              <w:rPr>
                <w:rFonts w:ascii="宋体" w:hAnsi="宋体" w:cs="宋体" w:eastAsia="宋体" w:hint="default"/>
                <w:spacing w:val="4"/>
                <w:sz w:val="18"/>
                <w:szCs w:val="18"/>
              </w:rPr>
              <w:t>心电信息网 </w:t>
            </w:r>
            <w:r>
              <w:rPr>
                <w:rFonts w:ascii="宋体" w:hAnsi="宋体" w:cs="宋体" w:eastAsia="宋体" w:hint="default"/>
                <w:sz w:val="18"/>
                <w:szCs w:val="18"/>
              </w:rPr>
              <w:t>络管理系统</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00" w:lineRule="auto"/>
              <w:ind w:left="115" w:right="113" w:firstLine="2"/>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医用软</w:t>
            </w:r>
            <w:r>
              <w:rPr>
                <w:rFonts w:ascii="宋体" w:hAnsi="宋体" w:cs="宋体" w:eastAsia="宋体" w:hint="default"/>
                <w:w w:val="99"/>
                <w:sz w:val="18"/>
                <w:szCs w:val="18"/>
              </w:rPr>
              <w:t> </w:t>
            </w:r>
            <w:r>
              <w:rPr>
                <w:rFonts w:ascii="宋体" w:hAnsi="宋体" w:cs="宋体" w:eastAsia="宋体" w:hint="default"/>
                <w:sz w:val="18"/>
                <w:szCs w:val="18"/>
              </w:rPr>
              <w:t>件</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数据处理</w:t>
            </w:r>
            <w:r>
              <w:rPr>
                <w:rFonts w:ascii="宋体" w:hAnsi="宋体" w:cs="宋体" w:eastAsia="宋体" w:hint="default"/>
                <w:w w:val="99"/>
                <w:sz w:val="18"/>
                <w:szCs w:val="18"/>
              </w:rPr>
              <w:t> </w:t>
            </w:r>
            <w:r>
              <w:rPr>
                <w:rFonts w:ascii="宋体" w:hAnsi="宋体" w:cs="宋体" w:eastAsia="宋体" w:hint="default"/>
                <w:sz w:val="18"/>
                <w:szCs w:val="18"/>
              </w:rPr>
              <w:t>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20162700983</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might-net</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103"/>
              <w:jc w:val="center"/>
              <w:rPr>
                <w:rFonts w:ascii="宋体" w:hAnsi="宋体" w:cs="宋体" w:eastAsia="宋体" w:hint="default"/>
                <w:sz w:val="18"/>
                <w:szCs w:val="18"/>
              </w:rPr>
            </w:pPr>
            <w:r>
              <w:rPr>
                <w:rFonts w:ascii="宋体" w:hAnsi="宋体" w:cs="宋体" w:eastAsia="宋体" w:hint="default"/>
                <w:spacing w:val="-3"/>
                <w:sz w:val="18"/>
                <w:szCs w:val="18"/>
              </w:rPr>
              <w:t>用于静态心电图、动态心电图数据的接收、查看和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编辑，报告打印，统计数据功能，不包括自动诊断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部分。</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95"/>
              <w:jc w:val="left"/>
              <w:rPr>
                <w:rFonts w:ascii="宋体" w:hAnsi="宋体" w:cs="宋体" w:eastAsia="宋体" w:hint="default"/>
                <w:sz w:val="18"/>
                <w:szCs w:val="18"/>
              </w:rPr>
            </w:pPr>
            <w:r>
              <w:rPr>
                <w:rFonts w:ascii="宋体" w:hAnsi="宋体" w:cs="宋体" w:eastAsia="宋体" w:hint="default"/>
                <w:spacing w:val="4"/>
                <w:sz w:val="18"/>
                <w:szCs w:val="18"/>
              </w:rPr>
              <w:t>移动动态心 </w:t>
            </w:r>
            <w:r>
              <w:rPr>
                <w:rFonts w:ascii="宋体" w:hAnsi="宋体" w:cs="宋体" w:eastAsia="宋体" w:hint="default"/>
                <w:sz w:val="18"/>
                <w:szCs w:val="18"/>
              </w:rPr>
              <w:t>电图工作站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67" w:right="127"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医用诊</w:t>
            </w:r>
            <w:r>
              <w:rPr>
                <w:rFonts w:ascii="宋体" w:hAnsi="宋体" w:cs="宋体" w:eastAsia="宋体" w:hint="default"/>
                <w:w w:val="99"/>
                <w:sz w:val="18"/>
                <w:szCs w:val="18"/>
              </w:rPr>
              <w:t> </w:t>
            </w:r>
            <w:r>
              <w:rPr>
                <w:rFonts w:ascii="宋体" w:hAnsi="宋体" w:cs="宋体" w:eastAsia="宋体" w:hint="default"/>
                <w:sz w:val="18"/>
                <w:szCs w:val="18"/>
              </w:rPr>
              <w:t>察和监护器械</w:t>
            </w:r>
          </w:p>
          <w:p>
            <w:pPr>
              <w:pStyle w:val="TableParagraph"/>
              <w:spacing w:line="300" w:lineRule="auto" w:before="33"/>
              <w:ind w:left="259" w:right="113" w:hanging="144"/>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生理参数分</w:t>
            </w:r>
            <w:r>
              <w:rPr>
                <w:rFonts w:ascii="宋体" w:hAnsi="宋体" w:cs="宋体" w:eastAsia="宋体" w:hint="default"/>
                <w:w w:val="99"/>
                <w:sz w:val="18"/>
                <w:szCs w:val="18"/>
              </w:rPr>
              <w:t> </w:t>
            </w:r>
            <w:r>
              <w:rPr>
                <w:rFonts w:ascii="宋体" w:hAnsi="宋体" w:cs="宋体" w:eastAsia="宋体" w:hint="default"/>
                <w:sz w:val="18"/>
                <w:szCs w:val="18"/>
              </w:rPr>
              <w:t>析测量设备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20152070376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03" w:right="55" w:hanging="5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e3</w:t>
            </w:r>
            <w:r>
              <w:rPr>
                <w:rFonts w:ascii="宋体" w:hAnsi="宋体" w:cs="宋体" w:eastAsia="宋体" w:hint="default"/>
                <w:sz w:val="18"/>
                <w:szCs w:val="18"/>
              </w:rPr>
              <w:t>、</w:t>
            </w:r>
            <w:r>
              <w:rPr>
                <w:rFonts w:ascii="Times New Roman" w:hAnsi="Times New Roman" w:cs="Times New Roman" w:eastAsia="Times New Roman" w:hint="default"/>
                <w:sz w:val="18"/>
                <w:szCs w:val="18"/>
              </w:rPr>
              <w:t>e12</w:t>
            </w:r>
            <w:r>
              <w:rPr>
                <w:rFonts w:ascii="宋体" w:hAnsi="宋体" w:cs="宋体" w:eastAsia="宋体" w:hint="default"/>
                <w:sz w:val="18"/>
                <w:szCs w:val="18"/>
              </w:rPr>
              <w:t>、</w:t>
            </w:r>
            <w:r>
              <w:rPr>
                <w:rFonts w:ascii="Times New Roman" w:hAnsi="Times New Roman" w:cs="Times New Roman" w:eastAsia="Times New Roman" w:hint="default"/>
                <w:sz w:val="18"/>
                <w:szCs w:val="18"/>
              </w:rPr>
              <w:t>e3</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w:t>
            </w:r>
            <w:r>
              <w:rPr>
                <w:rFonts w:ascii="Times New Roman" w:hAnsi="Times New Roman" w:cs="Times New Roman" w:eastAsia="Times New Roman" w:hint="default"/>
                <w:sz w:val="18"/>
                <w:szCs w:val="18"/>
              </w:rPr>
              <w:t>e12 plus</w:t>
            </w:r>
            <w:r>
              <w:rPr>
                <w:rFonts w:ascii="宋体" w:hAnsi="宋体" w:cs="宋体" w:eastAsia="宋体" w:hint="default"/>
                <w:sz w:val="18"/>
                <w:szCs w:val="18"/>
              </w:rPr>
              <w:t>、</w:t>
            </w:r>
            <w:r>
              <w:rPr>
                <w:rFonts w:ascii="Times New Roman" w:hAnsi="Times New Roman" w:cs="Times New Roman" w:eastAsia="Times New Roman" w:hint="default"/>
                <w:sz w:val="18"/>
                <w:szCs w:val="18"/>
              </w:rPr>
              <w:t>i3</w:t>
            </w:r>
            <w:r>
              <w:rPr>
                <w:rFonts w:ascii="宋体" w:hAnsi="宋体" w:cs="宋体" w:eastAsia="宋体" w:hint="default"/>
                <w:sz w:val="18"/>
                <w:szCs w:val="18"/>
              </w:rPr>
              <w:t>、</w:t>
            </w:r>
            <w:r>
              <w:rPr>
                <w:rFonts w:ascii="Times New Roman" w:hAnsi="Times New Roman" w:cs="Times New Roman" w:eastAsia="Times New Roman" w:hint="default"/>
                <w:sz w:val="18"/>
                <w:szCs w:val="18"/>
              </w:rPr>
              <w:t>i12</w:t>
            </w:r>
            <w:r>
              <w:rPr>
                <w:rFonts w:ascii="宋体" w:hAnsi="宋体" w:cs="宋体" w:eastAsia="宋体" w:hint="default"/>
                <w:sz w:val="18"/>
                <w:szCs w:val="18"/>
              </w:rPr>
              <w:t>、</w:t>
            </w:r>
            <w:r>
              <w:rPr>
                <w:rFonts w:ascii="Times New Roman" w:hAnsi="Times New Roman" w:cs="Times New Roman" w:eastAsia="Times New Roman" w:hint="default"/>
                <w:sz w:val="18"/>
                <w:szCs w:val="18"/>
              </w:rPr>
              <w:t>i3</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 </w:t>
            </w:r>
            <w:r>
              <w:rPr>
                <w:rFonts w:ascii="Times New Roman" w:hAnsi="Times New Roman" w:cs="Times New Roman" w:eastAsia="Times New Roman" w:hint="default"/>
                <w:sz w:val="18"/>
                <w:szCs w:val="18"/>
              </w:rPr>
              <w:t>i12</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w:t>
            </w:r>
            <w:r>
              <w:rPr>
                <w:rFonts w:ascii="Times New Roman" w:hAnsi="Times New Roman" w:cs="Times New Roman" w:eastAsia="Times New Roman" w:hint="default"/>
                <w:sz w:val="18"/>
                <w:szCs w:val="18"/>
              </w:rPr>
              <w:t>Mi-Rhythm</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9" w:right="0"/>
              <w:jc w:val="left"/>
              <w:rPr>
                <w:rFonts w:ascii="宋体" w:hAnsi="宋体" w:cs="宋体" w:eastAsia="宋体" w:hint="default"/>
                <w:sz w:val="18"/>
                <w:szCs w:val="18"/>
              </w:rPr>
            </w:pPr>
            <w:r>
              <w:rPr>
                <w:rFonts w:ascii="宋体" w:hAnsi="宋体" w:cs="宋体" w:eastAsia="宋体" w:hint="default"/>
                <w:sz w:val="18"/>
                <w:szCs w:val="18"/>
              </w:rPr>
              <w:t>供人体动态心电记录用</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9"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注册证延续原注 册证书：粤械注 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20152210376</w:t>
            </w:r>
          </w:p>
        </w:tc>
      </w:tr>
    </w:tbl>
    <w:p>
      <w:pPr>
        <w:spacing w:line="240" w:lineRule="auto" w:before="10"/>
        <w:rPr>
          <w:rFonts w:ascii="宋体" w:hAnsi="宋体" w:cs="宋体" w:eastAsia="宋体" w:hint="default"/>
          <w:sz w:val="17"/>
          <w:szCs w:val="17"/>
        </w:rPr>
      </w:pPr>
    </w:p>
    <w:p>
      <w:pPr>
        <w:pStyle w:val="BodyText"/>
        <w:spacing w:line="240" w:lineRule="auto" w:before="36"/>
        <w:ind w:left="100" w:right="0"/>
        <w:jc w:val="left"/>
      </w:pPr>
      <w:r>
        <w:rPr>
          <w:rFonts w:ascii="宋体" w:hAnsi="宋体" w:cs="宋体" w:eastAsia="宋体" w:hint="default"/>
        </w:rPr>
        <w:t>3</w:t>
      </w:r>
      <w:r>
        <w:rPr/>
        <w:t>、报告期内，已获得</w:t>
      </w:r>
      <w:r>
        <w:rPr>
          <w:rFonts w:ascii="宋体" w:hAnsi="宋体" w:cs="宋体" w:eastAsia="宋体" w:hint="default"/>
        </w:rPr>
        <w:t>FDA</w:t>
      </w:r>
      <w:r>
        <w:rPr/>
        <w:t>注册</w:t>
      </w:r>
      <w:r>
        <w:rPr>
          <w:rFonts w:ascii="宋体" w:hAnsi="宋体" w:cs="宋体" w:eastAsia="宋体" w:hint="default"/>
        </w:rPr>
        <w:t>K</w:t>
      </w:r>
      <w:r>
        <w:rPr/>
        <w:t>号的产品</w:t>
      </w:r>
    </w:p>
    <w:p>
      <w:pPr>
        <w:spacing w:after="0" w:line="240" w:lineRule="auto"/>
        <w:jc w:val="left"/>
        <w:sectPr>
          <w:pgSz w:w="16840" w:h="11910" w:orient="landscape"/>
          <w:pgMar w:header="867" w:footer="980" w:top="1060" w:bottom="1160" w:left="134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896"/>
        <w:gridCol w:w="1392"/>
        <w:gridCol w:w="1625"/>
        <w:gridCol w:w="997"/>
        <w:gridCol w:w="2916"/>
        <w:gridCol w:w="4671"/>
        <w:gridCol w:w="1390"/>
      </w:tblGrid>
      <w:tr>
        <w:trPr>
          <w:trHeight w:val="723" w:hRule="exact"/>
        </w:trPr>
        <w:tc>
          <w:tcPr>
            <w:tcW w:w="8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6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注册分类</w:t>
            </w:r>
          </w:p>
        </w:tc>
        <w:tc>
          <w:tcPr>
            <w:tcW w:w="9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29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产品型号</w:t>
            </w:r>
          </w:p>
        </w:tc>
        <w:tc>
          <w:tcPr>
            <w:tcW w:w="46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3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有效期至</w:t>
            </w:r>
          </w:p>
        </w:tc>
      </w:tr>
      <w:tr>
        <w:trPr>
          <w:trHeight w:val="71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K101681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TMB-986,TMB-987,TMB-995</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K120058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LS-802,TMB-1018,TMB-1018-A</w:t>
            </w:r>
            <w:r>
              <w:rPr>
                <w:rFonts w:ascii="宋体" w:hAnsi="宋体" w:cs="宋体" w:eastAsia="宋体" w:hint="default"/>
                <w:spacing w:val="-56"/>
                <w:sz w:val="18"/>
                <w:szCs w:val="18"/>
              </w:rPr>
              <w:t> </w:t>
            </w: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K122482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TMB-895,TMB-988,TMB-1014</w:t>
            </w:r>
            <w:r>
              <w:rPr>
                <w:rFonts w:ascii="宋体" w:hAnsi="宋体" w:cs="宋体" w:eastAsia="宋体" w:hint="default"/>
                <w:spacing w:val="-51"/>
                <w:sz w:val="18"/>
                <w:szCs w:val="18"/>
              </w:rPr>
              <w:t> </w:t>
            </w: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K123669</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TMB-1014-BT,LS810-B,TMB-1580-B</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T</w:t>
            </w:r>
            <w:r>
              <w:rPr>
                <w:rFonts w:ascii="宋体" w:hAnsi="宋体" w:cs="宋体" w:eastAsia="宋体" w:hint="default"/>
                <w:spacing w:val="-44"/>
                <w:sz w:val="18"/>
                <w:szCs w:val="18"/>
              </w:rPr>
              <w:t> </w:t>
            </w: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1008"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78" w:right="0"/>
              <w:jc w:val="left"/>
              <w:rPr>
                <w:rFonts w:ascii="宋体" w:hAnsi="宋体" w:cs="宋体" w:eastAsia="宋体" w:hint="default"/>
                <w:sz w:val="18"/>
                <w:szCs w:val="18"/>
              </w:rPr>
            </w:pPr>
            <w:r>
              <w:rPr>
                <w:rFonts w:ascii="宋体"/>
                <w:sz w:val="18"/>
              </w:rPr>
              <w:t>K131395</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LS802-B</w:t>
            </w:r>
            <w:r>
              <w:rPr>
                <w:rFonts w:ascii="宋体" w:hAnsi="宋体" w:cs="宋体" w:eastAsia="宋体" w:hint="default"/>
                <w:sz w:val="18"/>
                <w:szCs w:val="18"/>
              </w:rPr>
              <w:t>，</w:t>
            </w:r>
            <w:r>
              <w:rPr>
                <w:rFonts w:ascii="宋体" w:hAnsi="宋体" w:cs="宋体" w:eastAsia="宋体" w:hint="default"/>
                <w:sz w:val="18"/>
                <w:szCs w:val="18"/>
              </w:rPr>
              <w:t>LS805-B</w:t>
            </w:r>
            <w:r>
              <w:rPr>
                <w:rFonts w:ascii="宋体" w:hAnsi="宋体" w:cs="宋体" w:eastAsia="宋体" w:hint="default"/>
                <w:sz w:val="18"/>
                <w:szCs w:val="18"/>
              </w:rPr>
              <w:t>，</w:t>
            </w:r>
            <w:r>
              <w:rPr>
                <w:rFonts w:ascii="宋体" w:hAnsi="宋体" w:cs="宋体" w:eastAsia="宋体" w:hint="default"/>
                <w:sz w:val="18"/>
                <w:szCs w:val="18"/>
              </w:rPr>
              <w:t>TMB-1018-BT</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5"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K161886</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TMB-1591-A</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K181832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99" w:right="104" w:hanging="1596"/>
              <w:jc w:val="left"/>
              <w:rPr>
                <w:rFonts w:ascii="宋体" w:hAnsi="宋体" w:cs="宋体" w:eastAsia="宋体" w:hint="default"/>
                <w:sz w:val="18"/>
                <w:szCs w:val="18"/>
              </w:rPr>
            </w:pPr>
            <w:r>
              <w:rPr>
                <w:rFonts w:ascii="宋体" w:hAnsi="宋体" w:cs="宋体" w:eastAsia="宋体" w:hint="default"/>
                <w:spacing w:val="-2"/>
                <w:sz w:val="18"/>
                <w:szCs w:val="18"/>
              </w:rPr>
              <w:t>适用于以示波法测量成人的收缩压、舒张压和脉率，其数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值供诊断参考。</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958"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sz w:val="18"/>
              </w:rPr>
              <w:t>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78" w:right="0"/>
              <w:jc w:val="left"/>
              <w:rPr>
                <w:rFonts w:ascii="宋体" w:hAnsi="宋体" w:cs="宋体" w:eastAsia="宋体" w:hint="default"/>
                <w:sz w:val="18"/>
                <w:szCs w:val="18"/>
              </w:rPr>
            </w:pPr>
            <w:r>
              <w:rPr>
                <w:rFonts w:ascii="宋体"/>
                <w:sz w:val="18"/>
              </w:rPr>
              <w:t>K102191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GBF-830, GBF-835, GBF-950</w:t>
            </w:r>
            <w:r>
              <w:rPr>
                <w:rFonts w:ascii="宋体" w:hAnsi="宋体" w:cs="宋体" w:eastAsia="宋体" w:hint="default"/>
                <w:spacing w:val="-57"/>
                <w:sz w:val="18"/>
                <w:szCs w:val="18"/>
              </w:rPr>
              <w:t> </w:t>
            </w: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799" w:right="56" w:hanging="696"/>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K112932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GBF-733-W1, GBF-1012,</w:t>
            </w:r>
            <w:r>
              <w:rPr>
                <w:rFonts w:ascii="宋体"/>
                <w:spacing w:val="-10"/>
                <w:sz w:val="18"/>
              </w:rPr>
              <w:t> </w:t>
            </w:r>
            <w:r>
              <w:rPr>
                <w:rFonts w:ascii="宋体"/>
                <w:sz w:val="18"/>
              </w:rPr>
              <w:t>BF-1039</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9" w:right="56" w:hanging="696"/>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6"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K123781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LS206-E</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99" w:right="56" w:hanging="696"/>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713" w:hRule="exact"/>
        </w:trPr>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sz w:val="18"/>
              </w:rPr>
              <w:t>K130311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35" w:right="462" w:hanging="476"/>
              <w:jc w:val="left"/>
              <w:rPr>
                <w:rFonts w:ascii="宋体" w:hAnsi="宋体" w:cs="宋体" w:eastAsia="宋体" w:hint="default"/>
                <w:sz w:val="18"/>
                <w:szCs w:val="18"/>
              </w:rPr>
            </w:pPr>
            <w:r>
              <w:rPr>
                <w:rFonts w:ascii="宋体" w:hAnsi="宋体" w:cs="宋体" w:eastAsia="宋体" w:hint="default"/>
                <w:sz w:val="18"/>
                <w:szCs w:val="18"/>
              </w:rPr>
              <w:t>GBF-1251-B,</w:t>
            </w:r>
            <w:r>
              <w:rPr>
                <w:rFonts w:ascii="宋体" w:hAnsi="宋体" w:cs="宋体" w:eastAsia="宋体" w:hint="default"/>
                <w:spacing w:val="-7"/>
                <w:sz w:val="18"/>
                <w:szCs w:val="18"/>
              </w:rPr>
              <w:t> </w:t>
            </w:r>
            <w:r>
              <w:rPr>
                <w:rFonts w:ascii="宋体" w:hAnsi="宋体" w:cs="宋体" w:eastAsia="宋体" w:hint="default"/>
                <w:sz w:val="18"/>
                <w:szCs w:val="18"/>
              </w:rPr>
              <w:t>BF-1255-B,</w:t>
            </w:r>
            <w:r>
              <w:rPr>
                <w:rFonts w:ascii="宋体" w:hAnsi="宋体" w:cs="宋体" w:eastAsia="宋体" w:hint="default"/>
                <w:sz w:val="18"/>
                <w:szCs w:val="18"/>
              </w:rPr>
              <w:t> BF-1256-B</w:t>
            </w:r>
            <w:r>
              <w:rPr>
                <w:rFonts w:ascii="宋体" w:hAnsi="宋体" w:cs="宋体" w:eastAsia="宋体" w:hint="default"/>
                <w:spacing w:val="-47"/>
                <w:sz w:val="18"/>
                <w:szCs w:val="18"/>
              </w:rPr>
              <w:t> </w:t>
            </w:r>
            <w:r>
              <w:rPr>
                <w:rFonts w:ascii="宋体" w:hAnsi="宋体" w:cs="宋体" w:eastAsia="宋体" w:hint="default"/>
                <w:sz w:val="18"/>
                <w:szCs w:val="18"/>
              </w:rPr>
              <w:t>等</w:t>
            </w:r>
          </w:p>
        </w:tc>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9" w:right="56" w:hanging="696"/>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长期有效</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6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251" w:type="dxa"/>
        <w:tblLayout w:type="fixed"/>
        <w:tblCellMar>
          <w:top w:w="0" w:type="dxa"/>
          <w:left w:w="0" w:type="dxa"/>
          <w:bottom w:w="0" w:type="dxa"/>
          <w:right w:w="0" w:type="dxa"/>
        </w:tblCellMar>
        <w:tblLook w:val="01E0"/>
      </w:tblPr>
      <w:tblGrid>
        <w:gridCol w:w="896"/>
        <w:gridCol w:w="1392"/>
        <w:gridCol w:w="1625"/>
        <w:gridCol w:w="997"/>
        <w:gridCol w:w="2916"/>
        <w:gridCol w:w="4671"/>
        <w:gridCol w:w="1390"/>
      </w:tblGrid>
      <w:tr>
        <w:trPr>
          <w:trHeight w:val="912" w:hRule="exact"/>
        </w:trPr>
        <w:tc>
          <w:tcPr>
            <w:tcW w:w="8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sz w:val="18"/>
              </w:rPr>
              <w:t>12</w:t>
            </w:r>
          </w:p>
        </w:tc>
        <w:tc>
          <w:tcPr>
            <w:tcW w:w="13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脂肪测量仪</w:t>
            </w:r>
          </w:p>
        </w:tc>
        <w:tc>
          <w:tcPr>
            <w:tcW w:w="16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II</w:t>
            </w:r>
            <w:r>
              <w:rPr>
                <w:rFonts w:ascii="宋体" w:hAnsi="宋体" w:cs="宋体" w:eastAsia="宋体" w:hint="default"/>
                <w:spacing w:val="-43"/>
                <w:sz w:val="18"/>
                <w:szCs w:val="18"/>
              </w:rPr>
              <w:t> </w:t>
            </w:r>
            <w:r>
              <w:rPr>
                <w:rFonts w:ascii="宋体" w:hAnsi="宋体" w:cs="宋体" w:eastAsia="宋体" w:hint="default"/>
                <w:sz w:val="18"/>
                <w:szCs w:val="18"/>
              </w:rPr>
              <w:t>类医疗器械</w:t>
            </w:r>
          </w:p>
        </w:tc>
        <w:tc>
          <w:tcPr>
            <w:tcW w:w="9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78" w:right="0"/>
              <w:jc w:val="left"/>
              <w:rPr>
                <w:rFonts w:ascii="宋体" w:hAnsi="宋体" w:cs="宋体" w:eastAsia="宋体" w:hint="default"/>
                <w:sz w:val="18"/>
                <w:szCs w:val="18"/>
              </w:rPr>
            </w:pPr>
            <w:r>
              <w:rPr>
                <w:rFonts w:ascii="宋体"/>
                <w:sz w:val="18"/>
              </w:rPr>
              <w:t>K131394</w:t>
            </w:r>
          </w:p>
        </w:tc>
        <w:tc>
          <w:tcPr>
            <w:tcW w:w="29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686" w:right="0"/>
              <w:jc w:val="left"/>
              <w:rPr>
                <w:rFonts w:ascii="宋体" w:hAnsi="宋体" w:cs="宋体" w:eastAsia="宋体" w:hint="default"/>
                <w:sz w:val="18"/>
                <w:szCs w:val="18"/>
              </w:rPr>
            </w:pPr>
            <w:r>
              <w:rPr>
                <w:rFonts w:ascii="宋体"/>
                <w:sz w:val="18"/>
              </w:rPr>
              <w:t>LS203-B,</w:t>
            </w:r>
            <w:r>
              <w:rPr>
                <w:rFonts w:ascii="宋体"/>
                <w:spacing w:val="-3"/>
                <w:sz w:val="18"/>
              </w:rPr>
              <w:t> </w:t>
            </w:r>
            <w:r>
              <w:rPr>
                <w:rFonts w:ascii="宋体"/>
                <w:sz w:val="18"/>
              </w:rPr>
              <w:t>LS202-B5</w:t>
            </w:r>
          </w:p>
        </w:tc>
        <w:tc>
          <w:tcPr>
            <w:tcW w:w="467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43"/>
              <w:ind w:left="799" w:right="56" w:hanging="696"/>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长期有效</w:t>
            </w:r>
          </w:p>
        </w:tc>
      </w:tr>
    </w:tbl>
    <w:p>
      <w:pPr>
        <w:spacing w:line="240" w:lineRule="auto" w:before="2"/>
        <w:rPr>
          <w:rFonts w:ascii="Times New Roman" w:hAnsi="Times New Roman" w:cs="Times New Roman" w:eastAsia="Times New Roman" w:hint="default"/>
          <w:sz w:val="20"/>
          <w:szCs w:val="20"/>
        </w:rPr>
      </w:pPr>
    </w:p>
    <w:p>
      <w:pPr>
        <w:pStyle w:val="BodyText"/>
        <w:spacing w:line="240" w:lineRule="auto" w:before="36"/>
        <w:ind w:left="220" w:right="0"/>
        <w:jc w:val="left"/>
      </w:pPr>
      <w:r>
        <w:rPr>
          <w:rFonts w:ascii="宋体" w:hAnsi="宋体" w:cs="宋体" w:eastAsia="宋体" w:hint="default"/>
        </w:rPr>
        <w:t>4</w:t>
      </w:r>
      <w:r>
        <w:rPr/>
        <w:t>、报告期内，已获得</w:t>
      </w:r>
      <w:r>
        <w:rPr>
          <w:rFonts w:ascii="宋体" w:hAnsi="宋体" w:cs="宋体" w:eastAsia="宋体" w:hint="default"/>
        </w:rPr>
        <w:t>CE</w:t>
      </w:r>
      <w:r>
        <w:rPr/>
        <w:t>证书情况</w:t>
      </w:r>
    </w:p>
    <w:p>
      <w:pPr>
        <w:spacing w:line="240" w:lineRule="auto" w:before="1"/>
        <w:rPr>
          <w:rFonts w:ascii="宋体" w:hAnsi="宋体" w:cs="宋体" w:eastAsia="宋体" w:hint="default"/>
          <w:sz w:val="25"/>
          <w:szCs w:val="25"/>
        </w:rPr>
      </w:pPr>
    </w:p>
    <w:tbl>
      <w:tblPr>
        <w:tblW w:w="0" w:type="auto"/>
        <w:jc w:val="left"/>
        <w:tblInd w:w="301" w:type="dxa"/>
        <w:tblLayout w:type="fixed"/>
        <w:tblCellMar>
          <w:top w:w="0" w:type="dxa"/>
          <w:left w:w="0" w:type="dxa"/>
          <w:bottom w:w="0" w:type="dxa"/>
          <w:right w:w="0" w:type="dxa"/>
        </w:tblCellMar>
        <w:tblLook w:val="01E0"/>
      </w:tblPr>
      <w:tblGrid>
        <w:gridCol w:w="900"/>
        <w:gridCol w:w="1541"/>
        <w:gridCol w:w="1531"/>
        <w:gridCol w:w="2278"/>
        <w:gridCol w:w="4916"/>
        <w:gridCol w:w="1769"/>
        <w:gridCol w:w="852"/>
      </w:tblGrid>
      <w:tr>
        <w:trPr>
          <w:trHeight w:val="65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注册类型</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有效期至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1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类医疗器械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NO.G1 16 </w:t>
            </w:r>
            <w:r>
              <w:rPr>
                <w:rFonts w:ascii="Times New Roman"/>
                <w:spacing w:val="-5"/>
                <w:sz w:val="18"/>
              </w:rPr>
              <w:t>11 </w:t>
            </w:r>
            <w:r>
              <w:rPr>
                <w:rFonts w:ascii="Times New Roman"/>
                <w:sz w:val="18"/>
              </w:rPr>
              <w:t>82800</w:t>
            </w:r>
            <w:r>
              <w:rPr>
                <w:rFonts w:ascii="Times New Roman"/>
                <w:spacing w:val="1"/>
                <w:sz w:val="18"/>
              </w:rPr>
              <w:t> </w:t>
            </w:r>
            <w:r>
              <w:rPr>
                <w:rFonts w:ascii="Times New Roman"/>
                <w:sz w:val="18"/>
              </w:rPr>
              <w:t>026</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 供诊断参考。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08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34" w:right="134"/>
              <w:jc w:val="center"/>
              <w:rPr>
                <w:rFonts w:ascii="宋体" w:hAnsi="宋体" w:cs="宋体" w:eastAsia="宋体" w:hint="default"/>
                <w:sz w:val="18"/>
                <w:szCs w:val="18"/>
              </w:rPr>
            </w:pPr>
            <w:r>
              <w:rPr>
                <w:rFonts w:ascii="宋体" w:hAnsi="宋体" w:cs="宋体" w:eastAsia="宋体" w:hint="default"/>
                <w:sz w:val="18"/>
                <w:szCs w:val="18"/>
              </w:rPr>
              <w:t>移动动态心电图 工作站，多参数 监护仪，心电工 作站和数字式多 道心电图机</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类医疗器械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NO.G1 090813 0010</w:t>
            </w:r>
            <w:r>
              <w:rPr>
                <w:rFonts w:ascii="Times New Roman"/>
                <w:spacing w:val="-5"/>
                <w:sz w:val="18"/>
              </w:rPr>
              <w:t> </w:t>
            </w:r>
            <w:r>
              <w:rPr>
                <w:rFonts w:ascii="Times New Roman"/>
                <w:spacing w:val="-3"/>
                <w:sz w:val="18"/>
              </w:rPr>
              <w:t>Rev.0</w:t>
            </w:r>
          </w:p>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0</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120"/>
              <w:jc w:val="left"/>
              <w:rPr>
                <w:rFonts w:ascii="宋体" w:hAnsi="宋体" w:cs="宋体" w:eastAsia="宋体" w:hint="default"/>
                <w:sz w:val="18"/>
                <w:szCs w:val="18"/>
              </w:rPr>
            </w:pPr>
            <w:r>
              <w:rPr>
                <w:rFonts w:ascii="宋体" w:hAnsi="宋体" w:cs="宋体" w:eastAsia="宋体" w:hint="default"/>
                <w:sz w:val="18"/>
                <w:szCs w:val="18"/>
              </w:rPr>
              <w:t>移动动态心电图工作站：供人体动态心电记录用。 多参数监护仪：供患者的心电、无创血压、体温、呼吸指数 监测用。</w:t>
            </w:r>
          </w:p>
          <w:p>
            <w:pPr>
              <w:pStyle w:val="TableParagraph"/>
              <w:spacing w:line="338" w:lineRule="auto" w:before="43"/>
              <w:ind w:left="103" w:right="120"/>
              <w:jc w:val="left"/>
              <w:rPr>
                <w:rFonts w:ascii="宋体" w:hAnsi="宋体" w:cs="宋体" w:eastAsia="宋体" w:hint="default"/>
                <w:sz w:val="18"/>
                <w:szCs w:val="18"/>
              </w:rPr>
            </w:pPr>
            <w:r>
              <w:rPr>
                <w:rFonts w:ascii="宋体" w:hAnsi="宋体" w:cs="宋体" w:eastAsia="宋体" w:hint="default"/>
                <w:sz w:val="18"/>
                <w:szCs w:val="18"/>
              </w:rPr>
              <w:t>心电工作站：供人体动态心电记录用。 数字式多道心电图机：供医疗部门用于提取人体的十二导联 或十八导联电波群，供临床诊断和研究。</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220" w:right="0"/>
        <w:jc w:val="left"/>
      </w:pPr>
      <w:r>
        <w:rPr>
          <w:rFonts w:ascii="宋体" w:hAnsi="宋体" w:cs="宋体" w:eastAsia="宋体" w:hint="default"/>
        </w:rPr>
        <w:t>5</w:t>
      </w:r>
      <w:r>
        <w:rPr/>
        <w:t>、本报告期末及去年同期的医疗器械产品注册证的数量</w:t>
      </w:r>
    </w:p>
    <w:p>
      <w:pPr>
        <w:spacing w:line="240" w:lineRule="auto" w:before="3"/>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989"/>
        <w:gridCol w:w="2537"/>
        <w:gridCol w:w="2014"/>
        <w:gridCol w:w="2026"/>
      </w:tblGrid>
      <w:tr>
        <w:trPr>
          <w:trHeight w:val="540"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医疗器械注册证</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FDA</w:t>
            </w:r>
            <w:r>
              <w:rPr>
                <w:rFonts w:ascii="宋体" w:hAnsi="宋体" w:cs="宋体" w:eastAsia="宋体" w:hint="default"/>
                <w:spacing w:val="-45"/>
                <w:sz w:val="18"/>
                <w:szCs w:val="18"/>
              </w:rPr>
              <w:t> </w:t>
            </w:r>
            <w:r>
              <w:rPr>
                <w:rFonts w:ascii="宋体" w:hAnsi="宋体" w:cs="宋体" w:eastAsia="宋体" w:hint="default"/>
                <w:sz w:val="18"/>
                <w:szCs w:val="18"/>
              </w:rPr>
              <w:t>注册</w:t>
            </w:r>
            <w:r>
              <w:rPr>
                <w:rFonts w:ascii="宋体" w:hAnsi="宋体" w:cs="宋体" w:eastAsia="宋体" w:hint="default"/>
                <w:spacing w:val="-48"/>
                <w:sz w:val="18"/>
                <w:szCs w:val="18"/>
              </w:rPr>
              <w:t> </w:t>
            </w:r>
            <w:r>
              <w:rPr>
                <w:rFonts w:ascii="宋体" w:hAnsi="宋体" w:cs="宋体" w:eastAsia="宋体" w:hint="default"/>
                <w:sz w:val="18"/>
                <w:szCs w:val="18"/>
              </w:rPr>
              <w:t>K</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CE</w:t>
            </w:r>
            <w:r>
              <w:rPr>
                <w:rFonts w:ascii="宋体" w:hAnsi="宋体" w:cs="宋体" w:eastAsia="宋体" w:hint="default"/>
                <w:spacing w:val="-43"/>
                <w:sz w:val="18"/>
                <w:szCs w:val="18"/>
              </w:rPr>
              <w:t> </w:t>
            </w:r>
            <w:r>
              <w:rPr>
                <w:rFonts w:ascii="宋体" w:hAnsi="宋体" w:cs="宋体" w:eastAsia="宋体" w:hint="default"/>
                <w:sz w:val="18"/>
                <w:szCs w:val="18"/>
              </w:rPr>
              <w:t>证</w:t>
            </w:r>
          </w:p>
        </w:tc>
      </w:tr>
      <w:tr>
        <w:trPr>
          <w:trHeight w:val="47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本报告期末数量</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10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w:t>
            </w:r>
          </w:p>
        </w:tc>
      </w:tr>
      <w:tr>
        <w:trPr>
          <w:trHeight w:val="617"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去年同期末注册证数量</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11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2</w:t>
            </w:r>
          </w:p>
        </w:tc>
      </w:tr>
      <w:tr>
        <w:trPr>
          <w:trHeight w:val="617"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本报告期新增或失效证书数量</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
              <w:jc w:val="center"/>
              <w:rPr>
                <w:rFonts w:ascii="宋体" w:hAnsi="宋体" w:cs="宋体" w:eastAsia="宋体" w:hint="default"/>
                <w:sz w:val="18"/>
                <w:szCs w:val="18"/>
              </w:rPr>
            </w:pPr>
            <w:r>
              <w:rPr>
                <w:rFonts w:ascii="宋体"/>
                <w:sz w:val="18"/>
              </w:rPr>
              <w:t>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1</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220" w:right="13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before="36"/>
        <w:ind w:right="1119"/>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281"/>
        <w:gridCol w:w="2268"/>
        <w:gridCol w:w="2269"/>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964,965,968.37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854,074,788.39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890,008,169.78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768,918,607.62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74,957,798.59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85,156,180.77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348,504,242.76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590,602,588.88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-40.99%</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503,536,658.29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554,160,112.77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-155,032,415.53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36,442,476.11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-525.42%</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76,519,280.96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48,074,157.73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69,492,939.77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54,616,127.58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27.24%</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7,026,341.19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-6,541,969.85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207.40%</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-71,152,419.24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114,367,571.81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119" w:firstLine="420"/>
        <w:jc w:val="left"/>
      </w:pPr>
      <w:r>
        <w:rPr>
          <w:rFonts w:ascii="宋体" w:hAnsi="宋体" w:cs="宋体" w:eastAsia="宋体" w:hint="default"/>
          <w:spacing w:val="-2"/>
        </w:rPr>
        <w:t>1</w:t>
      </w:r>
      <w:r>
        <w:rPr>
          <w:spacing w:val="-2"/>
        </w:rPr>
        <w:t>、经营活动产生的现金流量净额本报告期较上年同期减少</w:t>
      </w:r>
      <w:r>
        <w:rPr>
          <w:rFonts w:ascii="宋体" w:hAnsi="宋体" w:cs="宋体" w:eastAsia="宋体" w:hint="default"/>
          <w:spacing w:val="-2"/>
        </w:rPr>
        <w:t>1,019.84</w:t>
      </w:r>
      <w:r>
        <w:rPr>
          <w:spacing w:val="-2"/>
        </w:rPr>
        <w:t>万元，变动幅度</w:t>
      </w:r>
      <w:r>
        <w:rPr>
          <w:rFonts w:ascii="宋体" w:hAnsi="宋体" w:cs="宋体" w:eastAsia="宋体" w:hint="default"/>
          <w:spacing w:val="-2"/>
        </w:rPr>
        <w:t>-11.98%</w:t>
      </w:r>
      <w:r>
        <w:rPr>
          <w:spacing w:val="-2"/>
        </w:rPr>
        <w:t>，主要系</w:t>
      </w:r>
      <w:r>
        <w:rPr>
          <w:w w:val="100"/>
        </w:rPr>
        <w:t> </w:t>
      </w:r>
      <w:r>
        <w:rPr/>
        <w:t>报告期支付给职工以及为职工支付的现金增加所致。</w:t>
      </w:r>
    </w:p>
    <w:p>
      <w:pPr>
        <w:pStyle w:val="BodyText"/>
        <w:spacing w:line="408" w:lineRule="auto"/>
        <w:ind w:right="1119" w:firstLine="420"/>
        <w:jc w:val="left"/>
      </w:pPr>
      <w:r>
        <w:rPr>
          <w:rFonts w:ascii="宋体" w:hAnsi="宋体" w:cs="宋体" w:eastAsia="宋体" w:hint="default"/>
          <w:spacing w:val="-2"/>
        </w:rPr>
        <w:t>2</w:t>
      </w:r>
      <w:r>
        <w:rPr>
          <w:spacing w:val="-2"/>
        </w:rPr>
        <w:t>、投资活动产生的现金流量净额较上年同期减少</w:t>
      </w:r>
      <w:r>
        <w:rPr>
          <w:rFonts w:ascii="宋体" w:hAnsi="宋体" w:cs="宋体" w:eastAsia="宋体" w:hint="default"/>
          <w:spacing w:val="-2"/>
        </w:rPr>
        <w:t>19,147.49</w:t>
      </w:r>
      <w:r>
        <w:rPr>
          <w:spacing w:val="-2"/>
        </w:rPr>
        <w:t>万元，变动幅度</w:t>
      </w:r>
      <w:r>
        <w:rPr>
          <w:rFonts w:ascii="宋体" w:hAnsi="宋体" w:cs="宋体" w:eastAsia="宋体" w:hint="default"/>
          <w:spacing w:val="-2"/>
        </w:rPr>
        <w:t>-525.42%</w:t>
      </w:r>
      <w:r>
        <w:rPr>
          <w:spacing w:val="-2"/>
        </w:rPr>
        <w:t>，主要系本报告</w:t>
      </w:r>
      <w:r>
        <w:rPr>
          <w:w w:val="100"/>
        </w:rPr>
        <w:t> </w:t>
      </w:r>
      <w:r>
        <w:rPr/>
        <w:t>期闲置募集资金购买的银行理财产品到期收回较上期减少所致。</w:t>
      </w:r>
    </w:p>
    <w:p>
      <w:pPr>
        <w:pStyle w:val="BodyText"/>
        <w:spacing w:line="408" w:lineRule="auto"/>
        <w:ind w:right="1119" w:firstLine="420"/>
        <w:jc w:val="left"/>
      </w:pPr>
      <w:r>
        <w:rPr>
          <w:rFonts w:ascii="宋体" w:hAnsi="宋体" w:cs="宋体" w:eastAsia="宋体" w:hint="default"/>
          <w:spacing w:val="-2"/>
        </w:rPr>
        <w:t>3</w:t>
      </w:r>
      <w:r>
        <w:rPr>
          <w:spacing w:val="-2"/>
        </w:rPr>
        <w:t>、筹资活动产生的现金流量净额较上年同期增加</w:t>
      </w:r>
      <w:r>
        <w:rPr>
          <w:rFonts w:ascii="宋体" w:hAnsi="宋体" w:cs="宋体" w:eastAsia="宋体" w:hint="default"/>
          <w:spacing w:val="-2"/>
        </w:rPr>
        <w:t>1,356.83</w:t>
      </w:r>
      <w:r>
        <w:rPr>
          <w:spacing w:val="-2"/>
        </w:rPr>
        <w:t>万元，变动幅度</w:t>
      </w:r>
      <w:r>
        <w:rPr>
          <w:rFonts w:ascii="宋体" w:hAnsi="宋体" w:cs="宋体" w:eastAsia="宋体" w:hint="default"/>
          <w:spacing w:val="-2"/>
        </w:rPr>
        <w:t>207.40%</w:t>
      </w:r>
      <w:r>
        <w:rPr>
          <w:spacing w:val="-2"/>
        </w:rPr>
        <w:t>，主要系本报告期</w:t>
      </w:r>
      <w:r>
        <w:rPr>
          <w:w w:val="100"/>
        </w:rPr>
        <w:t> </w:t>
      </w:r>
      <w:r>
        <w:rPr/>
        <w:t>向金融机构借款较上年同期增加所致。</w:t>
      </w:r>
    </w:p>
    <w:p>
      <w:pPr>
        <w:spacing w:line="403" w:lineRule="auto" w:before="46"/>
        <w:ind w:left="152" w:right="1119" w:firstLine="420"/>
        <w:jc w:val="left"/>
        <w:rPr>
          <w:rFonts w:ascii="宋体" w:hAnsi="宋体" w:cs="宋体" w:eastAsia="宋体" w:hint="default"/>
          <w:sz w:val="18"/>
          <w:szCs w:val="18"/>
        </w:rPr>
      </w:pPr>
      <w:r>
        <w:rPr>
          <w:rFonts w:ascii="宋体" w:hAnsi="宋体" w:cs="宋体" w:eastAsia="宋体" w:hint="default"/>
          <w:spacing w:val="-2"/>
          <w:sz w:val="21"/>
          <w:szCs w:val="21"/>
        </w:rPr>
        <w:t>4</w:t>
      </w:r>
      <w:r>
        <w:rPr>
          <w:rFonts w:ascii="宋体" w:hAnsi="宋体" w:cs="宋体" w:eastAsia="宋体" w:hint="default"/>
          <w:spacing w:val="-2"/>
          <w:sz w:val="21"/>
          <w:szCs w:val="21"/>
        </w:rPr>
        <w:t>、现金及现金等价物净增加额本报告期较上年同期减少</w:t>
      </w:r>
      <w:r>
        <w:rPr>
          <w:rFonts w:ascii="宋体" w:hAnsi="宋体" w:cs="宋体" w:eastAsia="宋体" w:hint="default"/>
          <w:spacing w:val="-2"/>
          <w:sz w:val="21"/>
          <w:szCs w:val="21"/>
        </w:rPr>
        <w:t>18,552.00</w:t>
      </w:r>
      <w:r>
        <w:rPr>
          <w:rFonts w:ascii="宋体" w:hAnsi="宋体" w:cs="宋体" w:eastAsia="宋体" w:hint="default"/>
          <w:spacing w:val="-2"/>
          <w:sz w:val="21"/>
          <w:szCs w:val="21"/>
        </w:rPr>
        <w:t>万元，变动幅度</w:t>
      </w:r>
      <w:r>
        <w:rPr>
          <w:rFonts w:ascii="宋体" w:hAnsi="宋体" w:cs="宋体" w:eastAsia="宋体" w:hint="default"/>
          <w:spacing w:val="-2"/>
          <w:sz w:val="21"/>
          <w:szCs w:val="21"/>
        </w:rPr>
        <w:t>-162.21%</w:t>
      </w:r>
      <w:r>
        <w:rPr>
          <w:rFonts w:ascii="宋体" w:hAnsi="宋体" w:cs="宋体" w:eastAsia="宋体" w:hint="default"/>
          <w:spacing w:val="-2"/>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本报告期闲置募集资金购买的银行理财产品到期收回较上期减少所致。</w:t>
      </w:r>
      <w:r>
        <w:rPr>
          <w:rFonts w:ascii="宋体" w:hAnsi="宋体" w:cs="宋体" w:eastAsia="宋体" w:hint="default"/>
          <w:w w:val="100"/>
          <w:sz w:val="21"/>
          <w:szCs w:val="21"/>
        </w:rPr>
        <w:t> </w:t>
      </w:r>
      <w:r>
        <w:rPr>
          <w:rFonts w:ascii="宋体" w:hAnsi="宋体" w:cs="宋体" w:eastAsia="宋体" w:hint="default"/>
          <w:sz w:val="18"/>
          <w:szCs w:val="18"/>
        </w:rPr>
        <w:t>报告期内公司经营活动产生的现金净流量与本年度净利润存在重大差异的原因说明</w:t>
      </w:r>
    </w:p>
    <w:p>
      <w:pPr>
        <w:spacing w:line="242" w:lineRule="exact"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9"/>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07"/>
        <w:gridCol w:w="1313"/>
        <w:gridCol w:w="1417"/>
        <w:gridCol w:w="3970"/>
        <w:gridCol w:w="1702"/>
      </w:tblGrid>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-32,575.82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2" w:right="0"/>
              <w:jc w:val="left"/>
              <w:rPr>
                <w:rFonts w:ascii="Times New Roman" w:hAnsi="Times New Roman" w:cs="Times New Roman" w:eastAsia="Times New Roman" w:hint="default"/>
                <w:sz w:val="18"/>
                <w:szCs w:val="18"/>
              </w:rPr>
            </w:pPr>
            <w:r>
              <w:rPr>
                <w:rFonts w:ascii="Times New Roman"/>
                <w:sz w:val="18"/>
              </w:rPr>
              <w:t>-0.09%</w:t>
            </w:r>
          </w:p>
        </w:tc>
        <w:tc>
          <w:tcPr>
            <w:tcW w:w="3970"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主要系本报告期将闲置募集资金购买银行理财产 </w:t>
            </w:r>
            <w:r>
              <w:rPr>
                <w:rFonts w:ascii="宋体" w:hAnsi="宋体" w:cs="宋体" w:eastAsia="宋体" w:hint="default"/>
                <w:spacing w:val="-3"/>
                <w:sz w:val="18"/>
                <w:szCs w:val="18"/>
              </w:rPr>
              <w:t>品确认利息收益、远期外汇结算合约到期交割产生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的投资损失及确认控股子公司投资损失所致。</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3" w:type="dxa"/>
            <w:vMerge/>
            <w:tcBorders>
              <w:left w:val="single" w:sz="9"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397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headerReference w:type="default" r:id="rId14"/>
          <w:footerReference w:type="default" r:id="rId15"/>
          <w:pgSz w:w="11910" w:h="16840"/>
          <w:pgMar w:header="877" w:footer="980" w:top="1100" w:bottom="1160" w:left="980" w:right="0"/>
          <w:pgNumType w:start="35"/>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18"/>
        <w:gridCol w:w="1313"/>
        <w:gridCol w:w="1417"/>
        <w:gridCol w:w="3970"/>
        <w:gridCol w:w="1702"/>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4,239,077.00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11.50%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主要系本报告期公司未到期远期外汇结算合约产 生的公允价值变动收益及确认子公司业绩补偿所 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-1,042,382.59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主要系本报告期确认商誉减值所致。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368,884.61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本期系本报告期子公司瑞康宏业收到清迁补偿所 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1,162,961.16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主要系本报告期对外捐赠所致。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9,383,155.28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25.46%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主要系本报告期嵌入式软件增值税实际税负超过</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的部分即征即退税及政府补助所致。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right="1119"/>
        <w:jc w:val="left"/>
        <w:rPr>
          <w:b w:val="0"/>
          <w:bCs w:val="0"/>
        </w:rPr>
      </w:pP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061"/>
        <w:gridCol w:w="1195"/>
        <w:gridCol w:w="1064"/>
        <w:gridCol w:w="799"/>
        <w:gridCol w:w="2919"/>
      </w:tblGrid>
      <w:tr>
        <w:trPr>
          <w:trHeight w:val="379" w:hRule="exact"/>
        </w:trPr>
        <w:tc>
          <w:tcPr>
            <w:tcW w:w="1368"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38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9"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68" w:type="dxa"/>
            <w:vMerge w:val="restart"/>
            <w:tcBorders>
              <w:top w:val="single" w:sz="13" w:space="0" w:color="FFFFFF"/>
              <w:left w:val="single" w:sz="4" w:space="0" w:color="000000"/>
              <w:right w:val="single" w:sz="4" w:space="0" w:color="000000"/>
            </w:tcBorders>
            <w:shd w:val="clear" w:color="auto" w:fill="D2D2D2"/>
          </w:tcPr>
          <w:p>
            <w:pPr/>
          </w:p>
        </w:tc>
        <w:tc>
          <w:tcPr>
            <w:tcW w:w="1327"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224,218,906.86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22.84%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296,997,118.00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33.49%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-10.65%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主要系本报告期末对闲置募集资金 进行现金管理的金额增加所致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199,448,422.94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171,708,408.00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19.36%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主要系报告期第四季度行业客户销 售收入增加所致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93,219,482.70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9.50%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87,366,384.41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9.85%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主要系报告期末为行业客户出货备 料，以及在产品增加所致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7,114,470.75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主要系本报告期内新增对外投资</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139,952,812.05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142,243,575.37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23,962,815.59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2.44%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7,491,643.82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0.84%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主要系本报告期乐心产业园三期工 程投入建设所致。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vMerge/>
            <w:tcBorders>
              <w:left w:val="single" w:sz="9"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33,492,900.00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21,962,240.00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93,215,194.87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1,338,154.01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主要系本报告期末对闲置募集资金 </w:t>
            </w:r>
            <w:r>
              <w:rPr>
                <w:rFonts w:ascii="宋体" w:hAnsi="宋体" w:cs="宋体" w:eastAsia="宋体" w:hint="default"/>
                <w:spacing w:val="-2"/>
                <w:sz w:val="18"/>
                <w:szCs w:val="18"/>
              </w:rPr>
              <w:t>进行现金管理的金额增加所致，按新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金融工具准则调整列报。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2,389,010.07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4,175,615.59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主要系客户使用票据结算减少所致， 应收票据按新金融工具准则调整列 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6,598,881.17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10,576,957.86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主要系报告期收回上年度增值税即 征即退税额所致。</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1061"/>
        <w:gridCol w:w="1195"/>
        <w:gridCol w:w="1064"/>
        <w:gridCol w:w="799"/>
        <w:gridCol w:w="291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93,123,278.44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62,128,538.07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主要是股权投资按新金融工具准则 </w:t>
            </w:r>
            <w:r>
              <w:rPr>
                <w:rFonts w:ascii="宋体" w:hAnsi="宋体" w:cs="宋体" w:eastAsia="宋体" w:hint="default"/>
                <w:spacing w:val="-2"/>
                <w:sz w:val="18"/>
                <w:szCs w:val="18"/>
              </w:rPr>
              <w:t>调整列报，本报告期公司新增对外股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权投资所致。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2,226,970.18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本报告期公司新增研发费用资本化 项目。</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3,089,389.47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5,958,616.14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主要系本报告期末可抵扣暂时性差 异较上年减少影响递延所得税资产 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2,035,900.00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主要系远期外汇结算合约产生的公 允价值变动金额按新金融工具准则 调整列报。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3,127,581.75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5,280,547.59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主要系本报告期研发费用增加以致 </w:t>
            </w:r>
            <w:r>
              <w:rPr>
                <w:rFonts w:ascii="宋体" w:hAnsi="宋体" w:cs="宋体" w:eastAsia="宋体" w:hint="default"/>
                <w:spacing w:val="-2"/>
                <w:sz w:val="18"/>
                <w:szCs w:val="18"/>
              </w:rPr>
              <w:t>可加计扣除增加，导致计提企业所得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税减少所致。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17,605,936.78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12,816,495.02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主要为乐心产业园三期工程尾款增 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778,333.33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主要是上期递延收益全部在本期确 认收益所致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3,033,258.61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2,487,585.90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主要是本报告期其他权益工具投资 公允价值变动对应所得税影响所致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6,791,946.69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主要系本报告期授予员工限制性股 票的股权激励确认库存股所致。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6,148,754.25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5,633,250.10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主要是执行新金融工具准则其他权 益工具投资期初及期末公允价值变 动所致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35,905,571.51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32,197,649.21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主要系本报告期计提法定盈余公积 所致</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156"/>
        <w:gridCol w:w="1058"/>
        <w:gridCol w:w="1195"/>
        <w:gridCol w:w="854"/>
        <w:gridCol w:w="1203"/>
        <w:gridCol w:w="1145"/>
        <w:gridCol w:w="778"/>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156"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5" w:type="dxa"/>
            <w:vMerge/>
            <w:tcBorders>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5" w:right="57"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3"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156"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1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1,338,154.01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2,203,177.00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326,136.14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93,215,194.87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82"/>
        <w:gridCol w:w="1145"/>
        <w:gridCol w:w="1064"/>
        <w:gridCol w:w="1195"/>
        <w:gridCol w:w="859"/>
        <w:gridCol w:w="1198"/>
        <w:gridCol w:w="1145"/>
        <w:gridCol w:w="778"/>
        <w:gridCol w:w="1212"/>
      </w:tblGrid>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62,128,538.07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1,485,910.37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9,822,324.24</w:t>
            </w:r>
          </w:p>
        </w:tc>
        <w:tc>
          <w:tcPr>
            <w:tcW w:w="85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29,508,830.00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93,123,278.44</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63,466,692.08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3,689,087.37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9,822,324.24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119,508,830.00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326,136.14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186,338,473.31</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14,286,949.87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16,073,555.39</w:t>
            </w:r>
          </w:p>
        </w:tc>
        <w:tc>
          <w:tcPr>
            <w:tcW w:w="77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2,389,010.07</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67,642,307.67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3,689,087.37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9,822,324.24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133,795,779.87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16,399,691.53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188,727,483.38</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-2,035,900.00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24"/>
          <w:szCs w:val="24"/>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92" w:lineRule="exact" w:before="34"/>
        <w:ind w:left="573" w:right="11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21"/>
          <w:szCs w:val="21"/>
        </w:rPr>
        <w:t>截至</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日，其他货币资金中人民币</w:t>
      </w:r>
      <w:r>
        <w:rPr>
          <w:rFonts w:ascii="宋体" w:hAnsi="宋体" w:cs="宋体" w:eastAsia="宋体" w:hint="default"/>
          <w:sz w:val="21"/>
          <w:szCs w:val="21"/>
        </w:rPr>
        <w:t>61,944,388.76</w:t>
      </w:r>
      <w:r>
        <w:rPr>
          <w:rFonts w:ascii="宋体" w:hAnsi="宋体" w:cs="宋体" w:eastAsia="宋体" w:hint="default"/>
          <w:sz w:val="21"/>
          <w:szCs w:val="21"/>
        </w:rPr>
        <w:t>元系本公司向银行申请开具银行承兑汇</w:t>
      </w:r>
    </w:p>
    <w:p>
      <w:pPr>
        <w:pStyle w:val="BodyText"/>
        <w:spacing w:line="240" w:lineRule="auto" w:before="84"/>
        <w:ind w:right="1119"/>
        <w:jc w:val="left"/>
      </w:pPr>
      <w:r>
        <w:rPr/>
        <w:t>票所存入的保证金。受限货币资金明细如下：</w:t>
      </w:r>
    </w:p>
    <w:p>
      <w:pPr>
        <w:spacing w:before="178"/>
        <w:ind w:left="0" w:right="2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0" w:type="dxa"/>
        <w:tblLayout w:type="fixed"/>
        <w:tblCellMar>
          <w:top w:w="0" w:type="dxa"/>
          <w:left w:w="0" w:type="dxa"/>
          <w:bottom w:w="0" w:type="dxa"/>
          <w:right w:w="0" w:type="dxa"/>
        </w:tblCellMar>
        <w:tblLook w:val="01E0"/>
      </w:tblPr>
      <w:tblGrid>
        <w:gridCol w:w="3337"/>
        <w:gridCol w:w="2240"/>
        <w:gridCol w:w="2237"/>
      </w:tblGrid>
      <w:tr>
        <w:trPr>
          <w:trHeight w:val="34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61,944,388.76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63,570,180.66</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61,944,388.76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63,570,180.66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1119"/>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84,717,780.01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41,494,773.97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104.16%</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1277"/>
        <w:gridCol w:w="1136"/>
        <w:gridCol w:w="1133"/>
        <w:gridCol w:w="1275"/>
        <w:gridCol w:w="1135"/>
        <w:gridCol w:w="708"/>
        <w:gridCol w:w="1277"/>
        <w:gridCol w:w="922"/>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9" w:right="77" w:hanging="181"/>
              <w:jc w:val="left"/>
              <w:rPr>
                <w:rFonts w:ascii="宋体" w:hAnsi="宋体" w:cs="宋体" w:eastAsia="宋体" w:hint="default"/>
                <w:sz w:val="18"/>
                <w:szCs w:val="18"/>
              </w:rPr>
            </w:pPr>
            <w:r>
              <w:rPr>
                <w:rFonts w:ascii="宋体" w:hAnsi="宋体" w:cs="宋体" w:eastAsia="宋体" w:hint="default"/>
                <w:sz w:val="18"/>
                <w:szCs w:val="18"/>
              </w:rPr>
              <w:t>资产类 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2" w:right="11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523,177.00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90,523,177.00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1,338,154.01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326,136.14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1,012,017.87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或有对价 业绩补偿</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53,792,124.20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1,485,910.37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9,822,324.24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29,508,830.00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93,123,278.44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14,286,949.87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16,073,555.39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2,389,010.07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7"/>
              <w:jc w:val="both"/>
              <w:rPr>
                <w:rFonts w:ascii="宋体" w:hAnsi="宋体" w:cs="宋体" w:eastAsia="宋体" w:hint="default"/>
                <w:sz w:val="18"/>
                <w:szCs w:val="18"/>
              </w:rPr>
            </w:pPr>
            <w:r>
              <w:rPr>
                <w:rFonts w:ascii="宋体" w:hAnsi="宋体" w:cs="宋体" w:eastAsia="宋体" w:hint="default"/>
                <w:sz w:val="18"/>
                <w:szCs w:val="18"/>
              </w:rPr>
              <w:t>自有资金 应收款项 融资</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59,305,893.80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3,689,087.37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9,822,324.24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133,795,779.87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16,399,691.53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188,727,483.38</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募股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20,926.01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4,720.90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11,323.73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10,832.79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6"/>
              <w:jc w:val="both"/>
              <w:rPr>
                <w:rFonts w:ascii="宋体" w:hAnsi="宋体" w:cs="宋体" w:eastAsia="宋体" w:hint="default"/>
                <w:sz w:val="18"/>
                <w:szCs w:val="18"/>
              </w:rPr>
            </w:pPr>
            <w:r>
              <w:rPr>
                <w:rFonts w:ascii="宋体" w:hAnsi="宋体" w:cs="宋体" w:eastAsia="宋体" w:hint="default"/>
                <w:sz w:val="18"/>
                <w:szCs w:val="18"/>
              </w:rPr>
              <w:t>存放于募 集资金开 户银行的 活期账户 和理财账 户内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20,926.01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4,720.90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11,323.73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10,832.79</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、根据中国证券监督管理委员会“证监许可</w:t>
            </w:r>
            <w:r>
              <w:rPr>
                <w:rFonts w:ascii="宋体" w:hAnsi="宋体" w:cs="宋体" w:eastAsia="宋体" w:hint="default"/>
                <w:sz w:val="18"/>
                <w:szCs w:val="18"/>
              </w:rPr>
              <w:t>[2016]2432</w:t>
            </w:r>
            <w:r>
              <w:rPr>
                <w:rFonts w:ascii="宋体" w:hAnsi="宋体" w:cs="宋体" w:eastAsia="宋体" w:hint="default"/>
                <w:spacing w:val="-47"/>
                <w:sz w:val="18"/>
                <w:szCs w:val="18"/>
              </w:rPr>
              <w:t> </w:t>
            </w:r>
            <w:r>
              <w:rPr>
                <w:rFonts w:ascii="宋体" w:hAnsi="宋体" w:cs="宋体" w:eastAsia="宋体" w:hint="default"/>
                <w:sz w:val="18"/>
                <w:szCs w:val="18"/>
              </w:rPr>
              <w:t>号”《关于核准广东乐心医疗电子股份有限公司首次公开发行股 票的批复》核准，公司向社会公众公开发行人民币普通股（</w:t>
            </w:r>
            <w:r>
              <w:rPr>
                <w:rFonts w:ascii="宋体" w:hAnsi="宋体" w:cs="宋体" w:eastAsia="宋体" w:hint="default"/>
                <w:sz w:val="18"/>
                <w:szCs w:val="18"/>
              </w:rPr>
              <w:t>A</w:t>
            </w:r>
            <w:r>
              <w:rPr>
                <w:rFonts w:ascii="宋体" w:hAnsi="宋体" w:cs="宋体" w:eastAsia="宋体" w:hint="default"/>
                <w:spacing w:val="-55"/>
                <w:sz w:val="18"/>
                <w:szCs w:val="18"/>
              </w:rPr>
              <w:t> </w:t>
            </w:r>
            <w:r>
              <w:rPr>
                <w:rFonts w:ascii="宋体" w:hAnsi="宋体" w:cs="宋体" w:eastAsia="宋体" w:hint="default"/>
                <w:sz w:val="18"/>
                <w:szCs w:val="18"/>
              </w:rPr>
              <w:t>股）</w:t>
            </w:r>
            <w:r>
              <w:rPr>
                <w:rFonts w:ascii="宋体" w:hAnsi="宋体" w:cs="宋体" w:eastAsia="宋体" w:hint="default"/>
                <w:sz w:val="18"/>
                <w:szCs w:val="18"/>
              </w:rPr>
              <w:t>14,800,000.00</w:t>
            </w:r>
            <w:r>
              <w:rPr>
                <w:rFonts w:ascii="宋体" w:hAnsi="宋体" w:cs="宋体" w:eastAsia="宋体" w:hint="default"/>
                <w:spacing w:val="-53"/>
                <w:sz w:val="18"/>
                <w:szCs w:val="18"/>
              </w:rPr>
              <w:t> </w:t>
            </w:r>
            <w:r>
              <w:rPr>
                <w:rFonts w:ascii="宋体" w:hAnsi="宋体" w:cs="宋体" w:eastAsia="宋体" w:hint="default"/>
                <w:sz w:val="18"/>
                <w:szCs w:val="18"/>
              </w:rPr>
              <w:t>股，每股面值人民币</w:t>
            </w:r>
            <w:r>
              <w:rPr>
                <w:rFonts w:ascii="宋体" w:hAnsi="宋体" w:cs="宋体" w:eastAsia="宋体" w:hint="default"/>
                <w:spacing w:val="-56"/>
                <w:sz w:val="18"/>
                <w:szCs w:val="18"/>
              </w:rPr>
              <w:t> </w:t>
            </w:r>
            <w:r>
              <w:rPr>
                <w:rFonts w:ascii="宋体" w:hAnsi="宋体" w:cs="宋体" w:eastAsia="宋体" w:hint="default"/>
                <w:sz w:val="18"/>
                <w:szCs w:val="18"/>
              </w:rPr>
              <w:t>1.00</w:t>
            </w:r>
            <w:r>
              <w:rPr>
                <w:rFonts w:ascii="宋体" w:hAnsi="宋体" w:cs="宋体" w:eastAsia="宋体" w:hint="default"/>
                <w:spacing w:val="-54"/>
                <w:sz w:val="18"/>
                <w:szCs w:val="18"/>
              </w:rPr>
              <w:t> </w:t>
            </w:r>
            <w:r>
              <w:rPr>
                <w:rFonts w:ascii="宋体" w:hAnsi="宋体" w:cs="宋体" w:eastAsia="宋体" w:hint="default"/>
                <w:sz w:val="18"/>
                <w:szCs w:val="18"/>
              </w:rPr>
              <w:t>元，每股发行 价为人民币</w:t>
            </w:r>
            <w:r>
              <w:rPr>
                <w:rFonts w:ascii="宋体" w:hAnsi="宋体" w:cs="宋体" w:eastAsia="宋体" w:hint="default"/>
                <w:spacing w:val="-47"/>
                <w:sz w:val="18"/>
                <w:szCs w:val="18"/>
              </w:rPr>
              <w:t> </w:t>
            </w:r>
            <w:r>
              <w:rPr>
                <w:rFonts w:ascii="宋体" w:hAnsi="宋体" w:cs="宋体" w:eastAsia="宋体" w:hint="default"/>
                <w:sz w:val="18"/>
                <w:szCs w:val="18"/>
              </w:rPr>
              <w:t>15.63</w:t>
            </w:r>
            <w:r>
              <w:rPr>
                <w:rFonts w:ascii="宋体" w:hAnsi="宋体" w:cs="宋体" w:eastAsia="宋体" w:hint="default"/>
                <w:spacing w:val="-46"/>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7"/>
                <w:sz w:val="18"/>
                <w:szCs w:val="18"/>
              </w:rPr>
              <w:t> </w:t>
            </w:r>
            <w:r>
              <w:rPr>
                <w:rFonts w:ascii="宋体" w:hAnsi="宋体" w:cs="宋体" w:eastAsia="宋体" w:hint="default"/>
                <w:sz w:val="18"/>
                <w:szCs w:val="18"/>
              </w:rPr>
              <w:t>231,324,000.00</w:t>
            </w:r>
            <w:r>
              <w:rPr>
                <w:rFonts w:ascii="宋体" w:hAnsi="宋体" w:cs="宋体" w:eastAsia="宋体" w:hint="default"/>
                <w:spacing w:val="-45"/>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50"/>
                <w:sz w:val="18"/>
                <w:szCs w:val="18"/>
              </w:rPr>
              <w:t> </w:t>
            </w:r>
            <w:r>
              <w:rPr>
                <w:rFonts w:ascii="宋体" w:hAnsi="宋体" w:cs="宋体" w:eastAsia="宋体" w:hint="default"/>
                <w:sz w:val="18"/>
                <w:szCs w:val="18"/>
              </w:rPr>
              <w:t>22,063,900.00</w:t>
            </w:r>
            <w:r>
              <w:rPr>
                <w:rFonts w:ascii="宋体" w:hAnsi="宋体" w:cs="宋体" w:eastAsia="宋体" w:hint="default"/>
                <w:spacing w:val="-45"/>
                <w:sz w:val="18"/>
                <w:szCs w:val="18"/>
              </w:rPr>
              <w:t> </w:t>
            </w:r>
            <w:r>
              <w:rPr>
                <w:rFonts w:ascii="宋体" w:hAnsi="宋体" w:cs="宋体" w:eastAsia="宋体" w:hint="default"/>
                <w:sz w:val="18"/>
                <w:szCs w:val="18"/>
              </w:rPr>
              <w:t>元，实际募集资</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金净额为人民币</w:t>
            </w:r>
            <w:r>
              <w:rPr>
                <w:rFonts w:ascii="宋体" w:hAnsi="宋体" w:cs="宋体" w:eastAsia="宋体" w:hint="default"/>
                <w:spacing w:val="-47"/>
                <w:sz w:val="18"/>
                <w:szCs w:val="18"/>
              </w:rPr>
              <w:t> </w:t>
            </w:r>
            <w:r>
              <w:rPr>
                <w:rFonts w:ascii="宋体" w:hAnsi="宋体" w:cs="宋体" w:eastAsia="宋体" w:hint="default"/>
                <w:sz w:val="18"/>
                <w:szCs w:val="18"/>
              </w:rPr>
              <w:t>209,260,100.00</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316" w:lineRule="auto" w:before="115"/>
              <w:ind w:left="24" w:right="2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、截至上年末，公司募集资金专户余额为人民币</w:t>
            </w:r>
            <w:r>
              <w:rPr>
                <w:rFonts w:ascii="宋体" w:hAnsi="宋体" w:cs="宋体" w:eastAsia="宋体" w:hint="default"/>
                <w:spacing w:val="-43"/>
                <w:sz w:val="18"/>
                <w:szCs w:val="18"/>
              </w:rPr>
              <w:t> </w:t>
            </w:r>
            <w:r>
              <w:rPr>
                <w:rFonts w:ascii="宋体" w:hAnsi="宋体" w:cs="宋体" w:eastAsia="宋体" w:hint="default"/>
                <w:sz w:val="18"/>
                <w:szCs w:val="18"/>
              </w:rPr>
              <w:t>152,090,911.74</w:t>
            </w:r>
            <w:r>
              <w:rPr>
                <w:rFonts w:ascii="宋体" w:hAnsi="宋体" w:cs="宋体" w:eastAsia="宋体" w:hint="default"/>
                <w:spacing w:val="-42"/>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年度公司募集资金专户收到的利息收入扣除银 行手续费后的净额为</w:t>
            </w:r>
            <w:r>
              <w:rPr>
                <w:rFonts w:ascii="宋体" w:hAnsi="宋体" w:cs="宋体" w:eastAsia="宋体" w:hint="default"/>
                <w:spacing w:val="-47"/>
                <w:sz w:val="18"/>
                <w:szCs w:val="18"/>
              </w:rPr>
              <w:t> </w:t>
            </w:r>
            <w:r>
              <w:rPr>
                <w:rFonts w:ascii="宋体" w:hAnsi="宋体" w:cs="宋体" w:eastAsia="宋体" w:hint="default"/>
                <w:sz w:val="18"/>
                <w:szCs w:val="18"/>
              </w:rPr>
              <w:t>3,592,338.93</w:t>
            </w:r>
            <w:r>
              <w:rPr>
                <w:rFonts w:ascii="宋体" w:hAnsi="宋体" w:cs="宋体" w:eastAsia="宋体" w:hint="default"/>
                <w:spacing w:val="-45"/>
                <w:sz w:val="18"/>
                <w:szCs w:val="18"/>
              </w:rPr>
              <w:t> </w:t>
            </w:r>
            <w:r>
              <w:rPr>
                <w:rFonts w:ascii="宋体" w:hAnsi="宋体" w:cs="宋体" w:eastAsia="宋体" w:hint="default"/>
                <w:sz w:val="18"/>
                <w:szCs w:val="18"/>
              </w:rPr>
              <w:t>元；公司实际使用募集资金</w:t>
            </w:r>
            <w:r>
              <w:rPr>
                <w:rFonts w:ascii="宋体" w:hAnsi="宋体" w:cs="宋体" w:eastAsia="宋体" w:hint="default"/>
                <w:spacing w:val="-48"/>
                <w:sz w:val="18"/>
                <w:szCs w:val="18"/>
              </w:rPr>
              <w:t> </w:t>
            </w:r>
            <w:r>
              <w:rPr>
                <w:rFonts w:ascii="宋体" w:hAnsi="宋体" w:cs="宋体" w:eastAsia="宋体" w:hint="default"/>
                <w:sz w:val="18"/>
                <w:szCs w:val="18"/>
              </w:rPr>
              <w:t>47,208,940.01</w:t>
            </w:r>
            <w:r>
              <w:rPr>
                <w:rFonts w:ascii="宋体" w:hAnsi="宋体" w:cs="宋体" w:eastAsia="宋体" w:hint="default"/>
                <w:spacing w:val="-45"/>
                <w:sz w:val="18"/>
                <w:szCs w:val="18"/>
              </w:rPr>
              <w:t> </w:t>
            </w:r>
            <w:r>
              <w:rPr>
                <w:rFonts w:ascii="宋体" w:hAnsi="宋体" w:cs="宋体" w:eastAsia="宋体" w:hint="default"/>
                <w:sz w:val="18"/>
                <w:szCs w:val="18"/>
              </w:rPr>
              <w:t>元，支付</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年度永久补充流动资金</w:t>
            </w:r>
          </w:p>
        </w:tc>
      </w:tr>
    </w:tbl>
    <w:p>
      <w:pPr>
        <w:spacing w:after="0" w:line="316" w:lineRule="auto"/>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p>
      <w:pPr>
        <w:spacing w:line="674" w:lineRule="exact"/>
        <w:ind w:left="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3pt;height:33.75pt;mso-position-horizontal-relative:char;mso-position-vertical-relative:line" type="#_x0000_t202" filled="false" stroked="true" strokeweight=".48004pt" strokecolor="#000000">
            <w10:anchorlock/>
            <v:textbox inset="0,0,0,0">
              <w:txbxContent>
                <w:p>
                  <w:pPr>
                    <w:spacing w:line="319" w:lineRule="auto" w:before="8"/>
                    <w:ind w:left="23" w:right="20" w:firstLine="0"/>
                    <w:jc w:val="left"/>
                    <w:rPr>
                      <w:rFonts w:ascii="宋体" w:hAnsi="宋体" w:cs="宋体" w:eastAsia="宋体" w:hint="default"/>
                      <w:sz w:val="18"/>
                      <w:szCs w:val="18"/>
                    </w:rPr>
                  </w:pPr>
                  <w:r>
                    <w:rPr>
                      <w:rFonts w:ascii="宋体" w:hAnsi="宋体" w:cs="宋体" w:eastAsia="宋体" w:hint="default"/>
                      <w:sz w:val="18"/>
                      <w:szCs w:val="18"/>
                    </w:rPr>
                    <w:t>146,363.79</w:t>
                  </w:r>
                  <w:r>
                    <w:rPr>
                      <w:rFonts w:ascii="宋体" w:hAnsi="宋体" w:cs="宋体" w:eastAsia="宋体" w:hint="default"/>
                      <w:spacing w:val="-46"/>
                      <w:sz w:val="18"/>
                      <w:szCs w:val="18"/>
                    </w:rPr>
                    <w:t> </w:t>
                  </w:r>
                  <w:r>
                    <w:rPr>
                      <w:rFonts w:ascii="宋体" w:hAnsi="宋体" w:cs="宋体" w:eastAsia="宋体" w:hint="default"/>
                      <w:spacing w:val="-7"/>
                      <w:sz w:val="18"/>
                      <w:szCs w:val="18"/>
                    </w:rPr>
                    <w:t>元。截至</w:t>
                  </w:r>
                  <w:r>
                    <w:rPr>
                      <w:rFonts w:ascii="宋体" w:hAnsi="宋体" w:cs="宋体" w:eastAsia="宋体" w:hint="default"/>
                      <w:spacing w:val="-51"/>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日，公司募集资金专户余额为人民币</w:t>
                  </w:r>
                  <w:r>
                    <w:rPr>
                      <w:rFonts w:ascii="宋体" w:hAnsi="宋体" w:cs="宋体" w:eastAsia="宋体" w:hint="default"/>
                      <w:spacing w:val="-48"/>
                      <w:sz w:val="18"/>
                      <w:szCs w:val="18"/>
                    </w:rPr>
                    <w:t> </w:t>
                  </w:r>
                  <w:r>
                    <w:rPr>
                      <w:rFonts w:ascii="宋体" w:hAnsi="宋体" w:cs="宋体" w:eastAsia="宋体" w:hint="default"/>
                      <w:sz w:val="18"/>
                      <w:szCs w:val="18"/>
                    </w:rPr>
                    <w:t>108,327,946.87</w:t>
                  </w:r>
                  <w:r>
                    <w:rPr>
                      <w:rFonts w:ascii="宋体" w:hAnsi="宋体" w:cs="宋体" w:eastAsia="宋体" w:hint="default"/>
                      <w:spacing w:val="-49"/>
                      <w:sz w:val="18"/>
                      <w:szCs w:val="18"/>
                    </w:rPr>
                    <w:t> </w:t>
                  </w:r>
                  <w:r>
                    <w:rPr>
                      <w:rFonts w:ascii="宋体" w:hAnsi="宋体" w:cs="宋体" w:eastAsia="宋体" w:hint="default"/>
                      <w:spacing w:val="-3"/>
                      <w:sz w:val="18"/>
                      <w:szCs w:val="18"/>
                    </w:rPr>
                    <w:t>元（包括收到的银行存款利息</w:t>
                  </w:r>
                  <w:r>
                    <w:rPr>
                      <w:rFonts w:ascii="宋体" w:hAnsi="宋体" w:cs="宋体" w:eastAsia="宋体" w:hint="default"/>
                      <w:sz w:val="18"/>
                      <w:szCs w:val="18"/>
                    </w:rPr>
                    <w:t> </w:t>
                  </w:r>
                  <w:r>
                    <w:rPr>
                      <w:rFonts w:ascii="宋体" w:hAnsi="宋体" w:cs="宋体" w:eastAsia="宋体" w:hint="default"/>
                      <w:spacing w:val="-8"/>
                      <w:sz w:val="18"/>
                      <w:szCs w:val="18"/>
                    </w:rPr>
                    <w:t>扣除银行手续费等的净额）。</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595"/>
        <w:gridCol w:w="962"/>
        <w:gridCol w:w="831"/>
        <w:gridCol w:w="727"/>
        <w:gridCol w:w="898"/>
        <w:gridCol w:w="898"/>
        <w:gridCol w:w="900"/>
        <w:gridCol w:w="708"/>
        <w:gridCol w:w="744"/>
        <w:gridCol w:w="728"/>
        <w:gridCol w:w="727"/>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承诺投资 项目和超 募资金投 向</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center"/>
              <w:rPr>
                <w:rFonts w:ascii="宋体" w:hAnsi="宋体" w:cs="宋体" w:eastAsia="宋体" w:hint="default"/>
                <w:sz w:val="18"/>
                <w:szCs w:val="18"/>
              </w:rPr>
            </w:pPr>
            <w:r>
              <w:rPr>
                <w:rFonts w:ascii="宋体" w:hAnsi="宋体" w:cs="宋体" w:eastAsia="宋体" w:hint="default"/>
                <w:sz w:val="18"/>
                <w:szCs w:val="18"/>
              </w:rPr>
              <w:t>是否已 变更项 目</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 w:right="3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4"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、生产基</w:t>
            </w:r>
            <w:r>
              <w:rPr>
                <w:rFonts w:ascii="宋体" w:hAnsi="宋体" w:cs="宋体" w:eastAsia="宋体" w:hint="default"/>
                <w:sz w:val="18"/>
                <w:szCs w:val="18"/>
              </w:rPr>
              <w:t> 地建设项 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13,654.9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13,654.9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2,930.46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6,044.18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、研发中</w:t>
            </w:r>
            <w:r>
              <w:rPr>
                <w:rFonts w:ascii="宋体" w:hAnsi="宋体" w:cs="宋体" w:eastAsia="宋体" w:hint="default"/>
                <w:sz w:val="18"/>
                <w:szCs w:val="18"/>
              </w:rPr>
              <w:t> 心建设项 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5,708.79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5,708.79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1,790.44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3,726.1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、营销网</w:t>
            </w:r>
            <w:r>
              <w:rPr>
                <w:rFonts w:ascii="宋体" w:hAnsi="宋体" w:cs="宋体" w:eastAsia="宋体" w:hint="default"/>
                <w:sz w:val="18"/>
                <w:szCs w:val="18"/>
              </w:rPr>
              <w:t> 络优化建 设项目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1,562.32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1,562.32</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1,553.45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承诺投资 项目小计</w:t>
            </w:r>
          </w:p>
        </w:tc>
        <w:tc>
          <w:tcPr>
            <w:tcW w:w="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2"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20,926.01</w:t>
            </w:r>
          </w:p>
        </w:tc>
        <w:tc>
          <w:tcPr>
            <w:tcW w:w="8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20,926.01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4,720.9</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11,323.73</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44"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852" w:type="dxa"/>
            <w:vMerge/>
            <w:tcBorders>
              <w:left w:val="single" w:sz="4" w:space="0" w:color="000000"/>
              <w:right w:val="single" w:sz="4" w:space="0" w:color="000000"/>
            </w:tcBorders>
            <w:shd w:val="clear" w:color="auto" w:fill="D2D2D2"/>
          </w:tcPr>
          <w:p>
            <w:pPr/>
          </w:p>
        </w:tc>
        <w:tc>
          <w:tcPr>
            <w:tcW w:w="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z w:val="18"/>
              </w:rPr>
              <w:t>--</w:t>
            </w:r>
          </w:p>
        </w:tc>
        <w:tc>
          <w:tcPr>
            <w:tcW w:w="962" w:type="dxa"/>
            <w:vMerge/>
            <w:tcBorders>
              <w:left w:val="single" w:sz="10" w:space="0" w:color="D2D2D2"/>
              <w:right w:val="single" w:sz="4" w:space="0" w:color="000000"/>
            </w:tcBorders>
          </w:tcPr>
          <w:p>
            <w:pPr/>
          </w:p>
        </w:tc>
        <w:tc>
          <w:tcPr>
            <w:tcW w:w="831"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w:t>
            </w:r>
          </w:p>
        </w:tc>
        <w:tc>
          <w:tcPr>
            <w:tcW w:w="708" w:type="dxa"/>
            <w:vMerge/>
            <w:tcBorders>
              <w:left w:val="single" w:sz="10" w:space="0" w:color="D2D2D2"/>
              <w:right w:val="single" w:sz="4" w:space="0" w:color="000000"/>
            </w:tcBorders>
          </w:tcPr>
          <w:p>
            <w:pPr/>
          </w:p>
        </w:tc>
        <w:tc>
          <w:tcPr>
            <w:tcW w:w="744" w:type="dxa"/>
            <w:vMerge/>
            <w:tcBorders>
              <w:left w:val="single" w:sz="4" w:space="0" w:color="000000"/>
              <w:right w:val="single" w:sz="9" w:space="0" w:color="D2D2D2"/>
            </w:tcBorders>
          </w:tcPr>
          <w:p>
            <w:pP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2" w:type="dxa"/>
            <w:vMerge/>
            <w:tcBorders>
              <w:left w:val="single" w:sz="10" w:space="0" w:color="D2D2D2"/>
              <w:bottom w:val="single" w:sz="4" w:space="0" w:color="000000"/>
              <w:right w:val="single" w:sz="4" w:space="0" w:color="000000"/>
            </w:tcBorders>
          </w:tcPr>
          <w:p>
            <w:pPr/>
          </w:p>
        </w:tc>
        <w:tc>
          <w:tcPr>
            <w:tcW w:w="831"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10" w:space="0" w:color="D2D2D2"/>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9" w:space="0" w:color="D2D2D2"/>
            </w:tcBorders>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20,926.01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20,926.01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11,323.73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34"/>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公司第二届董事会第二十二次会议、第二届监事会第二十次会议，审议通过了《关于部分 </w:t>
            </w:r>
            <w:r>
              <w:rPr>
                <w:rFonts w:ascii="宋体" w:hAnsi="宋体" w:cs="宋体" w:eastAsia="宋体" w:hint="default"/>
                <w:spacing w:val="-3"/>
                <w:sz w:val="18"/>
                <w:szCs w:val="18"/>
              </w:rPr>
              <w:t>募集资金投资项目延期的议案》，同意将公司首次公开发行股票部分募集资金投资项目生产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基地建设项目和研发中心建设项目进行延期。</w:t>
            </w:r>
          </w:p>
        </w:tc>
      </w:tr>
      <w:tr>
        <w:trPr>
          <w:trHeight w:val="713"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716"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4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4" w:right="34"/>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410" w:type="dxa"/>
            <w:gridSpan w:val="3"/>
            <w:vMerge/>
            <w:tcBorders>
              <w:left w:val="single" w:sz="4" w:space="0" w:color="000000"/>
              <w:right w:val="single" w:sz="4" w:space="0" w:color="000000"/>
            </w:tcBorders>
            <w:shd w:val="clear" w:color="auto" w:fill="D2D2D2"/>
          </w:tcPr>
          <w:p>
            <w:pP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2410" w:type="dxa"/>
            <w:gridSpan w:val="3"/>
            <w:vMerge/>
            <w:tcBorders>
              <w:left w:val="single" w:sz="4" w:space="0" w:color="000000"/>
              <w:bottom w:val="single" w:sz="4" w:space="0" w:color="000000"/>
              <w:right w:val="single" w:sz="4" w:space="0" w:color="000000"/>
            </w:tcBorders>
            <w:shd w:val="clear" w:color="auto" w:fill="D2D2D2"/>
          </w:tcPr>
          <w:p>
            <w:pPr/>
          </w:p>
        </w:tc>
        <w:tc>
          <w:tcPr>
            <w:tcW w:w="716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日公司第二届董事会第六次会议和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09"/>
        <w:gridCol w:w="7161"/>
      </w:tblGrid>
      <w:tr>
        <w:trPr>
          <w:trHeight w:val="67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次临时股东大会上审议通过了《关于变更部分募投项目实施主体的议案》，公司将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营销网络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优化建设项目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实施主体变更为公司全资子公司深圳市乐心医疗电子有限公司。</w:t>
            </w: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34"/>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日召开第二届董事会第十三次会议、第二届监事会第十次会议，审 </w:t>
            </w:r>
            <w:r>
              <w:rPr>
                <w:rFonts w:ascii="宋体" w:hAnsi="宋体" w:cs="宋体" w:eastAsia="宋体" w:hint="default"/>
                <w:spacing w:val="-3"/>
                <w:sz w:val="18"/>
                <w:szCs w:val="18"/>
              </w:rPr>
              <w:t>议通过了《关于使用部分闲置募集资金暂时补充流动资金的议案》，同意公司使用不超过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万元闲置募集资金暂时补充流动资金，使用期限自董事会审议通过之日起不超过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日，公司已归还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4" w:lineRule="auto"/>
              <w:ind w:left="22" w:right="34"/>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74"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日召开第三届董事会第二次会议、第三届监事会第二次会议，审议 </w:t>
            </w:r>
            <w:r>
              <w:rPr>
                <w:rFonts w:ascii="宋体" w:hAnsi="宋体" w:cs="宋体" w:eastAsia="宋体" w:hint="default"/>
                <w:spacing w:val="-3"/>
                <w:sz w:val="18"/>
                <w:szCs w:val="18"/>
              </w:rPr>
              <w:t>通过了《关于部分募集资金投资项目结项并将节余募集资金永久补充流动资金的议案》，公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司首次公开发行股票募集资金投资项目之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营销网络优化建设项目</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已建设完毕，截至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日，该项目已完成建设并达到预定可使用状态。为更合理地使用募集资金，提高</w:t>
            </w:r>
          </w:p>
          <w:p>
            <w:pPr>
              <w:pStyle w:val="TableParagraph"/>
              <w:spacing w:line="309"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募集资金使用效率，公司已将上述募集资金投资项目结项后的节余募集资金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14.63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万元永久 补充流动资金，用于公司日常生产经营，节余募集资金转出后对应募集资金专户将不再使 用。</w:t>
            </w:r>
          </w:p>
          <w:p>
            <w:pPr>
              <w:pStyle w:val="TableParagraph"/>
              <w:spacing w:line="316" w:lineRule="auto" w:before="62"/>
              <w:ind w:left="24" w:right="104"/>
              <w:jc w:val="both"/>
              <w:rPr>
                <w:rFonts w:ascii="宋体" w:hAnsi="宋体" w:cs="宋体" w:eastAsia="宋体" w:hint="default"/>
                <w:sz w:val="18"/>
                <w:szCs w:val="18"/>
              </w:rPr>
            </w:pPr>
            <w:r>
              <w:rPr>
                <w:rFonts w:ascii="宋体" w:hAnsi="宋体" w:cs="宋体" w:eastAsia="宋体" w:hint="default"/>
                <w:sz w:val="18"/>
                <w:szCs w:val="18"/>
              </w:rPr>
              <w:t>募集资金结余的主要原因为：在募投项目实施过程中，公司严格按照募集资金管理的有关 规定谨慎使用募集资金，根据项目规划结合实际市场情况，严格执行预算管理，在确保募 投项目质量的前提下，本着合理、有效、谨慎的原则使用募集资金，加强项目建设各个环 节费用的控制、监督和管理，合理降低了成本，节约了部分募集资金。同时募集资金存放 期间也产生了一定的存款利息收入。</w:t>
            </w: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日，公司剩余尚未使用的募集资金及利息总额为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10,832.79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万元已进行现金</w:t>
            </w:r>
            <w:r>
              <w:rPr>
                <w:rFonts w:ascii="宋体" w:hAnsi="宋体" w:cs="宋体" w:eastAsia="宋体" w:hint="default"/>
                <w:spacing w:val="-3"/>
                <w:sz w:val="18"/>
                <w:szCs w:val="18"/>
              </w:rPr>
              <w:t>管</w:t>
            </w:r>
            <w:r>
              <w:rPr>
                <w:rFonts w:ascii="宋体" w:hAnsi="宋体" w:cs="宋体" w:eastAsia="宋体" w:hint="default"/>
                <w:sz w:val="18"/>
                <w:szCs w:val="18"/>
              </w:rPr>
              <w:t>理（已履行相关审批程序</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报告期无</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3"/>
        <w:spacing w:line="240" w:lineRule="auto"/>
        <w:ind w:right="1119"/>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19"/>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1169"/>
        <w:gridCol w:w="1044"/>
        <w:gridCol w:w="1046"/>
        <w:gridCol w:w="1047"/>
        <w:gridCol w:w="1044"/>
        <w:gridCol w:w="1045"/>
        <w:gridCol w:w="1046"/>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深圳市乐心 医疗电子有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国内自有品牌 产品销售平台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54,590,902.0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-89,524,609.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142,461,796.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-24,938,020.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-25,607,425.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40</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中山乐心电 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电子健康产品 研发、生产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6,000,000.00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304,493,135.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92,252,751.6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463,970,924.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22,636,129.7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21,503,372.6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电子健康产品 软件研发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3,438,385.00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55,983,143.4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-4,747,352.6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-6,199,248.6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-7,267,085.2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报告期内对归属于母公司所有者的净利 润影响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声源科技（深圳）有限公司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投资参股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报告期内对归属于母公司所有者的净利 润影响</w:t>
            </w:r>
            <w:r>
              <w:rPr>
                <w:rFonts w:ascii="Times New Roman" w:hAnsi="Times New Roman" w:cs="Times New Roman" w:eastAsia="Times New Roman" w:hint="default"/>
                <w:sz w:val="18"/>
                <w:szCs w:val="18"/>
              </w:rPr>
              <w:t>-88.55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FutureIOT Labs</w:t>
            </w:r>
            <w:r>
              <w:rPr>
                <w:rFonts w:ascii="Times New Roman"/>
                <w:spacing w:val="-11"/>
                <w:sz w:val="18"/>
              </w:rPr>
              <w:t> </w:t>
            </w:r>
            <w:r>
              <w:rPr>
                <w:rFonts w:ascii="Times New Roman"/>
                <w:sz w:val="18"/>
              </w:rPr>
              <w:t>LLC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报告期内对归属于母公司所有者的净利 润没影响。</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spacing w:val="2"/>
        </w:rPr>
        <w:t>报告期内，公司通过中山市乐恒电子有限公司现金出资</w:t>
      </w:r>
      <w:r>
        <w:rPr>
          <w:rFonts w:ascii="宋体" w:hAnsi="宋体" w:cs="宋体" w:eastAsia="宋体" w:hint="default"/>
          <w:spacing w:val="2"/>
        </w:rPr>
        <w:t>800.00</w:t>
      </w:r>
      <w:r>
        <w:rPr>
          <w:spacing w:val="2"/>
        </w:rPr>
        <w:t>万元持有声源科技（深圳）有限公司</w:t>
      </w:r>
      <w:r>
        <w:rPr>
          <w:w w:val="100"/>
        </w:rPr>
        <w:t> </w:t>
      </w:r>
      <w:r>
        <w:rPr>
          <w:rFonts w:ascii="宋体" w:hAnsi="宋体" w:cs="宋体" w:eastAsia="宋体" w:hint="default"/>
        </w:rPr>
        <w:t>41.60%</w:t>
      </w:r>
      <w:r>
        <w:rPr/>
        <w:t>股份。款项已于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8</w:t>
      </w:r>
      <w:r>
        <w:rPr/>
        <w:t>日支付完成，工商变更</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25</w:t>
      </w:r>
      <w:r>
        <w:rPr/>
        <w:t>日完成。</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9"/>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5"/>
        <w:spacing w:line="444" w:lineRule="auto"/>
        <w:ind w:left="575" w:right="5691"/>
        <w:jc w:val="left"/>
        <w:rPr>
          <w:b w:val="0"/>
          <w:bCs w:val="0"/>
        </w:rPr>
      </w:pPr>
      <w:r>
        <w:rPr/>
        <w:t>（一）行业发展情况</w:t>
      </w:r>
      <w:r>
        <w:rPr>
          <w:spacing w:val="-103"/>
        </w:rPr>
        <w:t> </w:t>
      </w:r>
      <w:r>
        <w:rPr/>
        <w:t>市场需求</w:t>
      </w:r>
      <w:r>
        <w:rPr>
          <w:rFonts w:ascii="宋体" w:hAnsi="宋体" w:cs="宋体" w:eastAsia="宋体" w:hint="default"/>
        </w:rPr>
        <w:t>+</w:t>
      </w:r>
      <w:r>
        <w:rPr/>
        <w:t>政策红利双驱动，健康</w:t>
      </w:r>
      <w:r>
        <w:rPr>
          <w:rFonts w:ascii="宋体" w:hAnsi="宋体" w:cs="宋体" w:eastAsia="宋体" w:hint="default"/>
        </w:rPr>
        <w:t>IoT</w:t>
      </w:r>
      <w:r>
        <w:rPr/>
        <w:t>行业快速发展</w:t>
      </w:r>
      <w:r>
        <w:rPr>
          <w:b w:val="0"/>
          <w:bCs w:val="0"/>
        </w:rPr>
      </w:r>
    </w:p>
    <w:p>
      <w:pPr>
        <w:pStyle w:val="BodyText"/>
        <w:spacing w:line="408" w:lineRule="auto" w:before="55"/>
        <w:ind w:right="1021" w:firstLine="420"/>
        <w:jc w:val="left"/>
      </w:pPr>
      <w:r>
        <w:rPr>
          <w:spacing w:val="-5"/>
        </w:rPr>
        <w:t>随着居民生活水平的提高、人口老龄化的加剧、居民医疗保健意识的增强、政府支持政策的不断深化，</w:t>
      </w:r>
      <w:r>
        <w:rPr>
          <w:w w:val="100"/>
        </w:rPr>
        <w:t> </w:t>
      </w:r>
      <w:r>
        <w:rPr/>
        <w:t>医疗健康需求不断释放。从全球范围内看</w:t>
      </w:r>
      <w:r>
        <w:rPr>
          <w:rFonts w:ascii="宋体" w:hAnsi="宋体" w:cs="宋体" w:eastAsia="宋体" w:hint="default"/>
        </w:rPr>
        <w:t>,</w:t>
      </w:r>
      <w:r>
        <w:rPr/>
        <w:t>医疗器械行业将持续保持稳定增长。根据</w:t>
      </w:r>
      <w:r>
        <w:rPr>
          <w:rFonts w:ascii="宋体" w:hAnsi="宋体" w:cs="宋体" w:eastAsia="宋体" w:hint="default"/>
        </w:rPr>
        <w:t>Evaluate MedTech</w:t>
      </w:r>
      <w:r>
        <w:rPr/>
        <w:t>预</w:t>
      </w:r>
      <w:r>
        <w:rPr>
          <w:spacing w:val="-27"/>
        </w:rPr>
        <w:t> </w:t>
      </w:r>
      <w:r>
        <w:rPr/>
        <w:t>计，</w:t>
      </w:r>
      <w:r>
        <w:rPr>
          <w:rFonts w:ascii="宋体" w:hAnsi="宋体" w:cs="宋体" w:eastAsia="宋体" w:hint="default"/>
        </w:rPr>
        <w:t>2018</w:t>
      </w:r>
      <w:r>
        <w:rPr/>
        <w:t>年全球医疗器械市场容量约为</w:t>
      </w:r>
      <w:r>
        <w:rPr>
          <w:rFonts w:ascii="宋体" w:hAnsi="宋体" w:cs="宋体" w:eastAsia="宋体" w:hint="default"/>
        </w:rPr>
        <w:t>4,278</w:t>
      </w:r>
      <w:r>
        <w:rPr/>
        <w:t>亿美元，</w:t>
      </w:r>
      <w:r>
        <w:rPr>
          <w:rFonts w:ascii="宋体" w:hAnsi="宋体" w:cs="宋体" w:eastAsia="宋体" w:hint="default"/>
        </w:rPr>
        <w:t>2017</w:t>
      </w:r>
      <w:r>
        <w:rPr/>
        <w:t>年</w:t>
      </w:r>
      <w:r>
        <w:rPr>
          <w:rFonts w:ascii="宋体" w:hAnsi="宋体" w:cs="宋体" w:eastAsia="宋体" w:hint="default"/>
        </w:rPr>
        <w:t>-2024</w:t>
      </w:r>
      <w:r>
        <w:rPr/>
        <w:t>年全球医疗器械销售额平均增长</w:t>
      </w:r>
      <w:r>
        <w:rPr>
          <w:rFonts w:ascii="宋体" w:hAnsi="宋体" w:cs="宋体" w:eastAsia="宋体" w:hint="default"/>
        </w:rPr>
        <w:t>5.6%</w:t>
      </w:r>
      <w:r>
        <w:rPr/>
        <w:t>，</w:t>
      </w:r>
    </w:p>
    <w:p>
      <w:pPr>
        <w:spacing w:after="0" w:line="408" w:lineRule="auto"/>
        <w:jc w:val="left"/>
        <w:sectPr>
          <w:type w:val="continuous"/>
          <w:pgSz w:w="11910" w:h="16840"/>
          <w:pgMar w:top="106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rFonts w:ascii="宋体" w:hAnsi="宋体" w:cs="宋体" w:eastAsia="宋体" w:hint="default"/>
        </w:rPr>
        <w:t>2024</w:t>
      </w:r>
      <w:r>
        <w:rPr/>
        <w:t>年将达到</w:t>
      </w:r>
      <w:r>
        <w:rPr>
          <w:rFonts w:ascii="宋体" w:hAnsi="宋体" w:cs="宋体" w:eastAsia="宋体" w:hint="default"/>
        </w:rPr>
        <w:t>5,945</w:t>
      </w:r>
      <w:r>
        <w:rPr/>
        <w:t>亿美元。与全球市场相比，医疗器械行业属我国重点支持的战略新兴产业，发展前景</w:t>
      </w:r>
      <w:r>
        <w:rPr>
          <w:spacing w:val="-27"/>
        </w:rPr>
        <w:t> </w:t>
      </w:r>
      <w:r>
        <w:rPr>
          <w:spacing w:val="-27"/>
        </w:rPr>
      </w:r>
      <w:r>
        <w:rPr>
          <w:spacing w:val="-2"/>
        </w:rPr>
        <w:t>广阔，我国医疗器械行业正处于发展的黄金期，《中国医疗器械行业发展报告》（</w:t>
      </w:r>
      <w:r>
        <w:rPr>
          <w:rFonts w:ascii="宋体" w:hAnsi="宋体" w:cs="宋体" w:eastAsia="宋体" w:hint="default"/>
          <w:spacing w:val="-2"/>
        </w:rPr>
        <w:t>2019</w:t>
      </w:r>
      <w:r>
        <w:rPr>
          <w:spacing w:val="-2"/>
        </w:rPr>
        <w:t>）分析，我国已成</w:t>
      </w:r>
      <w:r>
        <w:rPr>
          <w:spacing w:val="-45"/>
        </w:rPr>
        <w:t> </w:t>
      </w:r>
      <w:r>
        <w:rPr>
          <w:spacing w:val="-45"/>
        </w:rPr>
      </w:r>
      <w:r>
        <w:rPr>
          <w:spacing w:val="-2"/>
        </w:rPr>
        <w:t>为全球第二大医疗器械市场，</w:t>
      </w:r>
      <w:r>
        <w:rPr>
          <w:rFonts w:ascii="宋体" w:hAnsi="宋体" w:cs="宋体" w:eastAsia="宋体" w:hint="default"/>
          <w:spacing w:val="-2"/>
        </w:rPr>
        <w:t>2018</w:t>
      </w:r>
      <w:r>
        <w:rPr>
          <w:spacing w:val="-2"/>
        </w:rPr>
        <w:t>年中国医疗器械市场规模约为</w:t>
      </w:r>
      <w:r>
        <w:rPr>
          <w:rFonts w:ascii="宋体" w:hAnsi="宋体" w:cs="宋体" w:eastAsia="宋体" w:hint="default"/>
          <w:spacing w:val="-2"/>
        </w:rPr>
        <w:t>5304</w:t>
      </w:r>
      <w:r>
        <w:rPr>
          <w:spacing w:val="-2"/>
        </w:rPr>
        <w:t>亿元，同比增长</w:t>
      </w:r>
      <w:r>
        <w:rPr>
          <w:rFonts w:ascii="宋体" w:hAnsi="宋体" w:cs="宋体" w:eastAsia="宋体" w:hint="default"/>
          <w:spacing w:val="-2"/>
        </w:rPr>
        <w:t>19.86%</w:t>
      </w:r>
      <w:r>
        <w:rPr>
          <w:spacing w:val="-2"/>
        </w:rPr>
        <w:t>，延续了近几</w:t>
      </w:r>
      <w:r>
        <w:rPr>
          <w:spacing w:val="-30"/>
        </w:rPr>
        <w:t> </w:t>
      </w:r>
      <w:r>
        <w:rPr>
          <w:spacing w:val="-30"/>
        </w:rPr>
      </w:r>
      <w:r>
        <w:rPr>
          <w:spacing w:val="-2"/>
        </w:rPr>
        <w:t>年的高增长趋势。其中，家用医疗器械行业是医疗器械领域中增长最快的子行业之一，居民消费升级及人</w:t>
      </w:r>
      <w:r>
        <w:rPr>
          <w:spacing w:val="-44"/>
        </w:rPr>
        <w:t> </w:t>
      </w:r>
      <w:r>
        <w:rPr>
          <w:spacing w:val="-44"/>
        </w:rPr>
      </w:r>
      <w:r>
        <w:rPr>
          <w:spacing w:val="-2"/>
        </w:rPr>
        <w:t>口老龄化的加速是医疗需求增加的推动力，制氧机、电子体温计、血压计、血糖仪、疾病监控系统等便携</w:t>
      </w:r>
      <w:r>
        <w:rPr>
          <w:spacing w:val="-43"/>
        </w:rPr>
        <w:t> </w:t>
      </w:r>
      <w:r>
        <w:rPr>
          <w:spacing w:val="-43"/>
        </w:rPr>
      </w:r>
      <w:r>
        <w:rPr>
          <w:spacing w:val="-2"/>
        </w:rPr>
        <w:t>式医疗设备进入越来越多的家庭。家用医疗器械产品技术含量较高，是结合医学、计算机、物理等多门学</w:t>
      </w:r>
      <w:r>
        <w:rPr>
          <w:spacing w:val="-47"/>
        </w:rPr>
        <w:t> </w:t>
      </w:r>
      <w:r>
        <w:rPr>
          <w:spacing w:val="-47"/>
        </w:rPr>
      </w:r>
      <w:r>
        <w:rPr>
          <w:spacing w:val="-2"/>
        </w:rPr>
        <w:t>科的高技术产物。随着中国医疗卫生体系的发展和进步，患者和医院对诊疗的准确性、可靠性和可跟踪性</w:t>
      </w:r>
      <w:r>
        <w:rPr>
          <w:spacing w:val="-45"/>
        </w:rPr>
        <w:t> </w:t>
      </w:r>
      <w:r>
        <w:rPr>
          <w:spacing w:val="-45"/>
        </w:rPr>
      </w:r>
      <w:r>
        <w:rPr>
          <w:spacing w:val="-2"/>
        </w:rPr>
        <w:t>的要求不断提高，未来家用医疗器械产品将朝着智能化、可穿戴、多功能及远程医疗方向发展。根据人民</w:t>
      </w:r>
      <w:r>
        <w:rPr>
          <w:spacing w:val="-47"/>
        </w:rPr>
        <w:t> </w:t>
      </w:r>
      <w:r>
        <w:rPr>
          <w:spacing w:val="-47"/>
        </w:rPr>
      </w:r>
      <w:r>
        <w:rPr/>
        <w:t>网的预测，</w:t>
      </w:r>
      <w:r>
        <w:rPr>
          <w:rFonts w:ascii="宋体" w:hAnsi="宋体" w:cs="宋体" w:eastAsia="宋体" w:hint="default"/>
        </w:rPr>
        <w:t>2020</w:t>
      </w:r>
      <w:r>
        <w:rPr/>
        <w:t>年我国家用医疗器械市场规模将达</w:t>
      </w:r>
      <w:r>
        <w:rPr>
          <w:rFonts w:ascii="宋体" w:hAnsi="宋体" w:cs="宋体" w:eastAsia="宋体" w:hint="default"/>
        </w:rPr>
        <w:t>1500</w:t>
      </w:r>
      <w:r>
        <w:rPr/>
        <w:t>亿元。</w:t>
      </w:r>
    </w:p>
    <w:p>
      <w:pPr>
        <w:pStyle w:val="BodyText"/>
        <w:spacing w:line="240" w:lineRule="auto"/>
        <w:ind w:left="573" w:right="996"/>
        <w:jc w:val="left"/>
      </w:pPr>
      <w:r>
        <w:rPr/>
        <w:t>同时，医疗健康服务行业市场空间巨大，增速显著，为企业提供了良好的发展机遇和外部市场环境。</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《“健康中国2030”规划纲要》规划了健康中国的战略目标和重要指标，其中预计我国医疗健康服务业总</w:t>
      </w:r>
      <w:r>
        <w:rPr>
          <w:spacing w:val="-40"/>
        </w:rPr>
        <w:t> </w:t>
      </w:r>
      <w:r>
        <w:rPr>
          <w:spacing w:val="-40"/>
        </w:rPr>
      </w:r>
      <w:r>
        <w:rPr/>
        <w:t>规模将在</w:t>
      </w:r>
      <w:r>
        <w:rPr>
          <w:rFonts w:ascii="宋体" w:hAnsi="宋体" w:cs="宋体" w:eastAsia="宋体" w:hint="default"/>
        </w:rPr>
        <w:t>2020</w:t>
      </w:r>
      <w:r>
        <w:rPr/>
        <w:t>年超过</w:t>
      </w:r>
      <w:r>
        <w:rPr>
          <w:rFonts w:ascii="宋体" w:hAnsi="宋体" w:cs="宋体" w:eastAsia="宋体" w:hint="default"/>
        </w:rPr>
        <w:t>8</w:t>
      </w:r>
      <w:r>
        <w:rPr/>
        <w:t>万亿，在</w:t>
      </w:r>
      <w:r>
        <w:rPr>
          <w:rFonts w:ascii="宋体" w:hAnsi="宋体" w:cs="宋体" w:eastAsia="宋体" w:hint="default"/>
        </w:rPr>
        <w:t>2030</w:t>
      </w:r>
      <w:r>
        <w:rPr/>
        <w:t>年达到</w:t>
      </w:r>
      <w:r>
        <w:rPr>
          <w:rFonts w:ascii="宋体" w:hAnsi="宋体" w:cs="宋体" w:eastAsia="宋体" w:hint="default"/>
        </w:rPr>
        <w:t>16</w:t>
      </w:r>
      <w:r>
        <w:rPr/>
        <w:t>万亿元。</w:t>
      </w:r>
    </w:p>
    <w:p>
      <w:pPr>
        <w:pStyle w:val="BodyText"/>
        <w:spacing w:line="408" w:lineRule="auto"/>
        <w:ind w:right="996" w:firstLine="420"/>
        <w:jc w:val="left"/>
      </w:pPr>
      <w:r>
        <w:rPr>
          <w:spacing w:val="-2"/>
        </w:rPr>
        <w:t>人口老龄化加速导致慢病患病率不断升高，带来大量未被满足的医疗健康需求。卫生部数据显示</w:t>
      </w:r>
      <w:r>
        <w:rPr>
          <w:rFonts w:ascii="宋体" w:hAnsi="宋体" w:cs="宋体" w:eastAsia="宋体" w:hint="default"/>
          <w:spacing w:val="-2"/>
        </w:rPr>
        <w:t>60</w:t>
      </w:r>
      <w:r>
        <w:rPr>
          <w:spacing w:val="-2"/>
        </w:rPr>
        <w:t>岁</w:t>
      </w:r>
      <w:r>
        <w:rPr>
          <w:w w:val="100"/>
        </w:rPr>
        <w:t> </w:t>
      </w:r>
      <w:r>
        <w:rPr/>
        <w:t>以上老年人慢性病患病率是全部人口患病率的</w:t>
      </w:r>
      <w:r>
        <w:rPr>
          <w:rFonts w:ascii="宋体" w:hAnsi="宋体" w:cs="宋体" w:eastAsia="宋体" w:hint="default"/>
        </w:rPr>
        <w:t>3.2</w:t>
      </w:r>
      <w:r>
        <w:rPr/>
        <w:t>倍，老年人消耗的卫生资源是全部人口平均消耗卫生资</w:t>
      </w:r>
      <w:r>
        <w:rPr>
          <w:spacing w:val="-25"/>
        </w:rPr>
        <w:t> </w:t>
      </w:r>
      <w:r>
        <w:rPr>
          <w:spacing w:val="-25"/>
        </w:rPr>
      </w:r>
      <w:r>
        <w:rPr>
          <w:spacing w:val="-8"/>
          <w:w w:val="100"/>
        </w:rPr>
        <w:t>源的</w:t>
      </w:r>
      <w:r>
        <w:rPr>
          <w:rFonts w:ascii="宋体" w:hAnsi="宋体" w:cs="宋体" w:eastAsia="宋体" w:hint="default"/>
          <w:spacing w:val="-8"/>
          <w:w w:val="100"/>
        </w:rPr>
        <w:t>1.9</w:t>
      </w:r>
      <w:r>
        <w:rPr>
          <w:spacing w:val="-8"/>
          <w:w w:val="100"/>
        </w:rPr>
        <w:t>倍。国家统计局数据显示，截至</w:t>
      </w:r>
      <w:r>
        <w:rPr>
          <w:rFonts w:ascii="宋体" w:hAnsi="宋体" w:cs="宋体" w:eastAsia="宋体" w:hint="default"/>
          <w:spacing w:val="-8"/>
          <w:w w:val="100"/>
        </w:rPr>
        <w:t>2019</w:t>
      </w:r>
      <w:r>
        <w:rPr>
          <w:spacing w:val="-8"/>
          <w:w w:val="100"/>
        </w:rPr>
        <w:t>年底，我国</w:t>
      </w:r>
      <w:r>
        <w:rPr>
          <w:rFonts w:ascii="宋体" w:hAnsi="宋体" w:cs="宋体" w:eastAsia="宋体" w:hint="default"/>
          <w:spacing w:val="-8"/>
          <w:w w:val="100"/>
        </w:rPr>
        <w:t>60</w:t>
      </w:r>
      <w:r>
        <w:rPr>
          <w:spacing w:val="-8"/>
          <w:w w:val="100"/>
        </w:rPr>
        <w:t>岁及以上老年人口有</w:t>
      </w:r>
      <w:r>
        <w:rPr>
          <w:rFonts w:ascii="宋体" w:hAnsi="宋体" w:cs="宋体" w:eastAsia="宋体" w:hint="default"/>
          <w:spacing w:val="-8"/>
          <w:w w:val="100"/>
        </w:rPr>
        <w:t>2.54</w:t>
      </w:r>
      <w:r>
        <w:rPr>
          <w:rFonts w:ascii="宋体" w:hAnsi="宋体" w:cs="宋体" w:eastAsia="宋体" w:hint="default"/>
          <w:spacing w:val="33"/>
          <w:w w:val="100"/>
        </w:rPr>
        <w:t> </w:t>
      </w:r>
      <w:r>
        <w:rPr>
          <w:spacing w:val="-9"/>
          <w:w w:val="100"/>
        </w:rPr>
        <w:t>亿人，占总人口</w:t>
      </w:r>
      <w:r>
        <w:rPr>
          <w:rFonts w:ascii="宋体" w:hAnsi="宋体" w:cs="宋体" w:eastAsia="宋体" w:hint="default"/>
          <w:spacing w:val="-9"/>
          <w:w w:val="100"/>
        </w:rPr>
        <w:t>18.1</w:t>
      </w:r>
      <w:r>
        <w:rPr>
          <w:spacing w:val="-9"/>
          <w:w w:val="100"/>
        </w:rPr>
        <w:t>％，</w:t>
      </w:r>
      <w:r>
        <w:rPr>
          <w:spacing w:val="-96"/>
          <w:w w:val="100"/>
        </w:rPr>
        <w:t> </w:t>
      </w:r>
      <w:r>
        <w:rPr/>
        <w:t>同比增长</w:t>
      </w:r>
      <w:r>
        <w:rPr>
          <w:rFonts w:ascii="宋体" w:hAnsi="宋体" w:cs="宋体" w:eastAsia="宋体" w:hint="default"/>
        </w:rPr>
        <w:t>3.67%</w:t>
      </w:r>
      <w:r>
        <w:rPr/>
        <w:t>，老年人口占比逐年增大，老龄化加速带来医疗就诊需求的增加，同时，随着居民消费收</w:t>
      </w:r>
      <w:r>
        <w:rPr>
          <w:spacing w:val="-30"/>
        </w:rPr>
        <w:t> </w:t>
      </w:r>
      <w:r>
        <w:rPr>
          <w:spacing w:val="-30"/>
        </w:rPr>
      </w:r>
      <w:r>
        <w:rPr/>
        <w:t>入的增长、人口结构的改变，人民对健康管理、疫病预防的需求愈发旺盛，“防未病”的观念深入人心，</w:t>
      </w:r>
      <w:r>
        <w:rPr>
          <w:w w:val="100"/>
        </w:rPr>
        <w:t> </w:t>
      </w:r>
      <w:r>
        <w:rPr/>
        <w:t>相较旺盛的需求而言，我国公共医疗资源分配不均、供给严重不足，医疗健康市场前景极为广阔。</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行业加速整合，机遇与挑战并存</w:t>
      </w:r>
      <w:r>
        <w:rPr>
          <w:rFonts w:ascii="宋体" w:hAnsi="宋体" w:cs="宋体" w:eastAsia="宋体" w:hint="default"/>
          <w:b/>
          <w:bCs/>
          <w:w w:val="100"/>
          <w:sz w:val="21"/>
          <w:szCs w:val="21"/>
        </w:rPr>
        <w:t> </w:t>
      </w:r>
      <w:r>
        <w:rPr>
          <w:rFonts w:ascii="宋体" w:hAnsi="宋体" w:cs="宋体" w:eastAsia="宋体" w:hint="default"/>
          <w:spacing w:val="-2"/>
          <w:sz w:val="21"/>
          <w:szCs w:val="21"/>
        </w:rPr>
        <w:t>“健康中国”上升为国家战略，利好政策助力行业扩容。为全面贯彻落实《“健康中国2030”规划纲</w:t>
      </w:r>
    </w:p>
    <w:p>
      <w:pPr>
        <w:pStyle w:val="BodyText"/>
        <w:spacing w:line="408" w:lineRule="auto"/>
        <w:ind w:right="1126"/>
        <w:jc w:val="both"/>
      </w:pPr>
      <w:r>
        <w:rPr/>
        <w:t>要》，</w:t>
      </w:r>
      <w:r>
        <w:rPr>
          <w:rFonts w:ascii="宋体" w:hAnsi="宋体" w:cs="宋体" w:eastAsia="宋体" w:hint="default"/>
        </w:rPr>
        <w:t>2019</w:t>
      </w:r>
      <w:r>
        <w:rPr/>
        <w:t>年</w:t>
      </w:r>
      <w:r>
        <w:rPr>
          <w:rFonts w:ascii="宋体" w:hAnsi="宋体" w:cs="宋体" w:eastAsia="宋体" w:hint="default"/>
        </w:rPr>
        <w:t>7</w:t>
      </w:r>
      <w:r>
        <w:rPr/>
        <w:t>月，国务院印发《国务院关于实施健康中国行动的意见》，国务院办公厅印发《健康中国</w:t>
      </w:r>
      <w:r>
        <w:rPr>
          <w:spacing w:val="-28"/>
        </w:rPr>
        <w:t> </w:t>
      </w:r>
      <w:r>
        <w:rPr>
          <w:spacing w:val="-28"/>
        </w:rPr>
      </w:r>
      <w:r>
        <w:rPr>
          <w:spacing w:val="-2"/>
        </w:rPr>
        <w:t>行动组织实施和考核方案》，国家层面印发《健康中国行动（</w:t>
      </w:r>
      <w:r>
        <w:rPr>
          <w:rFonts w:ascii="宋体" w:hAnsi="宋体" w:cs="宋体" w:eastAsia="宋体" w:hint="default"/>
          <w:spacing w:val="-2"/>
        </w:rPr>
        <w:t>2019</w:t>
      </w:r>
      <w:r>
        <w:rPr>
          <w:spacing w:val="-2"/>
        </w:rPr>
        <w:t>—</w:t>
      </w:r>
      <w:r>
        <w:rPr>
          <w:rFonts w:ascii="宋体" w:hAnsi="宋体" w:cs="宋体" w:eastAsia="宋体" w:hint="default"/>
          <w:spacing w:val="-2"/>
        </w:rPr>
        <w:t>2030</w:t>
      </w:r>
      <w:r>
        <w:rPr>
          <w:spacing w:val="-2"/>
        </w:rPr>
        <w:t>年）》，以上健康中国行动相关</w:t>
      </w:r>
      <w:r>
        <w:rPr>
          <w:spacing w:val="-37"/>
        </w:rPr>
        <w:t> </w:t>
      </w:r>
      <w:r>
        <w:rPr>
          <w:spacing w:val="-37"/>
        </w:rPr>
      </w:r>
      <w:r>
        <w:rPr>
          <w:spacing w:val="-2"/>
        </w:rPr>
        <w:t>文件从政府、社会、个人三个层面协同推进，从以“疾病”为中心向以“健康”为中心转变，从注重“治</w:t>
      </w:r>
      <w:r>
        <w:rPr>
          <w:spacing w:val="-47"/>
        </w:rPr>
        <w:t> </w:t>
      </w:r>
      <w:r>
        <w:rPr>
          <w:spacing w:val="-47"/>
        </w:rPr>
      </w:r>
      <w:r>
        <w:rPr>
          <w:spacing w:val="-3"/>
        </w:rPr>
        <w:t>已病”向注重“治未病”转变，从依靠卫生健康系统向社会整体联动转变。在</w:t>
      </w:r>
      <w:r>
        <w:rPr>
          <w:spacing w:val="59"/>
        </w:rPr>
        <w:t> </w:t>
      </w:r>
      <w:r>
        <w:rPr/>
        <w:t>“社会</w:t>
      </w:r>
      <w:r>
        <w:rPr>
          <w:rFonts w:ascii="宋体" w:hAnsi="宋体" w:cs="宋体" w:eastAsia="宋体" w:hint="default"/>
        </w:rPr>
        <w:t>+</w:t>
      </w:r>
      <w:r>
        <w:rPr/>
        <w:t>政府”双资本助推</w:t>
      </w:r>
      <w:r>
        <w:rPr>
          <w:spacing w:val="-93"/>
        </w:rPr>
        <w:t> </w:t>
      </w:r>
      <w:r>
        <w:rPr>
          <w:spacing w:val="-93"/>
        </w:rPr>
      </w:r>
      <w:r>
        <w:rPr>
          <w:spacing w:val="-2"/>
        </w:rPr>
        <w:t>下，行业市场规模和容量将不断扩大，为企业提供了良好的发展机遇和外部市场环境。同时，未来将有更</w:t>
      </w:r>
      <w:r>
        <w:rPr>
          <w:spacing w:val="-47"/>
        </w:rPr>
        <w:t> </w:t>
      </w:r>
      <w:r>
        <w:rPr>
          <w:spacing w:val="-47"/>
        </w:rPr>
      </w:r>
      <w:r>
        <w:rPr>
          <w:spacing w:val="-2"/>
        </w:rPr>
        <w:t>多的公司和社会资本切入医疗健康赛道，进一步加速行业优质资源整合，市场竞争日趋激烈，对整个行业</w:t>
      </w:r>
      <w:r>
        <w:rPr>
          <w:spacing w:val="-45"/>
        </w:rPr>
        <w:t> </w:t>
      </w:r>
      <w:r>
        <w:rPr>
          <w:spacing w:val="-45"/>
        </w:rPr>
      </w:r>
      <w:r>
        <w:rPr/>
        <w:t>市场参与者提出了更高的要求。</w:t>
      </w:r>
    </w:p>
    <w:p>
      <w:pPr>
        <w:pStyle w:val="BodyText"/>
        <w:spacing w:line="408" w:lineRule="auto"/>
        <w:ind w:right="1128" w:firstLine="420"/>
        <w:jc w:val="both"/>
      </w:pPr>
      <w:r>
        <w:rPr>
          <w:spacing w:val="-6"/>
          <w:w w:val="100"/>
        </w:rPr>
        <w:t>在智能可穿戴领域，根据最新发布的全球运动健康趋势调查报告</w:t>
      </w:r>
      <w:r>
        <w:rPr>
          <w:rFonts w:ascii="宋体" w:hAnsi="宋体" w:cs="宋体" w:eastAsia="宋体" w:hint="default"/>
          <w:spacing w:val="-6"/>
          <w:w w:val="100"/>
        </w:rPr>
        <w:t>2020</w:t>
      </w:r>
      <w:r>
        <w:rPr>
          <w:spacing w:val="-6"/>
          <w:w w:val="100"/>
        </w:rPr>
        <w:t>版（</w:t>
      </w:r>
      <w:r>
        <w:rPr>
          <w:rFonts w:ascii="宋体" w:hAnsi="宋体" w:cs="宋体" w:eastAsia="宋体" w:hint="default"/>
          <w:spacing w:val="-6"/>
          <w:w w:val="100"/>
        </w:rPr>
        <w:t>Worldwide</w:t>
      </w:r>
      <w:r>
        <w:rPr>
          <w:rFonts w:ascii="宋体" w:hAnsi="宋体" w:cs="宋体" w:eastAsia="宋体" w:hint="default"/>
          <w:spacing w:val="-43"/>
          <w:w w:val="100"/>
        </w:rPr>
        <w:t> </w:t>
      </w:r>
      <w:r>
        <w:rPr>
          <w:rFonts w:ascii="宋体" w:hAnsi="宋体" w:cs="宋体" w:eastAsia="宋体" w:hint="default"/>
          <w:spacing w:val="-1"/>
          <w:w w:val="100"/>
        </w:rPr>
        <w:t>survey</w:t>
      </w:r>
      <w:r>
        <w:rPr>
          <w:rFonts w:ascii="宋体" w:hAnsi="宋体" w:cs="宋体" w:eastAsia="宋体" w:hint="default"/>
          <w:spacing w:val="-46"/>
          <w:w w:val="100"/>
        </w:rPr>
        <w:t> </w:t>
      </w:r>
      <w:r>
        <w:rPr>
          <w:rFonts w:ascii="宋体" w:hAnsi="宋体" w:cs="宋体" w:eastAsia="宋体" w:hint="default"/>
          <w:w w:val="100"/>
        </w:rPr>
        <w:t>of</w:t>
      </w:r>
      <w:r>
        <w:rPr>
          <w:rFonts w:ascii="宋体" w:hAnsi="宋体" w:cs="宋体" w:eastAsia="宋体" w:hint="default"/>
          <w:spacing w:val="-43"/>
          <w:w w:val="100"/>
        </w:rPr>
        <w:t> </w:t>
      </w:r>
      <w:r>
        <w:rPr>
          <w:rFonts w:ascii="宋体" w:hAnsi="宋体" w:cs="宋体" w:eastAsia="宋体" w:hint="default"/>
          <w:spacing w:val="-2"/>
          <w:w w:val="100"/>
        </w:rPr>
        <w:t>fitness</w:t>
      </w:r>
      <w:r>
        <w:rPr>
          <w:rFonts w:ascii="宋体" w:hAnsi="宋体" w:cs="宋体" w:eastAsia="宋体" w:hint="default"/>
          <w:w w:val="100"/>
        </w:rPr>
        <w:t> </w:t>
      </w:r>
      <w:r>
        <w:rPr>
          <w:rFonts w:ascii="宋体" w:hAnsi="宋体" w:cs="宋体" w:eastAsia="宋体" w:hint="default"/>
        </w:rPr>
        <w:t>trends</w:t>
      </w:r>
      <w:r>
        <w:rPr>
          <w:rFonts w:ascii="宋体" w:hAnsi="宋体" w:cs="宋体" w:eastAsia="宋体" w:hint="default"/>
          <w:spacing w:val="-39"/>
        </w:rPr>
        <w:t> </w:t>
      </w:r>
      <w:r>
        <w:rPr>
          <w:rFonts w:ascii="宋体" w:hAnsi="宋体" w:cs="宋体" w:eastAsia="宋体" w:hint="default"/>
        </w:rPr>
        <w:t>for</w:t>
      </w:r>
      <w:r>
        <w:rPr>
          <w:rFonts w:ascii="宋体" w:hAnsi="宋体" w:cs="宋体" w:eastAsia="宋体" w:hint="default"/>
          <w:spacing w:val="-39"/>
        </w:rPr>
        <w:t> </w:t>
      </w:r>
      <w:r>
        <w:rPr>
          <w:rFonts w:ascii="宋体" w:hAnsi="宋体" w:cs="宋体" w:eastAsia="宋体" w:hint="default"/>
          <w:spacing w:val="-3"/>
        </w:rPr>
        <w:t>2020</w:t>
      </w:r>
      <w:r>
        <w:rPr>
          <w:spacing w:val="-3"/>
        </w:rPr>
        <w:t>）中，可穿戴设备技术位列第</w:t>
      </w:r>
      <w:r>
        <w:rPr>
          <w:rFonts w:ascii="宋体" w:hAnsi="宋体" w:cs="宋体" w:eastAsia="宋体" w:hint="default"/>
          <w:spacing w:val="-3"/>
        </w:rPr>
        <w:t>1</w:t>
      </w:r>
      <w:r>
        <w:rPr>
          <w:spacing w:val="-3"/>
        </w:rPr>
        <w:t>位，但在中国运动健康趋势调查报告</w:t>
      </w:r>
      <w:r>
        <w:rPr>
          <w:rFonts w:ascii="宋体" w:hAnsi="宋体" w:cs="宋体" w:eastAsia="宋体" w:hint="default"/>
          <w:spacing w:val="-3"/>
        </w:rPr>
        <w:t>2020</w:t>
      </w:r>
      <w:r>
        <w:rPr>
          <w:spacing w:val="-3"/>
        </w:rPr>
        <w:t>版（</w:t>
      </w:r>
      <w:r>
        <w:rPr>
          <w:rFonts w:ascii="宋体" w:hAnsi="宋体" w:cs="宋体" w:eastAsia="宋体" w:hint="default"/>
          <w:spacing w:val="-3"/>
        </w:rPr>
        <w:t>China</w:t>
      </w:r>
      <w:r>
        <w:rPr>
          <w:rFonts w:ascii="宋体" w:hAnsi="宋体" w:cs="宋体" w:eastAsia="宋体" w:hint="default"/>
          <w:spacing w:val="-39"/>
        </w:rPr>
        <w:t> </w:t>
      </w:r>
      <w:r>
        <w:rPr>
          <w:rFonts w:ascii="宋体" w:hAnsi="宋体" w:cs="宋体" w:eastAsia="宋体" w:hint="default"/>
        </w:rPr>
        <w:t>survey</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of fitness trends for</w:t>
      </w:r>
      <w:r>
        <w:rPr>
          <w:rFonts w:ascii="宋体" w:hAnsi="宋体" w:cs="宋体" w:eastAsia="宋体" w:hint="default"/>
          <w:spacing w:val="-33"/>
        </w:rPr>
        <w:t> </w:t>
      </w:r>
      <w:r>
        <w:rPr>
          <w:rFonts w:ascii="宋体" w:hAnsi="宋体" w:cs="宋体" w:eastAsia="宋体" w:hint="default"/>
        </w:rPr>
        <w:t>2020</w:t>
      </w:r>
      <w:r>
        <w:rPr/>
        <w:t>）中，可穿戴技术仅位列第</w:t>
      </w:r>
      <w:r>
        <w:rPr>
          <w:rFonts w:ascii="宋体" w:hAnsi="宋体" w:cs="宋体" w:eastAsia="宋体" w:hint="default"/>
        </w:rPr>
        <w:t>13</w:t>
      </w:r>
      <w:r>
        <w:rPr/>
        <w:t>位，我们认为可穿戴技术在中国市场是一个极</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5"/>
        <w:jc w:val="both"/>
      </w:pPr>
      <w:r>
        <w:rPr>
          <w:spacing w:val="-2"/>
        </w:rPr>
        <w:t>具前景的行业与趋势，可穿戴技术具有很大的提升空间。据分析，提高可穿戴设备的数据精度与准确性，</w:t>
      </w:r>
      <w:r>
        <w:rPr>
          <w:spacing w:val="-21"/>
        </w:rPr>
        <w:t> </w:t>
      </w:r>
      <w:r>
        <w:rPr>
          <w:spacing w:val="-21"/>
        </w:rPr>
      </w:r>
      <w:r>
        <w:rPr/>
        <w:t>会在未来医疗健康行业中扮演重要的角色。</w:t>
      </w:r>
    </w:p>
    <w:p>
      <w:pPr>
        <w:pStyle w:val="BodyText"/>
        <w:spacing w:line="408" w:lineRule="auto"/>
        <w:ind w:right="1126" w:firstLine="420"/>
        <w:jc w:val="both"/>
      </w:pPr>
      <w:r>
        <w:rPr>
          <w:rFonts w:ascii="宋体" w:hAnsi="宋体" w:cs="宋体" w:eastAsia="宋体" w:hint="default"/>
          <w:spacing w:val="-2"/>
        </w:rPr>
        <w:t>IDC</w:t>
      </w:r>
      <w:r>
        <w:rPr>
          <w:spacing w:val="-2"/>
        </w:rPr>
        <w:t>数据显示，</w:t>
      </w:r>
      <w:r>
        <w:rPr>
          <w:rFonts w:ascii="宋体" w:hAnsi="宋体" w:cs="宋体" w:eastAsia="宋体" w:hint="default"/>
          <w:spacing w:val="-2"/>
        </w:rPr>
        <w:t>2019</w:t>
      </w:r>
      <w:r>
        <w:rPr>
          <w:spacing w:val="-2"/>
        </w:rPr>
        <w:t>年中国可穿戴市场同比增长</w:t>
      </w:r>
      <w:r>
        <w:rPr>
          <w:rFonts w:ascii="宋体" w:hAnsi="宋体" w:cs="宋体" w:eastAsia="宋体" w:hint="default"/>
          <w:spacing w:val="-2"/>
        </w:rPr>
        <w:t>25.2%</w:t>
      </w:r>
      <w:r>
        <w:rPr>
          <w:spacing w:val="-2"/>
        </w:rPr>
        <w:t>，前五名的厂商份额逐渐增长，市场向头部厂商</w:t>
      </w:r>
      <w:r>
        <w:rPr>
          <w:w w:val="100"/>
        </w:rPr>
        <w:t> </w:t>
      </w:r>
      <w:r>
        <w:rPr>
          <w:spacing w:val="-2"/>
        </w:rPr>
        <w:t>倾斜，</w:t>
      </w:r>
      <w:r>
        <w:rPr>
          <w:rFonts w:ascii="宋体" w:hAnsi="宋体" w:cs="宋体" w:eastAsia="宋体" w:hint="default"/>
          <w:spacing w:val="-2"/>
        </w:rPr>
        <w:t>2017</w:t>
      </w:r>
      <w:r>
        <w:rPr>
          <w:spacing w:val="-2"/>
        </w:rPr>
        <w:t>年</w:t>
      </w:r>
      <w:r>
        <w:rPr>
          <w:rFonts w:ascii="宋体" w:hAnsi="宋体" w:cs="宋体" w:eastAsia="宋体" w:hint="default"/>
          <w:spacing w:val="-2"/>
        </w:rPr>
        <w:t>-2019</w:t>
      </w:r>
      <w:r>
        <w:rPr>
          <w:spacing w:val="-2"/>
        </w:rPr>
        <w:t>年，我国前三大可穿戴企业的市场占有率提升了</w:t>
      </w:r>
      <w:r>
        <w:rPr>
          <w:rFonts w:ascii="宋体" w:hAnsi="宋体" w:cs="宋体" w:eastAsia="宋体" w:hint="default"/>
          <w:spacing w:val="-2"/>
        </w:rPr>
        <w:t>15</w:t>
      </w:r>
      <w:r>
        <w:rPr>
          <w:spacing w:val="-2"/>
        </w:rPr>
        <w:t>个百分点至</w:t>
      </w:r>
      <w:r>
        <w:rPr>
          <w:rFonts w:ascii="宋体" w:hAnsi="宋体" w:cs="宋体" w:eastAsia="宋体" w:hint="default"/>
          <w:spacing w:val="-2"/>
        </w:rPr>
        <w:t>2019</w:t>
      </w:r>
      <w:r>
        <w:rPr>
          <w:spacing w:val="-2"/>
        </w:rPr>
        <w:t>年的</w:t>
      </w:r>
      <w:r>
        <w:rPr>
          <w:rFonts w:ascii="宋体" w:hAnsi="宋体" w:cs="宋体" w:eastAsia="宋体" w:hint="default"/>
          <w:spacing w:val="-2"/>
        </w:rPr>
        <w:t>59%</w:t>
      </w:r>
      <w:r>
        <w:rPr>
          <w:spacing w:val="-2"/>
        </w:rPr>
        <w:t>，充分说明</w:t>
      </w:r>
      <w:r>
        <w:rPr>
          <w:spacing w:val="-31"/>
        </w:rPr>
        <w:t> </w:t>
      </w:r>
      <w:r>
        <w:rPr>
          <w:spacing w:val="-31"/>
        </w:rPr>
      </w:r>
      <w:r>
        <w:rPr>
          <w:spacing w:val="-2"/>
        </w:rPr>
        <w:t>可穿戴行业的竞争已经是巨头之间的竞争，头部企业集中度快速提升。受到新冠疫情影响，促使更多人注</w:t>
      </w:r>
      <w:r>
        <w:rPr>
          <w:spacing w:val="-44"/>
        </w:rPr>
        <w:t> </w:t>
      </w:r>
      <w:r>
        <w:rPr>
          <w:spacing w:val="-44"/>
        </w:rPr>
      </w:r>
      <w:r>
        <w:rPr/>
        <w:t>重运动习惯的养成、身体指标的监测，这将激活更多潜在需求。</w:t>
      </w:r>
    </w:p>
    <w:p>
      <w:pPr>
        <w:pStyle w:val="BodyText"/>
        <w:spacing w:line="408" w:lineRule="auto"/>
        <w:ind w:left="573" w:right="1119" w:firstLine="2"/>
        <w:jc w:val="left"/>
      </w:pPr>
      <w:r>
        <w:rPr>
          <w:rFonts w:ascii="宋体" w:hAnsi="宋体" w:cs="宋体" w:eastAsia="宋体" w:hint="default"/>
          <w:b/>
          <w:bCs/>
        </w:rPr>
        <w:t>（二）公司发展战略</w:t>
      </w:r>
      <w:r>
        <w:rPr>
          <w:rFonts w:ascii="宋体" w:hAnsi="宋体" w:cs="宋体" w:eastAsia="宋体" w:hint="default"/>
          <w:b/>
          <w:bCs/>
          <w:w w:val="100"/>
        </w:rPr>
        <w:t> </w:t>
      </w:r>
      <w:r>
        <w:rPr/>
        <w:t>健康</w:t>
      </w:r>
      <w:r>
        <w:rPr>
          <w:rFonts w:ascii="宋体" w:hAnsi="宋体" w:cs="宋体" w:eastAsia="宋体" w:hint="default"/>
        </w:rPr>
        <w:t>IoT</w:t>
      </w:r>
      <w:r>
        <w:rPr/>
        <w:t>行业新的黄金十年已经到来，行业诸多品类已经成为行业巨头的流量入口产品，行业集中度</w:t>
      </w:r>
    </w:p>
    <w:p>
      <w:pPr>
        <w:pStyle w:val="BodyText"/>
        <w:spacing w:line="408" w:lineRule="auto"/>
        <w:ind w:right="1126"/>
        <w:jc w:val="both"/>
      </w:pPr>
      <w:r>
        <w:rPr>
          <w:spacing w:val="-2"/>
        </w:rPr>
        <w:t>呈现快速上升态势，公司将积极把握行业快速发展的机遇，继续围绕公司整体经营战略目标，致力于成为</w:t>
      </w:r>
      <w:r>
        <w:rPr>
          <w:spacing w:val="-43"/>
        </w:rPr>
        <w:t> </w:t>
      </w:r>
      <w:r>
        <w:rPr>
          <w:spacing w:val="-43"/>
        </w:rPr>
      </w:r>
      <w:r>
        <w:rPr>
          <w:spacing w:val="-2"/>
        </w:rPr>
        <w:t>行业客户深度布局健康</w:t>
      </w:r>
      <w:r>
        <w:rPr>
          <w:rFonts w:ascii="宋体" w:hAnsi="宋体" w:cs="宋体" w:eastAsia="宋体" w:hint="default"/>
          <w:spacing w:val="-2"/>
        </w:rPr>
        <w:t>IoT</w:t>
      </w:r>
      <w:r>
        <w:rPr>
          <w:spacing w:val="-2"/>
        </w:rPr>
        <w:t>行业的重要合作伙伴。依托公司在智能医疗健康、智能可穿戴及</w:t>
      </w:r>
      <w:r>
        <w:rPr>
          <w:rFonts w:ascii="宋体" w:hAnsi="宋体" w:cs="宋体" w:eastAsia="宋体" w:hint="default"/>
          <w:spacing w:val="-2"/>
        </w:rPr>
        <w:t>TWS</w:t>
      </w:r>
      <w:r>
        <w:rPr>
          <w:spacing w:val="-2"/>
        </w:rPr>
        <w:t>耳机等领域</w:t>
      </w:r>
      <w:r>
        <w:rPr>
          <w:spacing w:val="-44"/>
        </w:rPr>
        <w:t> </w:t>
      </w:r>
      <w:r>
        <w:rPr>
          <w:spacing w:val="-44"/>
        </w:rPr>
      </w:r>
      <w:r>
        <w:rPr>
          <w:spacing w:val="-2"/>
        </w:rPr>
        <w:t>产品创新研发、生产制造和应用技术等方面的独特优势，积极探索与行业优质客户在更多领域实现更全面</w:t>
      </w:r>
      <w:r>
        <w:rPr>
          <w:spacing w:val="-42"/>
        </w:rPr>
        <w:t> </w:t>
      </w:r>
      <w:r>
        <w:rPr>
          <w:spacing w:val="-42"/>
        </w:rPr>
      </w:r>
      <w:r>
        <w:rPr/>
        <w:t>更密切合作的可能性，实现共同可持续发展。并响应国家政策号召，推动健康</w:t>
      </w:r>
      <w:r>
        <w:rPr>
          <w:rFonts w:ascii="宋体" w:hAnsi="宋体" w:cs="宋体" w:eastAsia="宋体" w:hint="default"/>
        </w:rPr>
        <w:t>IoT</w:t>
      </w:r>
      <w:r>
        <w:rPr/>
        <w:t>与医疗、保险的对接，</w:t>
      </w:r>
      <w:r>
        <w:rPr>
          <w:spacing w:val="-24"/>
        </w:rPr>
        <w:t> </w:t>
      </w:r>
      <w:r>
        <w:rPr>
          <w:spacing w:val="-24"/>
        </w:rPr>
      </w:r>
      <w:r>
        <w:rPr/>
        <w:t>帮助行业客户实现健康智能硬件与医疗健康等诸多领域的深度融合。</w:t>
      </w:r>
    </w:p>
    <w:p>
      <w:pPr>
        <w:pStyle w:val="Heading5"/>
        <w:spacing w:line="408" w:lineRule="auto" w:before="46"/>
        <w:ind w:left="575" w:right="1119"/>
        <w:jc w:val="left"/>
        <w:rPr>
          <w:b w:val="0"/>
          <w:bCs w:val="0"/>
        </w:rPr>
      </w:pPr>
      <w:r>
        <w:rPr/>
        <w:t>（三）</w:t>
      </w:r>
      <w:r>
        <w:rPr>
          <w:rFonts w:ascii="宋体" w:hAnsi="宋体" w:cs="宋体" w:eastAsia="宋体" w:hint="default"/>
        </w:rPr>
        <w:t>2020</w:t>
      </w:r>
      <w:r>
        <w:rPr/>
        <w:t>年经营计划</w:t>
      </w:r>
      <w:r>
        <w:rPr>
          <w:w w:val="100"/>
        </w:rPr>
        <w:t> </w:t>
      </w:r>
      <w:r>
        <w:rPr>
          <w:rFonts w:ascii="宋体" w:hAnsi="宋体" w:cs="宋体" w:eastAsia="宋体" w:hint="default"/>
          <w:spacing w:val="-2"/>
        </w:rPr>
        <w:t>1</w:t>
      </w:r>
      <w:r>
        <w:rPr>
          <w:spacing w:val="-2"/>
        </w:rPr>
        <w:t>、夯实并不断加强与全球行业巨头的深度合作，巩固及扩大领先优势，成为健康</w:t>
      </w:r>
      <w:r>
        <w:rPr>
          <w:rFonts w:ascii="宋体" w:hAnsi="宋体" w:cs="宋体" w:eastAsia="宋体" w:hint="default"/>
          <w:spacing w:val="-2"/>
        </w:rPr>
        <w:t>IoT</w:t>
      </w:r>
      <w:r>
        <w:rPr>
          <w:spacing w:val="-2"/>
        </w:rPr>
        <w:t>和智能健康整体</w:t>
      </w:r>
      <w:r>
        <w:rPr>
          <w:b w:val="0"/>
          <w:bCs w:val="0"/>
          <w:spacing w:val="-2"/>
        </w:rPr>
      </w:r>
    </w:p>
    <w:p>
      <w:pPr>
        <w:spacing w:line="408" w:lineRule="auto" w:before="46"/>
        <w:ind w:left="573" w:right="1119" w:hanging="421"/>
        <w:jc w:val="left"/>
        <w:rPr>
          <w:rFonts w:ascii="宋体" w:hAnsi="宋体" w:cs="宋体" w:eastAsia="宋体" w:hint="default"/>
          <w:sz w:val="21"/>
          <w:szCs w:val="21"/>
        </w:rPr>
      </w:pPr>
      <w:r>
        <w:rPr>
          <w:rFonts w:ascii="宋体" w:hAnsi="宋体" w:cs="宋体" w:eastAsia="宋体" w:hint="default"/>
          <w:b/>
          <w:bCs/>
          <w:sz w:val="21"/>
          <w:szCs w:val="21"/>
        </w:rPr>
        <w:t>解决方案提供商的头部企业。</w:t>
      </w:r>
      <w:r>
        <w:rPr>
          <w:rFonts w:ascii="宋体" w:hAnsi="宋体" w:cs="宋体" w:eastAsia="宋体" w:hint="default"/>
          <w:b/>
          <w:bCs/>
          <w:w w:val="100"/>
          <w:sz w:val="21"/>
          <w:szCs w:val="21"/>
        </w:rPr>
        <w:t> </w:t>
      </w:r>
      <w:r>
        <w:rPr>
          <w:rFonts w:ascii="宋体" w:hAnsi="宋体" w:cs="宋体" w:eastAsia="宋体" w:hint="default"/>
          <w:spacing w:val="2"/>
          <w:sz w:val="21"/>
          <w:szCs w:val="21"/>
        </w:rPr>
        <w:t>公司具备长期服务全球高端客户的经验与能力以及全球一流的供应链能力。凭借优良的研发设计能</w:t>
      </w:r>
    </w:p>
    <w:p>
      <w:pPr>
        <w:pStyle w:val="BodyText"/>
        <w:spacing w:line="408" w:lineRule="auto"/>
        <w:ind w:right="1132"/>
        <w:jc w:val="both"/>
      </w:pPr>
      <w:r>
        <w:rPr/>
        <w:t>力、产品品质和及时交付能力而受到全球知名客户青睐，与众多国内外知名健康</w:t>
      </w:r>
      <w:r>
        <w:rPr>
          <w:rFonts w:ascii="宋体" w:hAnsi="宋体" w:cs="宋体" w:eastAsia="宋体" w:hint="default"/>
        </w:rPr>
        <w:t>IoT</w:t>
      </w:r>
      <w:r>
        <w:rPr/>
        <w:t>行业巨头建立了稳定</w:t>
      </w:r>
      <w:r>
        <w:rPr>
          <w:spacing w:val="-23"/>
        </w:rPr>
        <w:t> </w:t>
      </w:r>
      <w:r>
        <w:rPr>
          <w:spacing w:val="-23"/>
        </w:rPr>
      </w:r>
      <w:r>
        <w:rPr/>
        <w:t>的合作关系。</w:t>
      </w:r>
    </w:p>
    <w:p>
      <w:pPr>
        <w:pStyle w:val="BodyText"/>
        <w:spacing w:line="408" w:lineRule="auto"/>
        <w:ind w:right="1126" w:firstLine="420"/>
        <w:jc w:val="both"/>
      </w:pPr>
      <w:r>
        <w:rPr>
          <w:rFonts w:ascii="宋体" w:hAnsi="宋体" w:cs="宋体" w:eastAsia="宋体" w:hint="default"/>
          <w:spacing w:val="-2"/>
        </w:rPr>
        <w:t>2020</w:t>
      </w:r>
      <w:r>
        <w:rPr>
          <w:spacing w:val="-2"/>
        </w:rPr>
        <w:t>年，公司将聚焦主营业务，不断提高公司产品的研发效率和创新能力，同时着力培养成长性新业</w:t>
      </w:r>
      <w:r>
        <w:rPr>
          <w:w w:val="100"/>
        </w:rPr>
        <w:t> </w:t>
      </w:r>
      <w:r>
        <w:rPr>
          <w:spacing w:val="-2"/>
        </w:rPr>
        <w:t>务，丰富产品品类，培育新的利润增长点。通过多途径、多通道与国内外大型知名企业在医疗健康、智能</w:t>
      </w:r>
      <w:r>
        <w:rPr>
          <w:spacing w:val="-43"/>
        </w:rPr>
        <w:t> </w:t>
      </w:r>
      <w:r>
        <w:rPr>
          <w:spacing w:val="-43"/>
        </w:rPr>
      </w:r>
      <w:r>
        <w:rPr/>
        <w:t>可穿戴等领域展开更为全面和深入的合作。</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、积极拓展乐心远程健康管理系统（</w:t>
      </w:r>
      <w:r>
        <w:rPr>
          <w:rFonts w:ascii="宋体" w:hAnsi="宋体" w:cs="宋体" w:eastAsia="宋体" w:hint="default"/>
          <w:b/>
          <w:bCs/>
          <w:sz w:val="21"/>
          <w:szCs w:val="21"/>
        </w:rPr>
        <w:t>RPM</w:t>
      </w:r>
      <w:r>
        <w:rPr>
          <w:rFonts w:ascii="宋体" w:hAnsi="宋体" w:cs="宋体" w:eastAsia="宋体" w:hint="default"/>
          <w:b/>
          <w:bCs/>
          <w:sz w:val="21"/>
          <w:szCs w:val="21"/>
        </w:rPr>
        <w:t>），不断构建核心竞争力</w:t>
      </w:r>
      <w:r>
        <w:rPr>
          <w:rFonts w:ascii="宋体" w:hAnsi="宋体" w:cs="宋体" w:eastAsia="宋体" w:hint="default"/>
          <w:b/>
          <w:bCs/>
          <w:w w:val="100"/>
          <w:sz w:val="21"/>
          <w:szCs w:val="21"/>
        </w:rPr>
        <w:t> </w:t>
      </w:r>
      <w:r>
        <w:rPr>
          <w:rFonts w:ascii="宋体" w:hAnsi="宋体" w:cs="宋体" w:eastAsia="宋体" w:hint="default"/>
          <w:sz w:val="21"/>
          <w:szCs w:val="21"/>
        </w:rPr>
        <w:t>随着“互联网+”医疗健康的政策频出，国家层面肯定互联网医疗的地位和作用，有利推进互联网医</w:t>
      </w:r>
    </w:p>
    <w:p>
      <w:pPr>
        <w:pStyle w:val="BodyText"/>
        <w:spacing w:line="408" w:lineRule="auto"/>
        <w:ind w:right="1127"/>
        <w:jc w:val="both"/>
      </w:pPr>
      <w:r>
        <w:rPr/>
        <w:t>疗发展进程。在此背景下，乐心将积极拓展远程健康管理系统（</w:t>
      </w:r>
      <w:r>
        <w:rPr>
          <w:rFonts w:ascii="宋体" w:hAnsi="宋体" w:cs="宋体" w:eastAsia="宋体" w:hint="default"/>
        </w:rPr>
        <w:t>RPM</w:t>
      </w:r>
      <w:r>
        <w:rPr/>
        <w:t>），针对治未病的健康人群或者亚健</w:t>
      </w:r>
      <w:r>
        <w:rPr>
          <w:spacing w:val="-25"/>
        </w:rPr>
        <w:t> </w:t>
      </w:r>
      <w:r>
        <w:rPr>
          <w:spacing w:val="-25"/>
        </w:rPr>
      </w:r>
      <w:r>
        <w:rPr>
          <w:spacing w:val="-2"/>
        </w:rPr>
        <w:t>康人群着重引导健康生活。建立健康数据检测</w:t>
      </w:r>
      <w:r>
        <w:rPr>
          <w:rFonts w:ascii="宋体" w:hAnsi="宋体" w:cs="宋体" w:eastAsia="宋体" w:hint="default"/>
          <w:spacing w:val="-2"/>
        </w:rPr>
        <w:t>-AI</w:t>
      </w:r>
      <w:r>
        <w:rPr>
          <w:spacing w:val="-2"/>
        </w:rPr>
        <w:t>健康评估</w:t>
      </w:r>
      <w:r>
        <w:rPr>
          <w:rFonts w:ascii="宋体" w:hAnsi="宋体" w:cs="宋体" w:eastAsia="宋体" w:hint="default"/>
          <w:spacing w:val="-2"/>
        </w:rPr>
        <w:t>-</w:t>
      </w:r>
      <w:r>
        <w:rPr>
          <w:spacing w:val="-2"/>
        </w:rPr>
        <w:t>健康行为干预</w:t>
      </w:r>
      <w:r>
        <w:rPr>
          <w:rFonts w:ascii="宋体" w:hAnsi="宋体" w:cs="宋体" w:eastAsia="宋体" w:hint="default"/>
          <w:spacing w:val="-2"/>
        </w:rPr>
        <w:t>-</w:t>
      </w:r>
      <w:r>
        <w:rPr>
          <w:spacing w:val="-2"/>
        </w:rPr>
        <w:t>健康改善服务</w:t>
      </w:r>
      <w:r>
        <w:rPr>
          <w:rFonts w:ascii="宋体" w:hAnsi="宋体" w:cs="宋体" w:eastAsia="宋体" w:hint="default"/>
          <w:spacing w:val="-2"/>
        </w:rPr>
        <w:t>-</w:t>
      </w:r>
      <w:r>
        <w:rPr>
          <w:spacing w:val="-2"/>
        </w:rPr>
        <w:t>健康动力养成六</w:t>
      </w:r>
      <w:r>
        <w:rPr>
          <w:spacing w:val="-40"/>
        </w:rPr>
        <w:t> </w:t>
      </w:r>
      <w:r>
        <w:rPr>
          <w:spacing w:val="-40"/>
        </w:rPr>
      </w:r>
      <w:r>
        <w:rPr>
          <w:spacing w:val="-2"/>
        </w:rPr>
        <w:t>大系统，并与保险机构、健康管理机构深度合作，发挥强大的协同效应，为用户提供全周期的健康管理方</w:t>
      </w:r>
      <w:r>
        <w:rPr>
          <w:spacing w:val="-47"/>
        </w:rPr>
        <w:t> </w:t>
      </w:r>
      <w:r>
        <w:rPr>
          <w:spacing w:val="-47"/>
        </w:rPr>
      </w:r>
      <w:r>
        <w:rPr>
          <w:spacing w:val="-2"/>
        </w:rPr>
        <w:t>案。针对治已病，特别是慢病管理人群，建立完善的医生助手应用、患者健康干预应用以及医院、医生的</w:t>
      </w:r>
      <w:r>
        <w:rPr>
          <w:spacing w:val="-43"/>
        </w:rPr>
        <w:t> </w:t>
      </w:r>
      <w:r>
        <w:rPr>
          <w:spacing w:val="-43"/>
        </w:rPr>
      </w:r>
      <w:r>
        <w:rPr>
          <w:spacing w:val="-2"/>
        </w:rPr>
        <w:t>管理平台，做到三者账号、系统打通，实时在线远程管理。同时，发挥乐心的核心优势，构建全体系的医</w:t>
      </w:r>
      <w:r>
        <w:rPr>
          <w:spacing w:val="-42"/>
        </w:rPr>
        <w:t> </w:t>
      </w:r>
      <w:r>
        <w:rPr>
          <w:spacing w:val="-42"/>
        </w:rPr>
      </w:r>
      <w:r>
        <w:rPr>
          <w:spacing w:val="-2"/>
        </w:rPr>
        <w:t>疗级智能硬件，作为收集用户实时数据的强大入口，帮助医生及医院快速、准确的了解患者病情，生活状</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996"/>
        <w:jc w:val="left"/>
      </w:pPr>
      <w:r>
        <w:rPr>
          <w:spacing w:val="-5"/>
        </w:rPr>
        <w:t>态。联合医院、专家、科研机构，通过专业化及个性化的饮食处方、运动处方、睡眠处方、心理处方方案，</w:t>
      </w:r>
      <w:r>
        <w:rPr>
          <w:spacing w:val="-10"/>
        </w:rPr>
        <w:t> </w:t>
      </w:r>
      <w:r>
        <w:rPr>
          <w:spacing w:val="-10"/>
        </w:rPr>
      </w:r>
      <w:r>
        <w:rPr/>
        <w:t>有效指导患者日常生活，养成健康习惯，降低发病风险。远程健康管理系统（</w:t>
      </w:r>
      <w:r>
        <w:rPr>
          <w:rFonts w:ascii="宋体" w:hAnsi="宋体" w:cs="宋体" w:eastAsia="宋体" w:hint="default"/>
        </w:rPr>
        <w:t>RPM</w:t>
      </w:r>
      <w:r>
        <w:rPr/>
        <w:t>）符合国家致力于发展</w:t>
      </w:r>
      <w:r>
        <w:rPr>
          <w:spacing w:val="-24"/>
        </w:rPr>
        <w:t> </w:t>
      </w:r>
      <w:r>
        <w:rPr>
          <w:spacing w:val="-24"/>
        </w:rPr>
      </w:r>
      <w:r>
        <w:rPr/>
        <w:t>的医疗健康服务范畴，亦将进一步提升乐心综合竞争力。</w:t>
      </w:r>
    </w:p>
    <w:p>
      <w:pPr>
        <w:pStyle w:val="Heading5"/>
        <w:spacing w:line="240" w:lineRule="auto" w:before="46"/>
        <w:ind w:left="575" w:right="1119"/>
        <w:jc w:val="left"/>
        <w:rPr>
          <w:b w:val="0"/>
          <w:bCs w:val="0"/>
        </w:rPr>
      </w:pPr>
      <w:r>
        <w:rPr>
          <w:rFonts w:ascii="宋体" w:hAnsi="宋体" w:cs="宋体" w:eastAsia="宋体" w:hint="default"/>
        </w:rPr>
        <w:t>3</w:t>
      </w:r>
      <w:r>
        <w:rPr/>
        <w:t>、资本助力，持续推动外延式发展，进一步区隔战略重点和孵化业务，梳理股权结构，完善激励机</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right="0"/>
        <w:jc w:val="both"/>
        <w:rPr>
          <w:b w:val="0"/>
          <w:bCs w:val="0"/>
        </w:rPr>
      </w:pPr>
      <w:r>
        <w:rPr/>
        <w:t>制。</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05" w:firstLine="420"/>
        <w:jc w:val="both"/>
      </w:pPr>
      <w:r>
        <w:rPr>
          <w:spacing w:val="-2"/>
        </w:rPr>
        <w:t>公司将继续遵循内生式增长与外延式扩张相结合的发展战略，积极寻求同公司主业相关，具有协同效</w:t>
      </w:r>
      <w:r>
        <w:rPr>
          <w:w w:val="100"/>
        </w:rPr>
        <w:t> </w:t>
      </w:r>
      <w:r>
        <w:rPr>
          <w:spacing w:val="-2"/>
        </w:rPr>
        <w:t>应的项目展开合作，开展包括股权、业务在内的深度合作，以提高公司综合竞争力。公司通过项目孵化、</w:t>
      </w:r>
      <w:r>
        <w:rPr>
          <w:spacing w:val="-21"/>
        </w:rPr>
        <w:t> </w:t>
      </w:r>
      <w:r>
        <w:rPr>
          <w:spacing w:val="-21"/>
        </w:rPr>
      </w:r>
      <w:r>
        <w:rPr/>
        <w:t>股权投资等多种方式，积极拓宽医疗健康</w:t>
      </w:r>
      <w:r>
        <w:rPr>
          <w:rFonts w:ascii="宋体" w:hAnsi="宋体" w:cs="宋体" w:eastAsia="宋体" w:hint="default"/>
        </w:rPr>
        <w:t>IoT</w:t>
      </w:r>
      <w:r>
        <w:rPr/>
        <w:t>产品品类，获取可量化的多维人体健康大数据。同时，加大</w:t>
      </w:r>
      <w:r>
        <w:rPr>
          <w:spacing w:val="-27"/>
        </w:rPr>
        <w:t> </w:t>
      </w:r>
      <w:r>
        <w:rPr>
          <w:spacing w:val="-27"/>
        </w:rPr>
      </w:r>
      <w:r>
        <w:rPr>
          <w:spacing w:val="-2"/>
        </w:rPr>
        <w:t>数字健康服务的开发及运营投入，提升大数据、人工智能等科技能力，不断提升整体解决方案的价值。同</w:t>
      </w:r>
      <w:r>
        <w:rPr>
          <w:spacing w:val="-44"/>
        </w:rPr>
        <w:t> </w:t>
      </w:r>
      <w:r>
        <w:rPr>
          <w:spacing w:val="-44"/>
        </w:rPr>
      </w:r>
      <w:r>
        <w:rPr/>
        <w:t>时，公司将区隔战略重点和孵化业务，梳理股权结构，完善激励机制。</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、持续重视研发能力的提升</w:t>
      </w:r>
      <w:r>
        <w:rPr>
          <w:rFonts w:ascii="宋体" w:hAnsi="宋体" w:cs="宋体" w:eastAsia="宋体" w:hint="default"/>
          <w:b/>
          <w:bCs/>
          <w:w w:val="100"/>
          <w:sz w:val="21"/>
          <w:szCs w:val="21"/>
        </w:rPr>
        <w:t> </w:t>
      </w:r>
      <w:r>
        <w:rPr>
          <w:rFonts w:ascii="宋体" w:hAnsi="宋体" w:cs="宋体" w:eastAsia="宋体" w:hint="default"/>
          <w:spacing w:val="-2"/>
          <w:sz w:val="21"/>
          <w:szCs w:val="21"/>
        </w:rPr>
        <w:t>对研发的重视和投入，始终是乐心医疗创新的源动力。</w:t>
      </w:r>
      <w:r>
        <w:rPr>
          <w:rFonts w:ascii="宋体" w:hAnsi="宋体" w:cs="宋体" w:eastAsia="宋体" w:hint="default"/>
          <w:spacing w:val="-2"/>
          <w:sz w:val="21"/>
          <w:szCs w:val="21"/>
        </w:rPr>
        <w:t>2020</w:t>
      </w:r>
      <w:r>
        <w:rPr>
          <w:rFonts w:ascii="宋体" w:hAnsi="宋体" w:cs="宋体" w:eastAsia="宋体" w:hint="default"/>
          <w:spacing w:val="-2"/>
          <w:sz w:val="21"/>
          <w:szCs w:val="21"/>
        </w:rPr>
        <w:t>年，公司将持续加大对可穿戴生物传感技</w:t>
      </w:r>
    </w:p>
    <w:p>
      <w:pPr>
        <w:pStyle w:val="BodyText"/>
        <w:spacing w:line="408" w:lineRule="auto"/>
        <w:ind w:right="1105"/>
        <w:jc w:val="both"/>
      </w:pPr>
      <w:r>
        <w:rPr>
          <w:spacing w:val="-2"/>
        </w:rPr>
        <w:t>术（</w:t>
      </w:r>
      <w:r>
        <w:rPr>
          <w:rFonts w:ascii="宋体" w:hAnsi="宋体" w:cs="宋体" w:eastAsia="宋体" w:hint="default"/>
          <w:spacing w:val="-2"/>
        </w:rPr>
        <w:t>ECG</w:t>
      </w:r>
      <w:r>
        <w:rPr>
          <w:spacing w:val="-2"/>
        </w:rPr>
        <w:t>，体温监测，</w:t>
      </w:r>
      <w:r>
        <w:rPr>
          <w:rFonts w:ascii="宋体" w:hAnsi="宋体" w:cs="宋体" w:eastAsia="宋体" w:hint="default"/>
          <w:spacing w:val="-2"/>
        </w:rPr>
        <w:t>PPG</w:t>
      </w:r>
      <w:r>
        <w:rPr>
          <w:spacing w:val="-2"/>
        </w:rPr>
        <w:t>等）的投入，不断加强核心部件和算法能力的提升、健康大数据的开发及用户运</w:t>
      </w:r>
      <w:r>
        <w:rPr>
          <w:spacing w:val="-36"/>
        </w:rPr>
        <w:t> </w:t>
      </w:r>
      <w:r>
        <w:rPr>
          <w:spacing w:val="-36"/>
        </w:rPr>
      </w:r>
      <w:r>
        <w:rPr>
          <w:spacing w:val="-2"/>
        </w:rPr>
        <w:t>营能力的研发布局，推动在血压、心血管等方面的慢病管理方向的产品化应用。以公司发展战略为核心，</w:t>
      </w:r>
      <w:r>
        <w:rPr>
          <w:spacing w:val="-21"/>
        </w:rPr>
        <w:t> </w:t>
      </w:r>
      <w:r>
        <w:rPr>
          <w:spacing w:val="-21"/>
        </w:rPr>
      </w:r>
      <w:r>
        <w:rPr/>
        <w:t>通过与拥有成熟技术的国内外技术团队和研发机构合作，加快推进符合公司战略方向的新产品上市。</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、持续优化供应链管理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公司积极面对新冠疫情的挑战，通过各种方式，降低自身的供应风险。在国内疫情初期，通过积极、</w:t>
      </w:r>
    </w:p>
    <w:p>
      <w:pPr>
        <w:pStyle w:val="BodyText"/>
        <w:spacing w:line="408" w:lineRule="auto"/>
        <w:ind w:right="1126"/>
        <w:jc w:val="both"/>
      </w:pPr>
      <w:r>
        <w:rPr>
          <w:spacing w:val="-2"/>
        </w:rPr>
        <w:t>主动的和供应商紧密沟通了解复工复产的情况，提前做好应对措施，以更有效的管理未来的供应风险。公</w:t>
      </w:r>
      <w:r>
        <w:rPr>
          <w:spacing w:val="-44"/>
        </w:rPr>
        <w:t> </w:t>
      </w:r>
      <w:r>
        <w:rPr>
          <w:spacing w:val="-44"/>
        </w:rPr>
      </w:r>
      <w:r>
        <w:rPr>
          <w:spacing w:val="-2"/>
        </w:rPr>
        <w:t>司大力开展降本活动，通过优化订单质量、扩大核心供应商份额来降低自身的物料采购成本，为提高公司</w:t>
      </w:r>
      <w:r>
        <w:rPr>
          <w:spacing w:val="-45"/>
        </w:rPr>
        <w:t> </w:t>
      </w:r>
      <w:r>
        <w:rPr>
          <w:spacing w:val="-45"/>
        </w:rPr>
      </w:r>
      <w:r>
        <w:rPr/>
        <w:t>毛利率做出贡献。</w:t>
      </w:r>
    </w:p>
    <w:p>
      <w:pPr>
        <w:pStyle w:val="Heading5"/>
        <w:spacing w:line="240" w:lineRule="auto" w:before="46"/>
        <w:ind w:left="575" w:right="1119"/>
        <w:jc w:val="left"/>
        <w:rPr>
          <w:b w:val="0"/>
          <w:bCs w:val="0"/>
        </w:rPr>
      </w:pPr>
      <w:r>
        <w:rPr>
          <w:rFonts w:ascii="宋体" w:hAnsi="宋体" w:cs="宋体" w:eastAsia="宋体" w:hint="default"/>
        </w:rPr>
        <w:t>6</w:t>
      </w:r>
      <w:r>
        <w:rPr/>
        <w:t>、不断完善人力资源战略体系，着力打造高绩效团队，助力公司达成战略目标</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996" w:firstLine="420"/>
        <w:jc w:val="left"/>
      </w:pPr>
      <w:r>
        <w:rPr>
          <w:rFonts w:ascii="宋体" w:hAnsi="宋体" w:cs="宋体" w:eastAsia="宋体" w:hint="default"/>
          <w:spacing w:val="-4"/>
        </w:rPr>
        <w:t>2020</w:t>
      </w:r>
      <w:r>
        <w:rPr>
          <w:spacing w:val="-4"/>
        </w:rPr>
        <w:t>年公司将通过绩效完善和激励改革，提升员工内驱性，通过各部门的战略目标共识，绩效的协同，</w:t>
      </w:r>
      <w:r>
        <w:rPr>
          <w:w w:val="100"/>
        </w:rPr>
        <w:t> </w:t>
      </w:r>
      <w:r>
        <w:rPr>
          <w:spacing w:val="-2"/>
        </w:rPr>
        <w:t>阶段的检视复盘，有效的激励机制，实现团队目标。公司将坚持“为过程点赞，为结果付薪”的理念，为</w:t>
      </w:r>
      <w:r>
        <w:rPr>
          <w:spacing w:val="-43"/>
        </w:rPr>
        <w:t> </w:t>
      </w:r>
      <w:r>
        <w:rPr>
          <w:spacing w:val="-43"/>
        </w:rPr>
      </w:r>
      <w:r>
        <w:rPr>
          <w:spacing w:val="-2"/>
        </w:rPr>
        <w:t>员工构建合理的薪酬管理体系，同时关注核心人才的激励模式，完善股权激励体系，切实激发员工的内驱</w:t>
      </w:r>
      <w:r>
        <w:rPr>
          <w:spacing w:val="-43"/>
        </w:rPr>
        <w:t> </w:t>
      </w:r>
      <w:r>
        <w:rPr>
          <w:spacing w:val="-43"/>
        </w:rPr>
      </w:r>
      <w:r>
        <w:rPr/>
        <w:t>力，致力于打造一支高绩效精英团队，助力公司达成战略目标</w:t>
      </w:r>
      <w:r>
        <w:rPr>
          <w:spacing w:val="-2"/>
        </w:rPr>
        <w:t> </w:t>
      </w:r>
      <w:r>
        <w:rPr/>
        <w:t>。</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、积极推进募投项目建设，满足产能扩张需求，尽快实现项目预期效益</w:t>
      </w:r>
      <w:r>
        <w:rPr>
          <w:rFonts w:ascii="宋体" w:hAnsi="宋体" w:cs="宋体" w:eastAsia="宋体" w:hint="default"/>
          <w:b/>
          <w:bCs/>
          <w:w w:val="100"/>
          <w:sz w:val="21"/>
          <w:szCs w:val="21"/>
        </w:rPr>
        <w:t> </w:t>
      </w:r>
      <w:r>
        <w:rPr>
          <w:rFonts w:ascii="宋体" w:hAnsi="宋体" w:cs="宋体" w:eastAsia="宋体" w:hint="default"/>
          <w:sz w:val="21"/>
          <w:szCs w:val="21"/>
        </w:rPr>
        <w:t>公司将持续稳步推进</w:t>
      </w:r>
      <w:r>
        <w:rPr>
          <w:rFonts w:ascii="宋体" w:hAnsi="宋体" w:cs="宋体" w:eastAsia="宋体" w:hint="default"/>
          <w:sz w:val="21"/>
          <w:szCs w:val="21"/>
        </w:rPr>
        <w:t>IPO</w:t>
      </w:r>
      <w:r>
        <w:rPr>
          <w:rFonts w:ascii="宋体" w:hAnsi="宋体" w:cs="宋体" w:eastAsia="宋体" w:hint="default"/>
          <w:sz w:val="21"/>
          <w:szCs w:val="21"/>
        </w:rPr>
        <w:t>募投项目“生产基地建设项目”、“研发中心建设项目”的建设工作，充分</w:t>
      </w:r>
    </w:p>
    <w:p>
      <w:pPr>
        <w:pStyle w:val="BodyText"/>
        <w:spacing w:line="408" w:lineRule="auto"/>
        <w:ind w:right="1131"/>
        <w:jc w:val="both"/>
      </w:pPr>
      <w:r>
        <w:rPr>
          <w:spacing w:val="-2"/>
        </w:rPr>
        <w:t>结合行业发展形势，积极调配资源，推进募投项目建设，争取募投项目早日达产并实现预期效益，增强以</w:t>
      </w:r>
      <w:r>
        <w:rPr>
          <w:spacing w:val="-50"/>
        </w:rPr>
        <w:t> </w:t>
      </w:r>
      <w:r>
        <w:rPr>
          <w:spacing w:val="-50"/>
        </w:rPr>
      </w:r>
      <w:r>
        <w:rPr/>
        <w:t>后年度的股东回报。</w:t>
      </w:r>
    </w:p>
    <w:p>
      <w:pPr>
        <w:pStyle w:val="Heading5"/>
        <w:spacing w:line="240" w:lineRule="auto" w:before="46"/>
        <w:ind w:left="575" w:right="1119"/>
        <w:jc w:val="left"/>
        <w:rPr>
          <w:b w:val="0"/>
          <w:bCs w:val="0"/>
        </w:rPr>
      </w:pPr>
      <w:r>
        <w:rPr>
          <w:rFonts w:ascii="宋体" w:hAnsi="宋体" w:cs="宋体" w:eastAsia="宋体" w:hint="default"/>
        </w:rPr>
        <w:t>8</w:t>
      </w:r>
      <w:r>
        <w:rPr/>
        <w:t>、加强市场互动交流，维护投资者关系方面</w:t>
      </w:r>
      <w:r>
        <w:rPr>
          <w:b w:val="0"/>
          <w:bCs w:val="0"/>
        </w:rPr>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b/>
          <w:bCs/>
          <w:sz w:val="26"/>
          <w:szCs w:val="26"/>
        </w:rPr>
      </w:pPr>
    </w:p>
    <w:p>
      <w:pPr>
        <w:pStyle w:val="BodyText"/>
        <w:spacing w:line="408" w:lineRule="auto" w:before="36"/>
        <w:ind w:right="1128" w:firstLine="420"/>
        <w:jc w:val="both"/>
      </w:pPr>
      <w:r>
        <w:rPr/>
        <w:t>公司将通过线上</w:t>
      </w:r>
      <w:r>
        <w:rPr>
          <w:rFonts w:ascii="宋体" w:hAnsi="宋体" w:cs="宋体" w:eastAsia="宋体" w:hint="default"/>
        </w:rPr>
        <w:t>+</w:t>
      </w:r>
      <w:r>
        <w:rPr/>
        <w:t>线下多种形式加强与投资者之间的互动交流，不断完善公司官方网站以及微信公众</w:t>
      </w:r>
      <w:r>
        <w:rPr>
          <w:w w:val="100"/>
        </w:rPr>
        <w:t> </w:t>
      </w:r>
      <w:r>
        <w:rPr>
          <w:spacing w:val="-2"/>
        </w:rPr>
        <w:t>号平台的建设工作，丰富与投资者沟通交流的渠道，进一步维护公司公开、透明的良好市场形象，切实维</w:t>
      </w:r>
      <w:r>
        <w:rPr>
          <w:spacing w:val="-47"/>
        </w:rPr>
        <w:t> </w:t>
      </w:r>
      <w:r>
        <w:rPr>
          <w:spacing w:val="-47"/>
        </w:rPr>
      </w:r>
      <w:r>
        <w:rPr/>
        <w:t>护全体股东利益。</w:t>
      </w:r>
    </w:p>
    <w:p>
      <w:pPr>
        <w:pStyle w:val="BodyText"/>
        <w:spacing w:line="408" w:lineRule="auto"/>
        <w:ind w:right="1126" w:firstLine="420"/>
        <w:jc w:val="both"/>
      </w:pPr>
      <w:r>
        <w:rPr>
          <w:spacing w:val="-2"/>
        </w:rPr>
        <w:t>上述经营计划及目标不代表公司对</w:t>
      </w:r>
      <w:r>
        <w:rPr>
          <w:rFonts w:ascii="宋体" w:hAnsi="宋体" w:cs="宋体" w:eastAsia="宋体" w:hint="default"/>
          <w:spacing w:val="-2"/>
        </w:rPr>
        <w:t>2020</w:t>
      </w:r>
      <w:r>
        <w:rPr>
          <w:spacing w:val="-2"/>
        </w:rPr>
        <w:t>年度的盈利预测，不构成公司对投资者的业绩承诺，能否实现</w:t>
      </w:r>
      <w:r>
        <w:rPr>
          <w:w w:val="100"/>
        </w:rPr>
        <w:t> </w:t>
      </w:r>
      <w:r>
        <w:rPr/>
        <w:t>取决于市场状况变化、经营团队的努力程度等多种因素，存在很大的不确定性，请投资者特别注意。</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http://www.cninfo.com.cn/new/index</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http://www.cninfo.com.cn/new/index</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713.97998pt;width:290.95pt;height:20.9pt;mso-position-horizontal-relative:page;mso-position-vertical-relative:page;z-index:-1111816" coordorigin="4856,14280" coordsize="5819,418">
            <v:group style="position:absolute;left:4868;top:14292;width:2;height:394" coordorigin="4868,14292" coordsize="2,394">
              <v:shape style="position:absolute;left:4868;top:14292;width:2;height:394" coordorigin="4868,14292" coordsize="0,394" path="m4868,14292l4868,14685e" filled="false" stroked="true" strokeweight="1.2pt" strokecolor="#ffffff">
                <v:path arrowok="t"/>
              </v:shape>
            </v:group>
            <v:group style="position:absolute;left:4880;top:14292;width:5795;height:394" coordorigin="4880,14292" coordsize="5795,394">
              <v:shape style="position:absolute;left:4880;top:14292;width:5795;height:394" coordorigin="4880,14292" coordsize="5795,394" path="m4880,14685l10675,14685,10675,14292,4880,14292,4880,1468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99"/>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9"/>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1"/>
          <w:szCs w:val="21"/>
        </w:rPr>
      </w:pPr>
    </w:p>
    <w:p>
      <w:pPr>
        <w:pStyle w:val="BodyText"/>
        <w:spacing w:line="408" w:lineRule="auto" w:before="0"/>
        <w:ind w:right="1119" w:firstLine="451"/>
        <w:jc w:val="left"/>
      </w:pP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04</w:t>
      </w:r>
      <w:r>
        <w:rPr>
          <w:spacing w:val="-3"/>
        </w:rPr>
        <w:t>月</w:t>
      </w:r>
      <w:r>
        <w:rPr>
          <w:rFonts w:ascii="宋体" w:hAnsi="宋体" w:cs="宋体" w:eastAsia="宋体" w:hint="default"/>
          <w:spacing w:val="-3"/>
        </w:rPr>
        <w:t>11</w:t>
      </w:r>
      <w:r>
        <w:rPr>
          <w:spacing w:val="-3"/>
        </w:rPr>
        <w:t>日召开了第三届董事会第二次会议和第三届监事会第二次会议，审议通过了《关</w:t>
      </w:r>
      <w:r>
        <w:rPr>
          <w:w w:val="100"/>
        </w:rPr>
        <w:t> </w:t>
      </w:r>
      <w:r>
        <w:rPr>
          <w:spacing w:val="-2"/>
        </w:rPr>
        <w:t>于公司</w:t>
      </w:r>
      <w:r>
        <w:rPr>
          <w:rFonts w:ascii="宋体" w:hAnsi="宋体" w:cs="宋体" w:eastAsia="宋体" w:hint="default"/>
          <w:spacing w:val="-2"/>
        </w:rPr>
        <w:t>2018</w:t>
      </w:r>
      <w:r>
        <w:rPr>
          <w:spacing w:val="-2"/>
        </w:rPr>
        <w:t>年度利润分配预案的议案》，并经</w:t>
      </w:r>
      <w:r>
        <w:rPr>
          <w:rFonts w:ascii="宋体" w:hAnsi="宋体" w:cs="宋体" w:eastAsia="宋体" w:hint="default"/>
          <w:spacing w:val="-2"/>
        </w:rPr>
        <w:t>2019</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08</w:t>
      </w:r>
      <w:r>
        <w:rPr>
          <w:spacing w:val="-2"/>
        </w:rPr>
        <w:t>日召开的</w:t>
      </w:r>
      <w:r>
        <w:rPr>
          <w:rFonts w:ascii="宋体" w:hAnsi="宋体" w:cs="宋体" w:eastAsia="宋体" w:hint="default"/>
          <w:spacing w:val="-2"/>
        </w:rPr>
        <w:t>2018</w:t>
      </w:r>
      <w:r>
        <w:rPr>
          <w:spacing w:val="-2"/>
        </w:rPr>
        <w:t>年年度股东大会审议通过。公司</w:t>
      </w:r>
      <w:r>
        <w:rPr>
          <w:spacing w:val="-27"/>
        </w:rPr>
        <w:t> </w:t>
      </w:r>
      <w:r>
        <w:rPr>
          <w:spacing w:val="-27"/>
        </w:rPr>
      </w:r>
      <w:r>
        <w:rPr>
          <w:rFonts w:ascii="宋体" w:hAnsi="宋体" w:cs="宋体" w:eastAsia="宋体" w:hint="default"/>
        </w:rPr>
        <w:t>2018</w:t>
      </w:r>
      <w:r>
        <w:rPr/>
        <w:t>年度权益分派方案为：以公司股本总数</w:t>
      </w:r>
      <w:r>
        <w:rPr>
          <w:rFonts w:ascii="宋体" w:hAnsi="宋体" w:cs="宋体" w:eastAsia="宋体" w:hint="default"/>
        </w:rPr>
        <w:t>189,797,349</w:t>
      </w:r>
      <w:r>
        <w:rPr/>
        <w:t>股为基数，向全体股东每</w:t>
      </w:r>
      <w:r>
        <w:rPr>
          <w:rFonts w:ascii="宋体" w:hAnsi="宋体" w:cs="宋体" w:eastAsia="宋体" w:hint="default"/>
        </w:rPr>
        <w:t>10</w:t>
      </w:r>
      <w:r>
        <w:rPr/>
        <w:t>股派发现金红利</w:t>
      </w:r>
      <w:r>
        <w:rPr>
          <w:rFonts w:ascii="宋体" w:hAnsi="宋体" w:cs="宋体" w:eastAsia="宋体" w:hint="default"/>
        </w:rPr>
        <w:t>0.17</w:t>
      </w:r>
      <w:r>
        <w:rPr>
          <w:rFonts w:ascii="宋体" w:hAnsi="宋体" w:cs="宋体" w:eastAsia="宋体" w:hint="default"/>
          <w:w w:val="100"/>
        </w:rPr>
        <w:t> </w:t>
      </w:r>
      <w:r>
        <w:rPr/>
        <w:t>元（含税），送红股</w:t>
      </w:r>
      <w:r>
        <w:rPr>
          <w:rFonts w:ascii="宋体" w:hAnsi="宋体" w:cs="宋体" w:eastAsia="宋体" w:hint="default"/>
        </w:rPr>
        <w:t>0</w:t>
      </w:r>
      <w:r>
        <w:rPr/>
        <w:t>股（含税），以资本公积金向全体股东每</w:t>
      </w:r>
      <w:r>
        <w:rPr>
          <w:rFonts w:ascii="宋体" w:hAnsi="宋体" w:cs="宋体" w:eastAsia="宋体" w:hint="default"/>
        </w:rPr>
        <w:t>10</w:t>
      </w:r>
      <w:r>
        <w:rPr/>
        <w:t>股转增</w:t>
      </w:r>
      <w:r>
        <w:rPr>
          <w:rFonts w:ascii="宋体" w:hAnsi="宋体" w:cs="宋体" w:eastAsia="宋体" w:hint="default"/>
        </w:rPr>
        <w:t>0</w:t>
      </w:r>
      <w:r>
        <w:rPr/>
        <w:t>股。</w:t>
      </w:r>
    </w:p>
    <w:p>
      <w:pPr>
        <w:spacing w:line="240" w:lineRule="auto" w:before="6"/>
        <w:rPr>
          <w:rFonts w:ascii="宋体" w:hAnsi="宋体" w:cs="宋体" w:eastAsia="宋体" w:hint="default"/>
          <w:sz w:val="15"/>
          <w:szCs w:val="15"/>
        </w:rPr>
      </w:pPr>
    </w:p>
    <w:p>
      <w:pPr>
        <w:pStyle w:val="BodyText"/>
        <w:spacing w:line="408" w:lineRule="auto" w:before="0"/>
        <w:ind w:right="1119" w:firstLine="420"/>
        <w:jc w:val="left"/>
      </w:pPr>
      <w:r>
        <w:rPr>
          <w:rFonts w:ascii="宋体" w:hAnsi="宋体" w:cs="宋体" w:eastAsia="宋体" w:hint="default"/>
          <w:spacing w:val="-2"/>
        </w:rPr>
        <w:t>2019</w:t>
      </w:r>
      <w:r>
        <w:rPr>
          <w:spacing w:val="-2"/>
        </w:rPr>
        <w:t>年</w:t>
      </w:r>
      <w:r>
        <w:rPr>
          <w:rFonts w:ascii="宋体" w:hAnsi="宋体" w:cs="宋体" w:eastAsia="宋体" w:hint="default"/>
          <w:spacing w:val="-2"/>
        </w:rPr>
        <w:t>06</w:t>
      </w:r>
      <w:r>
        <w:rPr>
          <w:spacing w:val="-2"/>
        </w:rPr>
        <w:t>月</w:t>
      </w:r>
      <w:r>
        <w:rPr>
          <w:rFonts w:ascii="宋体" w:hAnsi="宋体" w:cs="宋体" w:eastAsia="宋体" w:hint="default"/>
          <w:spacing w:val="-2"/>
        </w:rPr>
        <w:t>14</w:t>
      </w:r>
      <w:r>
        <w:rPr>
          <w:spacing w:val="-2"/>
        </w:rPr>
        <w:t>日，公司披露了《</w:t>
      </w:r>
      <w:r>
        <w:rPr>
          <w:rFonts w:ascii="宋体" w:hAnsi="宋体" w:cs="宋体" w:eastAsia="宋体" w:hint="default"/>
          <w:spacing w:val="-2"/>
        </w:rPr>
        <w:t>2018</w:t>
      </w:r>
      <w:r>
        <w:rPr>
          <w:spacing w:val="-2"/>
        </w:rPr>
        <w:t>年年度权益分派实施公告》，拟定股权登记日为：</w:t>
      </w:r>
      <w:r>
        <w:rPr>
          <w:rFonts w:ascii="宋体" w:hAnsi="宋体" w:cs="宋体" w:eastAsia="宋体" w:hint="default"/>
          <w:spacing w:val="-2"/>
        </w:rPr>
        <w:t>2019</w:t>
      </w:r>
      <w:r>
        <w:rPr>
          <w:spacing w:val="-2"/>
        </w:rPr>
        <w:t>年</w:t>
      </w:r>
      <w:r>
        <w:rPr>
          <w:rFonts w:ascii="宋体" w:hAnsi="宋体" w:cs="宋体" w:eastAsia="宋体" w:hint="default"/>
          <w:spacing w:val="-2"/>
        </w:rPr>
        <w:t>06</w:t>
      </w:r>
      <w:r>
        <w:rPr>
          <w:spacing w:val="-2"/>
        </w:rPr>
        <w:t>月</w:t>
      </w:r>
      <w:r>
        <w:rPr>
          <w:rFonts w:ascii="宋体" w:hAnsi="宋体" w:cs="宋体" w:eastAsia="宋体" w:hint="default"/>
          <w:spacing w:val="-2"/>
        </w:rPr>
        <w:t>20</w:t>
      </w:r>
      <w:r>
        <w:rPr>
          <w:rFonts w:ascii="宋体" w:hAnsi="宋体" w:cs="宋体" w:eastAsia="宋体" w:hint="default"/>
          <w:w w:val="100"/>
        </w:rPr>
        <w:t> </w:t>
      </w:r>
      <w:r>
        <w:rPr/>
        <w:t>日；除权除息日为：</w:t>
      </w:r>
      <w:r>
        <w:rPr>
          <w:rFonts w:ascii="宋体" w:hAnsi="宋体" w:cs="宋体" w:eastAsia="宋体" w:hint="default"/>
        </w:rPr>
        <w:t>2019</w:t>
      </w:r>
      <w:r>
        <w:rPr/>
        <w:t>年</w:t>
      </w:r>
      <w:r>
        <w:rPr>
          <w:rFonts w:ascii="宋体" w:hAnsi="宋体" w:cs="宋体" w:eastAsia="宋体" w:hint="default"/>
        </w:rPr>
        <w:t>06</w:t>
      </w:r>
      <w:r>
        <w:rPr/>
        <w:t>月</w:t>
      </w:r>
      <w:r>
        <w:rPr>
          <w:rFonts w:ascii="宋体" w:hAnsi="宋体" w:cs="宋体" w:eastAsia="宋体" w:hint="default"/>
        </w:rPr>
        <w:t>21</w:t>
      </w:r>
      <w:r>
        <w:rPr/>
        <w:t>日。截至</w:t>
      </w:r>
      <w:r>
        <w:rPr>
          <w:rFonts w:ascii="宋体" w:hAnsi="宋体" w:cs="宋体" w:eastAsia="宋体" w:hint="default"/>
        </w:rPr>
        <w:t>2019</w:t>
      </w:r>
      <w:r>
        <w:rPr/>
        <w:t>年</w:t>
      </w:r>
      <w:r>
        <w:rPr>
          <w:rFonts w:ascii="宋体" w:hAnsi="宋体" w:cs="宋体" w:eastAsia="宋体" w:hint="default"/>
        </w:rPr>
        <w:t>06</w:t>
      </w:r>
      <w:r>
        <w:rPr/>
        <w:t>月</w:t>
      </w:r>
      <w:r>
        <w:rPr>
          <w:rFonts w:ascii="宋体" w:hAnsi="宋体" w:cs="宋体" w:eastAsia="宋体" w:hint="default"/>
        </w:rPr>
        <w:t>21</w:t>
      </w:r>
      <w:r>
        <w:rPr/>
        <w:t>日，公司</w:t>
      </w:r>
      <w:r>
        <w:rPr>
          <w:rFonts w:ascii="宋体" w:hAnsi="宋体" w:cs="宋体" w:eastAsia="宋体" w:hint="default"/>
        </w:rPr>
        <w:t>2018</w:t>
      </w:r>
      <w:r>
        <w:rPr/>
        <w:t>年年度权益分派方案实施完毕。</w:t>
      </w:r>
    </w:p>
    <w:p>
      <w:pPr>
        <w:spacing w:line="240" w:lineRule="auto" w:before="7"/>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190,233,625</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4,185,139.75</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4,185,139.75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27,356,193.30</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考虑到公司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年的经营情况和公司未来经营发展需要，董事会拟定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年度利润分配预案为：以公司股本总数</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19,023.3625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万股为基数，每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股派送现金股利</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0.22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元（含税）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不送红股，不以资本公积转增股本。此预案尚需提交公司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7"/>
        <w:ind w:left="573" w:right="1119"/>
        <w:jc w:val="left"/>
      </w:pPr>
      <w:r>
        <w:rPr>
          <w:rFonts w:ascii="宋体" w:hAnsi="宋体" w:cs="宋体" w:eastAsia="宋体" w:hint="default"/>
        </w:rPr>
        <w:t>1</w:t>
      </w:r>
      <w:r>
        <w:rPr/>
        <w:t>、</w:t>
      </w:r>
      <w:r>
        <w:rPr>
          <w:rFonts w:ascii="宋体" w:hAnsi="宋体" w:cs="宋体" w:eastAsia="宋体" w:hint="default"/>
        </w:rPr>
        <w:t>2017</w:t>
      </w:r>
      <w:r>
        <w:rPr/>
        <w:t>年度利润分配方案：以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18,880</w:t>
      </w:r>
      <w:r>
        <w:rPr/>
        <w:t>万股为基数，每</w:t>
      </w:r>
      <w:r>
        <w:rPr>
          <w:rFonts w:ascii="宋体" w:hAnsi="宋体" w:cs="宋体" w:eastAsia="宋体" w:hint="default"/>
        </w:rPr>
        <w:t>10</w:t>
      </w:r>
      <w:r>
        <w:rPr/>
        <w:t>股派送现金股利</w:t>
      </w:r>
    </w:p>
    <w:p>
      <w:pPr>
        <w:spacing w:line="240" w:lineRule="auto" w:before="11"/>
        <w:rPr>
          <w:rFonts w:ascii="宋体" w:hAnsi="宋体" w:cs="宋体" w:eastAsia="宋体" w:hint="default"/>
          <w:sz w:val="14"/>
          <w:szCs w:val="14"/>
        </w:rPr>
      </w:pPr>
    </w:p>
    <w:p>
      <w:pPr>
        <w:pStyle w:val="BodyText"/>
        <w:spacing w:line="408" w:lineRule="auto" w:before="0"/>
        <w:ind w:right="1119"/>
        <w:jc w:val="left"/>
      </w:pPr>
      <w:r>
        <w:rPr>
          <w:rFonts w:ascii="宋体" w:hAnsi="宋体" w:cs="宋体" w:eastAsia="宋体" w:hint="default"/>
          <w:spacing w:val="-2"/>
        </w:rPr>
        <w:t>0.27</w:t>
      </w:r>
      <w:r>
        <w:rPr>
          <w:spacing w:val="-2"/>
        </w:rPr>
        <w:t>元（含税），合计派发现金股利共计人民币</w:t>
      </w:r>
      <w:r>
        <w:rPr>
          <w:rFonts w:ascii="宋体" w:hAnsi="宋体" w:cs="宋体" w:eastAsia="宋体" w:hint="default"/>
          <w:spacing w:val="-2"/>
        </w:rPr>
        <w:t>509.76</w:t>
      </w:r>
      <w:r>
        <w:rPr>
          <w:spacing w:val="-2"/>
        </w:rPr>
        <w:t>万元人民币。该次利润分配的预案经公司</w:t>
      </w:r>
      <w:r>
        <w:rPr>
          <w:rFonts w:ascii="宋体" w:hAnsi="宋体" w:cs="宋体" w:eastAsia="宋体" w:hint="default"/>
          <w:spacing w:val="-2"/>
        </w:rPr>
        <w:t>2017</w:t>
      </w:r>
      <w:r>
        <w:rPr>
          <w:spacing w:val="-2"/>
        </w:rPr>
        <w:t>年度</w:t>
      </w:r>
      <w:r>
        <w:rPr>
          <w:spacing w:val="-39"/>
        </w:rPr>
        <w:t> </w:t>
      </w:r>
      <w:r>
        <w:rPr/>
        <w:t>股东大会审议批准后实施完毕。</w:t>
      </w:r>
    </w:p>
    <w:p>
      <w:pPr>
        <w:pStyle w:val="BodyText"/>
        <w:spacing w:line="240" w:lineRule="auto"/>
        <w:ind w:left="573" w:right="996"/>
        <w:jc w:val="left"/>
      </w:pPr>
      <w:r>
        <w:rPr>
          <w:rFonts w:ascii="宋体" w:hAnsi="宋体" w:cs="宋体" w:eastAsia="宋体" w:hint="default"/>
        </w:rPr>
        <w:t>2</w:t>
      </w:r>
      <w:r>
        <w:rPr/>
        <w:t>、</w:t>
      </w:r>
      <w:r>
        <w:rPr>
          <w:rFonts w:ascii="宋体" w:hAnsi="宋体" w:cs="宋体" w:eastAsia="宋体" w:hint="default"/>
        </w:rPr>
        <w:t>2018</w:t>
      </w:r>
      <w:r>
        <w:rPr/>
        <w:t>年度利润分配方案：以公司现有总股本</w:t>
      </w:r>
      <w:r>
        <w:rPr>
          <w:rFonts w:ascii="宋体" w:hAnsi="宋体" w:cs="宋体" w:eastAsia="宋体" w:hint="default"/>
        </w:rPr>
        <w:t>18,979.7349</w:t>
      </w:r>
      <w:r>
        <w:rPr/>
        <w:t>万股为基数，每</w:t>
      </w:r>
      <w:r>
        <w:rPr>
          <w:rFonts w:ascii="宋体" w:hAnsi="宋体" w:cs="宋体" w:eastAsia="宋体" w:hint="default"/>
        </w:rPr>
        <w:t>10</w:t>
      </w:r>
      <w:r>
        <w:rPr/>
        <w:t>股派送现金股利</w:t>
      </w:r>
      <w:r>
        <w:rPr>
          <w:rFonts w:ascii="宋体" w:hAnsi="宋体" w:cs="宋体" w:eastAsia="宋体" w:hint="default"/>
        </w:rPr>
        <w:t>0.17</w:t>
      </w:r>
      <w:r>
        <w:rPr/>
        <w:t>元</w:t>
      </w:r>
    </w:p>
    <w:p>
      <w:pPr>
        <w:spacing w:line="240" w:lineRule="auto" w:before="10"/>
        <w:rPr>
          <w:rFonts w:ascii="宋体" w:hAnsi="宋体" w:cs="宋体" w:eastAsia="宋体" w:hint="default"/>
          <w:sz w:val="14"/>
          <w:szCs w:val="14"/>
        </w:rPr>
      </w:pPr>
    </w:p>
    <w:p>
      <w:pPr>
        <w:pStyle w:val="BodyText"/>
        <w:spacing w:line="408" w:lineRule="auto" w:before="0"/>
        <w:ind w:right="1119"/>
        <w:jc w:val="left"/>
      </w:pPr>
      <w:r>
        <w:rPr>
          <w:spacing w:val="-2"/>
        </w:rPr>
        <w:t>（含税），合计派发现金股利共计人民币</w:t>
      </w:r>
      <w:r>
        <w:rPr>
          <w:rFonts w:ascii="宋体" w:hAnsi="宋体" w:cs="宋体" w:eastAsia="宋体" w:hint="default"/>
          <w:spacing w:val="-2"/>
        </w:rPr>
        <w:t>322.66</w:t>
      </w:r>
      <w:r>
        <w:rPr>
          <w:spacing w:val="-2"/>
        </w:rPr>
        <w:t>万元人民币。该次利润分配的预案经公司</w:t>
      </w:r>
      <w:r>
        <w:rPr>
          <w:rFonts w:ascii="宋体" w:hAnsi="宋体" w:cs="宋体" w:eastAsia="宋体" w:hint="default"/>
          <w:spacing w:val="-2"/>
        </w:rPr>
        <w:t>2018</w:t>
      </w:r>
      <w:r>
        <w:rPr>
          <w:spacing w:val="-2"/>
        </w:rPr>
        <w:t>年年度股东</w:t>
      </w:r>
      <w:r>
        <w:rPr>
          <w:spacing w:val="-36"/>
        </w:rPr>
        <w:t> </w:t>
      </w:r>
      <w:r>
        <w:rPr>
          <w:spacing w:val="-36"/>
        </w:rPr>
      </w:r>
      <w:r>
        <w:rPr/>
        <w:t>大会审议批准后实施完毕。</w:t>
      </w:r>
    </w:p>
    <w:p>
      <w:pPr>
        <w:pStyle w:val="BodyText"/>
        <w:spacing w:line="408" w:lineRule="auto"/>
        <w:ind w:right="1128" w:firstLine="420"/>
        <w:jc w:val="both"/>
      </w:pPr>
      <w:r>
        <w:rPr>
          <w:rFonts w:ascii="宋体" w:hAnsi="宋体" w:cs="宋体" w:eastAsia="宋体" w:hint="default"/>
          <w:spacing w:val="-4"/>
        </w:rPr>
        <w:t>3</w:t>
      </w:r>
      <w:r>
        <w:rPr>
          <w:spacing w:val="-4"/>
        </w:rPr>
        <w:t>、</w:t>
      </w:r>
      <w:r>
        <w:rPr>
          <w:rFonts w:ascii="宋体" w:hAnsi="宋体" w:cs="宋体" w:eastAsia="宋体" w:hint="default"/>
          <w:spacing w:val="-4"/>
        </w:rPr>
        <w:t>2018</w:t>
      </w:r>
      <w:r>
        <w:rPr>
          <w:spacing w:val="-4"/>
        </w:rPr>
        <w:t>年度利润分配预案</w:t>
      </w:r>
      <w:r>
        <w:rPr>
          <w:rFonts w:ascii="宋体" w:hAnsi="宋体" w:cs="宋体" w:eastAsia="宋体" w:hint="default"/>
          <w:spacing w:val="-4"/>
        </w:rPr>
        <w:t>:</w:t>
      </w:r>
      <w:r>
        <w:rPr>
          <w:spacing w:val="-4"/>
        </w:rPr>
        <w:t>以公司股本总数</w:t>
      </w:r>
      <w:r>
        <w:rPr>
          <w:rFonts w:ascii="宋体" w:hAnsi="宋体" w:cs="宋体" w:eastAsia="宋体" w:hint="default"/>
          <w:spacing w:val="-4"/>
        </w:rPr>
        <w:t>19,023.3625</w:t>
      </w:r>
      <w:r>
        <w:rPr>
          <w:spacing w:val="-4"/>
        </w:rPr>
        <w:t>万股为基数，每</w:t>
      </w:r>
      <w:r>
        <w:rPr>
          <w:rFonts w:ascii="宋体" w:hAnsi="宋体" w:cs="宋体" w:eastAsia="宋体" w:hint="default"/>
          <w:spacing w:val="-4"/>
        </w:rPr>
        <w:t>10</w:t>
      </w:r>
      <w:r>
        <w:rPr>
          <w:spacing w:val="-4"/>
        </w:rPr>
        <w:t>股派送现金股利</w:t>
      </w:r>
      <w:r>
        <w:rPr>
          <w:rFonts w:ascii="宋体" w:hAnsi="宋体" w:cs="宋体" w:eastAsia="宋体" w:hint="default"/>
          <w:spacing w:val="-4"/>
        </w:rPr>
        <w:t>0.22</w:t>
      </w:r>
      <w:r>
        <w:rPr>
          <w:spacing w:val="-4"/>
        </w:rPr>
        <w:t>元（含</w:t>
      </w:r>
      <w:r>
        <w:rPr>
          <w:w w:val="100"/>
        </w:rPr>
        <w:t> </w:t>
      </w:r>
      <w:r>
        <w:rPr/>
        <w:t>税）</w:t>
      </w:r>
      <w:r>
        <w:rPr>
          <w:rFonts w:ascii="宋体" w:hAnsi="宋体" w:cs="宋体" w:eastAsia="宋体" w:hint="default"/>
        </w:rPr>
        <w:t>,</w:t>
      </w:r>
      <w:r>
        <w:rPr/>
        <w:t>合计派发现金股利共计人民币</w:t>
      </w:r>
      <w:r>
        <w:rPr>
          <w:rFonts w:ascii="宋体" w:hAnsi="宋体" w:cs="宋体" w:eastAsia="宋体" w:hint="default"/>
        </w:rPr>
        <w:t>418.51</w:t>
      </w:r>
      <w:r>
        <w:rPr/>
        <w:t>万元。</w:t>
      </w:r>
      <w:r>
        <w:rPr>
          <w:rFonts w:ascii="宋体" w:hAnsi="宋体" w:cs="宋体" w:eastAsia="宋体" w:hint="default"/>
        </w:rPr>
        <w:t>2019</w:t>
      </w:r>
      <w:r>
        <w:rPr/>
        <w:t>年年度利润分配预案尚需提交公司</w:t>
      </w:r>
      <w:r>
        <w:rPr>
          <w:rFonts w:ascii="宋体" w:hAnsi="宋体" w:cs="宋体" w:eastAsia="宋体" w:hint="default"/>
        </w:rPr>
        <w:t>2019</w:t>
      </w:r>
      <w:r>
        <w:rPr/>
        <w:t>年年度股东</w:t>
      </w:r>
      <w:r>
        <w:rPr>
          <w:spacing w:val="-29"/>
        </w:rPr>
        <w:t> </w:t>
      </w:r>
      <w:r>
        <w:rPr>
          <w:spacing w:val="-29"/>
        </w:rPr>
      </w:r>
      <w:r>
        <w:rPr/>
        <w:t>大会审议通过。</w:t>
      </w:r>
    </w:p>
    <w:p>
      <w:pPr>
        <w:spacing w:line="240" w:lineRule="auto" w:before="4"/>
        <w:rPr>
          <w:rFonts w:ascii="宋体" w:hAnsi="宋体" w:cs="宋体" w:eastAsia="宋体" w:hint="default"/>
          <w:sz w:val="17"/>
          <w:szCs w:val="17"/>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029"/>
        <w:gridCol w:w="1363"/>
        <w:gridCol w:w="1208"/>
        <w:gridCol w:w="117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029"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 w:right="43"/>
              <w:jc w:val="center"/>
              <w:rPr>
                <w:rFonts w:ascii="宋体" w:hAnsi="宋体" w:cs="宋体" w:eastAsia="宋体" w:hint="default"/>
                <w:sz w:val="18"/>
                <w:szCs w:val="18"/>
              </w:rPr>
            </w:pPr>
            <w:r>
              <w:rPr>
                <w:rFonts w:ascii="宋体" w:hAnsi="宋体" w:cs="宋体" w:eastAsia="宋体" w:hint="default"/>
                <w:sz w:val="18"/>
                <w:szCs w:val="18"/>
              </w:rPr>
              <w:t>以其他方式现金 分红金额占合并 报表中归属于上 市公司普通股股 东的净利润的比 例</w:t>
            </w: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8" w:right="58"/>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4,185,139.75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31,064,115.60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13.47%</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4,185,139.75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13.47%</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3,226,554.94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24,015,870.62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13.44%</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2"/>
              <w:jc w:val="right"/>
              <w:rPr>
                <w:rFonts w:ascii="Times New Roman" w:hAnsi="Times New Roman" w:cs="Times New Roman" w:eastAsia="Times New Roman" w:hint="default"/>
                <w:sz w:val="18"/>
                <w:szCs w:val="18"/>
              </w:rPr>
            </w:pPr>
            <w:r>
              <w:rPr>
                <w:rFonts w:ascii="Times New Roman"/>
                <w:spacing w:val="-1"/>
                <w:sz w:val="18"/>
              </w:rPr>
              <w:t>3,226,554.94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z w:val="18"/>
              </w:rPr>
              <w:t>13.44%</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17,840,697.18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28.57%</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5,097,600.00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28.57%</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26"/>
        <w:ind w:left="140"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pict>
          <v:shape style="position:absolute;margin-left:563.564026pt;margin-top:89.021729pt;width:89.1pt;height:104.45pt;mso-position-horizontal-relative:page;mso-position-vertical-relative:paragraph;z-index:-1111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则顺延；</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844"/>
        <w:gridCol w:w="1126"/>
        <w:gridCol w:w="1426"/>
        <w:gridCol w:w="6096"/>
        <w:gridCol w:w="1126"/>
        <w:gridCol w:w="1285"/>
        <w:gridCol w:w="1106"/>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0"/>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4"/>
              <w:jc w:val="right"/>
              <w:rPr>
                <w:rFonts w:ascii="宋体" w:hAnsi="宋体" w:cs="宋体" w:eastAsia="宋体" w:hint="default"/>
                <w:sz w:val="18"/>
                <w:szCs w:val="18"/>
              </w:rPr>
            </w:pPr>
            <w:r>
              <w:rPr>
                <w:rFonts w:ascii="宋体" w:hAnsi="宋体" w:cs="宋体" w:eastAsia="宋体" w:hint="default"/>
                <w:sz w:val="18"/>
                <w:szCs w:val="18"/>
              </w:rPr>
              <w:t>股份限售承诺</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公司控股股东、实际控制人潘伟潮承诺，自公司首次公开发行股票并在创业板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上市之日起三十六个月内，不转让或者委托他人管理其持有的公司股份，也不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由公司回购其持有的股份。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上市后三年内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0"/>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074"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6096" w:type="dxa"/>
            <w:vMerge w:val="restart"/>
            <w:tcBorders>
              <w:top w:val="single" w:sz="4" w:space="0" w:color="000000"/>
              <w:left w:val="single" w:sz="4" w:space="0" w:color="000000"/>
              <w:right w:val="single" w:sz="4" w:space="0" w:color="000000"/>
            </w:tcBorders>
          </w:tcPr>
          <w:p>
            <w:pPr>
              <w:pStyle w:val="TableParagraph"/>
              <w:spacing w:line="338"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本人持有的本次发行前的公司股份在承诺的锁定期届满后，在满足以下条件的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前提下，方可进行减持： </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、上述锁定期届满且没有延长锁定期的相关情形，如有锁定延长期，</w:t>
            </w:r>
          </w:p>
          <w:p>
            <w:pPr>
              <w:pStyle w:val="TableParagraph"/>
              <w:spacing w:line="309" w:lineRule="auto" w:before="1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、如发生本人需向投资者进行赔偿的情形，本人已经承担赔偿责任；本人持 </w:t>
            </w:r>
            <w:r>
              <w:rPr>
                <w:rFonts w:ascii="宋体" w:hAnsi="宋体" w:cs="宋体" w:eastAsia="宋体" w:hint="default"/>
                <w:spacing w:val="-3"/>
                <w:sz w:val="18"/>
                <w:szCs w:val="18"/>
              </w:rPr>
              <w:t>有的本次公开发行前的公司股份在承诺的锁定期满后减持的，将提前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 </w:t>
            </w:r>
            <w:r>
              <w:rPr>
                <w:rFonts w:ascii="宋体" w:hAnsi="宋体" w:cs="宋体" w:eastAsia="宋体" w:hint="default"/>
                <w:spacing w:val="-3"/>
                <w:sz w:val="18"/>
                <w:szCs w:val="18"/>
              </w:rPr>
              <w:t>日向公司提交减持原因、减持数量、未来减持计划、减持对公司治理结构及持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续经营影响的说明，并由公司在减持前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个交易日予以公告。对于本人持有的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本次公开发行前的公司股份，本人将严格遵守已做出的关于所持公司股份流通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限制及自愿锁定的承诺，在锁定期内不予以出售；如本人在上述锁定期满后两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年内减持本人持有的本次公开发行前的公司股份，每年转让的股份不超过本人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持有的公司股份的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，且减持价格不低于本次发行的发行价，如自公司首 </w:t>
            </w:r>
            <w:r>
              <w:rPr>
                <w:rFonts w:ascii="宋体" w:hAnsi="宋体" w:cs="宋体" w:eastAsia="宋体" w:hint="default"/>
                <w:spacing w:val="-3"/>
                <w:sz w:val="18"/>
                <w:szCs w:val="18"/>
              </w:rPr>
              <w:t>次公开发行股票至上述减持公告之日公司发生过派息、送股、资本公积转增股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本等除权除息事项的，发行价格应相应调整；</w:t>
            </w:r>
          </w:p>
          <w:p>
            <w:pPr>
              <w:pStyle w:val="TableParagraph"/>
              <w:spacing w:line="300" w:lineRule="auto" w:before="65"/>
              <w:ind w:left="21"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、本人减持公司股票时，将依照《公司法》、《证券法》、中国证监会和深交所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的相关规定执行；本人不因职务变更、离职等原因，而放弃履行上述承诺。</w:t>
            </w:r>
          </w:p>
        </w:tc>
        <w:tc>
          <w:tcPr>
            <w:tcW w:w="1126" w:type="dxa"/>
            <w:vMerge w:val="restart"/>
            <w:tcBorders>
              <w:top w:val="single" w:sz="4" w:space="0" w:color="000000"/>
              <w:left w:val="single" w:sz="4" w:space="0" w:color="000000"/>
              <w:right w:val="single" w:sz="4" w:space="0" w:color="000000"/>
            </w:tcBorders>
          </w:tcPr>
          <w:p>
            <w:pPr>
              <w:pStyle w:val="TableParagraph"/>
              <w:spacing w:line="2088" w:lineRule="exact"/>
              <w:ind w:right="-50"/>
              <w:jc w:val="left"/>
              <w:rPr>
                <w:rFonts w:ascii="宋体" w:hAnsi="宋体" w:cs="宋体" w:eastAsia="宋体" w:hint="default"/>
                <w:sz w:val="20"/>
                <w:szCs w:val="20"/>
              </w:rPr>
            </w:pPr>
            <w:r>
              <w:rPr>
                <w:rFonts w:ascii="宋体" w:hAnsi="宋体" w:cs="宋体" w:eastAsia="宋体" w:hint="default"/>
                <w:position w:val="-41"/>
                <w:sz w:val="20"/>
                <w:szCs w:val="20"/>
              </w:rPr>
              <w:pict>
                <v:group style="width:55.8pt;height:104.45pt;mso-position-horizontal-relative:char;mso-position-vertical-relative:line" coordorigin="0,0" coordsize="1116,2089">
                  <v:group style="position:absolute;left:0;top:0;width:1116;height:2089" coordorigin="0,0" coordsize="1116,2089">
                    <v:shape style="position:absolute;left:0;top:0;width:1116;height:2089" coordorigin="0,0" coordsize="1116,2089" path="m0,2088l1116,2088,1116,0,0,0,0,2088xe" filled="true" fillcolor="#ffffff" stroked="false">
                      <v:path arrowok="t"/>
                      <v:fill type="solid"/>
                    </v:shape>
                  </v:group>
                </v:group>
              </w:pict>
            </w:r>
            <w:r>
              <w:rPr>
                <w:rFonts w:ascii="宋体" w:hAnsi="宋体" w:cs="宋体" w:eastAsia="宋体" w:hint="default"/>
                <w:position w:val="-41"/>
                <w:sz w:val="20"/>
                <w:szCs w:val="20"/>
              </w:rPr>
            </w:r>
          </w:p>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上市后五年内</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3"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26" w:type="dxa"/>
            <w:vMerge/>
            <w:tcBorders>
              <w:left w:val="single" w:sz="10" w:space="0" w:color="D2D2D2"/>
              <w:right w:val="single" w:sz="4" w:space="0" w:color="000000"/>
            </w:tcBorders>
          </w:tcPr>
          <w:p>
            <w:pPr/>
          </w:p>
        </w:tc>
        <w:tc>
          <w:tcPr>
            <w:tcW w:w="1426" w:type="dxa"/>
            <w:vMerge/>
            <w:tcBorders>
              <w:left w:val="single" w:sz="4" w:space="0" w:color="000000"/>
              <w:right w:val="single" w:sz="4" w:space="0" w:color="000000"/>
            </w:tcBorders>
          </w:tcPr>
          <w:p>
            <w:pPr/>
          </w:p>
        </w:tc>
        <w:tc>
          <w:tcPr>
            <w:tcW w:w="609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115"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10" w:space="0" w:color="D2D2D2"/>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609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9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9"/>
              <w:jc w:val="both"/>
              <w:rPr>
                <w:rFonts w:ascii="宋体" w:hAnsi="宋体" w:cs="宋体" w:eastAsia="宋体" w:hint="default"/>
                <w:sz w:val="18"/>
                <w:szCs w:val="18"/>
              </w:rPr>
            </w:pP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沙华 海</w:t>
            </w:r>
            <w:r>
              <w:rPr>
                <w:rFonts w:ascii="Times New Roman" w:hAnsi="Times New Roman" w:cs="Times New Roman" w:eastAsia="Times New Roman" w:hint="default"/>
                <w:sz w:val="18"/>
                <w:szCs w:val="18"/>
              </w:rPr>
              <w:t>;</w:t>
            </w:r>
            <w:r>
              <w:rPr>
                <w:rFonts w:ascii="宋体" w:hAnsi="宋体" w:cs="宋体" w:eastAsia="宋体" w:hint="default"/>
                <w:sz w:val="18"/>
                <w:szCs w:val="18"/>
              </w:rPr>
              <w:t>中山市汇 康股权投资</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股份减持承诺</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97" w:lineRule="auto"/>
              <w:ind w:left="21" w:right="72"/>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本合伙企业直接、间接持有的本次发行前的公司股份在承诺的锁定期届 满后，在满足以下条件的前提下，方可进行减持：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上市后三年内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right"/>
        <w:rPr>
          <w:rFonts w:ascii="宋体" w:hAnsi="宋体" w:cs="宋体" w:eastAsia="宋体" w:hint="default"/>
          <w:sz w:val="18"/>
          <w:szCs w:val="18"/>
        </w:rPr>
        <w:sectPr>
          <w:headerReference w:type="default" r:id="rId17"/>
          <w:footerReference w:type="default" r:id="rId18"/>
          <w:pgSz w:w="16840" w:h="11910" w:orient="landscape"/>
          <w:pgMar w:header="867" w:footer="980" w:top="1060" w:bottom="1260" w:left="1300" w:right="1280"/>
          <w:pgNumType w:start="49"/>
        </w:sectPr>
      </w:pPr>
    </w:p>
    <w:p>
      <w:pPr>
        <w:spacing w:line="240" w:lineRule="auto" w:before="2"/>
        <w:rPr>
          <w:rFonts w:ascii="Times New Roman" w:hAnsi="Times New Roman" w:cs="Times New Roman" w:eastAsia="Times New Roman" w:hint="default"/>
          <w:sz w:val="3"/>
          <w:szCs w:val="3"/>
        </w:rPr>
      </w:pPr>
      <w:r>
        <w:rPr/>
        <w:pict>
          <v:shape style="position:absolute;margin-left:563.564026pt;margin-top:57.240005pt;width:89.1pt;height:255.65pt;mso-position-horizontal-relative:page;mso-position-vertical-relative:page;z-index:-111172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则顺延；</w:t>
                  </w:r>
                </w:p>
              </w:txbxContent>
            </v:textbox>
            <w10:wrap type="none"/>
          </v:shape>
        </w:pict>
      </w:r>
      <w:r>
        <w:rPr/>
        <w:pict>
          <v:shape style="position:absolute;margin-left:491.684021pt;margin-top:313.365997pt;width:160.950pt;height:85.85pt;mso-position-horizontal-relative:page;mso-position-vertical-relative:page;z-index:-1111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2"/>
                    <w:ind w:left="0" w:right="0" w:firstLine="0"/>
                    <w:jc w:val="left"/>
                    <w:rPr>
                      <w:rFonts w:ascii="宋体" w:hAnsi="宋体" w:cs="宋体" w:eastAsia="宋体" w:hint="default"/>
                      <w:sz w:val="18"/>
                      <w:szCs w:val="18"/>
                    </w:rPr>
                  </w:pPr>
                  <w:r>
                    <w:rPr>
                      <w:rFonts w:ascii="宋体" w:hAnsi="宋体" w:cs="宋体" w:eastAsia="宋体" w:hint="default"/>
                      <w:sz w:val="18"/>
                      <w:szCs w:val="18"/>
                    </w:rPr>
                    <w:t>误导性陈述或者重大遗漏，</w:t>
                  </w:r>
                </w:p>
              </w:txbxContent>
            </v:textbox>
            <w10:wrap type="none"/>
          </v:shape>
        </w:pict>
      </w:r>
      <w:r>
        <w:rPr/>
        <w:pict>
          <v:group style="position:absolute;margin-left:596.830017pt;margin-top:57.240005pt;width:55.8pt;height:341.95pt;mso-position-horizontal-relative:page;mso-position-vertical-relative:page;z-index:-1111672" coordorigin="11937,1145" coordsize="1116,6839">
            <v:group style="position:absolute;left:11937;top:1145;width:1116;height:5113" coordorigin="11937,1145" coordsize="1116,5113">
              <v:shape style="position:absolute;left:11937;top:1145;width:1116;height:5113" coordorigin="11937,1145" coordsize="1116,5113" path="m11937,6258l13053,6258,13053,1145,11937,1145,11937,6258xe" filled="true" fillcolor="#ffffff" stroked="false">
                <v:path arrowok="t"/>
                <v:fill type="solid"/>
              </v:shape>
            </v:group>
            <v:group style="position:absolute;left:11937;top:6267;width:1116;height:1717" coordorigin="11937,6267" coordsize="1116,1717">
              <v:shape style="position:absolute;left:11937;top:6267;width:1116;height:1717" coordorigin="11937,6267" coordsize="1116,1717" path="m11937,7984l13053,7984,13053,6267,11937,6267,11937,798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1126"/>
        <w:gridCol w:w="1426"/>
        <w:gridCol w:w="6096"/>
        <w:gridCol w:w="1126"/>
        <w:gridCol w:w="1285"/>
        <w:gridCol w:w="1106"/>
      </w:tblGrid>
      <w:tr>
        <w:trPr>
          <w:trHeight w:val="337"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合伙企业（有</w:t>
            </w:r>
          </w:p>
        </w:tc>
        <w:tc>
          <w:tcPr>
            <w:tcW w:w="1426" w:type="dxa"/>
            <w:vMerge w:val="restart"/>
            <w:tcBorders>
              <w:top w:val="single" w:sz="15" w:space="0" w:color="000000"/>
              <w:left w:val="single" w:sz="4" w:space="0" w:color="000000"/>
              <w:right w:val="single" w:sz="4" w:space="0" w:color="000000"/>
            </w:tcBorders>
          </w:tcPr>
          <w:p>
            <w:pPr/>
          </w:p>
        </w:tc>
        <w:tc>
          <w:tcPr>
            <w:tcW w:w="609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、上述锁定期届满且没有延长锁定期的相关情形，如有锁定延长期，</w:t>
            </w:r>
          </w:p>
        </w:tc>
        <w:tc>
          <w:tcPr>
            <w:tcW w:w="1126" w:type="dxa"/>
            <w:vMerge w:val="restart"/>
            <w:tcBorders>
              <w:top w:val="single" w:sz="15" w:space="0" w:color="000000"/>
              <w:left w:val="single" w:sz="4" w:space="0" w:color="000000"/>
              <w:right w:val="single" w:sz="4" w:space="0" w:color="000000"/>
            </w:tcBorders>
          </w:tcPr>
          <w:p>
            <w:pPr/>
          </w:p>
        </w:tc>
        <w:tc>
          <w:tcPr>
            <w:tcW w:w="1285" w:type="dxa"/>
            <w:vMerge w:val="restart"/>
            <w:tcBorders>
              <w:top w:val="single" w:sz="15" w:space="0" w:color="000000"/>
              <w:left w:val="single" w:sz="4" w:space="0" w:color="000000"/>
              <w:right w:val="single" w:sz="4" w:space="0" w:color="000000"/>
            </w:tcBorders>
          </w:tcPr>
          <w:p>
            <w:pPr/>
          </w:p>
        </w:tc>
        <w:tc>
          <w:tcPr>
            <w:tcW w:w="1106" w:type="dxa"/>
            <w:vMerge w:val="restart"/>
            <w:tcBorders>
              <w:top w:val="single" w:sz="15" w:space="0" w:color="000000"/>
              <w:left w:val="single" w:sz="4" w:space="0" w:color="000000"/>
              <w:right w:val="single" w:sz="4" w:space="0" w:color="000000"/>
            </w:tcBorders>
          </w:tcPr>
          <w:p>
            <w:pPr/>
          </w:p>
        </w:tc>
      </w:tr>
      <w:tr>
        <w:trPr>
          <w:trHeight w:val="331"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中山</w:t>
            </w: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、如发生本人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本合伙企业需向投资者进行赔偿的情形，本人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本合伙企业已</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hAnsi="宋体" w:cs="宋体" w:eastAsia="宋体" w:hint="default"/>
                <w:sz w:val="18"/>
                <w:szCs w:val="18"/>
              </w:rPr>
              <w:t>市协润股权</w:t>
            </w: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1" w:right="0"/>
              <w:jc w:val="left"/>
              <w:rPr>
                <w:rFonts w:ascii="宋体" w:hAnsi="宋体" w:cs="宋体" w:eastAsia="宋体" w:hint="default"/>
                <w:sz w:val="18"/>
                <w:szCs w:val="18"/>
              </w:rPr>
            </w:pPr>
            <w:r>
              <w:rPr>
                <w:rFonts w:ascii="宋体" w:hAnsi="宋体" w:cs="宋体" w:eastAsia="宋体" w:hint="default"/>
                <w:sz w:val="18"/>
                <w:szCs w:val="18"/>
              </w:rPr>
              <w:t>经承担赔偿责任；本人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本合伙企业直接、间接持有的本次公开发行前的公司</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hAnsi="宋体" w:cs="宋体" w:eastAsia="宋体" w:hint="default"/>
                <w:sz w:val="18"/>
                <w:szCs w:val="18"/>
              </w:rPr>
              <w:t>投资合伙企</w:t>
            </w: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1" w:right="0"/>
              <w:jc w:val="left"/>
              <w:rPr>
                <w:rFonts w:ascii="宋体" w:hAnsi="宋体" w:cs="宋体" w:eastAsia="宋体" w:hint="default"/>
                <w:sz w:val="18"/>
                <w:szCs w:val="18"/>
              </w:rPr>
            </w:pPr>
            <w:r>
              <w:rPr>
                <w:rFonts w:ascii="宋体" w:hAnsi="宋体" w:cs="宋体" w:eastAsia="宋体" w:hint="default"/>
                <w:spacing w:val="-3"/>
                <w:sz w:val="18"/>
                <w:szCs w:val="18"/>
              </w:rPr>
              <w:t>股份在承诺的锁定期满后减持的，将提前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个交易日向公司提交减持原因、减</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hAnsi="宋体" w:cs="宋体" w:eastAsia="宋体" w:hint="default"/>
                <w:sz w:val="18"/>
                <w:szCs w:val="18"/>
              </w:rPr>
              <w:t>业（有限合</w:t>
            </w: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1" w:right="0"/>
              <w:jc w:val="left"/>
              <w:rPr>
                <w:rFonts w:ascii="宋体" w:hAnsi="宋体" w:cs="宋体" w:eastAsia="宋体" w:hint="default"/>
                <w:sz w:val="18"/>
                <w:szCs w:val="18"/>
              </w:rPr>
            </w:pPr>
            <w:r>
              <w:rPr>
                <w:rFonts w:ascii="宋体" w:hAnsi="宋体" w:cs="宋体" w:eastAsia="宋体" w:hint="default"/>
                <w:spacing w:val="-3"/>
                <w:sz w:val="18"/>
                <w:szCs w:val="18"/>
              </w:rPr>
              <w:t>持数量、未来减持计划、减持对公司治理结构及持续经营影响的说明，并由公</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36"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司在减持前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个交易日予以公告。对于本人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次公开发行前的公司股份，本人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本合伙企业将严格遵守已做出的关于所持公</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司股份流通限制及自愿锁定的承诺，在锁定期内不予以出售；如本人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企业在上述锁定期满后两年内减持本人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本合伙企业直接、间接持有的本次公</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开发行前的公司股份，每年转让的股份不超过其本人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本合伙企业持有的公司</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，且减持价格不低于本次发行的发行价，如自公司首次公开发行</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股票至上述减持公告之日公司发生过派息、送股、资本公积转增股本等除权除</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3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息事项的，发行价格应相应调整；</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3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本合伙企业减持公</w:t>
            </w:r>
            <w:r>
              <w:rPr>
                <w:rFonts w:ascii="宋体" w:hAnsi="宋体" w:cs="宋体" w:eastAsia="宋体" w:hint="default"/>
                <w:spacing w:val="-3"/>
                <w:sz w:val="18"/>
                <w:szCs w:val="18"/>
              </w:rPr>
              <w:t>司</w:t>
            </w:r>
            <w:r>
              <w:rPr>
                <w:rFonts w:ascii="宋体" w:hAnsi="宋体" w:cs="宋体" w:eastAsia="宋体" w:hint="default"/>
                <w:sz w:val="18"/>
                <w:szCs w:val="18"/>
              </w:rPr>
              <w:t>股票时，将依照《公司法</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z w:val="18"/>
                <w:szCs w:val="18"/>
              </w:rPr>
              <w:t>、中国证</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vMerge/>
            <w:tcBorders>
              <w:left w:val="single" w:sz="4" w:space="0" w:color="000000"/>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监会和深交所的相关规定执行；本人不因职务变更、离职等原因，而放弃履行</w:t>
            </w: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6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上述承诺。</w:t>
            </w:r>
          </w:p>
        </w:tc>
        <w:tc>
          <w:tcPr>
            <w:tcW w:w="1126"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4" w:hRule="exact"/>
        </w:trPr>
        <w:tc>
          <w:tcPr>
            <w:tcW w:w="1844"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
        </w:tc>
        <w:tc>
          <w:tcPr>
            <w:tcW w:w="6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3"/>
                <w:sz w:val="18"/>
                <w:szCs w:val="18"/>
              </w:rPr>
              <w:t>公司承诺，对本次发行申请文件的真实性、准确性、完整性、及时性承担个别</w:t>
            </w:r>
          </w:p>
        </w:tc>
        <w:tc>
          <w:tcPr>
            <w:tcW w:w="1126" w:type="dxa"/>
            <w:tcBorders>
              <w:top w:val="single" w:sz="4" w:space="0" w:color="000000"/>
              <w:left w:val="single" w:sz="4" w:space="0" w:color="000000"/>
              <w:bottom w:val="nil" w:sz="6" w:space="0" w:color="auto"/>
              <w:right w:val="single" w:sz="4" w:space="0" w:color="000000"/>
            </w:tcBorders>
          </w:tcPr>
          <w:p>
            <w:pPr/>
          </w:p>
        </w:tc>
        <w:tc>
          <w:tcPr>
            <w:tcW w:w="1285"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和连带的法律责任</w:t>
            </w:r>
            <w:r>
              <w:rPr>
                <w:rFonts w:ascii="宋体" w:hAnsi="宋体" w:cs="宋体" w:eastAsia="宋体" w:hint="default"/>
                <w:spacing w:val="-85"/>
                <w:sz w:val="18"/>
                <w:szCs w:val="18"/>
              </w:rPr>
              <w:t>。</w:t>
            </w:r>
            <w:r>
              <w:rPr>
                <w:rFonts w:ascii="宋体" w:hAnsi="宋体" w:cs="宋体" w:eastAsia="宋体" w:hint="default"/>
                <w:sz w:val="18"/>
                <w:szCs w:val="18"/>
              </w:rPr>
              <w:t>如公司招股说明书有虚假记载、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对判断公司是否符合法律规定的发行条件构成重大、实质影响的，公司将依法</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回购首次公开发行的全部新股。公司董事会应当在前述行为被依法认定后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日内制定股份回购预案（预案内容包括回购股份数量、价格区间、完成时间等</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936"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191"/>
              <w:jc w:val="both"/>
              <w:rPr>
                <w:rFonts w:ascii="宋体" w:hAnsi="宋体" w:cs="宋体" w:eastAsia="宋体" w:hint="default"/>
                <w:sz w:val="18"/>
                <w:szCs w:val="18"/>
              </w:rPr>
            </w:pPr>
            <w:r>
              <w:rPr>
                <w:rFonts w:ascii="宋体" w:hAnsi="宋体" w:cs="宋体" w:eastAsia="宋体" w:hint="default"/>
                <w:sz w:val="18"/>
                <w:szCs w:val="18"/>
              </w:rPr>
              <w:t>广东乐心医 疗电子股份 有限公司</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股份回购承诺</w:t>
            </w: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4"/>
              <w:jc w:val="both"/>
              <w:rPr>
                <w:rFonts w:ascii="宋体" w:hAnsi="宋体" w:cs="宋体" w:eastAsia="宋体" w:hint="default"/>
                <w:sz w:val="18"/>
                <w:szCs w:val="18"/>
              </w:rPr>
            </w:pPr>
            <w:r>
              <w:rPr>
                <w:rFonts w:ascii="宋体" w:hAnsi="宋体" w:cs="宋体" w:eastAsia="宋体" w:hint="default"/>
                <w:spacing w:val="-3"/>
                <w:sz w:val="18"/>
                <w:szCs w:val="18"/>
              </w:rPr>
              <w:t>信息），并提交股东大会审议通过。公司已发行尚未上市的，回购价格为发行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价并加算银行同期存款利息；公司已上市的，回购价格根据公司股票发行价格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加计银行同期活期存款利息和市场价格孰高确定，若公司在该期间内发生派</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息、送股、资本公积转增股本等除权除息事项的，发行价应相应作除权除息处</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理；股份回购义务需在股东大会作出决议之日起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个月内完成。在实施上述股</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份回购时，如法律法规、公司章程等另有规定的从其规定。如公司本次公开发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6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行股票的招股说明书有虚假记载、误导性陈述或者重大遗漏，致使投资者在证</w:t>
            </w:r>
          </w:p>
        </w:tc>
        <w:tc>
          <w:tcPr>
            <w:tcW w:w="112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6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券交易中遭受损失的，将依法赔偿投资者损失。</w:t>
            </w:r>
          </w:p>
        </w:tc>
        <w:tc>
          <w:tcPr>
            <w:tcW w:w="1126" w:type="dxa"/>
            <w:tcBorders>
              <w:top w:val="nil" w:sz="6" w:space="0" w:color="auto"/>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4"/>
        <w:rPr>
          <w:rFonts w:ascii="Times New Roman" w:hAnsi="Times New Roman" w:cs="Times New Roman" w:eastAsia="Times New Roman" w:hint="default"/>
          <w:sz w:val="2"/>
          <w:szCs w:val="2"/>
        </w:rPr>
      </w:pPr>
      <w:r>
        <w:rPr/>
        <w:pict>
          <v:shape style="position:absolute;margin-left:590.710022pt;margin-top:170.900009pt;width:61.95pt;height:162.9pt;mso-position-horizontal-relative:page;mso-position-vertical-relative:page;z-index:-1111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844"/>
        <w:gridCol w:w="1126"/>
        <w:gridCol w:w="1426"/>
        <w:gridCol w:w="6096"/>
        <w:gridCol w:w="1126"/>
        <w:gridCol w:w="1285"/>
        <w:gridCol w:w="1106"/>
      </w:tblGrid>
      <w:tr>
        <w:trPr>
          <w:trHeight w:val="2290" w:hRule="exact"/>
        </w:trPr>
        <w:tc>
          <w:tcPr>
            <w:tcW w:w="1844"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黄瑜</w:t>
            </w:r>
            <w:r>
              <w:rPr>
                <w:rFonts w:ascii="Times New Roman" w:hAnsi="Times New Roman" w:cs="Times New Roman" w:eastAsia="Times New Roman" w:hint="default"/>
                <w:sz w:val="18"/>
                <w:szCs w:val="18"/>
              </w:rPr>
              <w:t>;</w:t>
            </w:r>
            <w:r>
              <w:rPr>
                <w:rFonts w:ascii="宋体" w:hAnsi="宋体" w:cs="宋体" w:eastAsia="宋体" w:hint="default"/>
                <w:sz w:val="18"/>
                <w:szCs w:val="18"/>
              </w:rPr>
              <w:t>梁启光</w:t>
            </w:r>
            <w:r>
              <w:rPr>
                <w:rFonts w:ascii="Times New Roman" w:hAnsi="Times New Roman" w:cs="Times New Roman" w:eastAsia="Times New Roman" w:hint="default"/>
                <w:sz w:val="18"/>
                <w:szCs w:val="18"/>
              </w:rPr>
              <w:t>; </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潘农 菲</w:t>
            </w:r>
            <w:r>
              <w:rPr>
                <w:rFonts w:ascii="Times New Roman" w:hAnsi="Times New Roman" w:cs="Times New Roman" w:eastAsia="Times New Roman" w:hint="default"/>
                <w:sz w:val="18"/>
                <w:szCs w:val="18"/>
              </w:rPr>
              <w:t>;</w:t>
            </w:r>
            <w:r>
              <w:rPr>
                <w:rFonts w:ascii="宋体" w:hAnsi="宋体" w:cs="宋体" w:eastAsia="宋体" w:hint="default"/>
                <w:sz w:val="18"/>
                <w:szCs w:val="18"/>
              </w:rPr>
              <w:t>潘伟潮</w:t>
            </w:r>
            <w:r>
              <w:rPr>
                <w:rFonts w:ascii="Times New Roman" w:hAnsi="Times New Roman" w:cs="Times New Roman" w:eastAsia="Times New Roman" w:hint="default"/>
                <w:sz w:val="18"/>
                <w:szCs w:val="18"/>
              </w:rPr>
              <w:t>;</w:t>
            </w:r>
            <w:r>
              <w:rPr>
                <w:rFonts w:ascii="宋体" w:hAnsi="宋体" w:cs="宋体" w:eastAsia="宋体" w:hint="default"/>
                <w:sz w:val="18"/>
                <w:szCs w:val="18"/>
              </w:rPr>
              <w:t>沙 华海</w:t>
            </w:r>
            <w:r>
              <w:rPr>
                <w:rFonts w:ascii="Times New Roman" w:hAnsi="Times New Roman" w:cs="Times New Roman" w:eastAsia="Times New Roman" w:hint="default"/>
                <w:sz w:val="18"/>
                <w:szCs w:val="18"/>
              </w:rPr>
              <w:t>;</w:t>
            </w:r>
            <w:r>
              <w:rPr>
                <w:rFonts w:ascii="宋体" w:hAnsi="宋体" w:cs="宋体" w:eastAsia="宋体" w:hint="default"/>
                <w:sz w:val="18"/>
                <w:szCs w:val="18"/>
              </w:rPr>
              <w:t>万卫东</w:t>
            </w:r>
            <w:r>
              <w:rPr>
                <w:rFonts w:ascii="Times New Roman" w:hAnsi="Times New Roman" w:cs="Times New Roman" w:eastAsia="Times New Roman" w:hint="default"/>
                <w:sz w:val="18"/>
                <w:szCs w:val="18"/>
              </w:rPr>
              <w:t>; </w:t>
            </w:r>
            <w:r>
              <w:rPr>
                <w:rFonts w:ascii="宋体" w:hAnsi="宋体" w:cs="宋体" w:eastAsia="宋体" w:hint="default"/>
                <w:sz w:val="18"/>
                <w:szCs w:val="18"/>
              </w:rPr>
              <w:t>许迎丰</w:t>
            </w:r>
          </w:p>
        </w:tc>
        <w:tc>
          <w:tcPr>
            <w:tcW w:w="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97" w:lineRule="auto"/>
              <w:ind w:left="21"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609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61"/>
              <w:ind w:left="21" w:right="20"/>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公司控股股东、实际控制人潘伟潮及董事、高级管理人员麦炯章、沙华海、万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卫东、梁启光、许迎丰、黄瑜、潘农菲承诺，其直接或间接所持公司股票在锁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定期满后两年内减持的，减持价格不低于发行价。公司股票上市后六个月内如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公司股票连续二十个交易日的收盘价均低于发行价，或者上市后六个月期末收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盘价低于发行价，其所持有公司股票的锁定期限自动延长六个月。若公司股票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在此期间发生除权、除息的，发行价格将作相应调整，其不因职务变更、离职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等原因而放弃履行上述承诺。</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上市三年内</w:t>
            </w:r>
          </w:p>
        </w:tc>
        <w:tc>
          <w:tcPr>
            <w:tcW w:w="11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22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4" w:lineRule="auto"/>
              <w:ind w:left="23" w:right="89"/>
              <w:jc w:val="both"/>
              <w:rPr>
                <w:rFonts w:ascii="宋体" w:hAnsi="宋体" w:cs="宋体" w:eastAsia="宋体" w:hint="default"/>
                <w:sz w:val="18"/>
                <w:szCs w:val="18"/>
              </w:rPr>
            </w:pPr>
            <w:r>
              <w:rPr>
                <w:rFonts w:ascii="宋体" w:hAnsi="宋体" w:cs="宋体" w:eastAsia="宋体" w:hint="default"/>
                <w:sz w:val="18"/>
                <w:szCs w:val="18"/>
              </w:rPr>
              <w:t>广东乐心医 疗电子股份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 瑜</w:t>
            </w:r>
            <w:r>
              <w:rPr>
                <w:rFonts w:ascii="Times New Roman" w:hAnsi="Times New Roman" w:cs="Times New Roman" w:eastAsia="Times New Roman" w:hint="default"/>
                <w:sz w:val="18"/>
                <w:szCs w:val="18"/>
              </w:rPr>
              <w:t>;</w:t>
            </w:r>
            <w:r>
              <w:rPr>
                <w:rFonts w:ascii="宋体" w:hAnsi="宋体" w:cs="宋体" w:eastAsia="宋体" w:hint="default"/>
                <w:sz w:val="18"/>
                <w:szCs w:val="18"/>
              </w:rPr>
              <w:t>李延兵</w:t>
            </w:r>
            <w:r>
              <w:rPr>
                <w:rFonts w:ascii="Times New Roman" w:hAnsi="Times New Roman" w:cs="Times New Roman" w:eastAsia="Times New Roman" w:hint="default"/>
                <w:sz w:val="18"/>
                <w:szCs w:val="18"/>
              </w:rPr>
              <w:t>;</w:t>
            </w:r>
            <w:r>
              <w:rPr>
                <w:rFonts w:ascii="宋体" w:hAnsi="宋体" w:cs="宋体" w:eastAsia="宋体" w:hint="default"/>
                <w:sz w:val="18"/>
                <w:szCs w:val="18"/>
              </w:rPr>
              <w:t>梁 启光</w:t>
            </w:r>
            <w:r>
              <w:rPr>
                <w:rFonts w:ascii="Times New Roman" w:hAnsi="Times New Roman" w:cs="Times New Roman" w:eastAsia="Times New Roman" w:hint="default"/>
                <w:sz w:val="18"/>
                <w:szCs w:val="18"/>
              </w:rPr>
              <w:t>;</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 </w:t>
            </w:r>
            <w:r>
              <w:rPr>
                <w:rFonts w:ascii="宋体" w:hAnsi="宋体" w:cs="宋体" w:eastAsia="宋体" w:hint="default"/>
                <w:sz w:val="18"/>
                <w:szCs w:val="18"/>
              </w:rPr>
              <w:t>潘农菲</w:t>
            </w:r>
            <w:r>
              <w:rPr>
                <w:rFonts w:ascii="Times New Roman" w:hAnsi="Times New Roman" w:cs="Times New Roman" w:eastAsia="Times New Roman" w:hint="default"/>
                <w:sz w:val="18"/>
                <w:szCs w:val="18"/>
              </w:rPr>
              <w:t>;</w:t>
            </w:r>
            <w:r>
              <w:rPr>
                <w:rFonts w:ascii="宋体" w:hAnsi="宋体" w:cs="宋体" w:eastAsia="宋体" w:hint="default"/>
                <w:sz w:val="18"/>
                <w:szCs w:val="18"/>
              </w:rPr>
              <w:t>潘伟 潮</w:t>
            </w:r>
            <w:r>
              <w:rPr>
                <w:rFonts w:ascii="Times New Roman" w:hAnsi="Times New Roman" w:cs="Times New Roman" w:eastAsia="Times New Roman" w:hint="default"/>
                <w:sz w:val="18"/>
                <w:szCs w:val="18"/>
              </w:rPr>
              <w:t>;</w:t>
            </w:r>
            <w:r>
              <w:rPr>
                <w:rFonts w:ascii="宋体" w:hAnsi="宋体" w:cs="宋体" w:eastAsia="宋体" w:hint="default"/>
                <w:sz w:val="18"/>
                <w:szCs w:val="18"/>
              </w:rPr>
              <w:t>沙华海</w:t>
            </w:r>
            <w:r>
              <w:rPr>
                <w:rFonts w:ascii="Times New Roman" w:hAnsi="Times New Roman" w:cs="Times New Roman" w:eastAsia="Times New Roman" w:hint="default"/>
                <w:sz w:val="18"/>
                <w:szCs w:val="18"/>
              </w:rPr>
              <w:t>;</w:t>
            </w:r>
            <w:r>
              <w:rPr>
                <w:rFonts w:ascii="宋体" w:hAnsi="宋体" w:cs="宋体" w:eastAsia="宋体" w:hint="default"/>
                <w:sz w:val="18"/>
                <w:szCs w:val="18"/>
              </w:rPr>
              <w:t>万 卫东</w:t>
            </w:r>
            <w:r>
              <w:rPr>
                <w:rFonts w:ascii="Times New Roman" w:hAnsi="Times New Roman" w:cs="Times New Roman" w:eastAsia="Times New Roman" w:hint="default"/>
                <w:sz w:val="18"/>
                <w:szCs w:val="18"/>
              </w:rPr>
              <w:t>;</w:t>
            </w:r>
            <w:r>
              <w:rPr>
                <w:rFonts w:ascii="宋体" w:hAnsi="宋体" w:cs="宋体" w:eastAsia="宋体" w:hint="default"/>
                <w:sz w:val="18"/>
                <w:szCs w:val="18"/>
              </w:rPr>
              <w:t>许迎丰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7" w:lineRule="auto"/>
              <w:ind w:left="21"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1" w:right="21"/>
              <w:jc w:val="left"/>
              <w:rPr>
                <w:rFonts w:ascii="宋体" w:hAnsi="宋体" w:cs="宋体" w:eastAsia="宋体" w:hint="default"/>
                <w:sz w:val="18"/>
                <w:szCs w:val="18"/>
              </w:rPr>
            </w:pPr>
            <w:r>
              <w:rPr>
                <w:rFonts w:ascii="宋体" w:hAnsi="宋体" w:cs="宋体" w:eastAsia="宋体" w:hint="default"/>
                <w:spacing w:val="-3"/>
                <w:sz w:val="18"/>
                <w:szCs w:val="18"/>
              </w:rPr>
              <w:t>为维护公众投资者的利益，公司及其控股股东、实际控制人，董事及高级管理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人员承诺，如果首次公开发行上市后三年内公司股价（指收盘价）出现低于上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一年度末经审计的每股净资产（若因除权除息等事项致使上述股票收盘价与公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司上一会计年度末经审计的每股净资产不具可比性的，上述每股净资产应做相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应调整，下同）的情况时，其将依据法律、法规及公司章程的规定，在不影响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公司上市条件的前提下将启动稳定股价的措施，具体如下：（一）启动稳定股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价措施的具体条件</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、预警条件一旦出现公司股票连续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个交易日的收盘价低 于上一年度末经审计的每股净资产的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个工作日内召开情况说 </w:t>
            </w:r>
            <w:r>
              <w:rPr>
                <w:rFonts w:ascii="宋体" w:hAnsi="宋体" w:cs="宋体" w:eastAsia="宋体" w:hint="default"/>
                <w:spacing w:val="-3"/>
                <w:sz w:val="18"/>
                <w:szCs w:val="18"/>
              </w:rPr>
              <w:t>明会，与投资者就上市公司经营状况、财务指标、发展战略进行深入沟通。</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启动条件 一旦出现公司股票连续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个交易日的收盘价低于上一年度末经审 计的每股净资产时，应当在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日内开始实施相关稳定股价的方案，并应提前 公告具体实施方案。</w:t>
            </w:r>
            <w:r>
              <w:rPr>
                <w:rFonts w:ascii="Times New Roman" w:hAnsi="Times New Roman" w:cs="Times New Roman" w:eastAsia="Times New Roman" w:hint="default"/>
                <w:sz w:val="18"/>
                <w:szCs w:val="18"/>
              </w:rPr>
              <w:t>3</w:t>
            </w:r>
            <w:r>
              <w:rPr>
                <w:rFonts w:ascii="宋体" w:hAnsi="宋体" w:cs="宋体" w:eastAsia="宋体" w:hint="default"/>
                <w:sz w:val="18"/>
                <w:szCs w:val="18"/>
              </w:rPr>
              <w:t>、停止条件 在上述第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项稳定股价具体方案的实施期 </w:t>
            </w:r>
            <w:r>
              <w:rPr>
                <w:rFonts w:ascii="宋体" w:hAnsi="宋体" w:cs="宋体" w:eastAsia="宋体" w:hint="default"/>
                <w:spacing w:val="-6"/>
                <w:sz w:val="18"/>
                <w:szCs w:val="18"/>
              </w:rPr>
              <w:t>间内或实施前，如公司股票连续</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个交易日收盘价高于上一年度末经审计的每</w:t>
            </w:r>
          </w:p>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4"/>
                <w:sz w:val="18"/>
                <w:szCs w:val="18"/>
              </w:rPr>
              <w:t>股净资产时，将停止实施稳定股价措施。上述第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项稳定股价具体方案实施完</w:t>
            </w:r>
          </w:p>
          <w:p>
            <w:pPr>
              <w:pStyle w:val="TableParagraph"/>
              <w:spacing w:line="314" w:lineRule="auto" w:before="63"/>
              <w:ind w:left="21" w:right="22"/>
              <w:jc w:val="both"/>
              <w:rPr>
                <w:rFonts w:ascii="宋体" w:hAnsi="宋体" w:cs="宋体" w:eastAsia="宋体" w:hint="default"/>
                <w:sz w:val="18"/>
                <w:szCs w:val="18"/>
              </w:rPr>
            </w:pPr>
            <w:r>
              <w:rPr>
                <w:rFonts w:ascii="宋体" w:hAnsi="宋体" w:cs="宋体" w:eastAsia="宋体" w:hint="default"/>
                <w:spacing w:val="-3"/>
                <w:sz w:val="18"/>
                <w:szCs w:val="18"/>
              </w:rPr>
              <w:t>毕或停止实施后，如再次发生上述第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项的启动条件，则再次启动稳定股价措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施。（二）稳定股价的具体措施当上述启动稳定股价措施的条件成就时，将依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次开展公司回购，控股股东、实际控制人增持，董事、高级管理人员增持等工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作以稳定公司股价，回购或增持价格不超过公司上一年度末经审计的每股净资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产，控股股东、实际控制人及董事、高级管理人员在公司出现需稳定股价的情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形时，必须履行所承诺的增持义务，在履行完强制增持义务后，可选择自愿增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持。如该等方案、措施需要提交董事会、股东大会审议的，则控股股东、实际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控制人以及其他担任董事、监事、高级管理人员的股东应予以支持。</w:t>
            </w:r>
            <w:r>
              <w:rPr>
                <w:rFonts w:ascii="Times New Roman" w:hAnsi="Times New Roman" w:cs="Times New Roman" w:eastAsia="Times New Roman" w:hint="default"/>
                <w:sz w:val="18"/>
                <w:szCs w:val="18"/>
              </w:rPr>
              <w:t>1</w:t>
            </w:r>
            <w:r>
              <w:rPr>
                <w:rFonts w:ascii="宋体" w:hAnsi="宋体" w:cs="宋体" w:eastAsia="宋体" w:hint="default"/>
                <w:sz w:val="18"/>
                <w:szCs w:val="18"/>
              </w:rPr>
              <w:t>、由公 司回购股票如公司出现连续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个交易日的收盘价低于上一年度未经审计的净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25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55.8pt;height:162.9pt;mso-position-horizontal-relative:char;mso-position-vertical-relative:line" coordorigin="0,0" coordsize="1116,3258">
                  <v:group style="position:absolute;left:0;top:0;width:1116;height:3258" coordorigin="0,0" coordsize="1116,3258">
                    <v:shape style="position:absolute;left:0;top:0;width:1116;height:3258" coordorigin="0,0" coordsize="1116,3258" path="m0,3258l1116,3258,1116,0,0,0,0,3258xe" filled="true" fillcolor="#ffffff" stroked="false">
                      <v:path arrowok="t"/>
                      <v:fill type="solid"/>
                    </v:shape>
                  </v:group>
                </v:group>
              </w:pict>
            </w:r>
            <w:r>
              <w:rPr>
                <w:rFonts w:ascii="Times New Roman" w:hAnsi="Times New Roman" w:cs="Times New Roman" w:eastAsia="Times New Roman" w:hint="default"/>
                <w:position w:val="-64"/>
                <w:sz w:val="20"/>
                <w:szCs w:val="20"/>
              </w:rPr>
            </w:r>
          </w:p>
          <w:p>
            <w:pPr>
              <w:pStyle w:val="TableParagraph"/>
              <w:spacing w:line="240" w:lineRule="auto" w:before="5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上市三年内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260" w:left="1320" w:right="1280"/>
        </w:sectPr>
      </w:pPr>
    </w:p>
    <w:p>
      <w:pPr>
        <w:spacing w:line="309" w:lineRule="auto" w:before="86"/>
        <w:ind w:left="4561" w:right="3557" w:firstLine="0"/>
        <w:jc w:val="left"/>
        <w:rPr>
          <w:rFonts w:ascii="宋体" w:hAnsi="宋体" w:cs="宋体" w:eastAsia="宋体" w:hint="default"/>
          <w:sz w:val="18"/>
          <w:szCs w:val="18"/>
        </w:rPr>
      </w:pPr>
      <w:r>
        <w:rPr/>
        <w:pict>
          <v:shape style="position:absolute;margin-left:554.706970pt;margin-top:57.236008pt;width:97.95pt;height:468.1pt;mso-position-horizontal-relative:page;mso-position-vertical-relative:page;z-index:-1111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控股股东、</w:t>
                  </w:r>
                </w:p>
              </w:txbxContent>
            </v:textbox>
            <w10:wrap type="none"/>
          </v:shape>
        </w:pict>
      </w:r>
      <w:r>
        <w:rPr/>
        <w:pict>
          <v:group style="position:absolute;margin-left:70.199997pt;margin-top:55.200008pt;width:702.5pt;height:470.9pt;mso-position-horizontal-relative:page;mso-position-vertical-relative:page;z-index:-1111576" coordorigin="1404,1104" coordsize="14050,9418">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group>
            <v:group style="position:absolute;left:1445;top:1145;width:1835;height:9362" coordorigin="1445,1145" coordsize="1835,9362">
              <v:shape style="position:absolute;left:1445;top:1145;width:1835;height:9362" coordorigin="1445,1145" coordsize="1835,9362" path="m1445,10507l3279,10507,3279,1145,1445,1145,1445,10507xe" filled="true" fillcolor="#d2d2d2" stroked="false">
                <v:path arrowok="t"/>
                <v:fill type="solid"/>
              </v:shape>
            </v:group>
            <v:group style="position:absolute;left:11937;top:1145;width:1116;height:9362" coordorigin="11937,1145" coordsize="1116,9362">
              <v:shape style="position:absolute;left:11937;top:1145;width:1116;height:9362" coordorigin="11937,1145" coordsize="1116,9362" path="m11937,10507l13053,10507,13053,1145,11937,1145,11937,10507xe" filled="true" fillcolor="#ffffff" stroked="false">
                <v:path arrowok="t"/>
                <v:fill type="solid"/>
              </v:shape>
            </v:group>
            <v:group style="position:absolute;left:1445;top:1138;width:1835;height:2" coordorigin="1445,1138" coordsize="1835,2">
              <v:shape style="position:absolute;left:1445;top:1138;width:1835;height:2" coordorigin="1445,1138" coordsize="1835,0" path="m1445,1138l3279,1138e" filled="false" stroked="true" strokeweight=".48pt" strokecolor="#000000">
                <v:path arrowok="t"/>
              </v:shape>
            </v:group>
            <v:group style="position:absolute;left:3288;top:1138;width:1116;height:2" coordorigin="3288,1138" coordsize="1116,2">
              <v:shape style="position:absolute;left:3288;top:1138;width:1116;height:2" coordorigin="3288,1138" coordsize="1116,0" path="m3288,1138l4404,1138e" filled="false" stroked="true" strokeweight=".48pt" strokecolor="#000000">
                <v:path arrowok="t"/>
              </v:shape>
            </v:group>
            <v:group style="position:absolute;left:4414;top:1138;width:1417;height:2" coordorigin="4414,1138" coordsize="1417,2">
              <v:shape style="position:absolute;left:4414;top:1138;width:1417;height:2" coordorigin="4414,1138" coordsize="1417,0" path="m4414,1138l5830,1138e" filled="false" stroked="true" strokeweight=".48pt" strokecolor="#000000">
                <v:path arrowok="t"/>
              </v:shape>
            </v:group>
            <v:group style="position:absolute;left:5840;top:1138;width:6087;height:2" coordorigin="5840,1138" coordsize="6087,2">
              <v:shape style="position:absolute;left:5840;top:1138;width:6087;height:2" coordorigin="5840,1138" coordsize="6087,0" path="m5840,1138l11927,1138e" filled="false" stroked="true" strokeweight=".48pt" strokecolor="#000000">
                <v:path arrowok="t"/>
              </v:shape>
            </v:group>
            <v:group style="position:absolute;left:11937;top:1138;width:1116;height:2" coordorigin="11937,1138" coordsize="1116,2">
              <v:shape style="position:absolute;left:11937;top:1138;width:1116;height:2" coordorigin="11937,1138" coordsize="1116,0" path="m11937,1138l13053,1138e" filled="false" stroked="true" strokeweight=".48pt" strokecolor="#000000">
                <v:path arrowok="t"/>
              </v:shape>
            </v:group>
            <v:group style="position:absolute;left:13062;top:1138;width:1275;height:2" coordorigin="13062,1138" coordsize="1275,2">
              <v:shape style="position:absolute;left:13062;top:1138;width:1275;height:2" coordorigin="13062,1138" coordsize="1275,0" path="m13062,1138l14337,1138e" filled="false" stroked="true" strokeweight=".48pt" strokecolor="#000000">
                <v:path arrowok="t"/>
              </v:shape>
            </v:group>
            <v:group style="position:absolute;left:14347;top:1138;width:1097;height:2" coordorigin="14347,1138" coordsize="1097,2">
              <v:shape style="position:absolute;left:14347;top:1138;width:1097;height:2" coordorigin="14347,1138" coordsize="1097,0" path="m14347,1138l15444,1138e" filled="false" stroked="true" strokeweight=".48pt" strokecolor="#000000">
                <v:path arrowok="t"/>
              </v:shape>
            </v:group>
            <v:group style="position:absolute;left:1440;top:1133;width:2;height:9384" coordorigin="1440,1133" coordsize="2,9384">
              <v:shape style="position:absolute;left:1440;top:1133;width:2;height:9384" coordorigin="1440,1133" coordsize="0,9384" path="m1440,1133l1440,10516e" filled="false" stroked="true" strokeweight=".48pt" strokecolor="#000000">
                <v:path arrowok="t"/>
              </v:shape>
            </v:group>
            <v:group style="position:absolute;left:1445;top:10512;width:1835;height:2" coordorigin="1445,10512" coordsize="1835,2">
              <v:shape style="position:absolute;left:1445;top:10512;width:1835;height:2" coordorigin="1445,10512" coordsize="1835,0" path="m1445,10512l3279,10512e" filled="false" stroked="true" strokeweight=".47998pt" strokecolor="#000000">
                <v:path arrowok="t"/>
              </v:shape>
            </v:group>
            <v:group style="position:absolute;left:3284;top:1133;width:2;height:9384" coordorigin="3284,1133" coordsize="2,9384">
              <v:shape style="position:absolute;left:3284;top:1133;width:2;height:9384" coordorigin="3284,1133" coordsize="0,9384" path="m3284,1133l3284,10516e" filled="false" stroked="true" strokeweight=".48pt" strokecolor="#000000">
                <v:path arrowok="t"/>
              </v:shape>
            </v:group>
            <v:group style="position:absolute;left:3288;top:10512;width:1116;height:2" coordorigin="3288,10512" coordsize="1116,2">
              <v:shape style="position:absolute;left:3288;top:10512;width:1116;height:2" coordorigin="3288,10512" coordsize="1116,0" path="m3288,10512l4404,10512e" filled="false" stroked="true" strokeweight=".47998pt" strokecolor="#000000">
                <v:path arrowok="t"/>
              </v:shape>
            </v:group>
            <v:group style="position:absolute;left:4409;top:1133;width:2;height:9384" coordorigin="4409,1133" coordsize="2,9384">
              <v:shape style="position:absolute;left:4409;top:1133;width:2;height:9384" coordorigin="4409,1133" coordsize="0,9384" path="m4409,1133l4409,10516e" filled="false" stroked="true" strokeweight=".48pt" strokecolor="#000000">
                <v:path arrowok="t"/>
              </v:shape>
            </v:group>
            <v:group style="position:absolute;left:4414;top:10512;width:1417;height:2" coordorigin="4414,10512" coordsize="1417,2">
              <v:shape style="position:absolute;left:4414;top:10512;width:1417;height:2" coordorigin="4414,10512" coordsize="1417,0" path="m4414,10512l5830,10512e" filled="false" stroked="true" strokeweight=".47998pt" strokecolor="#000000">
                <v:path arrowok="t"/>
              </v:shape>
            </v:group>
            <v:group style="position:absolute;left:5835;top:1133;width:2;height:9384" coordorigin="5835,1133" coordsize="2,9384">
              <v:shape style="position:absolute;left:5835;top:1133;width:2;height:9384" coordorigin="5835,1133" coordsize="0,9384" path="m5835,1133l5835,10516e" filled="false" stroked="true" strokeweight=".47998pt" strokecolor="#000000">
                <v:path arrowok="t"/>
              </v:shape>
            </v:group>
            <v:group style="position:absolute;left:5840;top:10512;width:6087;height:2" coordorigin="5840,10512" coordsize="6087,2">
              <v:shape style="position:absolute;left:5840;top:10512;width:6087;height:2" coordorigin="5840,10512" coordsize="6087,0" path="m5840,10512l11927,10512e" filled="false" stroked="true" strokeweight=".47998pt" strokecolor="#000000">
                <v:path arrowok="t"/>
              </v:shape>
            </v:group>
            <v:group style="position:absolute;left:11932;top:1133;width:2;height:9384" coordorigin="11932,1133" coordsize="2,9384">
              <v:shape style="position:absolute;left:11932;top:1133;width:2;height:9384" coordorigin="11932,1133" coordsize="0,9384" path="m11932,1133l11932,10516e" filled="false" stroked="true" strokeweight=".48004pt" strokecolor="#000000">
                <v:path arrowok="t"/>
              </v:shape>
            </v:group>
            <v:group style="position:absolute;left:11937;top:10512;width:1116;height:2" coordorigin="11937,10512" coordsize="1116,2">
              <v:shape style="position:absolute;left:11937;top:10512;width:1116;height:2" coordorigin="11937,10512" coordsize="1116,0" path="m11937,10512l13053,10512e" filled="false" stroked="true" strokeweight=".47998pt" strokecolor="#000000">
                <v:path arrowok="t"/>
              </v:shape>
            </v:group>
            <v:group style="position:absolute;left:13057;top:1133;width:2;height:9384" coordorigin="13057,1133" coordsize="2,9384">
              <v:shape style="position:absolute;left:13057;top:1133;width:2;height:9384" coordorigin="13057,1133" coordsize="0,9384" path="m13057,1133l13057,10516e" filled="false" stroked="true" strokeweight=".47998pt" strokecolor="#000000">
                <v:path arrowok="t"/>
              </v:shape>
            </v:group>
            <v:group style="position:absolute;left:13062;top:10512;width:1275;height:2" coordorigin="13062,10512" coordsize="1275,2">
              <v:shape style="position:absolute;left:13062;top:10512;width:1275;height:2" coordorigin="13062,10512" coordsize="1275,0" path="m13062,10512l14337,10512e" filled="false" stroked="true" strokeweight=".47998pt" strokecolor="#000000">
                <v:path arrowok="t"/>
              </v:shape>
            </v:group>
            <v:group style="position:absolute;left:14342;top:1133;width:2;height:9384" coordorigin="14342,1133" coordsize="2,9384">
              <v:shape style="position:absolute;left:14342;top:1133;width:2;height:9384" coordorigin="14342,1133" coordsize="0,9384" path="m14342,1133l14342,10516e" filled="false" stroked="true" strokeweight=".47998pt" strokecolor="#000000">
                <v:path arrowok="t"/>
              </v:shape>
            </v:group>
            <v:group style="position:absolute;left:14347;top:10512;width:1097;height:2" coordorigin="14347,10512" coordsize="1097,2">
              <v:shape style="position:absolute;left:14347;top:10512;width:1097;height:2" coordorigin="14347,10512" coordsize="1097,0" path="m14347,10512l15444,10512e" filled="false" stroked="true" strokeweight=".47998pt" strokecolor="#000000">
                <v:path arrowok="t"/>
              </v:shape>
            </v:group>
            <v:group style="position:absolute;left:15448;top:1133;width:2;height:9384" coordorigin="15448,1133" coordsize="2,9384">
              <v:shape style="position:absolute;left:15448;top:1133;width:2;height:9384" coordorigin="15448,1133" coordsize="0,9384" path="m15448,1133l15448,10516e" filled="false" stroked="true" strokeweight=".47998pt" strokecolor="#000000">
                <v:path arrowok="t"/>
              </v:shape>
            </v:group>
            <w10:wrap type="none"/>
          </v:group>
        </w:pict>
      </w:r>
      <w:r>
        <w:rPr>
          <w:rFonts w:ascii="宋体" w:hAnsi="宋体" w:cs="宋体" w:eastAsia="宋体" w:hint="default"/>
          <w:spacing w:val="-5"/>
          <w:sz w:val="18"/>
          <w:szCs w:val="18"/>
        </w:rPr>
        <w:t>资产时，公司可自愿采取回购股票的措施以稳定公司股价：（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）公司为稳定股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价之目的回购股份，应符合《上市公司回购社会公众股份管理办法（试行）》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及《关于上市公司以集中竞价交易方式回购股份的补充规定》等相关法律、法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规的规定，且不应导致公司股权分布不符合上市条件；（</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）公司股东大会对回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购股份做出决议，须经出席会议的股东所持表决权的三分之二以上通过；（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公司为稳定股价之目的进行股份回购的，除应符合相关法律法规之要求之外， 还应符合下列各项：</w:t>
      </w:r>
      <w:r>
        <w:rPr>
          <w:rFonts w:ascii="宋体" w:hAnsi="宋体" w:cs="宋体" w:eastAsia="宋体" w:hint="default"/>
          <w:spacing w:val="11"/>
          <w:sz w:val="18"/>
          <w:szCs w:val="18"/>
        </w:rPr>
        <w:t> </w:t>
      </w:r>
      <w:r>
        <w:rPr>
          <w:rFonts w:ascii="宋体" w:hAnsi="宋体" w:cs="宋体" w:eastAsia="宋体" w:hint="default"/>
          <w:sz w:val="18"/>
          <w:szCs w:val="18"/>
        </w:rPr>
        <w:t>①公司单次用于回购股份数量最大限额为公司股本总额</w:t>
      </w:r>
      <w:r>
        <w:rPr>
          <w:rFonts w:ascii="宋体" w:hAnsi="宋体" w:cs="宋体" w:eastAsia="宋体" w:hint="default"/>
          <w:sz w:val="18"/>
          <w:szCs w:val="18"/>
        </w:rPr>
        <w:t> 的 </w:t>
      </w:r>
      <w:r>
        <w:rPr>
          <w:rFonts w:ascii="Times New Roman" w:hAnsi="Times New Roman" w:cs="Times New Roman" w:eastAsia="Times New Roman" w:hint="default"/>
          <w:sz w:val="18"/>
          <w:szCs w:val="18"/>
        </w:rPr>
        <w:t>1%</w:t>
      </w:r>
      <w:r>
        <w:rPr>
          <w:rFonts w:ascii="宋体" w:hAnsi="宋体" w:cs="宋体" w:eastAsia="宋体" w:hint="default"/>
          <w:sz w:val="18"/>
          <w:szCs w:val="18"/>
        </w:rPr>
        <w:t>； ②</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个月内公司回购股份数量最大限额为公司股本总额的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③</w:t>
      </w:r>
      <w:r>
        <w:rPr>
          <w:rFonts w:ascii="宋体" w:hAnsi="宋体" w:cs="宋体" w:eastAsia="宋体" w:hint="default"/>
          <w:sz w:val="18"/>
          <w:szCs w:val="18"/>
        </w:rPr>
        <w:t> </w:t>
      </w:r>
      <w:r>
        <w:rPr>
          <w:rFonts w:ascii="宋体" w:hAnsi="宋体" w:cs="宋体" w:eastAsia="宋体" w:hint="default"/>
          <w:spacing w:val="-4"/>
          <w:sz w:val="18"/>
          <w:szCs w:val="18"/>
        </w:rPr>
        <w:t>公司董事会公告回购股份预案后，公司股票若连续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个交易日的收盘价超过公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司上一财务年度未经审计的除权后每股净资产值，公司董事会应做出决议终止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本次回购股份事宜，且在未来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个月内不再启动股份回购事宜。</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307" w:lineRule="auto" w:before="5"/>
        <w:ind w:left="4561" w:right="3653" w:firstLine="0"/>
        <w:jc w:val="both"/>
        <w:rPr>
          <w:rFonts w:ascii="宋体" w:hAnsi="宋体" w:cs="宋体" w:eastAsia="宋体" w:hint="default"/>
          <w:sz w:val="18"/>
          <w:szCs w:val="18"/>
        </w:rPr>
      </w:pPr>
      <w:r>
        <w:rPr>
          <w:rFonts w:ascii="宋体" w:hAnsi="宋体" w:cs="宋体" w:eastAsia="宋体" w:hint="default"/>
          <w:sz w:val="18"/>
          <w:szCs w:val="18"/>
        </w:rPr>
        <w:t>实际控制人增持在公司回购股票措施完成后，如仍未达到</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 交易日的收盘价均高于上一年度末经审计的每股净资产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，则启动公司控股股 </w:t>
      </w:r>
      <w:r>
        <w:rPr>
          <w:rFonts w:ascii="宋体" w:hAnsi="宋体" w:cs="宋体" w:eastAsia="宋体" w:hint="default"/>
          <w:spacing w:val="-5"/>
          <w:sz w:val="18"/>
          <w:szCs w:val="18"/>
        </w:rPr>
        <w:t>东、实际控制人增持股票：（</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）公司控股股东、实际控制人应在符合《上市公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司收购管理办法》及《创业板信息披露业务备忘录第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号－股东及其一致行动 </w:t>
      </w:r>
      <w:r>
        <w:rPr>
          <w:rFonts w:ascii="宋体" w:hAnsi="宋体" w:cs="宋体" w:eastAsia="宋体" w:hint="default"/>
          <w:spacing w:val="-3"/>
          <w:sz w:val="18"/>
          <w:szCs w:val="18"/>
        </w:rPr>
        <w:t>人增持股份业务管理》等法律法规的条件和要求的前提下，对公司股票进行增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）控股股东或实际控制人单次增持股份的金额不低于上一年度获得的公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司现金分红金额的</w:t>
      </w:r>
      <w:r>
        <w:rPr>
          <w:rFonts w:ascii="宋体" w:hAnsi="宋体" w:cs="宋体" w:eastAsia="宋体" w:hint="default"/>
          <w:spacing w:val="-39"/>
          <w:sz w:val="18"/>
          <w:szCs w:val="18"/>
        </w:rPr>
        <w:t> </w:t>
      </w:r>
      <w:r>
        <w:rPr>
          <w:rFonts w:ascii="Times New Roman" w:hAnsi="Times New Roman" w:cs="Times New Roman" w:eastAsia="Times New Roman" w:hint="default"/>
          <w:spacing w:val="-11"/>
          <w:sz w:val="18"/>
          <w:szCs w:val="18"/>
        </w:rPr>
        <w:t>20%</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个月内控股股东、实际控制人增持股份的金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额不高于上一年度获得的公司现金分红金额的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、董事、高级管理人员 </w:t>
      </w:r>
      <w:r>
        <w:rPr>
          <w:rFonts w:ascii="宋体" w:hAnsi="宋体" w:cs="宋体" w:eastAsia="宋体" w:hint="default"/>
          <w:spacing w:val="-3"/>
          <w:sz w:val="18"/>
          <w:szCs w:val="18"/>
        </w:rPr>
        <w:t>增持在公司回购股票措施完成，且公司控股股东、实际控制人单次增持股份数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量达到最大限额之日后，如仍未达到</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个交易日的收盘价均高 </w:t>
      </w:r>
      <w:r>
        <w:rPr>
          <w:rFonts w:ascii="宋体" w:hAnsi="宋体" w:cs="宋体" w:eastAsia="宋体" w:hint="default"/>
          <w:spacing w:val="-3"/>
          <w:w w:val="100"/>
          <w:sz w:val="18"/>
          <w:szCs w:val="18"/>
        </w:rPr>
        <w:t>于上一年度末经审计的每股净资产</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，则启动董事、高级管理人员增持：（</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宋体" w:hAnsi="宋体" w:cs="宋体" w:eastAsia="宋体" w:hint="default"/>
          <w:spacing w:val="-78"/>
          <w:w w:val="100"/>
          <w:sz w:val="18"/>
          <w:szCs w:val="18"/>
        </w:rPr>
        <w:t> </w:t>
      </w:r>
      <w:r>
        <w:rPr>
          <w:rFonts w:ascii="宋体" w:hAnsi="宋体" w:cs="宋体" w:eastAsia="宋体" w:hint="default"/>
          <w:spacing w:val="-3"/>
          <w:sz w:val="18"/>
          <w:szCs w:val="18"/>
        </w:rPr>
        <w:t>在公司任职并领取薪酬的公司董事（不包括独立董事）、高级管理人员应在符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合《上市公司收购管理办法》及《上市公司董事、监事和高级管理人员所持本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公司股份及其变动管理规则》等法律法规的条件和要求的前提下，对公司股票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进行增持；（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）有义务增持的公司董事、高级管理人员承诺，其单次用于增持</w:t>
      </w:r>
      <w:r>
        <w:rPr>
          <w:rFonts w:ascii="宋体" w:hAnsi="宋体" w:cs="宋体" w:eastAsia="宋体" w:hint="default"/>
          <w:sz w:val="18"/>
          <w:szCs w:val="18"/>
        </w:rPr>
        <w:t> </w:t>
      </w:r>
      <w:r>
        <w:rPr>
          <w:rFonts w:ascii="宋体" w:hAnsi="宋体" w:cs="宋体" w:eastAsia="宋体" w:hint="default"/>
          <w:spacing w:val="-3"/>
          <w:sz w:val="18"/>
          <w:szCs w:val="18"/>
        </w:rPr>
        <w:t>公司股份的货币资金不低于该董事、高级管理人员上年度自公司领取薪酬总和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个月内不超过上年度自公司领取薪酬总和的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，并在股份增持 完成后的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个月内将不出售所增持的股份；（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个月内，若公 </w:t>
      </w:r>
      <w:r>
        <w:rPr>
          <w:rFonts w:ascii="宋体" w:hAnsi="宋体" w:cs="宋体" w:eastAsia="宋体" w:hint="default"/>
          <w:spacing w:val="-3"/>
          <w:sz w:val="18"/>
          <w:szCs w:val="18"/>
        </w:rPr>
        <w:t>司新聘任董事（不包括独立董事）、高级管理人员的，公司将要求该等新聘任</w:t>
      </w:r>
    </w:p>
    <w:p>
      <w:pPr>
        <w:spacing w:after="0" w:line="307" w:lineRule="auto"/>
        <w:jc w:val="both"/>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r>
        <w:rPr/>
        <w:pict>
          <v:group style="position:absolute;margin-left:596.830017pt;margin-top:57.240005pt;width:55.8pt;height:204.8pt;mso-position-horizontal-relative:page;mso-position-vertical-relative:page;z-index:-1111552" coordorigin="11937,1145" coordsize="1116,4096">
            <v:shape style="position:absolute;left:11937;top:1145;width:1116;height:4096" coordorigin="11937,1145" coordsize="1116,4096" path="m11937,5240l13053,5240,13053,1145,11937,1145,11937,5240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844"/>
        <w:gridCol w:w="1126"/>
        <w:gridCol w:w="1426"/>
        <w:gridCol w:w="6096"/>
        <w:gridCol w:w="1126"/>
        <w:gridCol w:w="1285"/>
        <w:gridCol w:w="1106"/>
        <w:gridCol w:w="1135"/>
      </w:tblGrid>
      <w:tr>
        <w:trPr>
          <w:trHeight w:val="4122"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426" w:type="dxa"/>
            <w:tcBorders>
              <w:top w:val="single" w:sz="15" w:space="0" w:color="000000"/>
              <w:left w:val="single" w:sz="4" w:space="0" w:color="000000"/>
              <w:bottom w:val="single" w:sz="4" w:space="0" w:color="000000"/>
              <w:right w:val="single" w:sz="4" w:space="0" w:color="000000"/>
            </w:tcBorders>
          </w:tcPr>
          <w:p>
            <w:pPr/>
          </w:p>
        </w:tc>
        <w:tc>
          <w:tcPr>
            <w:tcW w:w="6096"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1" w:right="21"/>
              <w:jc w:val="both"/>
              <w:rPr>
                <w:rFonts w:ascii="宋体" w:hAnsi="宋体" w:cs="宋体" w:eastAsia="宋体" w:hint="default"/>
                <w:sz w:val="18"/>
                <w:szCs w:val="18"/>
              </w:rPr>
            </w:pPr>
            <w:r>
              <w:rPr>
                <w:rFonts w:ascii="宋体" w:hAnsi="宋体" w:cs="宋体" w:eastAsia="宋体" w:hint="default"/>
                <w:spacing w:val="-3"/>
                <w:sz w:val="18"/>
                <w:szCs w:val="18"/>
              </w:rPr>
              <w:t>的董事、高级管理人员履行本公司上市时董事、高级管理人员已作出的相应承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诺。（三）稳定股价措施的启动程序</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、公司回购（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）公司董事会应在上述公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司回购启动条件触发之日起的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个工作日内做出是否回购股份的决议；（</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p>
            <w:pPr>
              <w:pStyle w:val="TableParagraph"/>
              <w:spacing w:line="304" w:lineRule="auto" w:before="5"/>
              <w:ind w:left="21" w:right="22"/>
              <w:jc w:val="left"/>
              <w:rPr>
                <w:rFonts w:ascii="宋体" w:hAnsi="宋体" w:cs="宋体" w:eastAsia="宋体" w:hint="default"/>
                <w:sz w:val="18"/>
                <w:szCs w:val="18"/>
              </w:rPr>
            </w:pPr>
            <w:r>
              <w:rPr>
                <w:rFonts w:ascii="宋体" w:hAnsi="宋体" w:cs="宋体" w:eastAsia="宋体" w:hint="default"/>
                <w:sz w:val="18"/>
                <w:szCs w:val="18"/>
              </w:rPr>
              <w:t>公司董事会应当在做出是否回购股份决议后的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个工作日内公告董事会决议 </w:t>
            </w:r>
            <w:r>
              <w:rPr>
                <w:rFonts w:ascii="宋体" w:hAnsi="宋体" w:cs="宋体" w:eastAsia="宋体" w:hint="default"/>
                <w:spacing w:val="-3"/>
                <w:sz w:val="18"/>
                <w:szCs w:val="18"/>
              </w:rPr>
              <w:t>如不回购需公告理由，如回购还需公告回购股份预案，并发布召开股东大会的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通知；（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）公司回购应在公司股东大会决议做出之日起次一交易日开始启动回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购，并应在履行相关法定手续后，</w:t>
            </w:r>
            <w:r>
              <w:rPr>
                <w:rFonts w:ascii="Times New Roman" w:hAnsi="Times New Roman" w:cs="Times New Roman" w:eastAsia="Times New Roman" w:hint="default"/>
                <w:sz w:val="18"/>
                <w:szCs w:val="18"/>
              </w:rPr>
              <w:t>30 </w:t>
            </w:r>
            <w:r>
              <w:rPr>
                <w:rFonts w:ascii="宋体" w:hAnsi="宋体" w:cs="宋体" w:eastAsia="宋体" w:hint="default"/>
                <w:spacing w:val="-6"/>
                <w:sz w:val="18"/>
                <w:szCs w:val="18"/>
              </w:rPr>
              <w:t>个交易日内实施完毕；（</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）公司回购方</w:t>
            </w:r>
            <w:r>
              <w:rPr>
                <w:rFonts w:ascii="宋体" w:hAnsi="宋体" w:cs="宋体" w:eastAsia="宋体" w:hint="default"/>
                <w:spacing w:val="-73"/>
                <w:sz w:val="18"/>
                <w:szCs w:val="18"/>
              </w:rPr>
              <w:t> </w:t>
            </w:r>
            <w:r>
              <w:rPr>
                <w:rFonts w:ascii="宋体" w:hAnsi="宋体" w:cs="宋体" w:eastAsia="宋体" w:hint="default"/>
                <w:sz w:val="18"/>
                <w:szCs w:val="18"/>
              </w:rPr>
              <w:t>案实施完毕后，应在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个工作日内公告公司股份变动报告，并在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日内依法 注销所回购的股份，办理工商变更登记手续。</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、控股股东及董事、高级管理 人员增持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）公司董事会应在控股股东及董事、高级管理人员增持启动条 件触发之日起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个交易日内做出增持公告；（</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）控股股东及董事、高级管理人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员应在增持公告做出之日起次一交易日开始启动增持，并应在履行相关法定手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续后的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个交易日内实施完毕。</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285" w:type="dxa"/>
            <w:tcBorders>
              <w:top w:val="single" w:sz="15" w:space="0" w:color="000000"/>
              <w:left w:val="single" w:sz="4" w:space="0" w:color="000000"/>
              <w:bottom w:val="single" w:sz="4" w:space="0" w:color="000000"/>
              <w:right w:val="single" w:sz="4" w:space="0" w:color="000000"/>
            </w:tcBorders>
          </w:tcPr>
          <w:p>
            <w:pPr/>
          </w:p>
        </w:tc>
        <w:tc>
          <w:tcPr>
            <w:tcW w:w="1106" w:type="dxa"/>
            <w:tcBorders>
              <w:top w:val="single" w:sz="15" w:space="0" w:color="000000"/>
              <w:left w:val="single" w:sz="4" w:space="0" w:color="000000"/>
              <w:bottom w:val="single" w:sz="4" w:space="0" w:color="000000"/>
              <w:right w:val="single" w:sz="4" w:space="0" w:color="000000"/>
            </w:tcBorders>
          </w:tcPr>
          <w:p>
            <w:pPr/>
          </w:p>
        </w:tc>
        <w:tc>
          <w:tcPr>
            <w:tcW w:w="1135" w:type="dxa"/>
            <w:vMerge w:val="restart"/>
            <w:tcBorders>
              <w:top w:val="nil" w:sz="6" w:space="0" w:color="auto"/>
              <w:left w:val="single" w:sz="4" w:space="0" w:color="000000"/>
              <w:right w:val="nil" w:sz="6" w:space="0" w:color="auto"/>
            </w:tcBorders>
          </w:tcPr>
          <w:p>
            <w:pPr/>
          </w:p>
        </w:tc>
      </w:tr>
      <w:tr>
        <w:trPr>
          <w:trHeight w:val="473"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乐心医疗</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34"/>
              <w:jc w:val="both"/>
              <w:rPr>
                <w:rFonts w:ascii="宋体" w:hAnsi="宋体" w:cs="宋体" w:eastAsia="宋体" w:hint="default"/>
                <w:sz w:val="18"/>
                <w:szCs w:val="18"/>
              </w:rPr>
            </w:pPr>
            <w:r>
              <w:rPr>
                <w:rFonts w:ascii="宋体" w:hAnsi="宋体" w:cs="宋体" w:eastAsia="宋体" w:hint="default"/>
                <w:sz w:val="18"/>
                <w:szCs w:val="18"/>
              </w:rPr>
              <w:t>不为激励对象提 供担保及财务资 助的承诺</w:t>
            </w:r>
          </w:p>
        </w:tc>
        <w:tc>
          <w:tcPr>
            <w:tcW w:w="6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23"/>
              <w:jc w:val="left"/>
              <w:rPr>
                <w:rFonts w:ascii="宋体" w:hAnsi="宋体" w:cs="宋体" w:eastAsia="宋体" w:hint="default"/>
                <w:sz w:val="18"/>
                <w:szCs w:val="18"/>
              </w:rPr>
            </w:pPr>
            <w:r>
              <w:rPr>
                <w:rFonts w:ascii="宋体" w:hAnsi="宋体" w:cs="宋体" w:eastAsia="宋体" w:hint="default"/>
                <w:sz w:val="18"/>
                <w:szCs w:val="18"/>
              </w:rPr>
              <w:t>公司不为任何激励对象依本激励计划获取有关权益提供贷款以及其他任何形 式的财务资助，包括为其贷款提供担保。</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《激励计划》通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过审议之日</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1135" w:type="dxa"/>
            <w:vMerge/>
            <w:tcBorders>
              <w:left w:val="single" w:sz="4" w:space="0" w:color="000000"/>
              <w:right w:val="nil" w:sz="6" w:space="0" w:color="auto"/>
            </w:tcBorders>
          </w:tcPr>
          <w:p>
            <w:pPr/>
          </w:p>
        </w:tc>
      </w:tr>
      <w:tr>
        <w:trPr>
          <w:trHeight w:val="394"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vMerge/>
            <w:tcBorders>
              <w:left w:val="single" w:sz="10" w:space="0" w:color="D2D2D2"/>
              <w:right w:val="single" w:sz="4" w:space="0" w:color="000000"/>
            </w:tcBorders>
          </w:tcPr>
          <w:p>
            <w:pPr/>
          </w:p>
        </w:tc>
        <w:tc>
          <w:tcPr>
            <w:tcW w:w="1426" w:type="dxa"/>
            <w:vMerge/>
            <w:tcBorders>
              <w:left w:val="single" w:sz="4" w:space="0" w:color="000000"/>
              <w:right w:val="single" w:sz="4" w:space="0" w:color="000000"/>
            </w:tcBorders>
          </w:tcPr>
          <w:p>
            <w:pPr/>
          </w:p>
        </w:tc>
        <w:tc>
          <w:tcPr>
            <w:tcW w:w="609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c>
          <w:tcPr>
            <w:tcW w:w="1135" w:type="dxa"/>
            <w:vMerge/>
            <w:tcBorders>
              <w:left w:val="single" w:sz="4" w:space="0" w:color="000000"/>
              <w:right w:val="nil" w:sz="6" w:space="0" w:color="auto"/>
            </w:tcBorders>
          </w:tcPr>
          <w:p>
            <w:pPr/>
          </w:p>
        </w:tc>
      </w:tr>
      <w:tr>
        <w:trPr>
          <w:trHeight w:val="473"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10" w:space="0" w:color="D2D2D2"/>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609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85"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nil" w:sz="6" w:space="0" w:color="auto"/>
            </w:tcBorders>
          </w:tcPr>
          <w:p>
            <w:pPr/>
          </w:p>
        </w:tc>
      </w:tr>
      <w:tr>
        <w:trPr>
          <w:trHeight w:val="401" w:hRule="exact"/>
        </w:trPr>
        <w:tc>
          <w:tcPr>
            <w:tcW w:w="2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174"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如承诺超期未履行完毕的，应当详细 说明未完成履行的具体原因及下一步 的工作计划</w:t>
            </w:r>
          </w:p>
        </w:tc>
        <w:tc>
          <w:tcPr>
            <w:tcW w:w="12174"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left="12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80" w:top="1060" w:bottom="1160" w:left="1320" w:right="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26"/>
        <w:ind w:right="1119"/>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1119"/>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99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119"/>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996" w:firstLine="420"/>
        <w:jc w:val="left"/>
      </w:pPr>
      <w:r>
        <w:rPr>
          <w:rFonts w:ascii="宋体" w:hAnsi="宋体" w:cs="宋体" w:eastAsia="宋体" w:hint="default"/>
        </w:rPr>
        <w:t>1</w:t>
      </w:r>
      <w:r>
        <w:rPr/>
        <w:t>、财政部于</w:t>
      </w:r>
      <w:r>
        <w:rPr>
          <w:rFonts w:ascii="宋体" w:hAnsi="宋体" w:cs="宋体" w:eastAsia="宋体" w:hint="default"/>
        </w:rPr>
        <w:t>2017</w:t>
      </w:r>
      <w:r>
        <w:rPr/>
        <w:t>年</w:t>
      </w:r>
      <w:r>
        <w:rPr>
          <w:rFonts w:ascii="宋体" w:hAnsi="宋体" w:cs="宋体" w:eastAsia="宋体" w:hint="default"/>
        </w:rPr>
        <w:t>03</w:t>
      </w:r>
      <w:r>
        <w:rPr/>
        <w:t>月</w:t>
      </w:r>
      <w:r>
        <w:rPr>
          <w:rFonts w:ascii="宋体" w:hAnsi="宋体" w:cs="宋体" w:eastAsia="宋体" w:hint="default"/>
        </w:rPr>
        <w:t>31</w:t>
      </w:r>
      <w:r>
        <w:rPr/>
        <w:t>日分别发布了《企业会计准则第</w:t>
      </w:r>
      <w:r>
        <w:rPr>
          <w:rFonts w:ascii="宋体" w:hAnsi="宋体" w:cs="宋体" w:eastAsia="宋体" w:hint="default"/>
        </w:rPr>
        <w:t>22</w:t>
      </w:r>
      <w:r>
        <w:rPr/>
        <w:t>号——金融工具确认和计量（</w:t>
      </w:r>
      <w:r>
        <w:rPr>
          <w:rFonts w:ascii="宋体" w:hAnsi="宋体" w:cs="宋体" w:eastAsia="宋体" w:hint="default"/>
        </w:rPr>
        <w:t>2017</w:t>
      </w:r>
      <w:r>
        <w:rPr/>
        <w:t>年修</w:t>
      </w:r>
      <w:r>
        <w:rPr>
          <w:spacing w:val="-3"/>
          <w:w w:val="100"/>
        </w:rPr>
        <w:t> </w:t>
      </w:r>
      <w:r>
        <w:rPr>
          <w:spacing w:val="-2"/>
        </w:rPr>
        <w:t>订）》（财会〔</w:t>
      </w:r>
      <w:r>
        <w:rPr>
          <w:rFonts w:ascii="宋体" w:hAnsi="宋体" w:cs="宋体" w:eastAsia="宋体" w:hint="default"/>
          <w:spacing w:val="-2"/>
        </w:rPr>
        <w:t>2017</w:t>
      </w:r>
      <w:r>
        <w:rPr>
          <w:spacing w:val="-2"/>
        </w:rPr>
        <w:t>〕</w:t>
      </w:r>
      <w:r>
        <w:rPr>
          <w:rFonts w:ascii="宋体" w:hAnsi="宋体" w:cs="宋体" w:eastAsia="宋体" w:hint="default"/>
          <w:spacing w:val="-2"/>
        </w:rPr>
        <w:t>7</w:t>
      </w:r>
      <w:r>
        <w:rPr>
          <w:spacing w:val="-2"/>
        </w:rPr>
        <w:t>号）、《企业会计准则第</w:t>
      </w:r>
      <w:r>
        <w:rPr>
          <w:rFonts w:ascii="宋体" w:hAnsi="宋体" w:cs="宋体" w:eastAsia="宋体" w:hint="default"/>
          <w:spacing w:val="-2"/>
        </w:rPr>
        <w:t>23</w:t>
      </w:r>
      <w:r>
        <w:rPr>
          <w:spacing w:val="-2"/>
        </w:rPr>
        <w:t>号——金融资产转移（</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spacing w:val="-29"/>
        </w:rPr>
        <w:t> </w:t>
      </w:r>
      <w:r>
        <w:rPr>
          <w:rFonts w:ascii="宋体" w:hAnsi="宋体" w:cs="宋体" w:eastAsia="宋体" w:hint="default"/>
          <w:spacing w:val="-2"/>
        </w:rPr>
        <w:t>8</w:t>
      </w:r>
      <w:r>
        <w:rPr>
          <w:spacing w:val="-2"/>
        </w:rPr>
        <w:t>号）、《企业会计准则第</w:t>
      </w:r>
      <w:r>
        <w:rPr>
          <w:rFonts w:ascii="宋体" w:hAnsi="宋体" w:cs="宋体" w:eastAsia="宋体" w:hint="default"/>
          <w:spacing w:val="-2"/>
        </w:rPr>
        <w:t>24</w:t>
      </w:r>
      <w:r>
        <w:rPr>
          <w:spacing w:val="-2"/>
        </w:rPr>
        <w:t>号——套期会计（</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9</w:t>
      </w:r>
      <w:r>
        <w:rPr>
          <w:spacing w:val="-2"/>
        </w:rPr>
        <w:t>号），于</w:t>
      </w:r>
      <w:r>
        <w:rPr>
          <w:rFonts w:ascii="宋体" w:hAnsi="宋体" w:cs="宋体" w:eastAsia="宋体" w:hint="default"/>
          <w:spacing w:val="-2"/>
        </w:rPr>
        <w:t>2017</w:t>
      </w:r>
      <w:r>
        <w:rPr>
          <w:spacing w:val="-2"/>
        </w:rPr>
        <w:t>年</w:t>
      </w:r>
      <w:r>
        <w:rPr>
          <w:rFonts w:ascii="宋体" w:hAnsi="宋体" w:cs="宋体" w:eastAsia="宋体" w:hint="default"/>
          <w:spacing w:val="-2"/>
        </w:rPr>
        <w:t>05</w:t>
      </w:r>
      <w:r>
        <w:rPr>
          <w:spacing w:val="-2"/>
        </w:rPr>
        <w:t>月</w:t>
      </w:r>
      <w:r>
        <w:rPr>
          <w:rFonts w:ascii="宋体" w:hAnsi="宋体" w:cs="宋体" w:eastAsia="宋体" w:hint="default"/>
          <w:spacing w:val="-2"/>
        </w:rPr>
        <w:t>02</w:t>
      </w:r>
      <w:r>
        <w:rPr>
          <w:spacing w:val="-2"/>
        </w:rPr>
        <w:t>日</w:t>
      </w:r>
      <w:r>
        <w:rPr>
          <w:spacing w:val="-27"/>
        </w:rPr>
        <w:t> </w:t>
      </w:r>
      <w:r>
        <w:rPr>
          <w:spacing w:val="-2"/>
        </w:rPr>
        <w:t>发布了《企业会计准则第</w:t>
      </w:r>
      <w:r>
        <w:rPr>
          <w:rFonts w:ascii="宋体" w:hAnsi="宋体" w:cs="宋体" w:eastAsia="宋体" w:hint="default"/>
          <w:spacing w:val="-2"/>
        </w:rPr>
        <w:t>37</w:t>
      </w:r>
      <w:r>
        <w:rPr>
          <w:spacing w:val="-2"/>
        </w:rPr>
        <w:t>号——金融工具列报（</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号）（上述准则以下</w:t>
      </w:r>
      <w:r>
        <w:rPr>
          <w:spacing w:val="-40"/>
        </w:rPr>
        <w:t> </w:t>
      </w:r>
      <w:r>
        <w:rPr>
          <w:spacing w:val="-40"/>
        </w:rPr>
      </w:r>
      <w:r>
        <w:rPr/>
        <w:t>统称“新金融工具准则”）。公司按照财政部的统一规定于</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01</w:t>
      </w:r>
      <w:r>
        <w:rPr/>
        <w:t>日施行新金融工具准则。</w:t>
      </w:r>
    </w:p>
    <w:p>
      <w:pPr>
        <w:pStyle w:val="BodyText"/>
        <w:spacing w:line="408" w:lineRule="auto"/>
        <w:ind w:right="1119" w:firstLine="420"/>
        <w:jc w:val="left"/>
      </w:pPr>
      <w:r>
        <w:rPr>
          <w:rFonts w:ascii="宋体" w:hAnsi="宋体" w:cs="宋体" w:eastAsia="宋体" w:hint="default"/>
          <w:spacing w:val="-4"/>
        </w:rPr>
        <w:t>2</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04</w:t>
      </w:r>
      <w:r>
        <w:rPr>
          <w:spacing w:val="-4"/>
        </w:rPr>
        <w:t>月</w:t>
      </w:r>
      <w:r>
        <w:rPr>
          <w:rFonts w:ascii="宋体" w:hAnsi="宋体" w:cs="宋体" w:eastAsia="宋体" w:hint="default"/>
          <w:spacing w:val="-4"/>
        </w:rPr>
        <w:t>30</w:t>
      </w:r>
      <w:r>
        <w:rPr>
          <w:spacing w:val="-4"/>
        </w:rPr>
        <w:t>日，国家财政部印发了《关于修订印发</w:t>
      </w:r>
      <w:r>
        <w:rPr>
          <w:rFonts w:ascii="宋体" w:hAnsi="宋体" w:cs="宋体" w:eastAsia="宋体" w:hint="default"/>
          <w:spacing w:val="-4"/>
        </w:rPr>
        <w:t>2019</w:t>
      </w:r>
      <w:r>
        <w:rPr>
          <w:spacing w:val="-4"/>
        </w:rPr>
        <w:t>年度一般企业财务报表格式的通知》（财</w:t>
      </w:r>
      <w:r>
        <w:rPr>
          <w:w w:val="100"/>
        </w:rPr>
        <w:t> </w:t>
      </w:r>
      <w:r>
        <w:rPr/>
        <w:t>会</w:t>
      </w:r>
      <w:r>
        <w:rPr>
          <w:rFonts w:ascii="宋体" w:hAnsi="宋体" w:cs="宋体" w:eastAsia="宋体" w:hint="default"/>
        </w:rPr>
        <w:t>[2019]6</w:t>
      </w:r>
      <w:r>
        <w:rPr/>
        <w:t>号）（以下简称“《修订通知》”），对一般企业财务报表格式进行了修订，要求执行企业会</w:t>
      </w:r>
      <w:r>
        <w:rPr>
          <w:w w:val="100"/>
        </w:rPr>
        <w:t> </w:t>
      </w:r>
      <w:r>
        <w:rPr/>
        <w:t>计准则的非金融企业按照企业会计准则和财会</w:t>
      </w:r>
      <w:r>
        <w:rPr>
          <w:rFonts w:ascii="宋体" w:hAnsi="宋体" w:cs="宋体" w:eastAsia="宋体" w:hint="default"/>
        </w:rPr>
        <w:t>[2019]6</w:t>
      </w:r>
      <w:r>
        <w:rPr/>
        <w:t>号《修订通知》的规定编制财务报表，公司</w:t>
      </w:r>
      <w:r>
        <w:rPr>
          <w:rFonts w:ascii="宋体" w:hAnsi="宋体" w:cs="宋体" w:eastAsia="宋体" w:hint="default"/>
        </w:rPr>
        <w:t>2019</w:t>
      </w:r>
      <w:r>
        <w:rPr/>
        <w:t>年</w:t>
      </w:r>
      <w:r>
        <w:rPr>
          <w:w w:val="100"/>
        </w:rPr>
        <w:t> </w:t>
      </w:r>
      <w:r>
        <w:rPr/>
        <w:t>度中期财务报表和年度财务报表及以后期间的财务报表均按照财会</w:t>
      </w:r>
      <w:r>
        <w:rPr>
          <w:rFonts w:ascii="宋体" w:hAnsi="宋体" w:cs="宋体" w:eastAsia="宋体" w:hint="default"/>
        </w:rPr>
        <w:t>[2019]6</w:t>
      </w:r>
      <w:r>
        <w:rPr/>
        <w:t>号《修订通知》的规定编制执</w:t>
      </w:r>
      <w:r>
        <w:rPr>
          <w:w w:val="100"/>
        </w:rPr>
        <w:t> </w:t>
      </w:r>
      <w:r>
        <w:rPr/>
        <w:t>行。</w:t>
      </w:r>
    </w:p>
    <w:p>
      <w:pPr>
        <w:pStyle w:val="BodyText"/>
        <w:spacing w:line="408" w:lineRule="auto"/>
        <w:ind w:right="1119" w:firstLine="420"/>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09</w:t>
      </w:r>
      <w:r>
        <w:rPr/>
        <w:t>月</w:t>
      </w:r>
      <w:r>
        <w:rPr>
          <w:rFonts w:ascii="宋体" w:hAnsi="宋体" w:cs="宋体" w:eastAsia="宋体" w:hint="default"/>
        </w:rPr>
        <w:t>27</w:t>
      </w:r>
      <w:r>
        <w:rPr/>
        <w:t>日，国家财政部印发了《关于修订印发合并财务报表格式（</w:t>
      </w:r>
      <w:r>
        <w:rPr>
          <w:rFonts w:ascii="宋体" w:hAnsi="宋体" w:cs="宋体" w:eastAsia="宋体" w:hint="default"/>
        </w:rPr>
        <w:t>2019</w:t>
      </w:r>
      <w:r>
        <w:rPr/>
        <w:t>版）的通知》（财</w:t>
      </w:r>
      <w:r>
        <w:rPr>
          <w:w w:val="100"/>
        </w:rPr>
        <w:t> </w:t>
      </w:r>
      <w:r>
        <w:rPr>
          <w:spacing w:val="-2"/>
        </w:rPr>
        <w:t>会</w:t>
      </w:r>
      <w:r>
        <w:rPr>
          <w:rFonts w:ascii="宋体" w:hAnsi="宋体" w:cs="宋体" w:eastAsia="宋体" w:hint="default"/>
          <w:spacing w:val="-2"/>
        </w:rPr>
        <w:t>[2019]16</w:t>
      </w:r>
      <w:r>
        <w:rPr>
          <w:spacing w:val="-2"/>
        </w:rPr>
        <w:t>号）（以下简称“《修订通知》”），对合并财务报表格式进行了修订，要求执行企业会计准</w:t>
      </w:r>
      <w:r>
        <w:rPr>
          <w:spacing w:val="-39"/>
        </w:rPr>
        <w:t> </w:t>
      </w:r>
      <w:r>
        <w:rPr>
          <w:spacing w:val="-39"/>
        </w:rPr>
      </w:r>
      <w:r>
        <w:rPr/>
        <w:t>则的企业按照会计准则和《修订通知》的要求编制</w:t>
      </w:r>
      <w:r>
        <w:rPr>
          <w:rFonts w:ascii="宋体" w:hAnsi="宋体" w:cs="宋体" w:eastAsia="宋体" w:hint="default"/>
        </w:rPr>
        <w:t>2019</w:t>
      </w:r>
      <w:r>
        <w:rPr/>
        <w:t>年度合并财务报表及以后期间的合并财务报表。</w:t>
      </w:r>
    </w:p>
    <w:p>
      <w:pPr>
        <w:spacing w:line="240" w:lineRule="auto" w:before="9"/>
        <w:rPr>
          <w:rFonts w:ascii="宋体" w:hAnsi="宋体" w:cs="宋体" w:eastAsia="宋体" w:hint="default"/>
          <w:sz w:val="18"/>
          <w:szCs w:val="18"/>
        </w:rPr>
      </w:pPr>
    </w:p>
    <w:p>
      <w:pPr>
        <w:pStyle w:val="Heading3"/>
        <w:spacing w:line="240" w:lineRule="auto"/>
        <w:ind w:right="1119"/>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日公司注销了福州乐医成信息技术服务有限公司。自注销之日起，不再纳入合并范围。</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26</w:t>
      </w:r>
      <w:r>
        <w:rPr/>
        <w:t>日公司完成注销子公司</w:t>
      </w:r>
      <w:r>
        <w:rPr>
          <w:rFonts w:ascii="宋体" w:hAnsi="宋体" w:cs="宋体" w:eastAsia="宋体" w:hint="default"/>
        </w:rPr>
        <w:t>FutureIOT Labs</w:t>
      </w:r>
      <w:r>
        <w:rPr>
          <w:rFonts w:ascii="宋体" w:hAnsi="宋体" w:cs="宋体" w:eastAsia="宋体" w:hint="default"/>
          <w:spacing w:val="-10"/>
        </w:rPr>
        <w:t> </w:t>
      </w:r>
      <w:r>
        <w:rPr>
          <w:rFonts w:ascii="宋体" w:hAnsi="宋体" w:cs="宋体" w:eastAsia="宋体" w:hint="default"/>
        </w:rPr>
        <w:t>LLC</w:t>
      </w:r>
      <w:r>
        <w:rPr/>
        <w:t>。自注销之日起，不再纳入合并范围。</w:t>
      </w:r>
    </w:p>
    <w:p>
      <w:pPr>
        <w:spacing w:after="0" w:line="240" w:lineRule="auto"/>
        <w:jc w:val="left"/>
        <w:sectPr>
          <w:headerReference w:type="default" r:id="rId19"/>
          <w:footerReference w:type="default" r:id="rId20"/>
          <w:pgSz w:w="11910" w:h="16840"/>
          <w:pgMar w:header="877" w:footer="980" w:top="1060" w:bottom="1160" w:left="980" w:right="0"/>
          <w:pgNumType w:start="54"/>
        </w:sectPr>
      </w:pPr>
    </w:p>
    <w:p>
      <w:pPr>
        <w:spacing w:line="240" w:lineRule="auto" w:before="9"/>
        <w:rPr>
          <w:rFonts w:ascii="宋体" w:hAnsi="宋体" w:cs="宋体" w:eastAsia="宋体" w:hint="default"/>
          <w:sz w:val="19"/>
          <w:szCs w:val="19"/>
        </w:rPr>
      </w:pPr>
    </w:p>
    <w:p>
      <w:pPr>
        <w:pStyle w:val="Heading3"/>
        <w:spacing w:line="240" w:lineRule="auto" w:before="26"/>
        <w:ind w:right="1119"/>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张丽宾、马玥</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张丽宾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年、马玥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2"/>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9"/>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9"/>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1119"/>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8"/>
        <w:rPr>
          <w:rFonts w:ascii="宋体" w:hAnsi="宋体" w:cs="宋体" w:eastAsia="宋体" w:hint="default"/>
          <w:sz w:val="19"/>
          <w:szCs w:val="19"/>
        </w:rPr>
      </w:pPr>
    </w:p>
    <w:p>
      <w:pPr>
        <w:pStyle w:val="Heading3"/>
        <w:spacing w:line="240" w:lineRule="auto"/>
        <w:ind w:right="1119"/>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1119"/>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60"/>
        <w:ind w:right="1119" w:firstLine="420"/>
        <w:jc w:val="left"/>
      </w:pPr>
      <w:r>
        <w:rPr>
          <w:spacing w:val="-2"/>
        </w:rPr>
        <w:t>报告期内，公司及控股股东、实际控制人均不存在作为一方当事人的重大诉讼或仲裁事项，不存在未</w:t>
      </w:r>
      <w:r>
        <w:rPr>
          <w:w w:val="100"/>
        </w:rPr>
        <w:t> </w:t>
      </w:r>
      <w:r>
        <w:rPr/>
        <w:t>履行法院生效判决、所属数额较大的债务到期未清偿，不存在重大违法行为等情况。</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05" w:firstLine="420"/>
        <w:jc w:val="both"/>
      </w:pPr>
      <w:r>
        <w:rPr>
          <w:spacing w:val="-2"/>
        </w:rPr>
        <w:t>为进一步完善公司法人治理结构，建立、健全公司长效激励约束机制，吸引和留住专业管理人员及核</w:t>
      </w:r>
      <w:r>
        <w:rPr>
          <w:w w:val="100"/>
        </w:rPr>
        <w:t> </w:t>
      </w:r>
      <w:r>
        <w:rPr>
          <w:spacing w:val="-2"/>
        </w:rPr>
        <w:t>心骨干人员，充分调动其积极性和创造性，有效提升核心团队凝聚力和企业核心竞争力，有效地将股东、</w:t>
      </w:r>
      <w:r>
        <w:rPr>
          <w:spacing w:val="-21"/>
        </w:rPr>
        <w:t> </w:t>
      </w:r>
      <w:r>
        <w:rPr>
          <w:spacing w:val="-21"/>
        </w:rPr>
      </w:r>
      <w:r>
        <w:rPr>
          <w:spacing w:val="-2"/>
        </w:rPr>
        <w:t>公司和核心团队三方利益结合在一起，使各方共同关注公司的长远发展，确保公司发展战略和经营目标的</w:t>
      </w:r>
      <w:r>
        <w:rPr>
          <w:spacing w:val="-44"/>
        </w:rPr>
        <w:t> </w:t>
      </w:r>
      <w:r>
        <w:rPr>
          <w:spacing w:val="-44"/>
        </w:rPr>
      </w:r>
      <w:r>
        <w:rPr>
          <w:spacing w:val="-2"/>
        </w:rPr>
        <w:t>实现，在充分保障股东利益的前提下，按照收益与贡献对等的原则，根据《公司法》、《证券法》、《上</w:t>
      </w:r>
      <w:r>
        <w:rPr>
          <w:spacing w:val="-45"/>
        </w:rPr>
        <w:t> </w:t>
      </w:r>
      <w:r>
        <w:rPr>
          <w:spacing w:val="-45"/>
        </w:rPr>
      </w:r>
      <w:r>
        <w:rPr>
          <w:spacing w:val="-2"/>
        </w:rPr>
        <w:t>市公司股权激励管理办法》等有关法律、行政法规、规范性文件以及《公司章程》的规定，公司制定并实</w:t>
      </w:r>
      <w:r>
        <w:rPr>
          <w:spacing w:val="-42"/>
        </w:rPr>
        <w:t> </w:t>
      </w:r>
      <w:r>
        <w:rPr>
          <w:spacing w:val="-42"/>
        </w:rPr>
      </w:r>
      <w:r>
        <w:rPr/>
        <w:t>施了《广东乐心医疗电子股份有限公司</w:t>
      </w:r>
      <w:r>
        <w:rPr>
          <w:rFonts w:ascii="宋体" w:hAnsi="宋体" w:cs="宋体" w:eastAsia="宋体" w:hint="default"/>
        </w:rPr>
        <w:t>2018</w:t>
      </w:r>
      <w:r>
        <w:rPr/>
        <w:t>年股票期权与限制性股票激励计划》。</w:t>
      </w:r>
    </w:p>
    <w:p>
      <w:pPr>
        <w:pStyle w:val="BodyText"/>
        <w:spacing w:line="408" w:lineRule="auto"/>
        <w:ind w:right="1126" w:firstLine="420"/>
        <w:jc w:val="both"/>
      </w:pPr>
      <w:r>
        <w:rPr>
          <w:rFonts w:ascii="宋体" w:hAnsi="宋体" w:cs="宋体" w:eastAsia="宋体" w:hint="default"/>
        </w:rPr>
        <w:t>2018</w:t>
      </w:r>
      <w:r>
        <w:rPr/>
        <w:t>年</w:t>
      </w:r>
      <w:r>
        <w:rPr>
          <w:rFonts w:ascii="宋体" w:hAnsi="宋体" w:cs="宋体" w:eastAsia="宋体" w:hint="default"/>
        </w:rPr>
        <w:t>09</w:t>
      </w:r>
      <w:r>
        <w:rPr/>
        <w:t>月</w:t>
      </w:r>
      <w:r>
        <w:rPr>
          <w:rFonts w:ascii="宋体" w:hAnsi="宋体" w:cs="宋体" w:eastAsia="宋体" w:hint="default"/>
        </w:rPr>
        <w:t>21</w:t>
      </w:r>
      <w:r>
        <w:rPr/>
        <w:t>日，公司召开第二届董事会第十八次会议审议通过了《关于</w:t>
      </w:r>
      <w:r>
        <w:rPr>
          <w:rFonts w:ascii="宋体" w:hAnsi="宋体" w:cs="宋体" w:eastAsia="宋体" w:hint="default"/>
        </w:rPr>
        <w:t>&lt;</w:t>
      </w:r>
      <w:r>
        <w:rPr/>
        <w:t>广东乐心医疗电子股份有</w:t>
      </w:r>
      <w:r>
        <w:rPr>
          <w:w w:val="100"/>
        </w:rPr>
        <w:t> </w:t>
      </w:r>
      <w:r>
        <w:rPr>
          <w:spacing w:val="-2"/>
        </w:rPr>
        <w:t>限公司</w:t>
      </w:r>
      <w:r>
        <w:rPr>
          <w:rFonts w:ascii="宋体" w:hAnsi="宋体" w:cs="宋体" w:eastAsia="宋体" w:hint="default"/>
          <w:spacing w:val="-2"/>
        </w:rPr>
        <w:t>2018</w:t>
      </w:r>
      <w:r>
        <w:rPr>
          <w:spacing w:val="-2"/>
        </w:rPr>
        <w:t>年股票期权与限制性股票激励计划（草案）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广东乐心医疗电子股</w:t>
      </w:r>
      <w:r>
        <w:rPr>
          <w:spacing w:val="-39"/>
        </w:rPr>
        <w:t> </w:t>
      </w:r>
      <w:r>
        <w:rPr>
          <w:spacing w:val="-39"/>
        </w:rPr>
      </w:r>
      <w:r>
        <w:rPr/>
        <w:t>份有限公司</w:t>
      </w:r>
      <w:r>
        <w:rPr>
          <w:rFonts w:ascii="宋体" w:hAnsi="宋体" w:cs="宋体" w:eastAsia="宋体" w:hint="default"/>
        </w:rPr>
        <w:t>2018</w:t>
      </w:r>
      <w:r>
        <w:rPr/>
        <w:t>年股票期权与限制性股票激励计划实施考核管理办法</w:t>
      </w:r>
      <w:r>
        <w:rPr>
          <w:rFonts w:ascii="宋体" w:hAnsi="宋体" w:cs="宋体" w:eastAsia="宋体" w:hint="default"/>
        </w:rPr>
        <w:t>&gt;</w:t>
      </w:r>
      <w:r>
        <w:rPr/>
        <w:t>的议案》、《关于提请股东大会授</w:t>
      </w:r>
      <w:r>
        <w:rPr>
          <w:spacing w:val="-25"/>
        </w:rPr>
        <w:t> </w:t>
      </w:r>
      <w:r>
        <w:rPr>
          <w:spacing w:val="-25"/>
        </w:rPr>
      </w:r>
      <w:r>
        <w:rPr>
          <w:spacing w:val="-2"/>
        </w:rPr>
        <w:t>权董事会办理股权激励相关事宜的议案》等议案。同日，公司召开第二届监事会第十五次会议审议通过了</w:t>
      </w:r>
    </w:p>
    <w:p>
      <w:pPr>
        <w:pStyle w:val="BodyText"/>
        <w:spacing w:line="408" w:lineRule="auto"/>
        <w:ind w:right="1126"/>
        <w:jc w:val="both"/>
      </w:pPr>
      <w:r>
        <w:rPr>
          <w:spacing w:val="2"/>
        </w:rPr>
        <w:t>《关于</w:t>
      </w:r>
      <w:r>
        <w:rPr>
          <w:rFonts w:ascii="宋体" w:hAnsi="宋体" w:cs="宋体" w:eastAsia="宋体" w:hint="default"/>
          <w:spacing w:val="2"/>
        </w:rPr>
        <w:t>&lt;</w:t>
      </w:r>
      <w:r>
        <w:rPr>
          <w:spacing w:val="2"/>
        </w:rPr>
        <w:t>广东乐心医疗电子股份有限公司</w:t>
      </w:r>
      <w:r>
        <w:rPr>
          <w:rFonts w:ascii="宋体" w:hAnsi="宋体" w:cs="宋体" w:eastAsia="宋体" w:hint="default"/>
          <w:spacing w:val="2"/>
        </w:rPr>
        <w:t>2018</w:t>
      </w:r>
      <w:r>
        <w:rPr>
          <w:spacing w:val="2"/>
        </w:rPr>
        <w:t>年股票期权与限制性股票激励计划（草案）</w:t>
      </w:r>
      <w:r>
        <w:rPr>
          <w:rFonts w:ascii="宋体" w:hAnsi="宋体" w:cs="宋体" w:eastAsia="宋体" w:hint="default"/>
          <w:spacing w:val="2"/>
        </w:rPr>
        <w:t>&gt;</w:t>
      </w:r>
      <w:r>
        <w:rPr>
          <w:spacing w:val="2"/>
        </w:rPr>
        <w:t>及其摘要的议</w:t>
      </w:r>
      <w:r>
        <w:rPr>
          <w:spacing w:val="-27"/>
        </w:rPr>
        <w:t> </w:t>
      </w:r>
      <w:r>
        <w:rPr>
          <w:spacing w:val="-27"/>
        </w:rPr>
      </w:r>
      <w:r>
        <w:rPr>
          <w:spacing w:val="-2"/>
        </w:rPr>
        <w:t>案》、《关于</w:t>
      </w:r>
      <w:r>
        <w:rPr>
          <w:rFonts w:ascii="宋体" w:hAnsi="宋体" w:cs="宋体" w:eastAsia="宋体" w:hint="default"/>
          <w:spacing w:val="-2"/>
        </w:rPr>
        <w:t>&lt;</w:t>
      </w:r>
      <w:r>
        <w:rPr>
          <w:spacing w:val="-2"/>
        </w:rPr>
        <w:t>广东乐心医疗电子股份有限公司</w:t>
      </w:r>
      <w:r>
        <w:rPr>
          <w:rFonts w:ascii="宋体" w:hAnsi="宋体" w:cs="宋体" w:eastAsia="宋体" w:hint="default"/>
          <w:spacing w:val="-2"/>
        </w:rPr>
        <w:t>2018</w:t>
      </w:r>
      <w:r>
        <w:rPr>
          <w:spacing w:val="-2"/>
        </w:rPr>
        <w:t>年股票期权与限制性股票激励计划实施考核管理办法</w:t>
      </w:r>
      <w:r>
        <w:rPr>
          <w:rFonts w:ascii="宋体" w:hAnsi="宋体" w:cs="宋体" w:eastAsia="宋体" w:hint="default"/>
          <w:spacing w:val="-2"/>
        </w:rPr>
        <w:t>&gt;</w:t>
      </w:r>
      <w:r>
        <w:rPr>
          <w:rFonts w:ascii="宋体" w:hAnsi="宋体" w:cs="宋体" w:eastAsia="宋体" w:hint="default"/>
          <w:spacing w:val="-37"/>
        </w:rPr>
        <w:t> </w:t>
      </w:r>
      <w:r>
        <w:rPr>
          <w:spacing w:val="-2"/>
        </w:rPr>
        <w:t>的议案》、《关于核查公司</w:t>
      </w:r>
      <w:r>
        <w:rPr>
          <w:rFonts w:ascii="宋体" w:hAnsi="宋体" w:cs="宋体" w:eastAsia="宋体" w:hint="default"/>
          <w:spacing w:val="-2"/>
        </w:rPr>
        <w:t>2018</w:t>
      </w:r>
      <w:r>
        <w:rPr>
          <w:spacing w:val="-2"/>
        </w:rPr>
        <w:t>年股票期权与限制性股票激励计划首次授予激励对象名单的议案》。公司</w:t>
      </w:r>
      <w:r>
        <w:rPr>
          <w:spacing w:val="-39"/>
        </w:rPr>
        <w:t> </w:t>
      </w:r>
      <w:r>
        <w:rPr>
          <w:spacing w:val="-39"/>
        </w:rPr>
      </w:r>
      <w:r>
        <w:rPr>
          <w:spacing w:val="-2"/>
        </w:rPr>
        <w:t>独立董事就本次股权激励计划相关情况发表了独立意见，律师出具了法律意见书，财务顾问出具了独立财</w:t>
      </w:r>
      <w:r>
        <w:rPr>
          <w:spacing w:val="-42"/>
        </w:rPr>
        <w:t> </w:t>
      </w:r>
      <w:r>
        <w:rPr>
          <w:spacing w:val="-42"/>
        </w:rPr>
      </w:r>
      <w:r>
        <w:rPr/>
        <w:t>务顾问报告。</w:t>
      </w:r>
    </w:p>
    <w:p>
      <w:pPr>
        <w:pStyle w:val="BodyText"/>
        <w:spacing w:line="408" w:lineRule="auto"/>
        <w:ind w:right="1021" w:firstLine="42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23</w:t>
      </w:r>
      <w:r>
        <w:rPr/>
        <w:t>日，公司召开第二届董事会第二十次会议审议通过了《关于</w:t>
      </w:r>
      <w:r>
        <w:rPr>
          <w:rFonts w:ascii="宋体" w:hAnsi="宋体" w:cs="宋体" w:eastAsia="宋体" w:hint="default"/>
        </w:rPr>
        <w:t>&lt;</w:t>
      </w:r>
      <w:r>
        <w:rPr/>
        <w:t>广东乐心医疗电子股份有</w:t>
      </w:r>
      <w:r>
        <w:rPr>
          <w:w w:val="100"/>
        </w:rPr>
        <w:t> </w:t>
      </w:r>
      <w:r>
        <w:rPr/>
        <w:t>限公司</w:t>
      </w:r>
      <w:r>
        <w:rPr>
          <w:rFonts w:ascii="宋体" w:hAnsi="宋体" w:cs="宋体" w:eastAsia="宋体" w:hint="default"/>
        </w:rPr>
        <w:t>2018</w:t>
      </w:r>
      <w:r>
        <w:rPr/>
        <w:t>年股票期权与限制性股票激励计划（草案修订稿）</w:t>
      </w:r>
      <w:r>
        <w:rPr>
          <w:rFonts w:ascii="宋体" w:hAnsi="宋体" w:cs="宋体" w:eastAsia="宋体" w:hint="default"/>
        </w:rPr>
        <w:t>&gt;</w:t>
      </w:r>
      <w:r>
        <w:rPr/>
        <w:t>及其摘要的议案》、《关于提请召开公司</w:t>
      </w:r>
      <w:r>
        <w:rPr>
          <w:spacing w:val="-26"/>
        </w:rPr>
        <w:t> </w:t>
      </w:r>
      <w:r>
        <w:rPr>
          <w:spacing w:val="-26"/>
        </w:rPr>
      </w:r>
      <w:r>
        <w:rPr>
          <w:rFonts w:ascii="宋体" w:hAnsi="宋体" w:cs="宋体" w:eastAsia="宋体" w:hint="default"/>
        </w:rPr>
        <w:t>2018</w:t>
      </w:r>
      <w:r>
        <w:rPr/>
        <w:t>年第四次临时股东大会的议案》。同日，公司召开第二届监事会第十七次会议审议通过了《关于</w:t>
      </w:r>
      <w:r>
        <w:rPr>
          <w:rFonts w:ascii="宋体" w:hAnsi="宋体" w:cs="宋体" w:eastAsia="宋体" w:hint="default"/>
        </w:rPr>
        <w:t>&lt;</w:t>
      </w:r>
      <w:r>
        <w:rPr/>
        <w:t>广</w:t>
      </w:r>
      <w:r>
        <w:rPr>
          <w:spacing w:val="-22"/>
        </w:rPr>
        <w:t> </w:t>
      </w:r>
      <w:r>
        <w:rPr>
          <w:spacing w:val="-2"/>
        </w:rPr>
        <w:t>东乐心医疗电子股份有限公司</w:t>
      </w:r>
      <w:r>
        <w:rPr>
          <w:rFonts w:ascii="宋体" w:hAnsi="宋体" w:cs="宋体" w:eastAsia="宋体" w:hint="default"/>
          <w:spacing w:val="-2"/>
        </w:rPr>
        <w:t>2018</w:t>
      </w:r>
      <w:r>
        <w:rPr>
          <w:spacing w:val="-2"/>
        </w:rPr>
        <w:t>年股票期权与限制性股票激励计划（草案修订稿）</w:t>
      </w:r>
      <w:r>
        <w:rPr>
          <w:rFonts w:ascii="宋体" w:hAnsi="宋体" w:cs="宋体" w:eastAsia="宋体" w:hint="default"/>
          <w:spacing w:val="-2"/>
        </w:rPr>
        <w:t>&gt;</w:t>
      </w:r>
      <w:r>
        <w:rPr>
          <w:spacing w:val="-2"/>
        </w:rPr>
        <w:t>及其摘要的议案》、</w:t>
      </w:r>
    </w:p>
    <w:p>
      <w:pPr>
        <w:pStyle w:val="BodyText"/>
        <w:spacing w:line="408" w:lineRule="auto"/>
        <w:ind w:right="1126"/>
        <w:jc w:val="both"/>
      </w:pPr>
      <w:r>
        <w:rPr>
          <w:spacing w:val="-2"/>
        </w:rPr>
        <w:t>《关于核查公司</w:t>
      </w:r>
      <w:r>
        <w:rPr>
          <w:rFonts w:ascii="宋体" w:hAnsi="宋体" w:cs="宋体" w:eastAsia="宋体" w:hint="default"/>
          <w:spacing w:val="-2"/>
        </w:rPr>
        <w:t>2018</w:t>
      </w:r>
      <w:r>
        <w:rPr>
          <w:spacing w:val="-2"/>
        </w:rPr>
        <w:t>年股票期权与限制性股票激励计划首次授予激励对象名单（调整后）的议案》。公司</w:t>
      </w:r>
      <w:r>
        <w:rPr>
          <w:spacing w:val="-40"/>
        </w:rPr>
        <w:t> </w:t>
      </w:r>
      <w:r>
        <w:rPr>
          <w:spacing w:val="-40"/>
        </w:rPr>
      </w:r>
      <w:r>
        <w:rPr>
          <w:spacing w:val="-2"/>
        </w:rPr>
        <w:t>独立董事就本次股权激励计划相关情况发表了独立意见，律师出具了法律意见书，财务顾问出具了独立财</w:t>
      </w:r>
      <w:r>
        <w:rPr>
          <w:spacing w:val="-42"/>
        </w:rPr>
        <w:t> </w:t>
      </w:r>
      <w:r>
        <w:rPr>
          <w:spacing w:val="-42"/>
        </w:rPr>
      </w:r>
      <w:r>
        <w:rPr/>
        <w:t>务顾问报告。</w:t>
      </w:r>
    </w:p>
    <w:p>
      <w:pPr>
        <w:pStyle w:val="BodyText"/>
        <w:spacing w:line="408" w:lineRule="auto"/>
        <w:ind w:right="1126"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06</w:t>
      </w:r>
      <w:r>
        <w:rPr>
          <w:spacing w:val="-2"/>
        </w:rPr>
        <w:t>日，公司通过巨潮资讯网和公司官方网站公示了本次激励计划激励对</w:t>
      </w:r>
      <w:r>
        <w:rPr>
          <w:w w:val="100"/>
        </w:rPr>
        <w:t> </w:t>
      </w:r>
      <w:r>
        <w:rPr>
          <w:spacing w:val="-2"/>
        </w:rPr>
        <w:t>象的名单，截至公示期满，公司监事会未收到任何员工对本次激励对象提出的异议或不良反映，无反馈记</w:t>
      </w:r>
      <w:r>
        <w:rPr>
          <w:spacing w:val="-44"/>
        </w:rPr>
        <w:t> </w:t>
      </w:r>
      <w:r>
        <w:rPr>
          <w:spacing w:val="-44"/>
        </w:rPr>
      </w:r>
      <w:r>
        <w:rPr/>
        <w:t>录。</w:t>
      </w:r>
    </w:p>
    <w:p>
      <w:pPr>
        <w:pStyle w:val="BodyText"/>
        <w:spacing w:line="408" w:lineRule="auto"/>
        <w:ind w:right="1126"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07</w:t>
      </w:r>
      <w:r>
        <w:rPr>
          <w:spacing w:val="-2"/>
        </w:rPr>
        <w:t>日，公司召开第二届监事会第十八次会议审议通过了《关于</w:t>
      </w:r>
      <w:r>
        <w:rPr>
          <w:rFonts w:ascii="宋体" w:hAnsi="宋体" w:cs="宋体" w:eastAsia="宋体" w:hint="default"/>
          <w:spacing w:val="-2"/>
        </w:rPr>
        <w:t>2018</w:t>
      </w:r>
      <w:r>
        <w:rPr>
          <w:spacing w:val="-2"/>
        </w:rPr>
        <w:t>年股票期权与限制性股</w:t>
      </w:r>
      <w:r>
        <w:rPr>
          <w:w w:val="100"/>
        </w:rPr>
        <w:t> </w:t>
      </w:r>
      <w:r>
        <w:rPr>
          <w:spacing w:val="-2"/>
        </w:rPr>
        <w:t>票激励计划首次授予激励对象名单（调整后）公示情况的说明及核查意见的议案》，公司监事会认为，列</w:t>
      </w:r>
      <w:r>
        <w:rPr>
          <w:spacing w:val="-43"/>
        </w:rPr>
        <w:t> </w:t>
      </w:r>
      <w:r>
        <w:rPr>
          <w:spacing w:val="-43"/>
        </w:rPr>
      </w:r>
      <w:r>
        <w:rPr>
          <w:spacing w:val="-2"/>
        </w:rPr>
        <w:t>入本次股票期权与限制性股票激励计划的激励对象均符合相关法律、法规及规范性文件所规定的条件，其</w:t>
      </w:r>
      <w:r>
        <w:rPr>
          <w:spacing w:val="-44"/>
        </w:rPr>
        <w:t> </w:t>
      </w:r>
      <w:r>
        <w:rPr>
          <w:spacing w:val="-44"/>
        </w:rPr>
      </w:r>
      <w:r>
        <w:rPr/>
        <w:t>作为本次激励计划的激励对象合法、有效。</w:t>
      </w:r>
    </w:p>
    <w:p>
      <w:pPr>
        <w:pStyle w:val="BodyText"/>
        <w:spacing w:line="240" w:lineRule="auto"/>
        <w:ind w:left="573" w:right="1119"/>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日，公司召开</w:t>
      </w:r>
      <w:r>
        <w:rPr>
          <w:rFonts w:ascii="宋体" w:hAnsi="宋体" w:cs="宋体" w:eastAsia="宋体" w:hint="default"/>
        </w:rPr>
        <w:t>2018</w:t>
      </w:r>
      <w:r>
        <w:rPr/>
        <w:t>年第四次临时股东大会审议通过了《关于</w:t>
      </w:r>
      <w:r>
        <w:rPr>
          <w:rFonts w:ascii="宋体" w:hAnsi="宋体" w:cs="宋体" w:eastAsia="宋体" w:hint="default"/>
        </w:rPr>
        <w:t>&lt;</w:t>
      </w:r>
      <w:r>
        <w:rPr/>
        <w:t>广东乐心医疗电子股份有</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限公司</w:t>
      </w:r>
      <w:r>
        <w:rPr>
          <w:rFonts w:ascii="宋体" w:hAnsi="宋体" w:cs="宋体" w:eastAsia="宋体" w:hint="default"/>
          <w:spacing w:val="-2"/>
        </w:rPr>
        <w:t>2018</w:t>
      </w:r>
      <w:r>
        <w:rPr>
          <w:spacing w:val="-2"/>
        </w:rPr>
        <w:t>年股票期权与限制性股票激励计划（草案修订稿）</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广东乐心医疗</w:t>
      </w:r>
      <w:r>
        <w:rPr>
          <w:spacing w:val="-38"/>
        </w:rPr>
        <w:t> </w:t>
      </w:r>
      <w:r>
        <w:rPr>
          <w:spacing w:val="-38"/>
        </w:rPr>
      </w:r>
      <w:r>
        <w:rPr/>
        <w:t>电子股份有限公司</w:t>
      </w:r>
      <w:r>
        <w:rPr>
          <w:rFonts w:ascii="宋体" w:hAnsi="宋体" w:cs="宋体" w:eastAsia="宋体" w:hint="default"/>
        </w:rPr>
        <w:t>2018</w:t>
      </w:r>
      <w:r>
        <w:rPr/>
        <w:t>年股票期权与限制性股票激励计划实施考核管理办法</w:t>
      </w:r>
      <w:r>
        <w:rPr>
          <w:rFonts w:ascii="宋体" w:hAnsi="宋体" w:cs="宋体" w:eastAsia="宋体" w:hint="default"/>
        </w:rPr>
        <w:t>&gt;</w:t>
      </w:r>
      <w:r>
        <w:rPr/>
        <w:t>的议案》、《关于提请股东</w:t>
      </w:r>
      <w:r>
        <w:rPr>
          <w:spacing w:val="-25"/>
        </w:rPr>
        <w:t> </w:t>
      </w:r>
      <w:r>
        <w:rPr>
          <w:spacing w:val="-25"/>
        </w:rPr>
      </w:r>
      <w:r>
        <w:rPr>
          <w:spacing w:val="-2"/>
        </w:rPr>
        <w:t>大会授权董事会办理股权激励相关事宜的议案》。同日，公司董事会发布了《广东乐心医疗电子股份有限</w:t>
      </w:r>
      <w:r>
        <w:rPr>
          <w:spacing w:val="-47"/>
        </w:rPr>
        <w:t> </w:t>
      </w:r>
      <w:r>
        <w:rPr>
          <w:spacing w:val="-47"/>
        </w:rPr>
      </w:r>
      <w:r>
        <w:rPr>
          <w:spacing w:val="-2"/>
        </w:rPr>
        <w:t>公司关于</w:t>
      </w:r>
      <w:r>
        <w:rPr>
          <w:rFonts w:ascii="宋体" w:hAnsi="宋体" w:cs="宋体" w:eastAsia="宋体" w:hint="default"/>
          <w:spacing w:val="-2"/>
        </w:rPr>
        <w:t>2018</w:t>
      </w:r>
      <w:r>
        <w:rPr>
          <w:spacing w:val="-2"/>
        </w:rPr>
        <w:t>年股票期权与限制性股票激励计划内幕信息知情人买卖公司股票的自查报告》，经自查，在</w:t>
      </w:r>
      <w:r>
        <w:rPr>
          <w:spacing w:val="-41"/>
        </w:rPr>
        <w:t> </w:t>
      </w:r>
      <w:r>
        <w:rPr>
          <w:spacing w:val="-41"/>
        </w:rPr>
      </w:r>
      <w:r>
        <w:rPr/>
        <w:t>公司</w:t>
      </w:r>
      <w:r>
        <w:rPr>
          <w:rFonts w:ascii="宋体" w:hAnsi="宋体" w:cs="宋体" w:eastAsia="宋体" w:hint="default"/>
        </w:rPr>
        <w:t>2018</w:t>
      </w:r>
      <w:r>
        <w:rPr/>
        <w:t>年股票期权与限制性股票激励计划公开披露前</w:t>
      </w:r>
      <w:r>
        <w:rPr>
          <w:rFonts w:ascii="宋体" w:hAnsi="宋体" w:cs="宋体" w:eastAsia="宋体" w:hint="default"/>
        </w:rPr>
        <w:t>6</w:t>
      </w:r>
      <w:r>
        <w:rPr/>
        <w:t>个月内，相关内幕信息知情人不存在内幕交易行</w:t>
      </w:r>
      <w:r>
        <w:rPr>
          <w:spacing w:val="-27"/>
        </w:rPr>
        <w:t> </w:t>
      </w:r>
      <w:r>
        <w:rPr>
          <w:spacing w:val="-27"/>
        </w:rPr>
      </w:r>
      <w:r>
        <w:rPr/>
        <w:t>为。</w:t>
      </w:r>
    </w:p>
    <w:p>
      <w:pPr>
        <w:pStyle w:val="BodyText"/>
        <w:spacing w:line="240" w:lineRule="auto"/>
        <w:ind w:left="573" w:right="1119"/>
        <w:jc w:val="left"/>
      </w:pPr>
      <w:r>
        <w:rPr/>
        <w:t>公司确定股权激励计划相关事项如下：</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t>①</w:t>
      </w:r>
      <w:r>
        <w:rPr>
          <w:spacing w:val="73"/>
        </w:rPr>
        <w:t> </w:t>
      </w:r>
      <w:r>
        <w:rPr/>
        <w:t>股票期权激励计划：本激励计划拟授予激励对象股票期权</w:t>
      </w:r>
      <w:r>
        <w:rPr>
          <w:rFonts w:ascii="宋体" w:hAnsi="宋体" w:cs="宋体" w:eastAsia="宋体" w:hint="default"/>
        </w:rPr>
        <w:t>280.0000</w:t>
      </w:r>
      <w:r>
        <w:rPr/>
        <w:t>万份，涉及的标的股票种类为</w:t>
      </w:r>
      <w:r>
        <w:rPr>
          <w:w w:val="100"/>
        </w:rPr>
        <w:t> </w:t>
      </w:r>
      <w:r>
        <w:rPr>
          <w:spacing w:val="3"/>
        </w:rPr>
        <w:t>人民币</w:t>
      </w:r>
      <w:r>
        <w:rPr>
          <w:rFonts w:ascii="宋体" w:hAnsi="宋体" w:cs="宋体" w:eastAsia="宋体" w:hint="default"/>
          <w:spacing w:val="3"/>
        </w:rPr>
        <w:t>A</w:t>
      </w:r>
      <w:r>
        <w:rPr>
          <w:spacing w:val="3"/>
        </w:rPr>
        <w:t>股普通股，约占本激励计划草案公告日公司股本总额</w:t>
      </w:r>
      <w:r>
        <w:rPr>
          <w:rFonts w:ascii="宋体" w:hAnsi="宋体" w:cs="宋体" w:eastAsia="宋体" w:hint="default"/>
          <w:spacing w:val="3"/>
        </w:rPr>
        <w:t>18,880.0000</w:t>
      </w:r>
      <w:r>
        <w:rPr>
          <w:spacing w:val="3"/>
        </w:rPr>
        <w:t>万股的</w:t>
      </w:r>
      <w:r>
        <w:rPr>
          <w:rFonts w:ascii="宋体" w:hAnsi="宋体" w:cs="宋体" w:eastAsia="宋体" w:hint="default"/>
          <w:spacing w:val="3"/>
        </w:rPr>
        <w:t>1.48%</w:t>
      </w:r>
      <w:r>
        <w:rPr>
          <w:spacing w:val="3"/>
        </w:rPr>
        <w:t>。其中首次授予</w:t>
      </w:r>
      <w:r>
        <w:rPr>
          <w:spacing w:val="2"/>
        </w:rPr>
        <w:t> </w:t>
      </w:r>
      <w:r>
        <w:rPr>
          <w:spacing w:val="2"/>
        </w:rPr>
      </w:r>
      <w:r>
        <w:rPr>
          <w:rFonts w:ascii="宋体" w:hAnsi="宋体" w:cs="宋体" w:eastAsia="宋体" w:hint="default"/>
        </w:rPr>
        <w:t>252.0000</w:t>
      </w:r>
      <w:r>
        <w:rPr/>
        <w:t>万份，占本激励计划拟授出股票期权总数的</w:t>
      </w:r>
      <w:r>
        <w:rPr>
          <w:rFonts w:ascii="宋体" w:hAnsi="宋体" w:cs="宋体" w:eastAsia="宋体" w:hint="default"/>
        </w:rPr>
        <w:t>90.00%</w:t>
      </w:r>
      <w:r>
        <w:rPr/>
        <w:t>，约占本激励计划草案公告日公司股本总额</w:t>
      </w:r>
    </w:p>
    <w:p>
      <w:pPr>
        <w:pStyle w:val="BodyText"/>
        <w:spacing w:line="408" w:lineRule="auto"/>
        <w:ind w:right="1129"/>
        <w:jc w:val="both"/>
      </w:pPr>
      <w:r>
        <w:rPr>
          <w:rFonts w:ascii="宋体" w:hAnsi="宋体" w:cs="宋体" w:eastAsia="宋体" w:hint="default"/>
        </w:rPr>
        <w:t>18,880.0000</w:t>
      </w:r>
      <w:r>
        <w:rPr/>
        <w:t>万股的</w:t>
      </w:r>
      <w:r>
        <w:rPr>
          <w:rFonts w:ascii="宋体" w:hAnsi="宋体" w:cs="宋体" w:eastAsia="宋体" w:hint="default"/>
        </w:rPr>
        <w:t>1.33%</w:t>
      </w:r>
      <w:r>
        <w:rPr/>
        <w:t>；预留</w:t>
      </w:r>
      <w:r>
        <w:rPr>
          <w:rFonts w:ascii="宋体" w:hAnsi="宋体" w:cs="宋体" w:eastAsia="宋体" w:hint="default"/>
        </w:rPr>
        <w:t>28.0000</w:t>
      </w:r>
      <w:r>
        <w:rPr/>
        <w:t>万份，占本激励计划拟授出股票期权总数的</w:t>
      </w:r>
      <w:r>
        <w:rPr>
          <w:rFonts w:ascii="宋体" w:hAnsi="宋体" w:cs="宋体" w:eastAsia="宋体" w:hint="default"/>
        </w:rPr>
        <w:t>10.00%</w:t>
      </w:r>
      <w:r>
        <w:rPr/>
        <w:t>，约占本激励</w:t>
      </w:r>
      <w:r>
        <w:rPr>
          <w:spacing w:val="-29"/>
        </w:rPr>
        <w:t> </w:t>
      </w:r>
      <w:r>
        <w:rPr>
          <w:spacing w:val="-29"/>
        </w:rPr>
      </w:r>
      <w:r>
        <w:rPr>
          <w:spacing w:val="-2"/>
        </w:rPr>
        <w:t>计划草案公告日公司股本总额</w:t>
      </w:r>
      <w:r>
        <w:rPr>
          <w:rFonts w:ascii="宋体" w:hAnsi="宋体" w:cs="宋体" w:eastAsia="宋体" w:hint="default"/>
          <w:spacing w:val="-2"/>
        </w:rPr>
        <w:t>18,880.0000</w:t>
      </w:r>
      <w:r>
        <w:rPr>
          <w:spacing w:val="-2"/>
        </w:rPr>
        <w:t>万股的</w:t>
      </w:r>
      <w:r>
        <w:rPr>
          <w:rFonts w:ascii="宋体" w:hAnsi="宋体" w:cs="宋体" w:eastAsia="宋体" w:hint="default"/>
          <w:spacing w:val="-2"/>
        </w:rPr>
        <w:t>0.15%</w:t>
      </w:r>
      <w:r>
        <w:rPr>
          <w:spacing w:val="-2"/>
        </w:rPr>
        <w:t>。本计划下授予的每份股票期权拥有在满足生效条</w:t>
      </w:r>
      <w:r>
        <w:rPr>
          <w:spacing w:val="-32"/>
        </w:rPr>
        <w:t> </w:t>
      </w:r>
      <w:r>
        <w:rPr>
          <w:spacing w:val="-32"/>
        </w:rPr>
      </w:r>
      <w:r>
        <w:rPr/>
        <w:t>件和生效安排的情况下，在可行权期内以行权价格购买</w:t>
      </w:r>
      <w:r>
        <w:rPr>
          <w:rFonts w:ascii="宋体" w:hAnsi="宋体" w:cs="宋体" w:eastAsia="宋体" w:hint="default"/>
        </w:rPr>
        <w:t>1</w:t>
      </w:r>
      <w:r>
        <w:rPr/>
        <w:t>股本公司人民币</w:t>
      </w:r>
      <w:r>
        <w:rPr>
          <w:rFonts w:ascii="宋体" w:hAnsi="宋体" w:cs="宋体" w:eastAsia="宋体" w:hint="default"/>
        </w:rPr>
        <w:t>A</w:t>
      </w:r>
      <w:r>
        <w:rPr/>
        <w:t>股普通股股票的权利。</w:t>
      </w:r>
    </w:p>
    <w:p>
      <w:pPr>
        <w:pStyle w:val="BodyText"/>
        <w:spacing w:line="408" w:lineRule="auto"/>
        <w:ind w:right="1126" w:firstLine="420"/>
        <w:jc w:val="both"/>
      </w:pPr>
      <w:r>
        <w:rPr/>
        <w:t>②</w:t>
      </w:r>
      <w:r>
        <w:rPr>
          <w:spacing w:val="71"/>
        </w:rPr>
        <w:t> </w:t>
      </w:r>
      <w:r>
        <w:rPr/>
        <w:t>限制性股票激励计划：本激励计划拟授予激励对象限制性股票</w:t>
      </w:r>
      <w:r>
        <w:rPr>
          <w:rFonts w:ascii="宋体" w:hAnsi="宋体" w:cs="宋体" w:eastAsia="宋体" w:hint="default"/>
        </w:rPr>
        <w:t>120.0000</w:t>
      </w:r>
      <w:r>
        <w:rPr/>
        <w:t>万股，涉及的标的股票种</w:t>
      </w:r>
      <w:r>
        <w:rPr>
          <w:w w:val="100"/>
        </w:rPr>
        <w:t> </w:t>
      </w:r>
      <w:r>
        <w:rPr/>
        <w:t>类为人民币</w:t>
      </w:r>
      <w:r>
        <w:rPr>
          <w:rFonts w:ascii="宋体" w:hAnsi="宋体" w:cs="宋体" w:eastAsia="宋体" w:hint="default"/>
        </w:rPr>
        <w:t>A</w:t>
      </w:r>
      <w:r>
        <w:rPr/>
        <w:t>股普通股，约占本激励计划草案公告日公司股本总额</w:t>
      </w:r>
      <w:r>
        <w:rPr>
          <w:rFonts w:ascii="宋体" w:hAnsi="宋体" w:cs="宋体" w:eastAsia="宋体" w:hint="default"/>
        </w:rPr>
        <w:t>18,880.0000</w:t>
      </w:r>
      <w:r>
        <w:rPr/>
        <w:t>万股的</w:t>
      </w:r>
      <w:r>
        <w:rPr>
          <w:rFonts w:ascii="宋体" w:hAnsi="宋体" w:cs="宋体" w:eastAsia="宋体" w:hint="default"/>
        </w:rPr>
        <w:t>0.64%</w:t>
      </w:r>
      <w:r>
        <w:rPr/>
        <w:t>。其中首次授</w:t>
      </w:r>
      <w:r>
        <w:rPr>
          <w:spacing w:val="-25"/>
        </w:rPr>
        <w:t> </w:t>
      </w:r>
      <w:r>
        <w:rPr>
          <w:spacing w:val="-25"/>
        </w:rPr>
      </w:r>
      <w:r>
        <w:rPr>
          <w:spacing w:val="-2"/>
        </w:rPr>
        <w:t>予</w:t>
      </w:r>
      <w:r>
        <w:rPr>
          <w:rFonts w:ascii="宋体" w:hAnsi="宋体" w:cs="宋体" w:eastAsia="宋体" w:hint="default"/>
          <w:spacing w:val="-2"/>
        </w:rPr>
        <w:t>108.0000</w:t>
      </w:r>
      <w:r>
        <w:rPr>
          <w:spacing w:val="-2"/>
        </w:rPr>
        <w:t>万股，占本激励计划拟授出限制性股票总数的</w:t>
      </w:r>
      <w:r>
        <w:rPr>
          <w:rFonts w:ascii="宋体" w:hAnsi="宋体" w:cs="宋体" w:eastAsia="宋体" w:hint="default"/>
          <w:spacing w:val="-2"/>
        </w:rPr>
        <w:t>90.00%</w:t>
      </w:r>
      <w:r>
        <w:rPr>
          <w:spacing w:val="-2"/>
        </w:rPr>
        <w:t>，约占本激励计划草案公告日公司股本总</w:t>
      </w:r>
      <w:r>
        <w:rPr>
          <w:spacing w:val="-29"/>
        </w:rPr>
        <w:t> </w:t>
      </w:r>
      <w:r>
        <w:rPr>
          <w:spacing w:val="-29"/>
        </w:rPr>
      </w:r>
      <w:r>
        <w:rPr/>
        <w:t>额</w:t>
      </w:r>
      <w:r>
        <w:rPr>
          <w:rFonts w:ascii="宋体" w:hAnsi="宋体" w:cs="宋体" w:eastAsia="宋体" w:hint="default"/>
        </w:rPr>
        <w:t>18,880.0000</w:t>
      </w:r>
      <w:r>
        <w:rPr/>
        <w:t>万股的</w:t>
      </w:r>
      <w:r>
        <w:rPr>
          <w:rFonts w:ascii="宋体" w:hAnsi="宋体" w:cs="宋体" w:eastAsia="宋体" w:hint="default"/>
        </w:rPr>
        <w:t>0.57%</w:t>
      </w:r>
      <w:r>
        <w:rPr/>
        <w:t>；预留</w:t>
      </w:r>
      <w:r>
        <w:rPr>
          <w:rFonts w:ascii="宋体" w:hAnsi="宋体" w:cs="宋体" w:eastAsia="宋体" w:hint="default"/>
        </w:rPr>
        <w:t>12.0000</w:t>
      </w:r>
      <w:r>
        <w:rPr/>
        <w:t>万股，占本激励计划拟授出限制性股票总数的</w:t>
      </w:r>
      <w:r>
        <w:rPr>
          <w:rFonts w:ascii="宋体" w:hAnsi="宋体" w:cs="宋体" w:eastAsia="宋体" w:hint="default"/>
        </w:rPr>
        <w:t>10.00%</w:t>
      </w:r>
      <w:r>
        <w:rPr/>
        <w:t>，约占本</w:t>
      </w:r>
      <w:r>
        <w:rPr>
          <w:spacing w:val="-29"/>
        </w:rPr>
        <w:t> </w:t>
      </w:r>
      <w:r>
        <w:rPr>
          <w:spacing w:val="-29"/>
        </w:rPr>
      </w:r>
      <w:r>
        <w:rPr/>
        <w:t>激励计划草案公告日公司股本总额</w:t>
      </w:r>
      <w:r>
        <w:rPr>
          <w:rFonts w:ascii="宋体" w:hAnsi="宋体" w:cs="宋体" w:eastAsia="宋体" w:hint="default"/>
        </w:rPr>
        <w:t>18,880.0000</w:t>
      </w:r>
      <w:r>
        <w:rPr/>
        <w:t>万股的</w:t>
      </w:r>
      <w:r>
        <w:rPr>
          <w:rFonts w:ascii="宋体" w:hAnsi="宋体" w:cs="宋体" w:eastAsia="宋体" w:hint="default"/>
        </w:rPr>
        <w:t>0.06%</w:t>
      </w:r>
      <w:r>
        <w:rPr/>
        <w:t>。</w:t>
      </w:r>
    </w:p>
    <w:p>
      <w:pPr>
        <w:pStyle w:val="BodyText"/>
        <w:spacing w:line="240" w:lineRule="auto"/>
        <w:ind w:left="573" w:right="1119"/>
        <w:jc w:val="left"/>
      </w:pPr>
      <w:r>
        <w:rPr/>
        <w:t>③</w:t>
      </w:r>
      <w:r>
        <w:rPr>
          <w:spacing w:val="-18"/>
        </w:rPr>
        <w:t> </w:t>
      </w:r>
      <w:r>
        <w:rPr/>
        <w:t>本激励计划授予的股票期权的行权价格为</w:t>
      </w:r>
      <w:r>
        <w:rPr>
          <w:rFonts w:ascii="宋体" w:hAnsi="宋体" w:cs="宋体" w:eastAsia="宋体" w:hint="default"/>
        </w:rPr>
        <w:t>13.61</w:t>
      </w:r>
      <w:r>
        <w:rPr/>
        <w:t>元</w:t>
      </w:r>
      <w:r>
        <w:rPr>
          <w:rFonts w:ascii="宋体" w:hAnsi="宋体" w:cs="宋体" w:eastAsia="宋体" w:hint="default"/>
        </w:rPr>
        <w:t>/</w:t>
      </w:r>
      <w:r>
        <w:rPr/>
        <w:t>股，限制性股票的授予价格为</w:t>
      </w:r>
      <w:r>
        <w:rPr>
          <w:rFonts w:ascii="宋体" w:hAnsi="宋体" w:cs="宋体" w:eastAsia="宋体" w:hint="default"/>
        </w:rPr>
        <w:t>6.81</w:t>
      </w:r>
      <w:r>
        <w:rPr/>
        <w:t>元</w:t>
      </w:r>
      <w:r>
        <w:rPr>
          <w:rFonts w:ascii="宋体" w:hAnsi="宋体" w:cs="宋体" w:eastAsia="宋体" w:hint="default"/>
        </w:rPr>
        <w:t>/</w:t>
      </w:r>
      <w:r>
        <w:rPr/>
        <w:t>股。</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④本激励计划首次授予的激励对象共计</w:t>
      </w:r>
      <w:r>
        <w:rPr>
          <w:rFonts w:ascii="宋体" w:hAnsi="宋体" w:cs="宋体" w:eastAsia="宋体" w:hint="default"/>
          <w:spacing w:val="-2"/>
        </w:rPr>
        <w:t>48</w:t>
      </w:r>
      <w:r>
        <w:rPr>
          <w:spacing w:val="-2"/>
        </w:rPr>
        <w:t>人，包括公司公告本激励计划时在公司（含子公司）任职的</w:t>
      </w:r>
      <w:r>
        <w:rPr>
          <w:w w:val="100"/>
        </w:rPr>
        <w:t> </w:t>
      </w:r>
      <w:r>
        <w:rPr/>
        <w:t>董事、高级管理人员及核心技术</w:t>
      </w:r>
      <w:r>
        <w:rPr>
          <w:rFonts w:ascii="宋体" w:hAnsi="宋体" w:cs="宋体" w:eastAsia="宋体" w:hint="default"/>
        </w:rPr>
        <w:t>/</w:t>
      </w:r>
      <w:r>
        <w:rPr/>
        <w:t>业务人员。不含独立董事、监事、单独或合计持股</w:t>
      </w:r>
      <w:r>
        <w:rPr>
          <w:rFonts w:ascii="宋体" w:hAnsi="宋体" w:cs="宋体" w:eastAsia="宋体" w:hint="default"/>
        </w:rPr>
        <w:t>5%</w:t>
      </w:r>
      <w:r>
        <w:rPr/>
        <w:t>以上的股东或实际</w:t>
      </w:r>
      <w:r>
        <w:rPr>
          <w:spacing w:val="-22"/>
        </w:rPr>
        <w:t> </w:t>
      </w:r>
      <w:r>
        <w:rPr>
          <w:spacing w:val="-22"/>
        </w:rPr>
      </w:r>
      <w:r>
        <w:rPr/>
        <w:t>控制人及其配偶、父母、子女。</w:t>
      </w:r>
    </w:p>
    <w:p>
      <w:pPr>
        <w:pStyle w:val="BodyText"/>
        <w:spacing w:line="408" w:lineRule="auto"/>
        <w:ind w:right="1126" w:firstLine="420"/>
        <w:jc w:val="both"/>
      </w:pP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13</w:t>
      </w:r>
      <w:r>
        <w:rPr>
          <w:spacing w:val="-6"/>
        </w:rPr>
        <w:t>日，公司召开第二届董事会第二十一次会议、第二届监事会第十九次会议审议通过了《关</w:t>
      </w:r>
      <w:r>
        <w:rPr>
          <w:w w:val="100"/>
        </w:rPr>
        <w:t> </w:t>
      </w:r>
      <w:r>
        <w:rPr>
          <w:spacing w:val="-2"/>
        </w:rPr>
        <w:t>于向激励对象授予股票期权与限制性股票的议案》，公司独立董事对此发表了独立意见，认为激励对象主</w:t>
      </w:r>
      <w:r>
        <w:rPr>
          <w:spacing w:val="-43"/>
        </w:rPr>
        <w:t> </w:t>
      </w:r>
      <w:r>
        <w:rPr>
          <w:spacing w:val="-43"/>
        </w:rPr>
      </w:r>
      <w:r>
        <w:rPr>
          <w:spacing w:val="-2"/>
        </w:rPr>
        <w:t>体资格合法有效，确定的授予日符合相关规定。监事会对本次授予股票期权与限制性股票的激励对象名单</w:t>
      </w:r>
      <w:r>
        <w:rPr>
          <w:spacing w:val="-44"/>
        </w:rPr>
        <w:t> </w:t>
      </w:r>
      <w:r>
        <w:rPr>
          <w:spacing w:val="-44"/>
        </w:rPr>
      </w:r>
      <w:r>
        <w:rPr/>
        <w:t>进行了核实。律师出具了法律意见书，财务顾问出具了独立财务顾问报告。</w:t>
      </w:r>
    </w:p>
    <w:p>
      <w:pPr>
        <w:pStyle w:val="BodyText"/>
        <w:spacing w:line="408" w:lineRule="auto"/>
        <w:ind w:right="1128" w:firstLine="420"/>
        <w:jc w:val="both"/>
      </w:pPr>
      <w:r>
        <w:rPr/>
        <w:t>在确定首次授予日后的资金缴纳、股份登记过程中，有</w:t>
      </w:r>
      <w:r>
        <w:rPr>
          <w:rFonts w:ascii="宋体" w:hAnsi="宋体" w:cs="宋体" w:eastAsia="宋体" w:hint="default"/>
        </w:rPr>
        <w:t>4</w:t>
      </w:r>
      <w:r>
        <w:rPr/>
        <w:t>名激励对象因个人原因放弃认购其对应的股</w:t>
      </w:r>
      <w:r>
        <w:rPr>
          <w:w w:val="100"/>
        </w:rPr>
        <w:t> </w:t>
      </w:r>
      <w:r>
        <w:rPr>
          <w:spacing w:val="-2"/>
        </w:rPr>
        <w:t>票期权</w:t>
      </w:r>
      <w:r>
        <w:rPr>
          <w:rFonts w:ascii="宋体" w:hAnsi="宋体" w:cs="宋体" w:eastAsia="宋体" w:hint="default"/>
          <w:spacing w:val="-2"/>
        </w:rPr>
        <w:t>102,864</w:t>
      </w:r>
      <w:r>
        <w:rPr>
          <w:spacing w:val="-2"/>
        </w:rPr>
        <w:t>份，因此公司本次股票期权实际授予对象为</w:t>
      </w:r>
      <w:r>
        <w:rPr>
          <w:rFonts w:ascii="宋体" w:hAnsi="宋体" w:cs="宋体" w:eastAsia="宋体" w:hint="default"/>
          <w:spacing w:val="-2"/>
        </w:rPr>
        <w:t>44</w:t>
      </w:r>
      <w:r>
        <w:rPr>
          <w:spacing w:val="-2"/>
        </w:rPr>
        <w:t>人，实际授予数量为</w:t>
      </w:r>
      <w:r>
        <w:rPr>
          <w:rFonts w:ascii="宋体" w:hAnsi="宋体" w:cs="宋体" w:eastAsia="宋体" w:hint="default"/>
          <w:spacing w:val="-2"/>
        </w:rPr>
        <w:t>2,417,136</w:t>
      </w:r>
      <w:r>
        <w:rPr>
          <w:spacing w:val="-2"/>
        </w:rPr>
        <w:t>股，占授予前</w:t>
      </w:r>
      <w:r>
        <w:rPr>
          <w:spacing w:val="-26"/>
        </w:rPr>
        <w:t> </w:t>
      </w:r>
      <w:r>
        <w:rPr>
          <w:spacing w:val="-26"/>
        </w:rPr>
      </w:r>
      <w:r>
        <w:rPr/>
        <w:t>公司总股本</w:t>
      </w:r>
      <w:r>
        <w:rPr>
          <w:rFonts w:ascii="宋体" w:hAnsi="宋体" w:cs="宋体" w:eastAsia="宋体" w:hint="default"/>
        </w:rPr>
        <w:t>188,800,000</w:t>
      </w:r>
      <w:r>
        <w:rPr/>
        <w:t>股的</w:t>
      </w:r>
      <w:r>
        <w:rPr>
          <w:rFonts w:ascii="宋体" w:hAnsi="宋体" w:cs="宋体" w:eastAsia="宋体" w:hint="default"/>
        </w:rPr>
        <w:t>1.28%</w:t>
      </w:r>
      <w:r>
        <w:rPr/>
        <w:t>。</w:t>
      </w:r>
    </w:p>
    <w:p>
      <w:pPr>
        <w:pStyle w:val="BodyText"/>
        <w:spacing w:line="240" w:lineRule="auto"/>
        <w:ind w:left="573" w:right="1119"/>
        <w:jc w:val="left"/>
      </w:pPr>
      <w:r>
        <w:rPr/>
        <w:t>在确定首次授予日后的资金缴纳、股份登记过程中，有</w:t>
      </w:r>
      <w:r>
        <w:rPr>
          <w:rFonts w:ascii="宋体" w:hAnsi="宋体" w:cs="宋体" w:eastAsia="宋体" w:hint="default"/>
        </w:rPr>
        <w:t>6</w:t>
      </w:r>
      <w:r>
        <w:rPr/>
        <w:t>名激励对象因个人原因放弃认购其对应的限</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19"/>
        <w:jc w:val="left"/>
      </w:pPr>
      <w:r>
        <w:rPr/>
        <w:t>制性股票</w:t>
      </w:r>
      <w:r>
        <w:rPr>
          <w:rFonts w:ascii="宋体" w:hAnsi="宋体" w:cs="宋体" w:eastAsia="宋体" w:hint="default"/>
        </w:rPr>
        <w:t>82,651</w:t>
      </w:r>
      <w:r>
        <w:rPr/>
        <w:t>股，因而公司本次限制性股票实际授予对象为</w:t>
      </w:r>
      <w:r>
        <w:rPr>
          <w:rFonts w:ascii="宋体" w:hAnsi="宋体" w:cs="宋体" w:eastAsia="宋体" w:hint="default"/>
        </w:rPr>
        <w:t>42</w:t>
      </w:r>
      <w:r>
        <w:rPr/>
        <w:t>人，实际授予数量为</w:t>
      </w:r>
      <w:r>
        <w:rPr>
          <w:rFonts w:ascii="宋体" w:hAnsi="宋体" w:cs="宋体" w:eastAsia="宋体" w:hint="default"/>
        </w:rPr>
        <w:t>997,349</w:t>
      </w:r>
      <w:r>
        <w:rPr/>
        <w:t>股，占授予</w:t>
      </w:r>
      <w:r>
        <w:rPr>
          <w:spacing w:val="-27"/>
        </w:rPr>
        <w:t> </w:t>
      </w:r>
      <w:r>
        <w:rPr>
          <w:spacing w:val="-27"/>
        </w:rPr>
      </w:r>
      <w:r>
        <w:rPr/>
        <w:t>前公司总股本</w:t>
      </w:r>
      <w:r>
        <w:rPr>
          <w:rFonts w:ascii="宋体" w:hAnsi="宋体" w:cs="宋体" w:eastAsia="宋体" w:hint="default"/>
        </w:rPr>
        <w:t>188,800,000</w:t>
      </w:r>
      <w:r>
        <w:rPr/>
        <w:t>股的</w:t>
      </w:r>
      <w:r>
        <w:rPr>
          <w:rFonts w:ascii="宋体" w:hAnsi="宋体" w:cs="宋体" w:eastAsia="宋体" w:hint="default"/>
        </w:rPr>
        <w:t>0.53%</w:t>
      </w:r>
      <w:r>
        <w:rPr/>
        <w:t>。</w:t>
      </w:r>
    </w:p>
    <w:p>
      <w:pPr>
        <w:pStyle w:val="BodyText"/>
        <w:spacing w:line="408" w:lineRule="auto"/>
        <w:ind w:right="1128" w:firstLine="420"/>
        <w:jc w:val="both"/>
      </w:pPr>
      <w:r>
        <w:rPr>
          <w:rFonts w:ascii="宋体" w:hAnsi="宋体" w:cs="宋体" w:eastAsia="宋体" w:hint="default"/>
          <w:spacing w:val="-11"/>
          <w:w w:val="100"/>
        </w:rPr>
        <w:t>2019</w:t>
      </w:r>
      <w:r>
        <w:rPr>
          <w:spacing w:val="-11"/>
          <w:w w:val="100"/>
        </w:rPr>
        <w:t>年</w:t>
      </w:r>
      <w:r>
        <w:rPr>
          <w:rFonts w:ascii="宋体" w:hAnsi="宋体" w:cs="宋体" w:eastAsia="宋体" w:hint="default"/>
          <w:spacing w:val="-11"/>
          <w:w w:val="100"/>
        </w:rPr>
        <w:t>01</w:t>
      </w:r>
      <w:r>
        <w:rPr>
          <w:spacing w:val="-11"/>
          <w:w w:val="100"/>
        </w:rPr>
        <w:t>月</w:t>
      </w:r>
      <w:r>
        <w:rPr>
          <w:rFonts w:ascii="宋体" w:hAnsi="宋体" w:cs="宋体" w:eastAsia="宋体" w:hint="default"/>
          <w:spacing w:val="-11"/>
          <w:w w:val="100"/>
        </w:rPr>
        <w:t>07</w:t>
      </w:r>
      <w:r>
        <w:rPr>
          <w:spacing w:val="-11"/>
          <w:w w:val="100"/>
        </w:rPr>
        <w:t>日，立信会计师事务所（特殊普通合伙）出具了《验资报告》（信会师报字</w:t>
      </w:r>
      <w:r>
        <w:rPr>
          <w:rFonts w:ascii="宋体" w:hAnsi="宋体" w:cs="宋体" w:eastAsia="宋体" w:hint="default"/>
          <w:spacing w:val="-11"/>
          <w:w w:val="100"/>
        </w:rPr>
        <w:t>[2019]</w:t>
      </w:r>
      <w:r>
        <w:rPr>
          <w:spacing w:val="-11"/>
          <w:w w:val="100"/>
        </w:rPr>
        <w:t>第</w:t>
      </w:r>
      <w:r>
        <w:rPr>
          <w:rFonts w:ascii="宋体" w:hAnsi="宋体" w:cs="宋体" w:eastAsia="宋体" w:hint="default"/>
          <w:spacing w:val="-11"/>
          <w:w w:val="100"/>
        </w:rPr>
        <w:t>ZE10003</w:t>
      </w:r>
      <w:r>
        <w:rPr>
          <w:rFonts w:ascii="宋体" w:hAnsi="宋体" w:cs="宋体" w:eastAsia="宋体" w:hint="default"/>
          <w:w w:val="100"/>
        </w:rPr>
        <w:t> </w:t>
      </w:r>
      <w:r>
        <w:rPr/>
        <w:t>号），审验了公司截至</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07</w:t>
      </w:r>
      <w:r>
        <w:rPr/>
        <w:t>日止新增注册资本及实收资本（股本）情况。</w:t>
      </w:r>
    </w:p>
    <w:p>
      <w:pPr>
        <w:pStyle w:val="BodyText"/>
        <w:spacing w:line="408" w:lineRule="auto"/>
        <w:ind w:right="996" w:firstLine="420"/>
        <w:jc w:val="left"/>
      </w:pPr>
      <w:r>
        <w:rPr/>
        <w:t>根据中国证券监督管理委员会《上市公司股权激励管理办法》、深圳证券交易所、中国证券登记结算</w:t>
      </w:r>
      <w:r>
        <w:rPr>
          <w:w w:val="100"/>
        </w:rPr>
        <w:t> </w:t>
      </w:r>
      <w:r>
        <w:rPr/>
        <w:t>有限责任公司深圳分公司有关规则，经深圳证券交易所、中国证券登记结算有限责任公司深圳分公司审核</w:t>
      </w:r>
      <w:r>
        <w:rPr>
          <w:w w:val="100"/>
        </w:rPr>
        <w:t> </w:t>
      </w:r>
      <w:r>
        <w:rPr>
          <w:spacing w:val="-4"/>
        </w:rPr>
        <w:t>确认，</w:t>
      </w:r>
      <w:r>
        <w:rPr>
          <w:rFonts w:ascii="宋体" w:hAnsi="宋体" w:cs="宋体" w:eastAsia="宋体" w:hint="default"/>
          <w:spacing w:val="-4"/>
        </w:rPr>
        <w:t>2019</w:t>
      </w:r>
      <w:r>
        <w:rPr>
          <w:spacing w:val="-4"/>
        </w:rPr>
        <w:t>年</w:t>
      </w:r>
      <w:r>
        <w:rPr>
          <w:rFonts w:ascii="宋体" w:hAnsi="宋体" w:cs="宋体" w:eastAsia="宋体" w:hint="default"/>
          <w:spacing w:val="-4"/>
        </w:rPr>
        <w:t>01</w:t>
      </w:r>
      <w:r>
        <w:rPr>
          <w:spacing w:val="-4"/>
        </w:rPr>
        <w:t>月</w:t>
      </w:r>
      <w:r>
        <w:rPr>
          <w:rFonts w:ascii="宋体" w:hAnsi="宋体" w:cs="宋体" w:eastAsia="宋体" w:hint="default"/>
          <w:spacing w:val="-4"/>
        </w:rPr>
        <w:t>16</w:t>
      </w:r>
      <w:r>
        <w:rPr>
          <w:spacing w:val="-4"/>
        </w:rPr>
        <w:t>日，公司完成了</w:t>
      </w:r>
      <w:r>
        <w:rPr>
          <w:rFonts w:ascii="宋体" w:hAnsi="宋体" w:cs="宋体" w:eastAsia="宋体" w:hint="default"/>
          <w:spacing w:val="-4"/>
        </w:rPr>
        <w:t>2018</w:t>
      </w:r>
      <w:r>
        <w:rPr>
          <w:spacing w:val="-4"/>
        </w:rPr>
        <w:t>年股票期权与限制性股票激励计划（以下简称“本次激励计划”）</w:t>
      </w:r>
      <w:r>
        <w:rPr>
          <w:spacing w:val="-29"/>
        </w:rPr>
        <w:t> </w:t>
      </w:r>
      <w:r>
        <w:rPr>
          <w:spacing w:val="-29"/>
        </w:rPr>
      </w:r>
      <w:r>
        <w:rPr/>
        <w:t>股票期权和限制性股票的首次授予登记工作，期权简称：乐心</w:t>
      </w:r>
      <w:r>
        <w:rPr>
          <w:rFonts w:ascii="宋体" w:hAnsi="宋体" w:cs="宋体" w:eastAsia="宋体" w:hint="default"/>
        </w:rPr>
        <w:t>JLC1</w:t>
      </w:r>
      <w:r>
        <w:rPr/>
        <w:t>，期权代码：</w:t>
      </w:r>
      <w:r>
        <w:rPr>
          <w:rFonts w:ascii="宋体" w:hAnsi="宋体" w:cs="宋体" w:eastAsia="宋体" w:hint="default"/>
        </w:rPr>
        <w:t>036336</w:t>
      </w:r>
      <w:r>
        <w:rPr/>
        <w:t>。授予的股票期权</w:t>
      </w:r>
      <w:r>
        <w:rPr>
          <w:w w:val="100"/>
        </w:rPr>
        <w:t> </w:t>
      </w:r>
      <w:r>
        <w:rPr/>
        <w:t>登记时间为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日，授予的限制性股票上市日期为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w:t>
      </w:r>
    </w:p>
    <w:p>
      <w:pPr>
        <w:pStyle w:val="BodyText"/>
        <w:spacing w:line="408" w:lineRule="auto"/>
        <w:ind w:right="1126" w:firstLine="420"/>
        <w:jc w:val="both"/>
      </w:pP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18</w:t>
      </w:r>
      <w:r>
        <w:rPr>
          <w:spacing w:val="-6"/>
        </w:rPr>
        <w:t>日，公司召开了第三届董事会第七次会议与第三届监事会第六次会议，会议审议通过《关</w:t>
      </w:r>
      <w:r>
        <w:rPr>
          <w:w w:val="100"/>
        </w:rPr>
        <w:t> </w:t>
      </w:r>
      <w:r>
        <w:rPr>
          <w:spacing w:val="-2"/>
        </w:rPr>
        <w:t>于调整</w:t>
      </w:r>
      <w:r>
        <w:rPr>
          <w:rFonts w:ascii="宋体" w:hAnsi="宋体" w:cs="宋体" w:eastAsia="宋体" w:hint="default"/>
          <w:spacing w:val="-2"/>
        </w:rPr>
        <w:t>2018</w:t>
      </w:r>
      <w:r>
        <w:rPr>
          <w:spacing w:val="-2"/>
        </w:rPr>
        <w:t>年股票期权与限制性股票激励计划股票期权行权价格的议案》、《关于</w:t>
      </w:r>
      <w:r>
        <w:rPr>
          <w:rFonts w:ascii="宋体" w:hAnsi="宋体" w:cs="宋体" w:eastAsia="宋体" w:hint="default"/>
          <w:spacing w:val="-2"/>
        </w:rPr>
        <w:t>2018</w:t>
      </w:r>
      <w:r>
        <w:rPr>
          <w:spacing w:val="-2"/>
        </w:rPr>
        <w:t>年股票期权与限制</w:t>
      </w:r>
      <w:r>
        <w:rPr>
          <w:spacing w:val="-34"/>
        </w:rPr>
        <w:t> </w:t>
      </w:r>
      <w:r>
        <w:rPr>
          <w:spacing w:val="-34"/>
        </w:rPr>
      </w:r>
      <w:r>
        <w:rPr/>
        <w:t>性股票激励计划首次授予权益第一个行权期</w:t>
      </w:r>
      <w:r>
        <w:rPr>
          <w:rFonts w:ascii="宋体" w:hAnsi="宋体" w:cs="宋体" w:eastAsia="宋体" w:hint="default"/>
        </w:rPr>
        <w:t>/</w:t>
      </w:r>
      <w:r>
        <w:rPr/>
        <w:t>解除限售期条件成就的议案》、《关于回购注销部分限制性</w:t>
      </w:r>
      <w:r>
        <w:rPr>
          <w:spacing w:val="-23"/>
        </w:rPr>
        <w:t> </w:t>
      </w:r>
      <w:r>
        <w:rPr>
          <w:spacing w:val="-23"/>
        </w:rPr>
      </w:r>
      <w:r>
        <w:rPr>
          <w:spacing w:val="-2"/>
        </w:rPr>
        <w:t>股票的议案》、《关于注销部分股票期权的议案》。董事会认为：公司</w:t>
      </w:r>
      <w:r>
        <w:rPr>
          <w:rFonts w:ascii="宋体" w:hAnsi="宋体" w:cs="宋体" w:eastAsia="宋体" w:hint="default"/>
          <w:spacing w:val="-2"/>
        </w:rPr>
        <w:t>2018</w:t>
      </w:r>
      <w:r>
        <w:rPr>
          <w:spacing w:val="-2"/>
        </w:rPr>
        <w:t>年年度利润分配方案（以公司</w:t>
      </w:r>
      <w:r>
        <w:rPr>
          <w:spacing w:val="-42"/>
        </w:rPr>
        <w:t> </w:t>
      </w:r>
      <w:r>
        <w:rPr>
          <w:spacing w:val="-42"/>
        </w:rPr>
      </w:r>
      <w:r>
        <w:rPr/>
        <w:t>股本总数</w:t>
      </w:r>
      <w:r>
        <w:rPr>
          <w:rFonts w:ascii="宋体" w:hAnsi="宋体" w:cs="宋体" w:eastAsia="宋体" w:hint="default"/>
        </w:rPr>
        <w:t>189,797,349</w:t>
      </w:r>
      <w:r>
        <w:rPr/>
        <w:t>股为基数，向全体股东每</w:t>
      </w:r>
      <w:r>
        <w:rPr>
          <w:rFonts w:ascii="宋体" w:hAnsi="宋体" w:cs="宋体" w:eastAsia="宋体" w:hint="default"/>
        </w:rPr>
        <w:t>10</w:t>
      </w:r>
      <w:r>
        <w:rPr/>
        <w:t>股派发现金红利</w:t>
      </w:r>
      <w:r>
        <w:rPr>
          <w:rFonts w:ascii="宋体" w:hAnsi="宋体" w:cs="宋体" w:eastAsia="宋体" w:hint="default"/>
        </w:rPr>
        <w:t>0.17</w:t>
      </w:r>
      <w:r>
        <w:rPr/>
        <w:t>元（含税））已于</w:t>
      </w:r>
      <w:r>
        <w:rPr>
          <w:rFonts w:ascii="宋体" w:hAnsi="宋体" w:cs="宋体" w:eastAsia="宋体" w:hint="default"/>
        </w:rPr>
        <w:t>2019</w:t>
      </w:r>
      <w:r>
        <w:rPr/>
        <w:t>年</w:t>
      </w:r>
      <w:r>
        <w:rPr>
          <w:rFonts w:ascii="宋体" w:hAnsi="宋体" w:cs="宋体" w:eastAsia="宋体" w:hint="default"/>
        </w:rPr>
        <w:t>06</w:t>
      </w:r>
      <w:r>
        <w:rPr/>
        <w:t>月</w:t>
      </w:r>
      <w:r>
        <w:rPr>
          <w:rFonts w:ascii="宋体" w:hAnsi="宋体" w:cs="宋体" w:eastAsia="宋体" w:hint="default"/>
        </w:rPr>
        <w:t>21</w:t>
      </w:r>
      <w:r>
        <w:rPr/>
        <w:t>日</w:t>
      </w:r>
      <w:r>
        <w:rPr>
          <w:spacing w:val="-28"/>
        </w:rPr>
        <w:t> </w:t>
      </w:r>
      <w:r>
        <w:rPr>
          <w:spacing w:val="-2"/>
        </w:rPr>
        <w:t>实施完毕，现需对</w:t>
      </w:r>
      <w:r>
        <w:rPr>
          <w:rFonts w:ascii="宋体" w:hAnsi="宋体" w:cs="宋体" w:eastAsia="宋体" w:hint="default"/>
          <w:spacing w:val="-2"/>
        </w:rPr>
        <w:t>2018</w:t>
      </w:r>
      <w:r>
        <w:rPr>
          <w:spacing w:val="-2"/>
        </w:rPr>
        <w:t>年股票期权与限制性股票激励计划首次授予股票期权行权价格进行调整，将股票期</w:t>
      </w:r>
      <w:r>
        <w:rPr>
          <w:spacing w:val="-40"/>
        </w:rPr>
        <w:t> </w:t>
      </w:r>
      <w:r>
        <w:rPr>
          <w:spacing w:val="-40"/>
        </w:rPr>
      </w:r>
      <w:r>
        <w:rPr/>
        <w:t>权行权价格由</w:t>
      </w:r>
      <w:r>
        <w:rPr>
          <w:rFonts w:ascii="宋体" w:hAnsi="宋体" w:cs="宋体" w:eastAsia="宋体" w:hint="default"/>
        </w:rPr>
        <w:t>13.61</w:t>
      </w:r>
      <w:r>
        <w:rPr/>
        <w:t>元</w:t>
      </w:r>
      <w:r>
        <w:rPr>
          <w:rFonts w:ascii="宋体" w:hAnsi="宋体" w:cs="宋体" w:eastAsia="宋体" w:hint="default"/>
        </w:rPr>
        <w:t>/</w:t>
      </w:r>
      <w:r>
        <w:rPr/>
        <w:t>股调整为</w:t>
      </w:r>
      <w:r>
        <w:rPr>
          <w:rFonts w:ascii="宋体" w:hAnsi="宋体" w:cs="宋体" w:eastAsia="宋体" w:hint="default"/>
        </w:rPr>
        <w:t>13.593</w:t>
      </w:r>
      <w:r>
        <w:rPr/>
        <w:t>元</w:t>
      </w:r>
      <w:r>
        <w:rPr>
          <w:rFonts w:ascii="宋体" w:hAnsi="宋体" w:cs="宋体" w:eastAsia="宋体" w:hint="default"/>
        </w:rPr>
        <w:t>/</w:t>
      </w:r>
      <w:r>
        <w:rPr/>
        <w:t>股。同时，公司</w:t>
      </w:r>
      <w:r>
        <w:rPr>
          <w:rFonts w:ascii="宋体" w:hAnsi="宋体" w:cs="宋体" w:eastAsia="宋体" w:hint="default"/>
        </w:rPr>
        <w:t>2018</w:t>
      </w:r>
      <w:r>
        <w:rPr/>
        <w:t>年股票期权与限制性股票激励计划首次授</w:t>
      </w:r>
      <w:r>
        <w:rPr>
          <w:spacing w:val="-28"/>
        </w:rPr>
        <w:t> </w:t>
      </w:r>
      <w:r>
        <w:rPr>
          <w:spacing w:val="-28"/>
        </w:rPr>
      </w:r>
      <w:r>
        <w:rPr>
          <w:spacing w:val="-2"/>
        </w:rPr>
        <w:t>予权益的第一个行权</w:t>
      </w:r>
      <w:r>
        <w:rPr>
          <w:rFonts w:ascii="宋体" w:hAnsi="宋体" w:cs="宋体" w:eastAsia="宋体" w:hint="default"/>
          <w:spacing w:val="-2"/>
        </w:rPr>
        <w:t>/</w:t>
      </w:r>
      <w:r>
        <w:rPr>
          <w:spacing w:val="-2"/>
        </w:rPr>
        <w:t>解除限售期可行权</w:t>
      </w:r>
      <w:r>
        <w:rPr>
          <w:rFonts w:ascii="宋体" w:hAnsi="宋体" w:cs="宋体" w:eastAsia="宋体" w:hint="default"/>
          <w:spacing w:val="-2"/>
        </w:rPr>
        <w:t>/</w:t>
      </w:r>
      <w:r>
        <w:rPr>
          <w:spacing w:val="-2"/>
        </w:rPr>
        <w:t>可解除限售条件已成就，同意符合行权条件的</w:t>
      </w:r>
      <w:r>
        <w:rPr>
          <w:rFonts w:ascii="宋体" w:hAnsi="宋体" w:cs="宋体" w:eastAsia="宋体" w:hint="default"/>
          <w:spacing w:val="-2"/>
        </w:rPr>
        <w:t>37</w:t>
      </w:r>
      <w:r>
        <w:rPr>
          <w:spacing w:val="-2"/>
        </w:rPr>
        <w:t>名激励对象在第</w:t>
      </w:r>
      <w:r>
        <w:rPr>
          <w:spacing w:val="-45"/>
        </w:rPr>
        <w:t> </w:t>
      </w:r>
      <w:r>
        <w:rPr>
          <w:spacing w:val="-45"/>
        </w:rPr>
      </w:r>
      <w:r>
        <w:rPr/>
        <w:t>一个行权期内以自主行权方式进行行权，可行权的期权数量为</w:t>
      </w:r>
      <w:r>
        <w:rPr>
          <w:rFonts w:ascii="宋体" w:hAnsi="宋体" w:cs="宋体" w:eastAsia="宋体" w:hint="default"/>
        </w:rPr>
        <w:t>829,428</w:t>
      </w:r>
      <w:r>
        <w:rPr/>
        <w:t>份；同意公司按照《公司</w:t>
      </w:r>
      <w:r>
        <w:rPr>
          <w:rFonts w:ascii="宋体" w:hAnsi="宋体" w:cs="宋体" w:eastAsia="宋体" w:hint="default"/>
        </w:rPr>
        <w:t>2018</w:t>
      </w:r>
      <w:r>
        <w:rPr/>
        <w:t>股票</w:t>
      </w:r>
      <w:r>
        <w:rPr>
          <w:spacing w:val="-24"/>
        </w:rPr>
        <w:t> </w:t>
      </w:r>
      <w:r>
        <w:rPr>
          <w:spacing w:val="-2"/>
        </w:rPr>
        <w:t>期权与限制性股票激励计划》的相关规定办理首次授予限制性股票的第一个解锁期解除限售相关事宜。公</w:t>
      </w:r>
      <w:r>
        <w:rPr>
          <w:spacing w:val="-44"/>
        </w:rPr>
        <w:t> </w:t>
      </w:r>
      <w:r>
        <w:rPr>
          <w:spacing w:val="-44"/>
        </w:rPr>
      </w:r>
      <w:r>
        <w:rPr>
          <w:spacing w:val="-2"/>
        </w:rPr>
        <w:t>司独立董事、监事会对此发表了同意的独立意见。本次期权自主行权与限制性股票解除限售的相关事项已</w:t>
      </w:r>
      <w:r>
        <w:rPr>
          <w:spacing w:val="-43"/>
        </w:rPr>
        <w:t> </w:t>
      </w:r>
      <w:r>
        <w:rPr>
          <w:spacing w:val="-43"/>
        </w:rPr>
      </w:r>
      <w:r>
        <w:rPr>
          <w:spacing w:val="-2"/>
        </w:rPr>
        <w:t>在中国证券登记结算有限责任公司深圳分公司办理完成。具体内容详见公司在创业板指定信息披露网站巨</w:t>
      </w:r>
      <w:r>
        <w:rPr>
          <w:spacing w:val="-43"/>
        </w:rPr>
        <w:t> </w:t>
      </w:r>
      <w:r>
        <w:rPr>
          <w:spacing w:val="-43"/>
        </w:rPr>
      </w:r>
      <w:r>
        <w:rPr/>
        <w:t>潮资讯网（</w:t>
      </w:r>
      <w:hyperlink r:id="rId11">
        <w:r>
          <w:rPr>
            <w:rFonts w:ascii="宋体" w:hAnsi="宋体" w:cs="宋体" w:eastAsia="宋体" w:hint="default"/>
          </w:rPr>
          <w:t>www.cninfo.com.cn</w:t>
        </w:r>
      </w:hyperlink>
      <w:r>
        <w:rPr/>
        <w:t>）上的相关披露。</w:t>
      </w:r>
    </w:p>
    <w:p>
      <w:pPr>
        <w:pStyle w:val="BodyText"/>
        <w:spacing w:line="408" w:lineRule="auto"/>
        <w:ind w:right="1126" w:firstLine="420"/>
        <w:jc w:val="both"/>
      </w:pPr>
      <w:r>
        <w:rPr>
          <w:rFonts w:ascii="宋体" w:hAnsi="宋体" w:cs="宋体" w:eastAsia="宋体" w:hint="default"/>
          <w:spacing w:val="-2"/>
        </w:rPr>
        <w:t>2020</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16</w:t>
      </w:r>
      <w:r>
        <w:rPr>
          <w:spacing w:val="-2"/>
        </w:rPr>
        <w:t>日，公司办理完成了</w:t>
      </w:r>
      <w:r>
        <w:rPr>
          <w:rFonts w:ascii="宋体" w:hAnsi="宋体" w:cs="宋体" w:eastAsia="宋体" w:hint="default"/>
          <w:spacing w:val="-2"/>
        </w:rPr>
        <w:t>2018</w:t>
      </w:r>
      <w:r>
        <w:rPr>
          <w:spacing w:val="-2"/>
        </w:rPr>
        <w:t>年股票期权与限制性股票第一个限售期解除限售与第一个行权</w:t>
      </w:r>
      <w:r>
        <w:rPr>
          <w:w w:val="100"/>
        </w:rPr>
        <w:t> </w:t>
      </w:r>
      <w:r>
        <w:rPr/>
        <w:t>期自主行权的相关手续。本次解除限售的限制性股票共</w:t>
      </w:r>
      <w:r>
        <w:rPr>
          <w:rFonts w:ascii="宋体" w:hAnsi="宋体" w:cs="宋体" w:eastAsia="宋体" w:hint="default"/>
        </w:rPr>
        <w:t>355,471</w:t>
      </w:r>
      <w:r>
        <w:rPr/>
        <w:t>股，上市流通时间为</w:t>
      </w:r>
      <w:r>
        <w:rPr>
          <w:rFonts w:ascii="宋体" w:hAnsi="宋体" w:cs="宋体" w:eastAsia="宋体" w:hint="default"/>
        </w:rPr>
        <w:t>2020</w:t>
      </w:r>
      <w:r>
        <w:rPr/>
        <w:t>年</w:t>
      </w:r>
      <w:r>
        <w:rPr>
          <w:rFonts w:ascii="宋体" w:hAnsi="宋体" w:cs="宋体" w:eastAsia="宋体" w:hint="default"/>
        </w:rPr>
        <w:t>01</w:t>
      </w:r>
      <w:r>
        <w:rPr/>
        <w:t>月</w:t>
      </w:r>
      <w:r>
        <w:rPr>
          <w:rFonts w:ascii="宋体" w:hAnsi="宋体" w:cs="宋体" w:eastAsia="宋体" w:hint="default"/>
        </w:rPr>
        <w:t>20</w:t>
      </w:r>
      <w:r>
        <w:rPr/>
        <w:t>日；本</w:t>
      </w:r>
      <w:r>
        <w:rPr>
          <w:spacing w:val="-24"/>
        </w:rPr>
        <w:t> </w:t>
      </w:r>
      <w:r>
        <w:rPr/>
        <w:t>次可行权的股票期权数量共</w:t>
      </w:r>
      <w:r>
        <w:rPr>
          <w:rFonts w:ascii="宋体" w:hAnsi="宋体" w:cs="宋体" w:eastAsia="宋体" w:hint="default"/>
        </w:rPr>
        <w:t>829,428</w:t>
      </w:r>
      <w:r>
        <w:rPr/>
        <w:t>份，实际可行权期限为</w:t>
      </w:r>
      <w:r>
        <w:rPr>
          <w:rFonts w:ascii="宋体" w:hAnsi="宋体" w:cs="宋体" w:eastAsia="宋体" w:hint="default"/>
        </w:rPr>
        <w:t>2020</w:t>
      </w:r>
      <w:r>
        <w:rPr/>
        <w:t>年</w:t>
      </w:r>
      <w:r>
        <w:rPr>
          <w:rFonts w:ascii="宋体" w:hAnsi="宋体" w:cs="宋体" w:eastAsia="宋体" w:hint="default"/>
        </w:rPr>
        <w:t>01</w:t>
      </w:r>
      <w:r>
        <w:rPr/>
        <w:t>月</w:t>
      </w:r>
      <w:r>
        <w:rPr>
          <w:rFonts w:ascii="宋体" w:hAnsi="宋体" w:cs="宋体" w:eastAsia="宋体" w:hint="default"/>
        </w:rPr>
        <w:t>20</w:t>
      </w:r>
      <w:r>
        <w:rPr/>
        <w:t>日至</w:t>
      </w:r>
      <w:r>
        <w:rPr>
          <w:rFonts w:ascii="宋体" w:hAnsi="宋体" w:cs="宋体" w:eastAsia="宋体" w:hint="default"/>
        </w:rPr>
        <w:t>2021</w:t>
      </w:r>
      <w:r>
        <w:rPr/>
        <w:t>年</w:t>
      </w:r>
      <w:r>
        <w:rPr>
          <w:rFonts w:ascii="宋体" w:hAnsi="宋体" w:cs="宋体" w:eastAsia="宋体" w:hint="default"/>
        </w:rPr>
        <w:t>01</w:t>
      </w:r>
      <w:r>
        <w:rPr/>
        <w:t>月</w:t>
      </w:r>
      <w:r>
        <w:rPr>
          <w:rFonts w:ascii="宋体" w:hAnsi="宋体" w:cs="宋体" w:eastAsia="宋体" w:hint="default"/>
        </w:rPr>
        <w:t>15</w:t>
      </w:r>
      <w:r>
        <w:rPr/>
        <w:t>日。具体内容</w:t>
      </w:r>
      <w:r>
        <w:rPr>
          <w:spacing w:val="-27"/>
        </w:rPr>
        <w:t> </w:t>
      </w:r>
      <w:r>
        <w:rPr>
          <w:spacing w:val="-27"/>
        </w:rPr>
      </w:r>
      <w:r>
        <w:rPr/>
        <w:t>详见公司在创业板指定信息披露网站巨潮资讯网（</w:t>
      </w:r>
      <w:hyperlink r:id="rId11">
        <w:r>
          <w:rPr>
            <w:rFonts w:ascii="宋体" w:hAnsi="宋体" w:cs="宋体" w:eastAsia="宋体" w:hint="default"/>
          </w:rPr>
          <w:t>www.cninfo.com.cn</w:t>
        </w:r>
      </w:hyperlink>
      <w:r>
        <w:rPr/>
        <w:t>）上的相关披露。</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19"/>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3"/>
        <w:spacing w:line="240" w:lineRule="auto"/>
        <w:ind w:right="1119"/>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994"/>
        <w:gridCol w:w="2410"/>
        <w:gridCol w:w="1274"/>
        <w:gridCol w:w="2127"/>
      </w:tblGrid>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承租人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用途</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
              <w:jc w:val="center"/>
              <w:rPr>
                <w:rFonts w:ascii="宋体" w:hAnsi="宋体" w:cs="宋体" w:eastAsia="宋体" w:hint="default"/>
                <w:sz w:val="20"/>
                <w:szCs w:val="20"/>
              </w:rPr>
            </w:pPr>
            <w:r>
              <w:rPr>
                <w:rFonts w:ascii="宋体" w:hAnsi="宋体" w:cs="宋体" w:eastAsia="宋体" w:hint="default"/>
                <w:sz w:val="20"/>
                <w:szCs w:val="20"/>
              </w:rPr>
              <w:t>地址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2" w:right="0"/>
              <w:jc w:val="left"/>
              <w:rPr>
                <w:rFonts w:ascii="宋体" w:hAnsi="宋体" w:cs="宋体" w:eastAsia="宋体" w:hint="default"/>
                <w:sz w:val="20"/>
                <w:szCs w:val="20"/>
              </w:rPr>
            </w:pPr>
            <w:r>
              <w:rPr>
                <w:rFonts w:ascii="宋体" w:hAnsi="宋体" w:cs="宋体" w:eastAsia="宋体" w:hint="default"/>
                <w:sz w:val="20"/>
                <w:szCs w:val="20"/>
              </w:rPr>
              <w:t>租赁面积</w:t>
            </w:r>
          </w:p>
          <w:p>
            <w:pPr>
              <w:pStyle w:val="TableParagraph"/>
              <w:spacing w:line="240" w:lineRule="auto" w:before="50"/>
              <w:ind w:left="331" w:right="0"/>
              <w:jc w:val="left"/>
              <w:rPr>
                <w:rFonts w:ascii="宋体" w:hAnsi="宋体" w:cs="宋体" w:eastAsia="宋体" w:hint="default"/>
                <w:sz w:val="20"/>
                <w:szCs w:val="20"/>
              </w:rPr>
            </w:pPr>
            <w:r>
              <w:rPr>
                <w:rFonts w:ascii="宋体" w:hAnsi="宋体" w:cs="宋体" w:eastAsia="宋体" w:hint="default"/>
                <w:sz w:val="20"/>
                <w:szCs w:val="20"/>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60" w:right="0"/>
              <w:jc w:val="left"/>
              <w:rPr>
                <w:rFonts w:ascii="宋体" w:hAnsi="宋体" w:cs="宋体" w:eastAsia="宋体" w:hint="default"/>
                <w:sz w:val="20"/>
                <w:szCs w:val="20"/>
              </w:rPr>
            </w:pPr>
            <w:r>
              <w:rPr>
                <w:rFonts w:ascii="宋体" w:hAnsi="宋体" w:cs="宋体" w:eastAsia="宋体" w:hint="default"/>
                <w:sz w:val="20"/>
                <w:szCs w:val="20"/>
              </w:rPr>
              <w:t>租赁期限</w:t>
            </w:r>
          </w:p>
        </w:tc>
      </w:tr>
      <w:tr>
        <w:trPr>
          <w:trHeight w:val="6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中山市民众镇大骏布业城</w:t>
            </w:r>
            <w:r>
              <w:rPr>
                <w:rFonts w:ascii="宋体" w:hAnsi="宋体" w:cs="宋体" w:eastAsia="宋体" w:hint="default"/>
                <w:spacing w:val="3"/>
                <w:sz w:val="18"/>
                <w:szCs w:val="18"/>
              </w:rPr>
              <w:t>F1</w:t>
            </w:r>
            <w:r>
              <w:rPr>
                <w:rFonts w:ascii="宋体" w:hAnsi="宋体" w:cs="宋体" w:eastAsia="宋体" w:hint="default"/>
                <w:spacing w:val="3"/>
                <w:sz w:val="18"/>
                <w:szCs w:val="18"/>
              </w:rPr>
              <w:t>幢</w:t>
            </w:r>
            <w:r>
              <w:rPr>
                <w:rFonts w:ascii="宋体" w:hAnsi="宋体" w:cs="宋体" w:eastAsia="宋体" w:hint="default"/>
                <w:spacing w:val="-87"/>
                <w:sz w:val="18"/>
                <w:szCs w:val="18"/>
              </w:rPr>
              <w:t> </w:t>
            </w:r>
            <w:r>
              <w:rPr>
                <w:rFonts w:ascii="宋体" w:hAnsi="宋体" w:cs="宋体" w:eastAsia="宋体" w:hint="default"/>
                <w:sz w:val="18"/>
                <w:szCs w:val="18"/>
              </w:rPr>
              <w:t>二楼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2016-7-1</w:t>
            </w:r>
            <w:r>
              <w:rPr>
                <w:rFonts w:ascii="宋体" w:hAnsi="宋体" w:cs="宋体" w:eastAsia="宋体" w:hint="default"/>
                <w:sz w:val="18"/>
                <w:szCs w:val="18"/>
              </w:rPr>
              <w:t>至</w:t>
            </w:r>
            <w:r>
              <w:rPr>
                <w:rFonts w:ascii="宋体" w:hAnsi="宋体" w:cs="宋体" w:eastAsia="宋体" w:hint="default"/>
                <w:sz w:val="18"/>
                <w:szCs w:val="18"/>
              </w:rPr>
              <w:t>2020-6-30</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中山市火炬开发区健康基地人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才楼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pacing w:val="-1"/>
                <w:sz w:val="18"/>
                <w:szCs w:val="18"/>
              </w:rPr>
              <w:t>2019-7-10</w:t>
            </w:r>
            <w:r>
              <w:rPr>
                <w:rFonts w:ascii="宋体" w:hAnsi="宋体" w:cs="宋体" w:eastAsia="宋体" w:hint="default"/>
                <w:spacing w:val="-1"/>
                <w:sz w:val="18"/>
                <w:szCs w:val="18"/>
              </w:rPr>
              <w:t>至</w:t>
            </w:r>
            <w:r>
              <w:rPr>
                <w:rFonts w:ascii="宋体" w:hAnsi="宋体" w:cs="宋体" w:eastAsia="宋体" w:hint="default"/>
                <w:spacing w:val="-1"/>
                <w:sz w:val="18"/>
                <w:szCs w:val="18"/>
              </w:rPr>
              <w:t>2019-12-31</w:t>
            </w:r>
            <w:r>
              <w:rPr>
                <w:rFonts w:ascii="宋体" w:hAnsi="宋体" w:cs="宋体" w:eastAsia="宋体" w:hint="default"/>
                <w:sz w:val="18"/>
                <w:szCs w:val="18"/>
              </w:rPr>
            </w:r>
          </w:p>
        </w:tc>
      </w:tr>
      <w:tr>
        <w:trPr>
          <w:trHeight w:val="6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中山市火炬开发区街道东利路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幸福公寓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2019-8-1</w:t>
            </w:r>
            <w:r>
              <w:rPr>
                <w:rFonts w:ascii="宋体" w:hAnsi="宋体" w:cs="宋体" w:eastAsia="宋体" w:hint="default"/>
                <w:sz w:val="18"/>
                <w:szCs w:val="18"/>
              </w:rPr>
              <w:t>至</w:t>
            </w:r>
            <w:r>
              <w:rPr>
                <w:rFonts w:ascii="宋体" w:hAnsi="宋体" w:cs="宋体" w:eastAsia="宋体" w:hint="default"/>
                <w:sz w:val="18"/>
                <w:szCs w:val="18"/>
              </w:rPr>
              <w:t>2021-6-30</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中山市火炬开发区街道东利路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幸福公寓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2019-6-1</w:t>
            </w:r>
            <w:r>
              <w:rPr>
                <w:rFonts w:ascii="宋体" w:hAnsi="宋体" w:cs="宋体" w:eastAsia="宋体" w:hint="default"/>
                <w:sz w:val="18"/>
                <w:szCs w:val="18"/>
              </w:rPr>
              <w:t>至</w:t>
            </w:r>
            <w:r>
              <w:rPr>
                <w:rFonts w:ascii="宋体" w:hAnsi="宋体" w:cs="宋体" w:eastAsia="宋体" w:hint="default"/>
                <w:sz w:val="18"/>
                <w:szCs w:val="18"/>
              </w:rPr>
              <w:t>2021-6-31</w:t>
            </w:r>
          </w:p>
        </w:tc>
      </w:tr>
      <w:tr>
        <w:trPr>
          <w:trHeight w:val="65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中山市火炬开发区街道东利路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幸福公寓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2019-4-1</w:t>
            </w:r>
            <w:r>
              <w:rPr>
                <w:rFonts w:ascii="宋体" w:hAnsi="宋体" w:cs="宋体" w:eastAsia="宋体" w:hint="default"/>
                <w:sz w:val="18"/>
                <w:szCs w:val="18"/>
              </w:rPr>
              <w:t>至</w:t>
            </w:r>
            <w:r>
              <w:rPr>
                <w:rFonts w:ascii="宋体" w:hAnsi="宋体" w:cs="宋体" w:eastAsia="宋体" w:hint="default"/>
                <w:sz w:val="18"/>
                <w:szCs w:val="18"/>
              </w:rPr>
              <w:t>2021-6-31</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中山市民众镇多宝社区宝和路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w:t>
            </w:r>
            <w:r>
              <w:rPr>
                <w:rFonts w:ascii="宋体" w:hAnsi="宋体" w:cs="宋体" w:eastAsia="宋体" w:hint="default"/>
                <w:sz w:val="18"/>
                <w:szCs w:val="18"/>
              </w:rPr>
              <w:t>号工业地之厂房二楼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4,750.00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pacing w:val="-1"/>
                <w:sz w:val="18"/>
                <w:szCs w:val="18"/>
              </w:rPr>
              <w:t>2018-12-16</w:t>
            </w:r>
            <w:r>
              <w:rPr>
                <w:rFonts w:ascii="宋体" w:hAnsi="宋体" w:cs="宋体" w:eastAsia="宋体" w:hint="default"/>
                <w:spacing w:val="-1"/>
                <w:sz w:val="18"/>
                <w:szCs w:val="18"/>
              </w:rPr>
              <w:t>至</w:t>
            </w:r>
            <w:r>
              <w:rPr>
                <w:rFonts w:ascii="宋体" w:hAnsi="宋体" w:cs="宋体" w:eastAsia="宋体" w:hint="default"/>
                <w:spacing w:val="-1"/>
                <w:sz w:val="18"/>
                <w:szCs w:val="18"/>
              </w:rPr>
              <w:t>2020-12-15</w:t>
            </w:r>
            <w:r>
              <w:rPr>
                <w:rFonts w:ascii="宋体" w:hAnsi="宋体" w:cs="宋体" w:eastAsia="宋体" w:hint="default"/>
                <w:sz w:val="18"/>
                <w:szCs w:val="18"/>
              </w:rPr>
            </w:r>
          </w:p>
        </w:tc>
      </w:tr>
      <w:tr>
        <w:trPr>
          <w:trHeight w:val="96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sz w:val="18"/>
              </w:rPr>
              <w:t>Mio Labs</w:t>
            </w:r>
            <w:r>
              <w:rPr>
                <w:rFonts w:ascii="宋体"/>
                <w:spacing w:val="-4"/>
                <w:sz w:val="18"/>
              </w:rPr>
              <w:t> </w:t>
            </w:r>
            <w:r>
              <w:rPr>
                <w:rFonts w:ascii="宋体"/>
                <w:sz w:val="18"/>
              </w:rPr>
              <w:t>Inc</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4"/>
              <w:jc w:val="both"/>
              <w:rPr>
                <w:rFonts w:ascii="宋体" w:hAnsi="宋体" w:cs="宋体" w:eastAsia="宋体" w:hint="default"/>
                <w:sz w:val="18"/>
                <w:szCs w:val="18"/>
              </w:rPr>
            </w:pPr>
            <w:r>
              <w:rPr>
                <w:rFonts w:ascii="宋体"/>
                <w:sz w:val="18"/>
              </w:rPr>
              <w:t>4500 Great America</w:t>
            </w:r>
            <w:r>
              <w:rPr>
                <w:rFonts w:ascii="宋体"/>
                <w:spacing w:val="41"/>
                <w:sz w:val="18"/>
              </w:rPr>
              <w:t> </w:t>
            </w:r>
            <w:r>
              <w:rPr>
                <w:rFonts w:ascii="宋体"/>
                <w:sz w:val="18"/>
              </w:rPr>
              <w:t>Pkwy,</w:t>
            </w:r>
            <w:r>
              <w:rPr>
                <w:rFonts w:ascii="宋体"/>
                <w:sz w:val="18"/>
              </w:rPr>
              <w:t> Suite 1023, Santa Clara,</w:t>
            </w:r>
            <w:r>
              <w:rPr>
                <w:rFonts w:ascii="宋体"/>
                <w:spacing w:val="-49"/>
                <w:sz w:val="18"/>
              </w:rPr>
              <w:t> </w:t>
            </w:r>
            <w:r>
              <w:rPr>
                <w:rFonts w:ascii="宋体"/>
                <w:sz w:val="18"/>
              </w:rPr>
              <w:t>CA</w:t>
            </w:r>
            <w:r>
              <w:rPr>
                <w:rFonts w:ascii="宋体"/>
                <w:sz w:val="18"/>
              </w:rPr>
              <w:t> 95054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2019-8-15</w:t>
            </w:r>
            <w:r>
              <w:rPr>
                <w:rFonts w:ascii="宋体" w:hAnsi="宋体" w:cs="宋体" w:eastAsia="宋体" w:hint="default"/>
                <w:sz w:val="18"/>
                <w:szCs w:val="18"/>
              </w:rPr>
              <w:t>至</w:t>
            </w:r>
            <w:r>
              <w:rPr>
                <w:rFonts w:ascii="宋体" w:hAnsi="宋体" w:cs="宋体" w:eastAsia="宋体" w:hint="default"/>
                <w:sz w:val="18"/>
                <w:szCs w:val="18"/>
              </w:rPr>
              <w:t>2020-2-14</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Mio Labs</w:t>
            </w:r>
            <w:r>
              <w:rPr>
                <w:rFonts w:ascii="宋体"/>
                <w:spacing w:val="-4"/>
                <w:sz w:val="18"/>
              </w:rPr>
              <w:t> </w:t>
            </w:r>
            <w:r>
              <w:rPr>
                <w:rFonts w:ascii="宋体"/>
                <w:sz w:val="18"/>
              </w:rPr>
              <w:t>Inc</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sz w:val="18"/>
              </w:rPr>
              <w:t>224 Flynn Ave,</w:t>
            </w:r>
            <w:r>
              <w:rPr>
                <w:rFonts w:ascii="宋体"/>
                <w:spacing w:val="43"/>
                <w:sz w:val="18"/>
              </w:rPr>
              <w:t> </w:t>
            </w:r>
            <w:r>
              <w:rPr>
                <w:rFonts w:ascii="宋体"/>
                <w:sz w:val="18"/>
              </w:rPr>
              <w:t>Mountain</w:t>
            </w:r>
            <w:r>
              <w:rPr>
                <w:rFonts w:ascii="宋体"/>
                <w:sz w:val="18"/>
              </w:rPr>
              <w:t> View, VA 94043</w:t>
            </w:r>
            <w:r>
              <w:rPr>
                <w:rFonts w:ascii="宋体"/>
                <w:spacing w:val="-7"/>
                <w:sz w:val="18"/>
              </w:rPr>
              <w:t> </w:t>
            </w:r>
            <w:r>
              <w:rPr>
                <w:rFonts w:ascii="宋体"/>
                <w:sz w:val="18"/>
              </w:rPr>
              <w:t>USA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2018-10-1</w:t>
            </w:r>
            <w:r>
              <w:rPr>
                <w:rFonts w:ascii="宋体" w:hAnsi="宋体" w:cs="宋体" w:eastAsia="宋体" w:hint="default"/>
                <w:sz w:val="18"/>
                <w:szCs w:val="18"/>
              </w:rPr>
              <w:t>至</w:t>
            </w:r>
            <w:r>
              <w:rPr>
                <w:rFonts w:ascii="宋体" w:hAnsi="宋体" w:cs="宋体" w:eastAsia="宋体" w:hint="default"/>
                <w:sz w:val="18"/>
                <w:szCs w:val="18"/>
              </w:rPr>
              <w:t>2020-9-30</w:t>
            </w:r>
          </w:p>
        </w:tc>
      </w:tr>
      <w:tr>
        <w:trPr>
          <w:trHeight w:val="6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深圳市南山区高新南一道中科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大厦</w:t>
            </w:r>
            <w:r>
              <w:rPr>
                <w:rFonts w:ascii="宋体" w:hAnsi="宋体" w:cs="宋体" w:eastAsia="宋体" w:hint="default"/>
                <w:sz w:val="18"/>
                <w:szCs w:val="18"/>
              </w:rPr>
              <w:t>19A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753.92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pacing w:val="-1"/>
                <w:sz w:val="18"/>
                <w:szCs w:val="18"/>
              </w:rPr>
              <w:t>2018-5-15</w:t>
            </w:r>
            <w:r>
              <w:rPr>
                <w:rFonts w:ascii="宋体" w:hAnsi="宋体" w:cs="宋体" w:eastAsia="宋体" w:hint="default"/>
                <w:spacing w:val="-1"/>
                <w:sz w:val="18"/>
                <w:szCs w:val="18"/>
              </w:rPr>
              <w:t>至</w:t>
            </w:r>
            <w:r>
              <w:rPr>
                <w:rFonts w:ascii="宋体" w:hAnsi="宋体" w:cs="宋体" w:eastAsia="宋体" w:hint="default"/>
                <w:spacing w:val="-1"/>
                <w:sz w:val="18"/>
                <w:szCs w:val="18"/>
              </w:rPr>
              <w:t>2020-11-30</w:t>
            </w:r>
            <w:r>
              <w:rPr>
                <w:rFonts w:ascii="宋体" w:hAnsi="宋体" w:cs="宋体" w:eastAsia="宋体" w:hint="default"/>
                <w:sz w:val="18"/>
                <w:szCs w:val="18"/>
              </w:rPr>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054" w:right="60" w:hanging="99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广东乐心医疗电子股份有限公司上 海分公司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pacing w:val="10"/>
                <w:sz w:val="18"/>
                <w:szCs w:val="18"/>
              </w:rPr>
              <w:t>上海市长宁区紫云路</w:t>
            </w:r>
            <w:r>
              <w:rPr>
                <w:rFonts w:ascii="宋体" w:hAnsi="宋体" w:cs="宋体" w:eastAsia="宋体" w:hint="default"/>
                <w:spacing w:val="10"/>
                <w:sz w:val="18"/>
                <w:szCs w:val="18"/>
              </w:rPr>
              <w:t>421</w:t>
            </w:r>
            <w:r>
              <w:rPr>
                <w:rFonts w:ascii="宋体" w:hAnsi="宋体" w:cs="宋体" w:eastAsia="宋体" w:hint="default"/>
                <w:spacing w:val="10"/>
                <w:sz w:val="18"/>
                <w:szCs w:val="18"/>
              </w:rPr>
              <w:t>号天</w:t>
            </w:r>
            <w:r>
              <w:rPr>
                <w:rFonts w:ascii="宋体" w:hAnsi="宋体" w:cs="宋体" w:eastAsia="宋体" w:hint="default"/>
                <w:spacing w:val="-85"/>
                <w:sz w:val="18"/>
                <w:szCs w:val="18"/>
              </w:rPr>
              <w:t> </w:t>
            </w:r>
            <w:r>
              <w:rPr>
                <w:rFonts w:ascii="宋体" w:hAnsi="宋体" w:cs="宋体" w:eastAsia="宋体" w:hint="default"/>
                <w:sz w:val="18"/>
                <w:szCs w:val="18"/>
              </w:rPr>
              <w:t>山</w:t>
            </w:r>
            <w:r>
              <w:rPr>
                <w:rFonts w:ascii="宋体" w:hAnsi="宋体" w:cs="宋体" w:eastAsia="宋体" w:hint="default"/>
                <w:sz w:val="18"/>
                <w:szCs w:val="18"/>
              </w:rPr>
              <w:t>SOHOT13205</w:t>
            </w:r>
            <w:r>
              <w:rPr>
                <w:rFonts w:ascii="宋体" w:hAnsi="宋体" w:cs="宋体" w:eastAsia="宋体" w:hint="default"/>
                <w:sz w:val="18"/>
                <w:szCs w:val="18"/>
              </w:rPr>
              <w:t>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431.68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2018-5-14</w:t>
            </w:r>
            <w:r>
              <w:rPr>
                <w:rFonts w:ascii="宋体" w:hAnsi="宋体" w:cs="宋体" w:eastAsia="宋体" w:hint="default"/>
                <w:sz w:val="18"/>
                <w:szCs w:val="18"/>
              </w:rPr>
              <w:t>至</w:t>
            </w:r>
            <w:r>
              <w:rPr>
                <w:rFonts w:ascii="宋体" w:hAnsi="宋体" w:cs="宋体" w:eastAsia="宋体" w:hint="default"/>
                <w:sz w:val="18"/>
                <w:szCs w:val="18"/>
              </w:rPr>
              <w:t>2021-5-14</w:t>
            </w:r>
          </w:p>
        </w:tc>
      </w:tr>
      <w:tr>
        <w:trPr>
          <w:trHeight w:val="96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3"/>
              <w:jc w:val="both"/>
              <w:rPr>
                <w:rFonts w:ascii="宋体" w:hAnsi="宋体" w:cs="宋体" w:eastAsia="宋体" w:hint="default"/>
                <w:sz w:val="18"/>
                <w:szCs w:val="18"/>
              </w:rPr>
            </w:pPr>
            <w:r>
              <w:rPr>
                <w:rFonts w:ascii="宋体" w:hAnsi="宋体" w:cs="宋体" w:eastAsia="宋体" w:hint="default"/>
                <w:spacing w:val="3"/>
                <w:sz w:val="18"/>
                <w:szCs w:val="18"/>
              </w:rPr>
              <w:t>深圳市宝安区西乡街道银田路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4</w:t>
            </w:r>
            <w:r>
              <w:rPr>
                <w:rFonts w:ascii="宋体" w:hAnsi="宋体" w:cs="宋体" w:eastAsia="宋体" w:hint="default"/>
                <w:spacing w:val="3"/>
                <w:sz w:val="18"/>
                <w:szCs w:val="18"/>
              </w:rPr>
              <w:t>号宝安智谷科技创新园</w:t>
            </w:r>
            <w:r>
              <w:rPr>
                <w:rFonts w:ascii="宋体" w:hAnsi="宋体" w:cs="宋体" w:eastAsia="宋体" w:hint="default"/>
                <w:spacing w:val="3"/>
                <w:sz w:val="18"/>
                <w:szCs w:val="18"/>
              </w:rPr>
              <w:t>C</w:t>
            </w:r>
            <w:r>
              <w:rPr>
                <w:rFonts w:ascii="宋体" w:hAnsi="宋体" w:cs="宋体" w:eastAsia="宋体" w:hint="default"/>
                <w:spacing w:val="3"/>
                <w:sz w:val="18"/>
                <w:szCs w:val="18"/>
              </w:rPr>
              <w:t>座一</w:t>
            </w:r>
            <w:r>
              <w:rPr>
                <w:rFonts w:ascii="宋体" w:hAnsi="宋体" w:cs="宋体" w:eastAsia="宋体" w:hint="default"/>
                <w:spacing w:val="-81"/>
                <w:sz w:val="18"/>
                <w:szCs w:val="18"/>
              </w:rPr>
              <w:t> </w:t>
            </w:r>
            <w:r>
              <w:rPr>
                <w:rFonts w:ascii="宋体" w:hAnsi="宋体" w:cs="宋体" w:eastAsia="宋体" w:hint="default"/>
                <w:sz w:val="18"/>
                <w:szCs w:val="18"/>
              </w:rPr>
              <w:t>楼</w:t>
            </w:r>
            <w:r>
              <w:rPr>
                <w:rFonts w:ascii="宋体" w:hAnsi="宋体" w:cs="宋体" w:eastAsia="宋体" w:hint="default"/>
                <w:sz w:val="18"/>
                <w:szCs w:val="18"/>
              </w:rPr>
              <w:t>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sz w:val="18"/>
              </w:rPr>
              <w:t>337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2018-3-10</w:t>
            </w:r>
            <w:r>
              <w:rPr>
                <w:rFonts w:ascii="宋体" w:hAnsi="宋体" w:cs="宋体" w:eastAsia="宋体" w:hint="default"/>
                <w:sz w:val="18"/>
                <w:szCs w:val="18"/>
              </w:rPr>
              <w:t>至</w:t>
            </w:r>
            <w:r>
              <w:rPr>
                <w:rFonts w:ascii="宋体" w:hAnsi="宋体" w:cs="宋体" w:eastAsia="宋体" w:hint="default"/>
                <w:sz w:val="18"/>
                <w:szCs w:val="18"/>
              </w:rPr>
              <w:t>2020-3-9</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深圳市宝安区石岩街道应人石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社区天宝路</w:t>
            </w:r>
            <w:r>
              <w:rPr>
                <w:rFonts w:ascii="宋体" w:hAnsi="宋体" w:cs="宋体" w:eastAsia="宋体" w:hint="default"/>
                <w:sz w:val="18"/>
                <w:szCs w:val="18"/>
              </w:rPr>
              <w:t>13</w:t>
            </w:r>
            <w:r>
              <w:rPr>
                <w:rFonts w:ascii="宋体" w:hAnsi="宋体" w:cs="宋体" w:eastAsia="宋体" w:hint="default"/>
                <w:sz w:val="18"/>
                <w:szCs w:val="18"/>
              </w:rPr>
              <w:t>号雅丽工业园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1,120.00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2018-8-21</w:t>
            </w:r>
            <w:r>
              <w:rPr>
                <w:rFonts w:ascii="宋体" w:hAnsi="宋体" w:cs="宋体" w:eastAsia="宋体" w:hint="default"/>
                <w:sz w:val="18"/>
                <w:szCs w:val="18"/>
              </w:rPr>
              <w:t>至</w:t>
            </w:r>
            <w:r>
              <w:rPr>
                <w:rFonts w:ascii="宋体" w:hAnsi="宋体" w:cs="宋体" w:eastAsia="宋体" w:hint="default"/>
                <w:sz w:val="18"/>
                <w:szCs w:val="18"/>
              </w:rPr>
              <w:t>2021-8-20</w:t>
            </w:r>
          </w:p>
        </w:tc>
      </w:tr>
    </w:tbl>
    <w:p>
      <w:pPr>
        <w:spacing w:line="240" w:lineRule="auto" w:before="4"/>
        <w:rPr>
          <w:rFonts w:ascii="宋体" w:hAnsi="宋体" w:cs="宋体" w:eastAsia="宋体" w:hint="default"/>
          <w:sz w:val="27"/>
          <w:szCs w:val="27"/>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pt;mso-position-horizontal-relative:char;mso-position-vertical-relative:line" coordorigin="0,0" coordsize="9586,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5;top:14;width:2;height:392" coordorigin="9565,14" coordsize="2,392">
              <v:shape style="position:absolute;left:9565;top:14;width:2;height:392" coordorigin="9565,14" coordsize="0,392" path="m9565,14l9565,406e" filled="false" stroked="true" strokeweight="1.08pt" strokecolor="#d2d2d2">
                <v:path arrowok="t"/>
              </v:shape>
            </v:group>
            <v:group style="position:absolute;left:34;top:14;width:9521;height:392" coordorigin="34,14" coordsize="9521,392">
              <v:shape style="position:absolute;left:34;top:14;width:9521;height:392" coordorigin="34,14" coordsize="9521,392" path="m34,406l9554,406,9554,14,34,14,34,406xe" filled="true" fillcolor="#d2d2d2" stroked="false">
                <v:path arrowok="t"/>
                <v:fill type="solid"/>
              </v:shape>
            </v:group>
            <v:group style="position:absolute;left:10;top:10;width:9566;height:2" coordorigin="10,10" coordsize="9566,2">
              <v:shape style="position:absolute;left:10;top:10;width:9566;height:2" coordorigin="10,10" coordsize="9566,0" path="m10,10l9576,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9566;height:2" coordorigin="10,410" coordsize="9566,2">
              <v:shape style="position:absolute;left:10;top:410;width:9566;height:2" coordorigin="10,410" coordsize="9566,0" path="m10,410l9576,410e" filled="false" stroked="true" strokeweight=".47998pt" strokecolor="#000000">
                <v:path arrowok="t"/>
              </v:shape>
            </v:group>
            <v:group style="position:absolute;left:9580;top:5;width:2;height:411" coordorigin="9580,5" coordsize="2,411">
              <v:shape style="position:absolute;left:9580;top:5;width:2;height:411" coordorigin="9580,5" coordsize="0,411" path="m9580,5l9580,415e" filled="false" stroked="true" strokeweight=".47998pt" strokecolor="#000000">
                <v:path arrowok="t"/>
              </v:shape>
              <v:shape style="position:absolute;left:6;top:10;width:9564;height:401" type="#_x0000_t202" filled="false" stroked="false">
                <v:textbox inset="0,0,0,0">
                  <w:txbxContent>
                    <w:p>
                      <w:pPr>
                        <w:spacing w:before="53"/>
                        <w:ind w:left="2536" w:right="0" w:firstLine="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3"/>
        <w:gridCol w:w="917"/>
        <w:gridCol w:w="924"/>
        <w:gridCol w:w="1305"/>
        <w:gridCol w:w="1009"/>
        <w:gridCol w:w="1074"/>
        <w:gridCol w:w="1051"/>
        <w:gridCol w:w="791"/>
        <w:gridCol w:w="783"/>
      </w:tblGrid>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33" w:right="2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4" w:right="24"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80"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2" w:right="26"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76"/>
              <w:jc w:val="right"/>
              <w:rPr>
                <w:rFonts w:ascii="Times New Roman" w:hAnsi="Times New Roman" w:cs="Times New Roman" w:eastAsia="Times New Roman" w:hint="default"/>
                <w:sz w:val="18"/>
                <w:szCs w:val="18"/>
              </w:rPr>
            </w:pPr>
            <w:r>
              <w:rPr>
                <w:rFonts w:ascii="Times New Roman"/>
                <w:w w:val="95"/>
                <w:sz w:val="18"/>
              </w:rPr>
              <w:t>1,639.33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
              <w:jc w:val="both"/>
              <w:rPr>
                <w:rFonts w:ascii="宋体" w:hAnsi="宋体" w:cs="宋体" w:eastAsia="宋体" w:hint="default"/>
                <w:sz w:val="18"/>
                <w:szCs w:val="18"/>
              </w:rPr>
            </w:pPr>
            <w:r>
              <w:rPr>
                <w:rFonts w:ascii="宋体" w:hAnsi="宋体" w:cs="宋体" w:eastAsia="宋体" w:hint="default"/>
                <w:spacing w:val="16"/>
                <w:sz w:val="18"/>
                <w:szCs w:val="18"/>
              </w:rPr>
              <w:t>至授信协议</w:t>
            </w:r>
            <w:r>
              <w:rPr>
                <w:rFonts w:ascii="宋体" w:hAnsi="宋体" w:cs="宋体" w:eastAsia="宋体" w:hint="default"/>
                <w:spacing w:val="-86"/>
                <w:sz w:val="18"/>
                <w:szCs w:val="18"/>
              </w:rPr>
              <w:t> </w:t>
            </w:r>
            <w:r>
              <w:rPr>
                <w:rFonts w:ascii="宋体" w:hAnsi="宋体" w:cs="宋体" w:eastAsia="宋体" w:hint="default"/>
                <w:spacing w:val="16"/>
                <w:sz w:val="18"/>
                <w:szCs w:val="18"/>
              </w:rPr>
              <w:t>所含各款项</w:t>
            </w:r>
            <w:r>
              <w:rPr>
                <w:rFonts w:ascii="宋体" w:hAnsi="宋体" w:cs="宋体" w:eastAsia="宋体" w:hint="default"/>
                <w:spacing w:val="-86"/>
                <w:sz w:val="18"/>
                <w:szCs w:val="18"/>
              </w:rPr>
              <w:t> </w:t>
            </w:r>
            <w:r>
              <w:rPr>
                <w:rFonts w:ascii="宋体" w:hAnsi="宋体" w:cs="宋体" w:eastAsia="宋体" w:hint="default"/>
                <w:spacing w:val="16"/>
                <w:sz w:val="18"/>
                <w:szCs w:val="18"/>
              </w:rPr>
              <w:t>到期后的三</w:t>
            </w:r>
            <w:r>
              <w:rPr>
                <w:rFonts w:ascii="宋体" w:hAnsi="宋体" w:cs="宋体" w:eastAsia="宋体" w:hint="default"/>
                <w:spacing w:val="-86"/>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
              <w:jc w:val="right"/>
              <w:rPr>
                <w:rFonts w:ascii="Times New Roman" w:hAnsi="Times New Roman" w:cs="Times New Roman" w:eastAsia="Times New Roman" w:hint="default"/>
                <w:sz w:val="18"/>
                <w:szCs w:val="18"/>
              </w:rPr>
            </w:pPr>
            <w:r>
              <w:rPr>
                <w:rFonts w:ascii="Times New Roman"/>
                <w:sz w:val="18"/>
              </w:rPr>
              <w:t>6,000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7"/>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4"/>
              <w:jc w:val="both"/>
              <w:rPr>
                <w:rFonts w:ascii="宋体" w:hAnsi="宋体" w:cs="宋体" w:eastAsia="宋体" w:hint="default"/>
                <w:sz w:val="18"/>
                <w:szCs w:val="18"/>
              </w:rPr>
            </w:pPr>
            <w:r>
              <w:rPr>
                <w:rFonts w:ascii="宋体" w:hAnsi="宋体" w:cs="宋体" w:eastAsia="宋体" w:hint="default"/>
                <w:spacing w:val="16"/>
                <w:sz w:val="18"/>
                <w:szCs w:val="18"/>
              </w:rPr>
              <w:t>债务人履行</w:t>
            </w:r>
            <w:r>
              <w:rPr>
                <w:rFonts w:ascii="宋体" w:hAnsi="宋体" w:cs="宋体" w:eastAsia="宋体" w:hint="default"/>
                <w:spacing w:val="-86"/>
                <w:sz w:val="18"/>
                <w:szCs w:val="18"/>
              </w:rPr>
              <w:t> </w:t>
            </w:r>
            <w:r>
              <w:rPr>
                <w:rFonts w:ascii="宋体" w:hAnsi="宋体" w:cs="宋体" w:eastAsia="宋体" w:hint="default"/>
                <w:spacing w:val="16"/>
                <w:sz w:val="18"/>
                <w:szCs w:val="18"/>
              </w:rPr>
              <w:t>债务期限届</w:t>
            </w:r>
            <w:r>
              <w:rPr>
                <w:rFonts w:ascii="宋体" w:hAnsi="宋体" w:cs="宋体" w:eastAsia="宋体" w:hint="default"/>
                <w:spacing w:val="-86"/>
                <w:sz w:val="18"/>
                <w:szCs w:val="18"/>
              </w:rPr>
              <w:t> </w:t>
            </w:r>
            <w:r>
              <w:rPr>
                <w:rFonts w:ascii="宋体" w:hAnsi="宋体" w:cs="宋体" w:eastAsia="宋体" w:hint="default"/>
                <w:spacing w:val="16"/>
                <w:sz w:val="18"/>
                <w:szCs w:val="18"/>
              </w:rPr>
              <w:t>满之日起两</w:t>
            </w:r>
            <w:r>
              <w:rPr>
                <w:rFonts w:ascii="宋体" w:hAnsi="宋体" w:cs="宋体" w:eastAsia="宋体" w:hint="default"/>
                <w:spacing w:val="-86"/>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z w:val="18"/>
              </w:rPr>
              <w:t>7,000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77"/>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
              <w:jc w:val="both"/>
              <w:rPr>
                <w:rFonts w:ascii="宋体" w:hAnsi="宋体" w:cs="宋体" w:eastAsia="宋体" w:hint="default"/>
                <w:sz w:val="18"/>
                <w:szCs w:val="18"/>
              </w:rPr>
            </w:pPr>
            <w:r>
              <w:rPr>
                <w:rFonts w:ascii="宋体" w:hAnsi="宋体" w:cs="宋体" w:eastAsia="宋体" w:hint="default"/>
                <w:spacing w:val="16"/>
                <w:sz w:val="18"/>
                <w:szCs w:val="18"/>
              </w:rPr>
              <w:t>债务人履行</w:t>
            </w:r>
            <w:r>
              <w:rPr>
                <w:rFonts w:ascii="宋体" w:hAnsi="宋体" w:cs="宋体" w:eastAsia="宋体" w:hint="default"/>
                <w:spacing w:val="-86"/>
                <w:sz w:val="18"/>
                <w:szCs w:val="18"/>
              </w:rPr>
              <w:t> </w:t>
            </w:r>
            <w:r>
              <w:rPr>
                <w:rFonts w:ascii="宋体" w:hAnsi="宋体" w:cs="宋体" w:eastAsia="宋体" w:hint="default"/>
                <w:spacing w:val="16"/>
                <w:sz w:val="18"/>
                <w:szCs w:val="18"/>
              </w:rPr>
              <w:t>债务期限届</w:t>
            </w:r>
            <w:r>
              <w:rPr>
                <w:rFonts w:ascii="宋体" w:hAnsi="宋体" w:cs="宋体" w:eastAsia="宋体" w:hint="default"/>
                <w:spacing w:val="-86"/>
                <w:sz w:val="18"/>
                <w:szCs w:val="18"/>
              </w:rPr>
              <w:t> </w:t>
            </w:r>
            <w:r>
              <w:rPr>
                <w:rFonts w:ascii="宋体" w:hAnsi="宋体" w:cs="宋体" w:eastAsia="宋体" w:hint="default"/>
                <w:spacing w:val="16"/>
                <w:sz w:val="18"/>
                <w:szCs w:val="18"/>
              </w:rPr>
              <w:t>满之日起三</w:t>
            </w:r>
            <w:r>
              <w:rPr>
                <w:rFonts w:ascii="宋体" w:hAnsi="宋体" w:cs="宋体" w:eastAsia="宋体" w:hint="default"/>
                <w:spacing w:val="-86"/>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
              <w:jc w:val="right"/>
              <w:rPr>
                <w:rFonts w:ascii="Times New Roman" w:hAnsi="Times New Roman" w:cs="Times New Roman" w:eastAsia="Times New Roman" w:hint="default"/>
                <w:sz w:val="18"/>
                <w:szCs w:val="18"/>
              </w:rPr>
            </w:pPr>
            <w:r>
              <w:rPr>
                <w:rFonts w:ascii="Times New Roman"/>
                <w:sz w:val="18"/>
              </w:rPr>
              <w:t>9,000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76"/>
              <w:jc w:val="right"/>
              <w:rPr>
                <w:rFonts w:ascii="Times New Roman" w:hAnsi="Times New Roman" w:cs="Times New Roman" w:eastAsia="Times New Roman" w:hint="default"/>
                <w:sz w:val="18"/>
                <w:szCs w:val="18"/>
              </w:rPr>
            </w:pPr>
            <w:r>
              <w:rPr>
                <w:rFonts w:ascii="Times New Roman"/>
                <w:w w:val="95"/>
                <w:sz w:val="18"/>
              </w:rPr>
              <w:t>6,960.69</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
              <w:jc w:val="both"/>
              <w:rPr>
                <w:rFonts w:ascii="宋体" w:hAnsi="宋体" w:cs="宋体" w:eastAsia="宋体" w:hint="default"/>
                <w:sz w:val="18"/>
                <w:szCs w:val="18"/>
              </w:rPr>
            </w:pPr>
            <w:r>
              <w:rPr>
                <w:rFonts w:ascii="宋体" w:hAnsi="宋体" w:cs="宋体" w:eastAsia="宋体" w:hint="default"/>
                <w:spacing w:val="16"/>
                <w:sz w:val="18"/>
                <w:szCs w:val="18"/>
              </w:rPr>
              <w:t>债务人履行</w:t>
            </w:r>
            <w:r>
              <w:rPr>
                <w:rFonts w:ascii="宋体" w:hAnsi="宋体" w:cs="宋体" w:eastAsia="宋体" w:hint="default"/>
                <w:spacing w:val="-86"/>
                <w:sz w:val="18"/>
                <w:szCs w:val="18"/>
              </w:rPr>
              <w:t> </w:t>
            </w:r>
            <w:r>
              <w:rPr>
                <w:rFonts w:ascii="宋体" w:hAnsi="宋体" w:cs="宋体" w:eastAsia="宋体" w:hint="default"/>
                <w:spacing w:val="16"/>
                <w:sz w:val="18"/>
                <w:szCs w:val="18"/>
              </w:rPr>
              <w:t>债务期限届</w:t>
            </w:r>
            <w:r>
              <w:rPr>
                <w:rFonts w:ascii="宋体" w:hAnsi="宋体" w:cs="宋体" w:eastAsia="宋体" w:hint="default"/>
                <w:spacing w:val="-86"/>
                <w:sz w:val="18"/>
                <w:szCs w:val="18"/>
              </w:rPr>
              <w:t> </w:t>
            </w:r>
            <w:r>
              <w:rPr>
                <w:rFonts w:ascii="宋体" w:hAnsi="宋体" w:cs="宋体" w:eastAsia="宋体" w:hint="default"/>
                <w:spacing w:val="16"/>
                <w:sz w:val="18"/>
                <w:szCs w:val="18"/>
              </w:rPr>
              <w:t>满之日起三</w:t>
            </w:r>
            <w:r>
              <w:rPr>
                <w:rFonts w:ascii="宋体" w:hAnsi="宋体" w:cs="宋体" w:eastAsia="宋体" w:hint="default"/>
                <w:spacing w:val="-86"/>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77"/>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
              <w:jc w:val="both"/>
              <w:rPr>
                <w:rFonts w:ascii="宋体" w:hAnsi="宋体" w:cs="宋体" w:eastAsia="宋体" w:hint="default"/>
                <w:sz w:val="18"/>
                <w:szCs w:val="18"/>
              </w:rPr>
            </w:pPr>
            <w:r>
              <w:rPr>
                <w:rFonts w:ascii="宋体" w:hAnsi="宋体" w:cs="宋体" w:eastAsia="宋体" w:hint="default"/>
                <w:spacing w:val="16"/>
                <w:sz w:val="18"/>
                <w:szCs w:val="18"/>
              </w:rPr>
              <w:t>债务人履行</w:t>
            </w:r>
            <w:r>
              <w:rPr>
                <w:rFonts w:ascii="宋体" w:hAnsi="宋体" w:cs="宋体" w:eastAsia="宋体" w:hint="default"/>
                <w:spacing w:val="-86"/>
                <w:sz w:val="18"/>
                <w:szCs w:val="18"/>
              </w:rPr>
              <w:t> </w:t>
            </w:r>
            <w:r>
              <w:rPr>
                <w:rFonts w:ascii="宋体" w:hAnsi="宋体" w:cs="宋体" w:eastAsia="宋体" w:hint="default"/>
                <w:spacing w:val="16"/>
                <w:sz w:val="18"/>
                <w:szCs w:val="18"/>
              </w:rPr>
              <w:t>债务期限届</w:t>
            </w:r>
            <w:r>
              <w:rPr>
                <w:rFonts w:ascii="宋体" w:hAnsi="宋体" w:cs="宋体" w:eastAsia="宋体" w:hint="default"/>
                <w:spacing w:val="-86"/>
                <w:sz w:val="18"/>
                <w:szCs w:val="18"/>
              </w:rPr>
              <w:t> </w:t>
            </w:r>
            <w:r>
              <w:rPr>
                <w:rFonts w:ascii="宋体" w:hAnsi="宋体" w:cs="宋体" w:eastAsia="宋体" w:hint="default"/>
                <w:spacing w:val="16"/>
                <w:sz w:val="18"/>
                <w:szCs w:val="18"/>
              </w:rPr>
              <w:t>满之日起三</w:t>
            </w:r>
            <w:r>
              <w:rPr>
                <w:rFonts w:ascii="宋体" w:hAnsi="宋体" w:cs="宋体" w:eastAsia="宋体" w:hint="default"/>
                <w:spacing w:val="-86"/>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
              <w:jc w:val="both"/>
              <w:rPr>
                <w:rFonts w:ascii="宋体" w:hAnsi="宋体" w:cs="宋体" w:eastAsia="宋体" w:hint="default"/>
                <w:sz w:val="18"/>
                <w:szCs w:val="18"/>
              </w:rPr>
            </w:pPr>
            <w:r>
              <w:rPr>
                <w:rFonts w:ascii="宋体" w:hAnsi="宋体" w:cs="宋体" w:eastAsia="宋体" w:hint="default"/>
                <w:spacing w:val="16"/>
                <w:sz w:val="18"/>
                <w:szCs w:val="18"/>
              </w:rPr>
              <w:t>主债权发生</w:t>
            </w:r>
            <w:r>
              <w:rPr>
                <w:rFonts w:ascii="宋体" w:hAnsi="宋体" w:cs="宋体" w:eastAsia="宋体" w:hint="default"/>
                <w:spacing w:val="-86"/>
                <w:sz w:val="18"/>
                <w:szCs w:val="18"/>
              </w:rPr>
              <w:t> </w:t>
            </w:r>
            <w:r>
              <w:rPr>
                <w:rFonts w:ascii="宋体" w:hAnsi="宋体" w:cs="宋体" w:eastAsia="宋体" w:hint="default"/>
                <w:spacing w:val="16"/>
                <w:sz w:val="18"/>
                <w:szCs w:val="18"/>
              </w:rPr>
              <w:t>期间届满之</w:t>
            </w:r>
            <w:r>
              <w:rPr>
                <w:rFonts w:ascii="宋体" w:hAnsi="宋体" w:cs="宋体" w:eastAsia="宋体" w:hint="default"/>
                <w:spacing w:val="-86"/>
                <w:sz w:val="18"/>
                <w:szCs w:val="18"/>
              </w:rPr>
              <w:t> </w:t>
            </w:r>
            <w:r>
              <w:rPr>
                <w:rFonts w:ascii="宋体" w:hAnsi="宋体" w:cs="宋体" w:eastAsia="宋体" w:hint="default"/>
                <w:sz w:val="18"/>
                <w:szCs w:val="18"/>
              </w:rPr>
              <w:t>日起两年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15,932.95</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8,600.02</w:t>
            </w:r>
          </w:p>
        </w:tc>
      </w:tr>
      <w:tr>
        <w:trPr>
          <w:trHeight w:val="39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3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74"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1"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09" w:type="dxa"/>
            <w:vMerge/>
            <w:tcBorders>
              <w:left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09" w:type="dxa"/>
            <w:vMerge/>
            <w:tcBorders>
              <w:left w:val="single" w:sz="4" w:space="0" w:color="000000"/>
              <w:bottom w:val="nil" w:sz="6" w:space="0" w:color="auto"/>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383"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1"/>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 w:right="0"/>
              <w:jc w:val="left"/>
              <w:rPr>
                <w:rFonts w:ascii="宋体" w:hAnsi="宋体" w:cs="宋体" w:eastAsia="宋体" w:hint="default"/>
                <w:sz w:val="18"/>
                <w:szCs w:val="18"/>
              </w:rPr>
            </w:pPr>
            <w:r>
              <w:rPr>
                <w:rFonts w:ascii="宋体" w:hAnsi="宋体" w:cs="宋体" w:eastAsia="宋体" w:hint="default"/>
                <w:sz w:val="18"/>
                <w:szCs w:val="18"/>
              </w:rPr>
              <w:t>报告期内担保实际发生额</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15,932.95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36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
        </w:tc>
      </w:tr>
      <w:tr>
        <w:trPr>
          <w:trHeight w:val="71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8,600.02</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15.14%</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Times New Roman" w:hAnsi="Times New Roman" w:cs="Times New Roman" w:eastAsia="Times New Roman" w:hint="default"/>
          <w:sz w:val="7"/>
          <w:szCs w:val="7"/>
        </w:rPr>
      </w:pPr>
    </w:p>
    <w:p>
      <w:pPr>
        <w:spacing w:line="451" w:lineRule="auto" w:before="44"/>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：公司与招商银行股份有限公司在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年签订的最高额不可撤销担保书到期后，于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日与招商银行股份有</w:t>
      </w:r>
      <w:r>
        <w:rPr>
          <w:rFonts w:ascii="宋体" w:hAnsi="宋体" w:cs="宋体" w:eastAsia="宋体" w:hint="default"/>
          <w:sz w:val="18"/>
          <w:szCs w:val="18"/>
        </w:rPr>
        <w:t> </w:t>
      </w:r>
      <w:r>
        <w:rPr>
          <w:rFonts w:ascii="宋体" w:hAnsi="宋体" w:cs="宋体" w:eastAsia="宋体" w:hint="default"/>
          <w:spacing w:val="-2"/>
          <w:sz w:val="18"/>
          <w:szCs w:val="18"/>
        </w:rPr>
        <w:t>限公司签订</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万最高额不可撤销担保书，担保期限为至授信协议所含各款项到期后的三年，报告期内担保实际发生额为报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告期末为对子公司实际担保金额。</w:t>
      </w:r>
    </w:p>
    <w:p>
      <w:pPr>
        <w:spacing w:line="451" w:lineRule="auto" w:before="115"/>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：公司与中信银行股份有限公司在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年签订的最高额保证合同到期后，于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日与中信银行股份有限公司</w:t>
      </w:r>
      <w:r>
        <w:rPr>
          <w:rFonts w:ascii="宋体" w:hAnsi="宋体" w:cs="宋体" w:eastAsia="宋体" w:hint="default"/>
          <w:sz w:val="18"/>
          <w:szCs w:val="18"/>
        </w:rPr>
        <w:t> </w:t>
      </w:r>
      <w:r>
        <w:rPr>
          <w:rFonts w:ascii="宋体" w:hAnsi="宋体" w:cs="宋体" w:eastAsia="宋体" w:hint="default"/>
          <w:spacing w:val="-2"/>
          <w:sz w:val="18"/>
          <w:szCs w:val="18"/>
        </w:rPr>
        <w:t>签订</w:t>
      </w:r>
      <w:r>
        <w:rPr>
          <w:rFonts w:ascii="Times New Roman" w:hAnsi="Times New Roman" w:cs="Times New Roman" w:eastAsia="Times New Roman" w:hint="default"/>
          <w:spacing w:val="-2"/>
          <w:sz w:val="18"/>
          <w:szCs w:val="18"/>
        </w:rPr>
        <w:t>9000</w:t>
      </w:r>
      <w:r>
        <w:rPr>
          <w:rFonts w:ascii="宋体" w:hAnsi="宋体" w:cs="宋体" w:eastAsia="宋体" w:hint="default"/>
          <w:spacing w:val="-2"/>
          <w:sz w:val="18"/>
          <w:szCs w:val="18"/>
        </w:rPr>
        <w:t>万最高额保证合同，担保期限为债务人履行债务期限届满之日起三年，报告期内担保实际发生额为报告期末为对子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公司实际担保金额。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7"/>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1"/>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1119"/>
        <w:jc w:val="left"/>
        <w:rPr>
          <w:b w:val="0"/>
          <w:bCs w:val="0"/>
        </w:rPr>
      </w:pPr>
      <w:r>
        <w:rPr/>
        <w:t>十七、社会责任情况</w:t>
      </w:r>
      <w:r>
        <w:rPr>
          <w:b w:val="0"/>
          <w:bCs w:val="0"/>
        </w:rPr>
      </w:r>
    </w:p>
    <w:p>
      <w:pPr>
        <w:pStyle w:val="BodyText"/>
        <w:spacing w:line="688" w:lineRule="exact" w:before="20"/>
        <w:ind w:left="585" w:right="1119" w:hanging="433"/>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公司的发展离不开社会的支持，回报社会是公司的责任和使命。公司在不断为股东创造价值的同时，</w:t>
      </w:r>
    </w:p>
    <w:p>
      <w:pPr>
        <w:pStyle w:val="BodyText"/>
        <w:spacing w:line="408" w:lineRule="auto" w:before="85"/>
        <w:ind w:right="996"/>
        <w:jc w:val="left"/>
      </w:pPr>
      <w:r>
        <w:rPr>
          <w:spacing w:val="-5"/>
        </w:rPr>
        <w:t>也积极承担对职工、客户、社会等其他利益相关者的责任。公司一直坚持以负责任的态度对待自己、家人、</w:t>
      </w:r>
      <w:r>
        <w:rPr>
          <w:spacing w:val="-12"/>
        </w:rPr>
        <w:t> </w:t>
      </w:r>
      <w:r>
        <w:rPr>
          <w:spacing w:val="-12"/>
        </w:rPr>
      </w:r>
      <w:r>
        <w:rPr/>
        <w:t>同事、商业伙伴乃至整个社会。</w:t>
      </w:r>
    </w:p>
    <w:p>
      <w:pPr>
        <w:pStyle w:val="BodyText"/>
        <w:spacing w:line="408" w:lineRule="auto"/>
        <w:ind w:right="1126" w:firstLine="420"/>
        <w:jc w:val="both"/>
      </w:pPr>
      <w:r>
        <w:rPr>
          <w:spacing w:val="-2"/>
        </w:rPr>
        <w:t>公司自上市以来，一直积极履行企业社会责任，建立健全公司内部管理和控制制度，组织协调各职能</w:t>
      </w:r>
      <w:r>
        <w:rPr>
          <w:w w:val="100"/>
        </w:rPr>
        <w:t> </w:t>
      </w:r>
      <w:r>
        <w:rPr>
          <w:spacing w:val="-2"/>
        </w:rPr>
        <w:t>部门工作，持续深入开展公司治理活动，促进了公司规范运作，提高了公司治理水平。公司严格按照《公</w:t>
      </w:r>
      <w:r>
        <w:rPr>
          <w:spacing w:val="-43"/>
        </w:rPr>
        <w:t> </w:t>
      </w:r>
      <w:r>
        <w:rPr>
          <w:spacing w:val="-43"/>
        </w:rPr>
      </w:r>
      <w:r>
        <w:rPr>
          <w:spacing w:val="-7"/>
        </w:rPr>
        <w:t>司法》、《深圳证券交易所创业板股票上市规则》、《上市公司信息披露管理办法》等相关法律法规和《公</w:t>
      </w:r>
      <w:r>
        <w:rPr>
          <w:spacing w:val="-20"/>
        </w:rPr>
        <w:t> </w:t>
      </w:r>
      <w:r>
        <w:rPr>
          <w:spacing w:val="-20"/>
        </w:rPr>
      </w:r>
      <w:r>
        <w:rPr>
          <w:spacing w:val="-2"/>
        </w:rPr>
        <w:t>司章程》的要求，及时、准确、真实、完整地进行信息披露，通过投资者电话、电子邮箱、公司网站和投</w:t>
      </w:r>
      <w:r>
        <w:rPr>
          <w:spacing w:val="-49"/>
        </w:rPr>
        <w:t> </w:t>
      </w:r>
      <w:r>
        <w:rPr>
          <w:spacing w:val="-49"/>
        </w:rPr>
      </w:r>
      <w:r>
        <w:rPr>
          <w:spacing w:val="-2"/>
        </w:rPr>
        <w:t>资者关系互动平台等多种方式与投资者进行沟通交流，提高了公司的透明度和诚信度。规范股东大会的召</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19"/>
        <w:jc w:val="left"/>
      </w:pPr>
      <w:r>
        <w:rPr>
          <w:spacing w:val="-2"/>
        </w:rPr>
        <w:t>集、召开及表决程序，通过现场、网络等合法有效的方式，让更多的股东特别是中小股东能够参加股东大</w:t>
      </w:r>
      <w:r>
        <w:rPr>
          <w:spacing w:val="-47"/>
        </w:rPr>
        <w:t> </w:t>
      </w:r>
      <w:r>
        <w:rPr>
          <w:spacing w:val="-47"/>
        </w:rPr>
      </w:r>
      <w:r>
        <w:rPr/>
        <w:t>会，确保股东对公司重大事项的知情权、参与权和表决权</w:t>
      </w:r>
      <w:r>
        <w:rPr>
          <w:rFonts w:ascii="宋体" w:hAnsi="宋体" w:cs="宋体" w:eastAsia="宋体" w:hint="default"/>
        </w:rPr>
        <w:t>,</w:t>
      </w:r>
      <w:r>
        <w:rPr/>
        <w:t>充分维护广大投资者的利益。</w:t>
      </w:r>
    </w:p>
    <w:p>
      <w:pPr>
        <w:pStyle w:val="BodyText"/>
        <w:spacing w:line="408" w:lineRule="auto"/>
        <w:ind w:right="1105" w:firstLine="420"/>
        <w:jc w:val="both"/>
      </w:pPr>
      <w:r>
        <w:rPr>
          <w:spacing w:val="-2"/>
        </w:rPr>
        <w:t>公司长期以来一直重视员工的未来职业发展规划，通过多种方式为员工提供平等的发展机会，注重对</w:t>
      </w:r>
      <w:r>
        <w:rPr>
          <w:w w:val="100"/>
        </w:rPr>
        <w:t> </w:t>
      </w:r>
      <w:r>
        <w:rPr>
          <w:spacing w:val="-2"/>
        </w:rPr>
        <w:t>员工的安全生产、劳动保护和身心健康的保护，尊重和维护员工的个人利益，制定了人力资源管理制度，</w:t>
      </w:r>
      <w:r>
        <w:rPr>
          <w:spacing w:val="-21"/>
        </w:rPr>
        <w:t> </w:t>
      </w:r>
      <w:r>
        <w:rPr>
          <w:spacing w:val="-21"/>
        </w:rPr>
      </w:r>
      <w:r>
        <w:rPr>
          <w:spacing w:val="-2"/>
        </w:rPr>
        <w:t>对人员录用、员工培训、工资薪酬、福利保障等进行了详细规定，建立了较为完善的绩效考核体系，为员</w:t>
      </w:r>
      <w:r>
        <w:rPr>
          <w:spacing w:val="-43"/>
        </w:rPr>
        <w:t> </w:t>
      </w:r>
      <w:r>
        <w:rPr>
          <w:spacing w:val="-43"/>
        </w:rPr>
      </w:r>
      <w:r>
        <w:rPr>
          <w:spacing w:val="-2"/>
        </w:rPr>
        <w:t>工提供了良好的劳动环境，重视人才培养，实现员工与企业的共同成长。公司积极参加当地民政部门的捐</w:t>
      </w:r>
      <w:r>
        <w:rPr>
          <w:spacing w:val="-44"/>
        </w:rPr>
        <w:t> </w:t>
      </w:r>
      <w:r>
        <w:rPr>
          <w:spacing w:val="-44"/>
        </w:rPr>
      </w:r>
      <w:r>
        <w:rPr>
          <w:spacing w:val="-2"/>
        </w:rPr>
        <w:t>赠活动，关注弱势群体的帮扶工作。公司始终践行守法诚信经营的道德规范，荣获“守合同重信用企业”</w:t>
      </w:r>
      <w:r>
        <w:rPr>
          <w:spacing w:val="-44"/>
        </w:rPr>
        <w:t> </w:t>
      </w:r>
      <w:r>
        <w:rPr>
          <w:spacing w:val="-44"/>
        </w:rPr>
      </w:r>
      <w:r>
        <w:rPr/>
        <w:t>等荣誉。</w:t>
      </w:r>
    </w:p>
    <w:p>
      <w:pPr>
        <w:pStyle w:val="BodyText"/>
        <w:spacing w:line="408" w:lineRule="auto"/>
        <w:ind w:right="1126" w:firstLine="420"/>
        <w:jc w:val="both"/>
      </w:pPr>
      <w:r>
        <w:rPr>
          <w:spacing w:val="-2"/>
        </w:rPr>
        <w:t>公司不断建立健全质量管理体系，严格把控产品质量，注重产品安全，为客户提供优质的产品，充分</w:t>
      </w:r>
      <w:r>
        <w:rPr>
          <w:w w:val="100"/>
        </w:rPr>
        <w:t> </w:t>
      </w:r>
      <w:r>
        <w:rPr>
          <w:spacing w:val="-2"/>
        </w:rPr>
        <w:t>尊重并维护供应商和客户的合法权益，提高客户和消费者对产品的满意度，保护消费者利益，树立良好的</w:t>
      </w:r>
      <w:r>
        <w:rPr>
          <w:spacing w:val="-43"/>
        </w:rPr>
        <w:t> </w:t>
      </w:r>
      <w:r>
        <w:rPr>
          <w:spacing w:val="-43"/>
        </w:rPr>
      </w:r>
      <w:r>
        <w:rPr/>
        <w:t>企业形象。</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7"/>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1119"/>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3"/>
        <w:spacing w:line="240" w:lineRule="auto"/>
        <w:ind w:right="1119"/>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19"/>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9"/>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995"/>
        <w:gridCol w:w="997"/>
        <w:gridCol w:w="828"/>
        <w:gridCol w:w="826"/>
        <w:gridCol w:w="626"/>
        <w:gridCol w:w="713"/>
        <w:gridCol w:w="965"/>
        <w:gridCol w:w="998"/>
        <w:gridCol w:w="997"/>
        <w:gridCol w:w="799"/>
      </w:tblGrid>
      <w:tr>
        <w:trPr>
          <w:trHeight w:val="42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7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73"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170" w:right="81"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3" w:type="dxa"/>
            <w:vMerge/>
            <w:tcBorders>
              <w:left w:val="single" w:sz="4" w:space="0" w:color="000000"/>
              <w:right w:val="single" w:sz="4" w:space="0" w:color="000000"/>
            </w:tcBorders>
            <w:shd w:val="clear" w:color="auto" w:fill="D2D2D2"/>
          </w:tcPr>
          <w:p>
            <w:pPr/>
          </w:p>
        </w:tc>
        <w:tc>
          <w:tcPr>
            <w:tcW w:w="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26"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828"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626" w:type="dxa"/>
            <w:vMerge/>
            <w:tcBorders>
              <w:left w:val="single" w:sz="4" w:space="0" w:color="000000"/>
              <w:bottom w:val="nil" w:sz="6" w:space="0" w:color="auto"/>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5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left="36" w:right="0"/>
              <w:jc w:val="center"/>
              <w:rPr>
                <w:rFonts w:ascii="Times New Roman" w:hAnsi="Times New Roman" w:cs="Times New Roman" w:eastAsia="Times New Roman" w:hint="default"/>
                <w:sz w:val="18"/>
                <w:szCs w:val="18"/>
              </w:rPr>
            </w:pPr>
            <w:r>
              <w:rPr>
                <w:rFonts w:ascii="Times New Roman"/>
                <w:sz w:val="18"/>
              </w:rPr>
              <w:t>105,040,320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z w:val="18"/>
              </w:rPr>
              <w:t>55.64%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w w:val="95"/>
                <w:sz w:val="18"/>
              </w:rPr>
              <w:t>-31,002,720</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5"/>
                <w:sz w:val="18"/>
              </w:rPr>
              <w:t>-30,005,371</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1" w:right="0"/>
              <w:jc w:val="center"/>
              <w:rPr>
                <w:rFonts w:ascii="Times New Roman" w:hAnsi="Times New Roman" w:cs="Times New Roman" w:eastAsia="Times New Roman" w:hint="default"/>
                <w:sz w:val="18"/>
                <w:szCs w:val="18"/>
              </w:rPr>
            </w:pPr>
            <w:r>
              <w:rPr>
                <w:rFonts w:ascii="Times New Roman"/>
                <w:sz w:val="18"/>
              </w:rPr>
              <w:t>75,034,949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z w:val="18"/>
              </w:rPr>
              <w:t>39.53%</w:t>
            </w:r>
          </w:p>
        </w:tc>
      </w:tr>
      <w:tr>
        <w:trPr>
          <w:trHeight w:val="43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105,040,320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5"/>
                <w:sz w:val="18"/>
              </w:rPr>
              <w:t>-31,002,720</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5"/>
                <w:sz w:val="18"/>
              </w:rPr>
              <w:t>-30,005,371</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75,034,949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39.53%</w:t>
            </w:r>
          </w:p>
        </w:tc>
      </w:tr>
      <w:tr>
        <w:trPr>
          <w:trHeight w:val="45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center"/>
              <w:rPr>
                <w:rFonts w:ascii="Times New Roman" w:hAnsi="Times New Roman" w:cs="Times New Roman" w:eastAsia="Times New Roman" w:hint="default"/>
                <w:sz w:val="18"/>
                <w:szCs w:val="18"/>
              </w:rPr>
            </w:pPr>
            <w:r>
              <w:rPr>
                <w:rFonts w:ascii="Times New Roman"/>
                <w:sz w:val="18"/>
              </w:rPr>
              <w:t>105,040,320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55.64%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6"/>
              <w:jc w:val="right"/>
              <w:rPr>
                <w:rFonts w:ascii="Times New Roman" w:hAnsi="Times New Roman" w:cs="Times New Roman" w:eastAsia="Times New Roman" w:hint="default"/>
                <w:sz w:val="18"/>
                <w:szCs w:val="18"/>
              </w:rPr>
            </w:pPr>
            <w:r>
              <w:rPr>
                <w:rFonts w:ascii="Times New Roman"/>
                <w:w w:val="95"/>
                <w:sz w:val="18"/>
              </w:rPr>
              <w:t>-31,002,720</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w w:val="95"/>
                <w:sz w:val="18"/>
              </w:rPr>
              <w:t>-30,005,371</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31" w:right="0"/>
              <w:jc w:val="center"/>
              <w:rPr>
                <w:rFonts w:ascii="Times New Roman" w:hAnsi="Times New Roman" w:cs="Times New Roman" w:eastAsia="Times New Roman" w:hint="default"/>
                <w:sz w:val="18"/>
                <w:szCs w:val="18"/>
              </w:rPr>
            </w:pPr>
            <w:r>
              <w:rPr>
                <w:rFonts w:ascii="Times New Roman"/>
                <w:sz w:val="18"/>
              </w:rPr>
              <w:t>75,034,949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39.53%</w:t>
            </w:r>
          </w:p>
        </w:tc>
      </w:tr>
      <w:tr>
        <w:trPr>
          <w:trHeight w:val="45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31" w:right="0"/>
              <w:jc w:val="center"/>
              <w:rPr>
                <w:rFonts w:ascii="Times New Roman" w:hAnsi="Times New Roman" w:cs="Times New Roman" w:eastAsia="Times New Roman" w:hint="default"/>
                <w:sz w:val="18"/>
                <w:szCs w:val="18"/>
              </w:rPr>
            </w:pPr>
            <w:r>
              <w:rPr>
                <w:rFonts w:ascii="Times New Roman"/>
                <w:sz w:val="18"/>
              </w:rPr>
              <w:t>83,759,680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44.36%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6"/>
              <w:jc w:val="right"/>
              <w:rPr>
                <w:rFonts w:ascii="Times New Roman" w:hAnsi="Times New Roman" w:cs="Times New Roman" w:eastAsia="Times New Roman" w:hint="default"/>
                <w:sz w:val="18"/>
                <w:szCs w:val="18"/>
              </w:rPr>
            </w:pPr>
            <w:r>
              <w:rPr>
                <w:rFonts w:ascii="Times New Roman"/>
                <w:spacing w:val="-1"/>
                <w:sz w:val="18"/>
              </w:rPr>
              <w:t>31,002,720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31,002,720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0" w:right="0"/>
              <w:jc w:val="center"/>
              <w:rPr>
                <w:rFonts w:ascii="Times New Roman" w:hAnsi="Times New Roman" w:cs="Times New Roman" w:eastAsia="Times New Roman" w:hint="default"/>
                <w:sz w:val="18"/>
                <w:szCs w:val="18"/>
              </w:rPr>
            </w:pPr>
            <w:r>
              <w:rPr>
                <w:rFonts w:ascii="Times New Roman"/>
                <w:sz w:val="18"/>
              </w:rPr>
              <w:t>114,762,400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60.47%</w:t>
            </w:r>
          </w:p>
        </w:tc>
      </w:tr>
      <w:tr>
        <w:trPr>
          <w:trHeight w:val="45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31" w:right="0"/>
              <w:jc w:val="center"/>
              <w:rPr>
                <w:rFonts w:ascii="Times New Roman" w:hAnsi="Times New Roman" w:cs="Times New Roman" w:eastAsia="Times New Roman" w:hint="default"/>
                <w:sz w:val="18"/>
                <w:szCs w:val="18"/>
              </w:rPr>
            </w:pPr>
            <w:r>
              <w:rPr>
                <w:rFonts w:ascii="Times New Roman"/>
                <w:sz w:val="18"/>
              </w:rPr>
              <w:t>83,759,680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44.36%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6"/>
              <w:jc w:val="right"/>
              <w:rPr>
                <w:rFonts w:ascii="Times New Roman" w:hAnsi="Times New Roman" w:cs="Times New Roman" w:eastAsia="Times New Roman" w:hint="default"/>
                <w:sz w:val="18"/>
                <w:szCs w:val="18"/>
              </w:rPr>
            </w:pPr>
            <w:r>
              <w:rPr>
                <w:rFonts w:ascii="Times New Roman"/>
                <w:spacing w:val="-1"/>
                <w:sz w:val="18"/>
              </w:rPr>
              <w:t>31,002,720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31,002,720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0" w:right="0"/>
              <w:jc w:val="center"/>
              <w:rPr>
                <w:rFonts w:ascii="Times New Roman" w:hAnsi="Times New Roman" w:cs="Times New Roman" w:eastAsia="Times New Roman" w:hint="default"/>
                <w:sz w:val="18"/>
                <w:szCs w:val="18"/>
              </w:rPr>
            </w:pPr>
            <w:r>
              <w:rPr>
                <w:rFonts w:ascii="Times New Roman"/>
                <w:sz w:val="18"/>
              </w:rPr>
              <w:t>114,762,400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60.47%</w:t>
            </w:r>
          </w:p>
        </w:tc>
      </w:tr>
      <w:tr>
        <w:trPr>
          <w:trHeight w:val="45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center"/>
              <w:rPr>
                <w:rFonts w:ascii="Times New Roman" w:hAnsi="Times New Roman" w:cs="Times New Roman" w:eastAsia="Times New Roman" w:hint="default"/>
                <w:sz w:val="18"/>
                <w:szCs w:val="18"/>
              </w:rPr>
            </w:pPr>
            <w:r>
              <w:rPr>
                <w:rFonts w:ascii="Times New Roman"/>
                <w:sz w:val="18"/>
              </w:rPr>
              <w:t>188,800,000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center"/>
              <w:rPr>
                <w:rFonts w:ascii="Times New Roman" w:hAnsi="Times New Roman" w:cs="Times New Roman" w:eastAsia="Times New Roman" w:hint="default"/>
                <w:sz w:val="18"/>
                <w:szCs w:val="18"/>
              </w:rPr>
            </w:pPr>
            <w:r>
              <w:rPr>
                <w:rFonts w:ascii="Times New Roman"/>
                <w:sz w:val="18"/>
              </w:rPr>
              <w:t>189,797,349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27"/>
          <w:szCs w:val="27"/>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60"/>
        <w:ind w:left="573" w:right="1119"/>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01</w:t>
      </w:r>
      <w:r>
        <w:rPr/>
        <w:t>日，根据各董事、监事、高管的承诺，其持有的公司股份每年度解除限售</w:t>
      </w:r>
      <w:r>
        <w:rPr>
          <w:rFonts w:ascii="宋体" w:hAnsi="宋体" w:cs="宋体" w:eastAsia="宋体" w:hint="default"/>
        </w:rPr>
        <w:t>25%</w:t>
      </w:r>
      <w:r>
        <w:rPr/>
        <w:t>。</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日，经深圳证券交易所、中国证券登记结算有限责任公司深圳分公司审核确认，公</w:t>
      </w:r>
      <w:r>
        <w:rPr>
          <w:w w:val="100"/>
        </w:rPr>
        <w:t> </w:t>
      </w:r>
      <w:r>
        <w:rPr>
          <w:spacing w:val="-2"/>
        </w:rPr>
        <w:t>司办理完成了公司</w:t>
      </w:r>
      <w:r>
        <w:rPr>
          <w:rFonts w:ascii="宋体" w:hAnsi="宋体" w:cs="宋体" w:eastAsia="宋体" w:hint="default"/>
          <w:spacing w:val="-2"/>
        </w:rPr>
        <w:t>2018</w:t>
      </w:r>
      <w:r>
        <w:rPr>
          <w:spacing w:val="-2"/>
        </w:rPr>
        <w:t>年股票期权与限制性股票激励计划限制性股票的首次授予登记工作，授予的限制性</w:t>
      </w:r>
      <w:r>
        <w:rPr>
          <w:spacing w:val="-40"/>
        </w:rPr>
        <w:t> </w:t>
      </w:r>
      <w:r>
        <w:rPr>
          <w:spacing w:val="-40"/>
        </w:rPr>
      </w:r>
      <w:r>
        <w:rPr/>
        <w:t>股票上市日期为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日，限制性股票的登记数量为</w:t>
      </w:r>
      <w:r>
        <w:rPr>
          <w:rFonts w:ascii="宋体" w:hAnsi="宋体" w:cs="宋体" w:eastAsia="宋体" w:hint="default"/>
        </w:rPr>
        <w:t>997,349</w:t>
      </w:r>
      <w:r>
        <w:rPr/>
        <w:t>股，授予激励对象</w:t>
      </w:r>
      <w:r>
        <w:rPr>
          <w:rFonts w:ascii="宋体" w:hAnsi="宋体" w:cs="宋体" w:eastAsia="宋体" w:hint="default"/>
        </w:rPr>
        <w:t>42</w:t>
      </w:r>
      <w:r>
        <w:rPr/>
        <w:t>名。具体内容详</w:t>
      </w:r>
      <w:r>
        <w:rPr>
          <w:w w:val="100"/>
        </w:rPr>
        <w:t> </w:t>
      </w:r>
      <w:r>
        <w:rPr>
          <w:spacing w:val="-2"/>
        </w:rPr>
        <w:t>见公司于</w:t>
      </w:r>
      <w:r>
        <w:rPr>
          <w:rFonts w:ascii="宋体" w:hAnsi="宋体" w:cs="宋体" w:eastAsia="宋体" w:hint="default"/>
          <w:spacing w:val="-2"/>
        </w:rPr>
        <w:t>2019</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16</w:t>
      </w:r>
      <w:r>
        <w:rPr>
          <w:spacing w:val="-2"/>
        </w:rPr>
        <w:t>日在巨潮资讯网披露的《关于</w:t>
      </w:r>
      <w:r>
        <w:rPr>
          <w:rFonts w:ascii="宋体" w:hAnsi="宋体" w:cs="宋体" w:eastAsia="宋体" w:hint="default"/>
          <w:spacing w:val="-2"/>
        </w:rPr>
        <w:t>2018</w:t>
      </w:r>
      <w:r>
        <w:rPr>
          <w:spacing w:val="-2"/>
        </w:rPr>
        <w:t>年股票期权与限制性股票激励计划限制性股票首</w:t>
      </w:r>
      <w:r>
        <w:rPr>
          <w:spacing w:val="-32"/>
        </w:rPr>
        <w:t> </w:t>
      </w:r>
      <w:r>
        <w:rPr>
          <w:spacing w:val="-32"/>
        </w:rPr>
      </w:r>
      <w:r>
        <w:rPr/>
        <w:t>次授予登记完成的公告》（公告编号：</w:t>
      </w:r>
      <w:r>
        <w:rPr>
          <w:rFonts w:ascii="宋体" w:hAnsi="宋体" w:cs="宋体" w:eastAsia="宋体" w:hint="default"/>
        </w:rPr>
        <w:t>2019-004</w:t>
      </w:r>
      <w:r>
        <w:rPr/>
        <w:t>）。</w:t>
      </w:r>
    </w:p>
    <w:p>
      <w:pPr>
        <w:pStyle w:val="BodyText"/>
        <w:spacing w:line="408" w:lineRule="auto"/>
        <w:ind w:right="1020" w:firstLine="420"/>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02</w:t>
      </w:r>
      <w:r>
        <w:rPr/>
        <w:t>月</w:t>
      </w:r>
      <w:r>
        <w:rPr>
          <w:rFonts w:ascii="宋体" w:hAnsi="宋体" w:cs="宋体" w:eastAsia="宋体" w:hint="default"/>
        </w:rPr>
        <w:t>21</w:t>
      </w:r>
      <w:r>
        <w:rPr/>
        <w:t>日，公司完成了第三届董事会、监事会、高级管理人员换届选举工作，相关离任人</w:t>
      </w:r>
      <w:r>
        <w:rPr>
          <w:w w:val="100"/>
        </w:rPr>
        <w:t> </w:t>
      </w:r>
      <w:r>
        <w:rPr/>
        <w:t>员所持有的公司股份在其离任后将全部锁定</w:t>
      </w:r>
      <w:r>
        <w:rPr>
          <w:rFonts w:ascii="宋体" w:hAnsi="宋体" w:cs="宋体" w:eastAsia="宋体" w:hint="default"/>
        </w:rPr>
        <w:t>6</w:t>
      </w:r>
      <w:r>
        <w:rPr/>
        <w:t>个月，</w:t>
      </w:r>
      <w:r>
        <w:rPr>
          <w:rFonts w:ascii="宋体" w:hAnsi="宋体" w:cs="宋体" w:eastAsia="宋体" w:hint="default"/>
        </w:rPr>
        <w:t>2019</w:t>
      </w:r>
      <w:r>
        <w:rPr/>
        <w:t>年</w:t>
      </w:r>
      <w:r>
        <w:rPr>
          <w:rFonts w:ascii="宋体" w:hAnsi="宋体" w:cs="宋体" w:eastAsia="宋体" w:hint="default"/>
        </w:rPr>
        <w:t>08</w:t>
      </w:r>
      <w:r>
        <w:rPr/>
        <w:t>月</w:t>
      </w:r>
      <w:r>
        <w:rPr>
          <w:rFonts w:ascii="宋体" w:hAnsi="宋体" w:cs="宋体" w:eastAsia="宋体" w:hint="default"/>
        </w:rPr>
        <w:t>21</w:t>
      </w:r>
      <w:r>
        <w:rPr/>
        <w:t>日，离任人员锁定期届满，致使报告期</w:t>
      </w:r>
      <w:r>
        <w:rPr>
          <w:w w:val="100"/>
        </w:rPr>
        <w:t> </w:t>
      </w:r>
      <w:r>
        <w:rPr>
          <w:spacing w:val="-4"/>
        </w:rPr>
        <w:t>内公司无限售条件股份发生变动。具体内容详见公司于</w:t>
      </w:r>
      <w:r>
        <w:rPr>
          <w:rFonts w:ascii="宋体" w:hAnsi="宋体" w:cs="宋体" w:eastAsia="宋体" w:hint="default"/>
          <w:spacing w:val="-4"/>
        </w:rPr>
        <w:t>2019</w:t>
      </w:r>
      <w:r>
        <w:rPr>
          <w:spacing w:val="-4"/>
        </w:rPr>
        <w:t>年</w:t>
      </w:r>
      <w:r>
        <w:rPr>
          <w:rFonts w:ascii="宋体" w:hAnsi="宋体" w:cs="宋体" w:eastAsia="宋体" w:hint="default"/>
          <w:spacing w:val="-4"/>
        </w:rPr>
        <w:t>02</w:t>
      </w:r>
      <w:r>
        <w:rPr>
          <w:spacing w:val="-4"/>
        </w:rPr>
        <w:t>月</w:t>
      </w:r>
      <w:r>
        <w:rPr>
          <w:rFonts w:ascii="宋体" w:hAnsi="宋体" w:cs="宋体" w:eastAsia="宋体" w:hint="default"/>
          <w:spacing w:val="-4"/>
        </w:rPr>
        <w:t>21</w:t>
      </w:r>
      <w:r>
        <w:rPr>
          <w:spacing w:val="-4"/>
        </w:rPr>
        <w:t>日在巨潮资讯网披露的《关于董事会、</w:t>
      </w:r>
      <w:r>
        <w:rPr>
          <w:spacing w:val="-35"/>
        </w:rPr>
        <w:t> </w:t>
      </w:r>
      <w:r>
        <w:rPr>
          <w:spacing w:val="-35"/>
        </w:rPr>
      </w:r>
      <w:r>
        <w:rPr/>
        <w:t>监事会换届选举完成暨部分董事、监事、高级管理人员离任的公告》（公告编号：</w:t>
      </w:r>
      <w:r>
        <w:rPr>
          <w:rFonts w:ascii="宋体" w:hAnsi="宋体" w:cs="宋体" w:eastAsia="宋体" w:hint="default"/>
        </w:rPr>
        <w:t>2019-023</w:t>
      </w:r>
      <w:r>
        <w:rPr/>
        <w:t>）。</w:t>
      </w:r>
    </w:p>
    <w:p>
      <w:pPr>
        <w:pStyle w:val="BodyText"/>
        <w:spacing w:line="408" w:lineRule="auto"/>
        <w:ind w:right="1119" w:firstLine="420"/>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18</w:t>
      </w:r>
      <w:r>
        <w:rPr/>
        <w:t>日，控股股东、实际控制人、董事长潘伟潮先生所持有的公司首次公开发行的限售</w:t>
      </w:r>
      <w:r>
        <w:rPr>
          <w:w w:val="100"/>
        </w:rPr>
        <w:t> </w:t>
      </w:r>
      <w:r>
        <w:rPr>
          <w:spacing w:val="-2"/>
        </w:rPr>
        <w:t>股解除限售并上市流通，解除限售股份的数量为</w:t>
      </w:r>
      <w:r>
        <w:rPr>
          <w:rFonts w:ascii="宋体" w:hAnsi="宋体" w:cs="宋体" w:eastAsia="宋体" w:hint="default"/>
          <w:spacing w:val="-2"/>
        </w:rPr>
        <w:t>85,908,480</w:t>
      </w:r>
      <w:r>
        <w:rPr>
          <w:spacing w:val="-2"/>
        </w:rPr>
        <w:t>股，致使报告期内公司有限售条件股份发生变</w:t>
      </w:r>
      <w:r>
        <w:rPr>
          <w:spacing w:val="-35"/>
        </w:rPr>
        <w:t> </w:t>
      </w:r>
      <w:r>
        <w:rPr>
          <w:spacing w:val="-35"/>
        </w:rPr>
      </w:r>
      <w:r>
        <w:rPr>
          <w:spacing w:val="-2"/>
        </w:rPr>
        <w:t>动。具体内容详见公司于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日在巨潮资讯网披露的《首次公开发行前已发行股份上市流通提示</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6"/>
        <w:ind w:right="1119"/>
        <w:jc w:val="left"/>
      </w:pPr>
      <w:r>
        <w:rPr/>
        <w:t>性公告》（公告编号：</w:t>
      </w:r>
      <w:r>
        <w:rPr>
          <w:rFonts w:ascii="宋体" w:hAnsi="宋体" w:cs="宋体" w:eastAsia="宋体" w:hint="default"/>
        </w:rPr>
        <w:t>2019-074</w:t>
      </w:r>
      <w:r>
        <w:rPr/>
        <w:t>）。</w:t>
      </w:r>
    </w:p>
    <w:p>
      <w:pPr>
        <w:spacing w:before="178"/>
        <w:ind w:left="152" w:right="1119"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119" w:firstLine="420"/>
        <w:jc w:val="left"/>
      </w:pP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日，公司召开</w:t>
      </w:r>
      <w:r>
        <w:rPr>
          <w:rFonts w:ascii="宋体" w:hAnsi="宋体" w:cs="宋体" w:eastAsia="宋体" w:hint="default"/>
          <w:spacing w:val="-2"/>
        </w:rPr>
        <w:t>2018</w:t>
      </w:r>
      <w:r>
        <w:rPr>
          <w:spacing w:val="-2"/>
        </w:rPr>
        <w:t>年第四次临时股东大会审议通过了《关于</w:t>
      </w:r>
      <w:r>
        <w:rPr>
          <w:rFonts w:ascii="宋体" w:hAnsi="宋体" w:cs="宋体" w:eastAsia="宋体" w:hint="default"/>
          <w:spacing w:val="-2"/>
        </w:rPr>
        <w:t>&lt;</w:t>
      </w:r>
      <w:r>
        <w:rPr>
          <w:spacing w:val="-2"/>
        </w:rPr>
        <w:t>广东乐心医疗电子股份</w:t>
      </w:r>
      <w:r>
        <w:rPr>
          <w:w w:val="100"/>
        </w:rPr>
        <w:t> </w:t>
      </w:r>
      <w:r>
        <w:rPr/>
        <w:t>有限公司</w:t>
      </w:r>
      <w:r>
        <w:rPr>
          <w:rFonts w:ascii="宋体" w:hAnsi="宋体" w:cs="宋体" w:eastAsia="宋体" w:hint="default"/>
        </w:rPr>
        <w:t>2018</w:t>
      </w:r>
      <w:r>
        <w:rPr/>
        <w:t>年股票期权与限制性股票激励计划（草案修订稿）</w:t>
      </w:r>
      <w:r>
        <w:rPr>
          <w:rFonts w:ascii="宋体" w:hAnsi="宋体" w:cs="宋体" w:eastAsia="宋体" w:hint="default"/>
        </w:rPr>
        <w:t>&gt;</w:t>
      </w:r>
      <w:r>
        <w:rPr/>
        <w:t>及其摘要的议案》。同日，公司召开第</w:t>
      </w:r>
      <w:r>
        <w:rPr>
          <w:w w:val="100"/>
        </w:rPr>
        <w:t> </w:t>
      </w:r>
      <w:r>
        <w:rPr>
          <w:spacing w:val="-2"/>
        </w:rPr>
        <w:t>二届董事会第二十一次会议和第二届监事会第十九次会议，审议通过了《关于向激励对象授予股票期权与</w:t>
      </w:r>
      <w:r>
        <w:rPr>
          <w:spacing w:val="-44"/>
        </w:rPr>
        <w:t> </w:t>
      </w:r>
      <w:r>
        <w:rPr>
          <w:spacing w:val="-44"/>
        </w:rPr>
      </w:r>
      <w:r>
        <w:rPr>
          <w:spacing w:val="-2"/>
        </w:rPr>
        <w:t>限制性股票的议案》。据中国证券监督管理委员会《上市公司股权激励管理办法》、深圳证券交易所、中</w:t>
      </w:r>
      <w:r>
        <w:rPr>
          <w:spacing w:val="-42"/>
        </w:rPr>
        <w:t> </w:t>
      </w:r>
      <w:r>
        <w:rPr>
          <w:spacing w:val="-42"/>
        </w:rPr>
      </w:r>
      <w:r>
        <w:rPr>
          <w:spacing w:val="-2"/>
        </w:rPr>
        <w:t>国证券登记结算有限责任公司深圳分公司有关规则，公司完成了</w:t>
      </w:r>
      <w:r>
        <w:rPr>
          <w:rFonts w:ascii="宋体" w:hAnsi="宋体" w:cs="宋体" w:eastAsia="宋体" w:hint="default"/>
          <w:spacing w:val="-2"/>
        </w:rPr>
        <w:t>2018</w:t>
      </w:r>
      <w:r>
        <w:rPr>
          <w:spacing w:val="-2"/>
        </w:rPr>
        <w:t>年股票期权与限制性股票激励计划限</w:t>
      </w:r>
      <w:r>
        <w:rPr>
          <w:spacing w:val="-39"/>
        </w:rPr>
        <w:t> </w:t>
      </w:r>
      <w:r>
        <w:rPr>
          <w:spacing w:val="-39"/>
        </w:rPr>
      </w:r>
      <w:r>
        <w:rPr>
          <w:spacing w:val="-2"/>
        </w:rPr>
        <w:t>制性股票的首次授予登记工作，授予的限制性股票上市日期为</w:t>
      </w:r>
      <w:r>
        <w:rPr>
          <w:rFonts w:ascii="宋体" w:hAnsi="宋体" w:cs="宋体" w:eastAsia="宋体" w:hint="default"/>
          <w:spacing w:val="-2"/>
        </w:rPr>
        <w:t>2019</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18</w:t>
      </w:r>
      <w:r>
        <w:rPr>
          <w:spacing w:val="-2"/>
        </w:rPr>
        <w:t>日，授予的限制性股票数量为</w:t>
      </w:r>
      <w:r>
        <w:rPr>
          <w:spacing w:val="-34"/>
        </w:rPr>
        <w:t> </w:t>
      </w:r>
      <w:r>
        <w:rPr>
          <w:spacing w:val="-34"/>
        </w:rPr>
      </w:r>
      <w:r>
        <w:rPr>
          <w:rFonts w:ascii="宋体" w:hAnsi="宋体" w:cs="宋体" w:eastAsia="宋体" w:hint="default"/>
        </w:rPr>
        <w:t>997,349</w:t>
      </w:r>
      <w:r>
        <w:rPr/>
        <w:t>股，总股本由</w:t>
      </w:r>
      <w:r>
        <w:rPr>
          <w:rFonts w:ascii="宋体" w:hAnsi="宋体" w:cs="宋体" w:eastAsia="宋体" w:hint="default"/>
        </w:rPr>
        <w:t>188,800,000</w:t>
      </w:r>
      <w:r>
        <w:rPr/>
        <w:t>股增加为</w:t>
      </w:r>
      <w:r>
        <w:rPr>
          <w:rFonts w:ascii="宋体" w:hAnsi="宋体" w:cs="宋体" w:eastAsia="宋体" w:hint="default"/>
        </w:rPr>
        <w:t>189,797,349</w:t>
      </w:r>
      <w:r>
        <w:rPr/>
        <w:t>股。</w:t>
      </w:r>
    </w:p>
    <w:p>
      <w:pPr>
        <w:pStyle w:val="BodyText"/>
        <w:spacing w:line="408" w:lineRule="auto"/>
        <w:ind w:right="1119"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w:t>
      </w:r>
      <w:r>
        <w:rPr>
          <w:rFonts w:ascii="宋体" w:hAnsi="宋体" w:cs="宋体" w:eastAsia="宋体" w:hint="default"/>
          <w:spacing w:val="-2"/>
        </w:rPr>
        <w:t>21</w:t>
      </w:r>
      <w:r>
        <w:rPr>
          <w:spacing w:val="-2"/>
        </w:rPr>
        <w:t>日，公司召开了</w:t>
      </w:r>
      <w:r>
        <w:rPr>
          <w:rFonts w:ascii="宋体" w:hAnsi="宋体" w:cs="宋体" w:eastAsia="宋体" w:hint="default"/>
          <w:spacing w:val="-2"/>
        </w:rPr>
        <w:t>2019</w:t>
      </w:r>
      <w:r>
        <w:rPr>
          <w:spacing w:val="-2"/>
        </w:rPr>
        <w:t>年第一次临时股东大会，会议审议通过了董事会、监事会换届</w:t>
      </w:r>
      <w:r>
        <w:rPr>
          <w:w w:val="100"/>
        </w:rPr>
        <w:t> </w:t>
      </w:r>
      <w:r>
        <w:rPr/>
        <w:t>选举的相关议案，选举出公司第三届董事会、监事会成员。公司董事会、监事会换届选举已完成。</w:t>
      </w:r>
    </w:p>
    <w:p>
      <w:pPr>
        <w:pStyle w:val="BodyText"/>
        <w:spacing w:line="408" w:lineRule="auto"/>
        <w:ind w:right="1119" w:firstLine="420"/>
        <w:jc w:val="left"/>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29</w:t>
      </w:r>
      <w:r>
        <w:rPr>
          <w:spacing w:val="-2"/>
        </w:rPr>
        <w:t>日，公司完成了工商变更登记，并取得了中山市工商行政管理局出具的《核准变更</w:t>
      </w:r>
      <w:r>
        <w:rPr>
          <w:w w:val="100"/>
        </w:rPr>
        <w:t> </w:t>
      </w:r>
      <w:r>
        <w:rPr/>
        <w:t>登记通知书》（粤中核变通内字【</w:t>
      </w:r>
      <w:r>
        <w:rPr>
          <w:rFonts w:ascii="宋体" w:hAnsi="宋体" w:cs="宋体" w:eastAsia="宋体" w:hint="default"/>
        </w:rPr>
        <w:t>2019</w:t>
      </w:r>
      <w:r>
        <w:rPr/>
        <w:t>】第</w:t>
      </w:r>
      <w:r>
        <w:rPr>
          <w:rFonts w:ascii="宋体" w:hAnsi="宋体" w:cs="宋体" w:eastAsia="宋体" w:hint="default"/>
        </w:rPr>
        <w:t>1900077485</w:t>
      </w:r>
      <w:r>
        <w:rPr/>
        <w:t>号）及换发的《营业执照》。</w:t>
      </w:r>
    </w:p>
    <w:p>
      <w:pPr>
        <w:spacing w:before="31"/>
        <w:ind w:left="152" w:right="1119"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5"/>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38" w:lineRule="auto" w:before="41"/>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3"/>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39"/>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119" w:firstLine="420"/>
        <w:jc w:val="left"/>
      </w:pPr>
      <w:r>
        <w:rPr>
          <w:spacing w:val="-2"/>
        </w:rPr>
        <w:t>报告期内，公司实施限制性股票激励计划对每股收益、归属于公司普通股的每股净资产影响较小，详</w:t>
      </w:r>
      <w:r>
        <w:rPr>
          <w:w w:val="100"/>
        </w:rPr>
        <w:t> </w:t>
      </w:r>
      <w:r>
        <w:rPr/>
        <w:t>见本报告第二节第五部分“主要会计数据和财务指标”。</w:t>
      </w:r>
    </w:p>
    <w:p>
      <w:pPr>
        <w:spacing w:line="240" w:lineRule="auto" w:before="2"/>
        <w:rPr>
          <w:rFonts w:ascii="宋体" w:hAnsi="宋体" w:cs="宋体" w:eastAsia="宋体" w:hint="default"/>
          <w:sz w:val="29"/>
          <w:szCs w:val="29"/>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992"/>
        <w:gridCol w:w="1132"/>
        <w:gridCol w:w="1277"/>
        <w:gridCol w:w="1560"/>
        <w:gridCol w:w="1558"/>
      </w:tblGrid>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85,908,480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21,477,120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64,431,360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8"/>
              <w:jc w:val="center"/>
              <w:rPr>
                <w:rFonts w:ascii="宋体" w:hAnsi="宋体" w:cs="宋体" w:eastAsia="宋体" w:hint="default"/>
                <w:sz w:val="18"/>
                <w:szCs w:val="18"/>
              </w:rPr>
            </w:pPr>
            <w:r>
              <w:rPr>
                <w:rFonts w:ascii="宋体" w:hAnsi="宋体" w:cs="宋体" w:eastAsia="宋体" w:hint="default"/>
                <w:sz w:val="18"/>
                <w:szCs w:val="18"/>
              </w:rPr>
              <w:t>高管锁定股每年第</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991"/>
        <w:gridCol w:w="1133"/>
        <w:gridCol w:w="1277"/>
        <w:gridCol w:w="1560"/>
        <w:gridCol w:w="1558"/>
      </w:tblGrid>
      <w:tr>
        <w:trPr>
          <w:trHeight w:val="675"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left"/>
              <w:rPr>
                <w:rFonts w:ascii="宋体" w:hAnsi="宋体" w:cs="宋体" w:eastAsia="宋体" w:hint="default"/>
                <w:sz w:val="18"/>
                <w:szCs w:val="18"/>
              </w:rPr>
            </w:pPr>
            <w:r>
              <w:rPr>
                <w:rFonts w:ascii="宋体" w:hAnsi="宋体" w:cs="宋体" w:eastAsia="宋体" w:hint="default"/>
                <w:sz w:val="18"/>
                <w:szCs w:val="18"/>
              </w:rPr>
              <w:t>一个交易日解锁其 持有股份的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离任高管股份解锁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4,062,240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离任高管股份解锁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9,606,240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9,606,240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高管锁定股每年第 一个交易日解锁其 持有股份的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离任高管股份解锁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已解除限售</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年股票期权与限 制性股票激励计划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105,040,320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31,002,720</w:t>
            </w:r>
          </w:p>
        </w:tc>
        <w:tc>
          <w:tcPr>
            <w:tcW w:w="127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75,034,949</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19"/>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709"/>
        <w:gridCol w:w="991"/>
        <w:gridCol w:w="1296"/>
        <w:gridCol w:w="1539"/>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997,349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997,349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3"/>
        <w:rPr>
          <w:rFonts w:ascii="宋体" w:hAnsi="宋体" w:cs="宋体" w:eastAsia="宋体" w:hint="default"/>
          <w:sz w:val="13"/>
          <w:szCs w:val="13"/>
        </w:rPr>
      </w:pPr>
    </w:p>
    <w:p>
      <w:pPr>
        <w:pStyle w:val="BodyText"/>
        <w:spacing w:line="408" w:lineRule="auto" w:before="0"/>
        <w:ind w:right="1315" w:firstLine="420"/>
        <w:jc w:val="both"/>
      </w:pPr>
      <w:r>
        <w:rPr>
          <w:spacing w:val="-2"/>
        </w:rPr>
        <w:t>报告期内，公司完成了</w:t>
      </w:r>
      <w:r>
        <w:rPr>
          <w:rFonts w:ascii="宋体" w:hAnsi="宋体" w:cs="宋体" w:eastAsia="宋体" w:hint="default"/>
          <w:spacing w:val="-2"/>
        </w:rPr>
        <w:t>2018</w:t>
      </w:r>
      <w:r>
        <w:rPr>
          <w:spacing w:val="-2"/>
        </w:rPr>
        <w:t>年股票期权与限制性股票计划股票期权与限制性股票的首次授予登记工</w:t>
      </w:r>
      <w:r>
        <w:rPr>
          <w:w w:val="100"/>
        </w:rPr>
        <w:t> </w:t>
      </w:r>
      <w:r>
        <w:rPr>
          <w:spacing w:val="-2"/>
        </w:rPr>
        <w:t>作，以人民币</w:t>
      </w:r>
      <w:r>
        <w:rPr>
          <w:rFonts w:ascii="宋体" w:hAnsi="宋体" w:cs="宋体" w:eastAsia="宋体" w:hint="default"/>
          <w:spacing w:val="-2"/>
        </w:rPr>
        <w:t>6.81</w:t>
      </w:r>
      <w:r>
        <w:rPr>
          <w:spacing w:val="-2"/>
        </w:rPr>
        <w:t>元</w:t>
      </w:r>
      <w:r>
        <w:rPr>
          <w:rFonts w:ascii="宋体" w:hAnsi="宋体" w:cs="宋体" w:eastAsia="宋体" w:hint="default"/>
          <w:spacing w:val="-2"/>
        </w:rPr>
        <w:t>/</w:t>
      </w:r>
      <w:r>
        <w:rPr>
          <w:spacing w:val="-2"/>
        </w:rPr>
        <w:t>股的价格授予</w:t>
      </w:r>
      <w:r>
        <w:rPr>
          <w:rFonts w:ascii="宋体" w:hAnsi="宋体" w:cs="宋体" w:eastAsia="宋体" w:hint="default"/>
          <w:spacing w:val="-2"/>
        </w:rPr>
        <w:t>42</w:t>
      </w:r>
      <w:r>
        <w:rPr>
          <w:spacing w:val="-2"/>
        </w:rPr>
        <w:t>人限制性股票共</w:t>
      </w:r>
      <w:r>
        <w:rPr>
          <w:rFonts w:ascii="宋体" w:hAnsi="宋体" w:cs="宋体" w:eastAsia="宋体" w:hint="default"/>
          <w:spacing w:val="-2"/>
        </w:rPr>
        <w:t>997,349</w:t>
      </w:r>
      <w:r>
        <w:rPr>
          <w:spacing w:val="-2"/>
        </w:rPr>
        <w:t>股，首次授予的限制性股票的上市日期为</w:t>
      </w:r>
      <w:r>
        <w:rPr>
          <w:spacing w:val="-12"/>
        </w:rPr>
        <w:t> </w:t>
      </w:r>
      <w:r>
        <w:rPr>
          <w:spacing w:val="-12"/>
        </w:rPr>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日，上市后公司的总股本由</w:t>
      </w:r>
      <w:r>
        <w:rPr>
          <w:rFonts w:ascii="宋体" w:hAnsi="宋体" w:cs="宋体" w:eastAsia="宋体" w:hint="default"/>
        </w:rPr>
        <w:t>188,800,000</w:t>
      </w:r>
      <w:r>
        <w:rPr/>
        <w:t>股变为</w:t>
      </w:r>
      <w:r>
        <w:rPr>
          <w:rFonts w:ascii="宋体" w:hAnsi="宋体" w:cs="宋体" w:eastAsia="宋体" w:hint="default"/>
        </w:rPr>
        <w:t>189,797,349</w:t>
      </w:r>
      <w:r>
        <w:rPr/>
        <w:t>股。</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315" w:firstLine="420"/>
        <w:jc w:val="both"/>
      </w:pPr>
      <w:r>
        <w:rPr>
          <w:spacing w:val="-2"/>
        </w:rPr>
        <w:t>报告期内，公司完成了</w:t>
      </w:r>
      <w:r>
        <w:rPr>
          <w:rFonts w:ascii="宋体" w:hAnsi="宋体" w:cs="宋体" w:eastAsia="宋体" w:hint="default"/>
          <w:spacing w:val="-2"/>
        </w:rPr>
        <w:t>2018</w:t>
      </w:r>
      <w:r>
        <w:rPr>
          <w:spacing w:val="-2"/>
        </w:rPr>
        <w:t>年股票期权与限制性股票计划股票期权与限制性股票的首次授予登记工</w:t>
      </w:r>
      <w:r>
        <w:rPr>
          <w:w w:val="100"/>
        </w:rPr>
        <w:t> </w:t>
      </w:r>
      <w:r>
        <w:rPr>
          <w:spacing w:val="-2"/>
        </w:rPr>
        <w:t>作，以人民币</w:t>
      </w:r>
      <w:r>
        <w:rPr>
          <w:rFonts w:ascii="宋体" w:hAnsi="宋体" w:cs="宋体" w:eastAsia="宋体" w:hint="default"/>
          <w:spacing w:val="-2"/>
        </w:rPr>
        <w:t>6.81</w:t>
      </w:r>
      <w:r>
        <w:rPr>
          <w:spacing w:val="-2"/>
        </w:rPr>
        <w:t>元</w:t>
      </w:r>
      <w:r>
        <w:rPr>
          <w:rFonts w:ascii="宋体" w:hAnsi="宋体" w:cs="宋体" w:eastAsia="宋体" w:hint="default"/>
          <w:spacing w:val="-2"/>
        </w:rPr>
        <w:t>/</w:t>
      </w:r>
      <w:r>
        <w:rPr>
          <w:spacing w:val="-2"/>
        </w:rPr>
        <w:t>股的价格授予</w:t>
      </w:r>
      <w:r>
        <w:rPr>
          <w:rFonts w:ascii="宋体" w:hAnsi="宋体" w:cs="宋体" w:eastAsia="宋体" w:hint="default"/>
          <w:spacing w:val="-2"/>
        </w:rPr>
        <w:t>42</w:t>
      </w:r>
      <w:r>
        <w:rPr>
          <w:spacing w:val="-2"/>
        </w:rPr>
        <w:t>人限制性股票共</w:t>
      </w:r>
      <w:r>
        <w:rPr>
          <w:rFonts w:ascii="宋体" w:hAnsi="宋体" w:cs="宋体" w:eastAsia="宋体" w:hint="default"/>
          <w:spacing w:val="-2"/>
        </w:rPr>
        <w:t>997,349</w:t>
      </w:r>
      <w:r>
        <w:rPr>
          <w:spacing w:val="-2"/>
        </w:rPr>
        <w:t>股，首次授予的限制性股票的上市日期为</w:t>
      </w:r>
      <w:r>
        <w:rPr>
          <w:spacing w:val="-12"/>
        </w:rPr>
        <w:t> </w:t>
      </w:r>
      <w:r>
        <w:rPr>
          <w:spacing w:val="-12"/>
        </w:rPr>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日，上市后公司的总股本由</w:t>
      </w:r>
      <w:r>
        <w:rPr>
          <w:rFonts w:ascii="宋体" w:hAnsi="宋体" w:cs="宋体" w:eastAsia="宋体" w:hint="default"/>
        </w:rPr>
        <w:t>188,800,000</w:t>
      </w:r>
      <w:r>
        <w:rPr/>
        <w:t>股变为</w:t>
      </w:r>
      <w:r>
        <w:rPr>
          <w:rFonts w:ascii="宋体" w:hAnsi="宋体" w:cs="宋体" w:eastAsia="宋体" w:hint="default"/>
        </w:rPr>
        <w:t>189,797,349</w:t>
      </w:r>
      <w:r>
        <w:rPr/>
        <w:t>股。</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1119"/>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33.429993pt;margin-top:70.671692pt;width:52.7pt;height:31.2pt;mso-position-horizontal-relative:page;mso-position-vertical-relative:paragraph;z-index:-1111480" coordorigin="6669,1413" coordsize="1054,624">
            <v:shape style="position:absolute;left:6669;top:1413;width:1054;height:624" coordorigin="6669,1413" coordsize="1054,624" path="m6669,2037l7722,2037,7722,1413,6669,1413,6669,203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357"/>
        <w:gridCol w:w="841"/>
        <w:gridCol w:w="1073"/>
        <w:gridCol w:w="1052"/>
        <w:gridCol w:w="1075"/>
        <w:gridCol w:w="1201"/>
        <w:gridCol w:w="1063"/>
        <w:gridCol w:w="920"/>
      </w:tblGrid>
      <w:tr>
        <w:trPr>
          <w:trHeight w:val="317"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21,273</w:t>
            </w:r>
          </w:p>
        </w:tc>
        <w:tc>
          <w:tcPr>
            <w:tcW w:w="8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90"/>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3" w:type="dxa"/>
            <w:vMerge w:val="restart"/>
            <w:tcBorders>
              <w:top w:val="single" w:sz="4" w:space="0" w:color="000000"/>
              <w:left w:val="single" w:sz="13" w:space="0" w:color="D2D2D2"/>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17,065</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 w:right="120"/>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226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10" w:space="0" w:color="D2D2D2"/>
              <w:right w:val="single" w:sz="13" w:space="0" w:color="D2D2D2"/>
            </w:tcBorders>
          </w:tcPr>
          <w:p>
            <w:pPr/>
          </w:p>
        </w:tc>
        <w:tc>
          <w:tcPr>
            <w:tcW w:w="841" w:type="dxa"/>
            <w:vMerge/>
            <w:tcBorders>
              <w:left w:val="single" w:sz="4" w:space="0" w:color="000000"/>
              <w:right w:val="single" w:sz="4" w:space="0" w:color="000000"/>
            </w:tcBorders>
            <w:shd w:val="clear" w:color="auto" w:fill="D2D2D2"/>
          </w:tcPr>
          <w:p>
            <w:pPr/>
          </w:p>
        </w:tc>
        <w:tc>
          <w:tcPr>
            <w:tcW w:w="1073" w:type="dxa"/>
            <w:vMerge/>
            <w:tcBorders>
              <w:left w:val="single" w:sz="13" w:space="0" w:color="D2D2D2"/>
              <w:right w:val="single" w:sz="14"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9" w:space="0" w:color="D2D2D2"/>
            </w:tcBorders>
          </w:tcPr>
          <w:p>
            <w:pPr/>
          </w:p>
        </w:tc>
        <w:tc>
          <w:tcPr>
            <w:tcW w:w="22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74"/>
              <w:jc w:val="both"/>
              <w:rPr>
                <w:rFonts w:ascii="宋体" w:hAnsi="宋体" w:cs="宋体" w:eastAsia="宋体" w:hint="default"/>
                <w:sz w:val="18"/>
                <w:szCs w:val="18"/>
              </w:rPr>
            </w:pPr>
            <w:r>
              <w:rPr>
                <w:rFonts w:ascii="宋体" w:hAnsi="宋体" w:cs="宋体" w:eastAsia="宋体" w:hint="default"/>
                <w:sz w:val="18"/>
                <w:szCs w:val="18"/>
              </w:rPr>
              <w:t>年度报告披露日前上一月末 表决权恢复的优先股股东总 </w:t>
            </w:r>
            <w:r>
              <w:rPr>
                <w:rFonts w:ascii="宋体" w:hAnsi="宋体" w:cs="宋体" w:eastAsia="宋体" w:hint="default"/>
                <w:spacing w:val="-11"/>
                <w:sz w:val="18"/>
                <w:szCs w:val="18"/>
              </w:rPr>
              <w:t>数（如有）（参见注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20"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57" w:type="dxa"/>
            <w:vMerge/>
            <w:tcBorders>
              <w:left w:val="single" w:sz="10" w:space="0" w:color="D2D2D2"/>
              <w:right w:val="single" w:sz="13" w:space="0" w:color="D2D2D2"/>
            </w:tcBorders>
          </w:tcPr>
          <w:p>
            <w:pPr/>
          </w:p>
        </w:tc>
        <w:tc>
          <w:tcPr>
            <w:tcW w:w="841" w:type="dxa"/>
            <w:vMerge/>
            <w:tcBorders>
              <w:left w:val="single" w:sz="4" w:space="0" w:color="000000"/>
              <w:right w:val="single" w:sz="4" w:space="0" w:color="000000"/>
            </w:tcBorders>
            <w:shd w:val="clear" w:color="auto" w:fill="D2D2D2"/>
          </w:tcPr>
          <w:p>
            <w:pPr/>
          </w:p>
        </w:tc>
        <w:tc>
          <w:tcPr>
            <w:tcW w:w="1073" w:type="dxa"/>
            <w:vMerge/>
            <w:tcBorders>
              <w:left w:val="single" w:sz="13" w:space="0" w:color="D2D2D2"/>
              <w:right w:val="single" w:sz="14"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9" w:space="0" w:color="D2D2D2"/>
            </w:tcBorders>
          </w:tcPr>
          <w:p>
            <w:pPr/>
          </w:p>
        </w:tc>
        <w:tc>
          <w:tcPr>
            <w:tcW w:w="2264" w:type="dxa"/>
            <w:gridSpan w:val="2"/>
            <w:vMerge/>
            <w:tcBorders>
              <w:left w:val="single" w:sz="4" w:space="0" w:color="000000"/>
              <w:right w:val="single" w:sz="4" w:space="0" w:color="000000"/>
            </w:tcBorders>
            <w:shd w:val="clear" w:color="auto" w:fill="D2D2D2"/>
          </w:tcPr>
          <w:p>
            <w:pPr/>
          </w:p>
        </w:tc>
        <w:tc>
          <w:tcPr>
            <w:tcW w:w="920" w:type="dxa"/>
            <w:vMerge/>
            <w:tcBorders>
              <w:left w:val="single" w:sz="9" w:space="0" w:color="D2D2D2"/>
              <w:right w:val="single" w:sz="4" w:space="0" w:color="000000"/>
            </w:tcBorders>
          </w:tcPr>
          <w:p>
            <w:pP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357" w:type="dxa"/>
            <w:vMerge/>
            <w:tcBorders>
              <w:left w:val="single" w:sz="10" w:space="0" w:color="D2D2D2"/>
              <w:right w:val="single" w:sz="13" w:space="0" w:color="D2D2D2"/>
            </w:tcBorders>
          </w:tcPr>
          <w:p>
            <w:pPr/>
          </w:p>
        </w:tc>
        <w:tc>
          <w:tcPr>
            <w:tcW w:w="841" w:type="dxa"/>
            <w:vMerge/>
            <w:tcBorders>
              <w:left w:val="single" w:sz="4" w:space="0" w:color="000000"/>
              <w:right w:val="single" w:sz="4" w:space="0" w:color="000000"/>
            </w:tcBorders>
            <w:shd w:val="clear" w:color="auto" w:fill="D2D2D2"/>
          </w:tcPr>
          <w:p>
            <w:pPr/>
          </w:p>
        </w:tc>
        <w:tc>
          <w:tcPr>
            <w:tcW w:w="1073" w:type="dxa"/>
            <w:vMerge/>
            <w:tcBorders>
              <w:left w:val="single" w:sz="13" w:space="0" w:color="D2D2D2"/>
              <w:right w:val="single" w:sz="14"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9" w:space="0" w:color="D2D2D2"/>
            </w:tcBorders>
          </w:tcPr>
          <w:p>
            <w:pPr/>
          </w:p>
        </w:tc>
        <w:tc>
          <w:tcPr>
            <w:tcW w:w="2264" w:type="dxa"/>
            <w:gridSpan w:val="2"/>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9" w:space="0" w:color="D2D2D2"/>
              <w:right w:val="single" w:sz="4" w:space="0" w:color="000000"/>
            </w:tcBorders>
          </w:tcPr>
          <w:p>
            <w:pPr/>
          </w:p>
        </w:tc>
      </w:tr>
      <w:tr>
        <w:trPr>
          <w:trHeight w:val="32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10" w:space="0" w:color="D2D2D2"/>
              <w:bottom w:val="single" w:sz="4" w:space="0" w:color="000000"/>
              <w:right w:val="single" w:sz="13" w:space="0" w:color="D2D2D2"/>
            </w:tcBorders>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13" w:space="0" w:color="D2D2D2"/>
              <w:bottom w:val="single" w:sz="4" w:space="0" w:color="000000"/>
              <w:right w:val="single" w:sz="14"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9" w:space="0" w:color="D2D2D2"/>
            </w:tcBorders>
          </w:tcPr>
          <w:p>
            <w:pPr/>
          </w:p>
        </w:tc>
        <w:tc>
          <w:tcPr>
            <w:tcW w:w="226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9" w:space="0" w:color="D2D2D2"/>
              <w:bottom w:val="single" w:sz="4" w:space="0" w:color="000000"/>
              <w:right w:val="single" w:sz="4" w:space="0" w:color="000000"/>
            </w:tcBorders>
          </w:tcPr>
          <w:p>
            <w:pPr/>
          </w:p>
        </w:tc>
      </w:tr>
      <w:tr>
        <w:trPr>
          <w:trHeight w:val="394" w:hRule="exact"/>
        </w:trPr>
        <w:tc>
          <w:tcPr>
            <w:tcW w:w="97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6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
        </w:tc>
        <w:tc>
          <w:tcPr>
            <w:tcW w:w="841" w:type="dxa"/>
            <w:vMerge w:val="restart"/>
            <w:tcBorders>
              <w:top w:val="single" w:sz="4" w:space="0" w:color="000000"/>
              <w:left w:val="single" w:sz="4" w:space="0" w:color="000000"/>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841" w:type="dxa"/>
            <w:vMerge/>
            <w:tcBorders>
              <w:left w:val="single" w:sz="4" w:space="0" w:color="000000"/>
              <w:bottom w:val="nil" w:sz="6" w:space="0" w:color="auto"/>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62" w:right="7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2" w:right="67"/>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1" w:right="59"/>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83" w:type="dxa"/>
            <w:gridSpan w:val="2"/>
            <w:vMerge/>
            <w:tcBorders>
              <w:left w:val="single" w:sz="4" w:space="0" w:color="000000"/>
              <w:right w:val="single" w:sz="4" w:space="0" w:color="000000"/>
            </w:tcBorders>
            <w:shd w:val="clear" w:color="auto" w:fill="D2D2D2"/>
          </w:tcPr>
          <w:p>
            <w:pPr/>
          </w:p>
        </w:tc>
      </w:tr>
      <w:tr>
        <w:trPr>
          <w:trHeight w:val="141"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983"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841"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7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
        </w:tc>
        <w:tc>
          <w:tcPr>
            <w:tcW w:w="841" w:type="dxa"/>
            <w:vMerge w:val="restart"/>
            <w:tcBorders>
              <w:top w:val="nil" w:sz="6" w:space="0" w:color="auto"/>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45.26%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85,908,480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64,431,360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21,477,120</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51,886,300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12,808,320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9,606,240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正安县汇康企 业管理服务中 </w:t>
            </w:r>
            <w:r>
              <w:rPr>
                <w:rFonts w:ascii="宋体" w:hAnsi="宋体" w:cs="宋体" w:eastAsia="宋体" w:hint="default"/>
                <w:spacing w:val="-4"/>
                <w:sz w:val="18"/>
                <w:szCs w:val="18"/>
              </w:rPr>
              <w:t>心（有限合伙</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7,056,066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-2,351,934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7,056,066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高榕资本（深 圳）投资中心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7,040,000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正安县协润企 业管理服务中 </w:t>
            </w:r>
            <w:r>
              <w:rPr>
                <w:rFonts w:ascii="宋体" w:hAnsi="宋体" w:cs="宋体" w:eastAsia="宋体" w:hint="default"/>
                <w:spacing w:val="-4"/>
                <w:sz w:val="18"/>
                <w:szCs w:val="18"/>
              </w:rPr>
              <w:t>心（有限合伙</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6,048,000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-1,183,200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-1,015,200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李小飞</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0.68%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1,283,040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1,283,040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1,283,040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0.59%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1,118,120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-3,204,400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1,118,120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0.46%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872,480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-3,724,000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872,480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钱炜程</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83" w:hRule="exact"/>
        </w:trPr>
        <w:tc>
          <w:tcPr>
            <w:tcW w:w="2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 w:right="18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、截至目前，沙华海通过正安县汇康企业管理服务中心（有限合伙）间接持有公司股份</w:t>
            </w:r>
          </w:p>
          <w:p>
            <w:pPr>
              <w:pStyle w:val="TableParagraph"/>
              <w:spacing w:line="240" w:lineRule="auto" w:before="122"/>
              <w:ind w:left="18" w:right="0"/>
              <w:jc w:val="left"/>
              <w:rPr>
                <w:rFonts w:ascii="宋体" w:hAnsi="宋体" w:cs="宋体" w:eastAsia="宋体" w:hint="default"/>
                <w:sz w:val="18"/>
                <w:szCs w:val="18"/>
              </w:rPr>
            </w:pPr>
            <w:r>
              <w:rPr>
                <w:rFonts w:ascii="宋体" w:hAnsi="宋体" w:cs="宋体" w:eastAsia="宋体" w:hint="default"/>
                <w:sz w:val="18"/>
                <w:szCs w:val="18"/>
              </w:rPr>
              <w:t>4,400,567</w:t>
            </w:r>
            <w:r>
              <w:rPr>
                <w:rFonts w:ascii="宋体" w:hAnsi="宋体" w:cs="宋体" w:eastAsia="宋体" w:hint="default"/>
                <w:spacing w:val="-49"/>
                <w:sz w:val="18"/>
                <w:szCs w:val="18"/>
              </w:rPr>
              <w:t> </w:t>
            </w:r>
            <w:r>
              <w:rPr>
                <w:rFonts w:ascii="宋体" w:hAnsi="宋体" w:cs="宋体" w:eastAsia="宋体" w:hint="default"/>
                <w:sz w:val="18"/>
                <w:szCs w:val="18"/>
              </w:rPr>
              <w:t>股，欧高良通过正安县汇康企业管理服务中心（有限合伙）间接持有公司股份</w:t>
            </w:r>
          </w:p>
          <w:p>
            <w:pPr>
              <w:pStyle w:val="TableParagraph"/>
              <w:spacing w:line="240" w:lineRule="auto" w:before="124"/>
              <w:ind w:left="18" w:right="0"/>
              <w:jc w:val="left"/>
              <w:rPr>
                <w:rFonts w:ascii="宋体" w:hAnsi="宋体" w:cs="宋体" w:eastAsia="宋体" w:hint="default"/>
                <w:sz w:val="18"/>
                <w:szCs w:val="18"/>
              </w:rPr>
            </w:pPr>
            <w:r>
              <w:rPr>
                <w:rFonts w:ascii="宋体" w:hAnsi="宋体" w:cs="宋体" w:eastAsia="宋体" w:hint="default"/>
                <w:sz w:val="18"/>
                <w:szCs w:val="18"/>
              </w:rPr>
              <w:t>22,974</w:t>
            </w:r>
            <w:r>
              <w:rPr>
                <w:rFonts w:ascii="宋体" w:hAnsi="宋体" w:cs="宋体" w:eastAsia="宋体" w:hint="default"/>
                <w:spacing w:val="-47"/>
                <w:sz w:val="18"/>
                <w:szCs w:val="18"/>
              </w:rPr>
              <w:t> </w:t>
            </w:r>
            <w:r>
              <w:rPr>
                <w:rFonts w:ascii="宋体" w:hAnsi="宋体" w:cs="宋体" w:eastAsia="宋体" w:hint="default"/>
                <w:sz w:val="18"/>
                <w:szCs w:val="18"/>
              </w:rPr>
              <w:t>股，欧高良为正安县汇康企业管理服务中心（有限合伙）的执行事务合伙人。</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、截至目前，欧高良通过正安县协润企业管理服务中心（有限合伙）间接持有公司股份</w:t>
            </w:r>
          </w:p>
          <w:p>
            <w:pPr>
              <w:pStyle w:val="TableParagraph"/>
              <w:spacing w:line="367" w:lineRule="auto" w:before="122"/>
              <w:ind w:left="18" w:right="18"/>
              <w:jc w:val="left"/>
              <w:rPr>
                <w:rFonts w:ascii="宋体" w:hAnsi="宋体" w:cs="宋体" w:eastAsia="宋体" w:hint="default"/>
                <w:sz w:val="18"/>
                <w:szCs w:val="18"/>
              </w:rPr>
            </w:pPr>
            <w:r>
              <w:rPr>
                <w:rFonts w:ascii="宋体" w:hAnsi="宋体" w:cs="宋体" w:eastAsia="宋体" w:hint="default"/>
                <w:sz w:val="18"/>
                <w:szCs w:val="18"/>
              </w:rPr>
              <w:t>2,034,098</w:t>
            </w:r>
            <w:r>
              <w:rPr>
                <w:rFonts w:ascii="宋体" w:hAnsi="宋体" w:cs="宋体" w:eastAsia="宋体" w:hint="default"/>
                <w:spacing w:val="-57"/>
                <w:sz w:val="18"/>
                <w:szCs w:val="18"/>
              </w:rPr>
              <w:t> </w:t>
            </w:r>
            <w:r>
              <w:rPr>
                <w:rFonts w:ascii="宋体" w:hAnsi="宋体" w:cs="宋体" w:eastAsia="宋体" w:hint="default"/>
                <w:sz w:val="18"/>
                <w:szCs w:val="18"/>
              </w:rPr>
              <w:t>股，麦炯章通过正安县协润企业管理服务中心（有限合伙）间接持有公司</w:t>
            </w:r>
            <w:r>
              <w:rPr>
                <w:rFonts w:ascii="宋体" w:hAnsi="宋体" w:cs="宋体" w:eastAsia="宋体" w:hint="default"/>
                <w:spacing w:val="-59"/>
                <w:sz w:val="18"/>
                <w:szCs w:val="18"/>
              </w:rPr>
              <w:t> </w:t>
            </w:r>
            <w:r>
              <w:rPr>
                <w:rFonts w:ascii="宋体" w:hAnsi="宋体" w:cs="宋体" w:eastAsia="宋体" w:hint="default"/>
                <w:sz w:val="18"/>
                <w:szCs w:val="18"/>
              </w:rPr>
              <w:t>22,974 </w:t>
            </w:r>
            <w:r>
              <w:rPr>
                <w:rFonts w:ascii="宋体" w:hAnsi="宋体" w:cs="宋体" w:eastAsia="宋体" w:hint="default"/>
                <w:sz w:val="18"/>
                <w:szCs w:val="18"/>
              </w:rPr>
              <w:t>股，其中麦炯章为正安县协润企业管理服务中心（有限合伙）的执行事务合伙人。</w:t>
            </w:r>
          </w:p>
        </w:tc>
      </w:tr>
    </w:tbl>
    <w:p>
      <w:pPr>
        <w:spacing w:after="0" w:line="367"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404"/>
        <w:gridCol w:w="3968"/>
        <w:gridCol w:w="1496"/>
        <w:gridCol w:w="914"/>
      </w:tblGrid>
      <w:tr>
        <w:trPr>
          <w:trHeight w:val="402" w:hRule="exact"/>
        </w:trPr>
        <w:tc>
          <w:tcPr>
            <w:tcW w:w="97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3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404" w:type="dxa"/>
            <w:vMerge/>
            <w:tcBorders>
              <w:left w:val="single" w:sz="4" w:space="0" w:color="000000"/>
              <w:bottom w:val="single" w:sz="4" w:space="0" w:color="000000"/>
              <w:right w:val="single" w:sz="4" w:space="0" w:color="000000"/>
            </w:tcBorders>
            <w:shd w:val="clear" w:color="auto" w:fill="D2D2D2"/>
          </w:tcPr>
          <w:p>
            <w:pPr/>
          </w:p>
        </w:tc>
        <w:tc>
          <w:tcPr>
            <w:tcW w:w="3968" w:type="dxa"/>
            <w:vMerge/>
            <w:tcBorders>
              <w:left w:val="single" w:sz="4" w:space="0" w:color="000000"/>
              <w:bottom w:val="single" w:sz="4" w:space="0" w:color="000000"/>
              <w:right w:val="single" w:sz="4" w:space="0" w:color="000000"/>
            </w:tcBorders>
            <w:shd w:val="clear" w:color="auto" w:fill="D2D2D2"/>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21,477,120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21,477,120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正安县汇康企业管理服务中心（有限合伙）</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7,056,066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7,056,066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高榕资本（深圳）投资中心（有限合伙）</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7,040,000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正安县协润企业管理服务中心（有限合伙）</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6,048,000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6,048,000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3,420,000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3,202,080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3,202,080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李小飞</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1,283,040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1,283,040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1,118,120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1,118,120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872,480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872,480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钱炜程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3759"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p>
          <w:p>
            <w:pPr>
              <w:pStyle w:val="TableParagraph"/>
              <w:spacing w:line="300" w:lineRule="auto" w:before="60"/>
              <w:ind w:left="24" w:right="36"/>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45" w:lineRule="auto" w:before="75"/>
              <w:ind w:left="23" w:right="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、截至目前，沙华海通过正安县汇康企业管理服务中心（有限合伙）间接持有公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4,400,567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股，欧高良通过正安县汇康企业管理服务中心（有限合伙）间接</w:t>
            </w:r>
          </w:p>
          <w:p>
            <w:pPr>
              <w:pStyle w:val="TableParagraph"/>
              <w:spacing w:line="345"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22,974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股，欧高良为正安县汇康企业管理服务中心（有限合伙）的 执行事务合伙人。</w:t>
            </w:r>
          </w:p>
          <w:p>
            <w:pPr>
              <w:pStyle w:val="TableParagraph"/>
              <w:spacing w:line="345" w:lineRule="auto" w:before="83"/>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、截至目前，欧高良通过正安县协润企业管理服务中心（有限合伙）间接持有公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2,034,098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股，麦炯章通过正安县协润企业管理服务中心（有限合伙）间接</w:t>
            </w:r>
          </w:p>
          <w:p>
            <w:pPr>
              <w:pStyle w:val="TableParagraph"/>
              <w:spacing w:line="345" w:lineRule="auto" w:before="23"/>
              <w:ind w:left="23" w:right="18"/>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22,974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股，其中麦炯章为正安县协润企业管理服务中心（有限合伙）的 执行事务合伙人。</w:t>
            </w:r>
          </w:p>
          <w:p>
            <w:pPr>
              <w:pStyle w:val="TableParagraph"/>
              <w:spacing w:line="345" w:lineRule="auto" w:before="86"/>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、除此之外，公司未知上述前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名无限售条件股东中其余股东之间是否存在关 联关系，也未知是否属于《上市公司收购管理办法》规定的一致行动人。</w:t>
            </w:r>
          </w:p>
        </w:tc>
      </w:tr>
      <w:tr>
        <w:trPr>
          <w:trHeight w:val="1027"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3"/>
                <w:sz w:val="18"/>
                <w:szCs w:val="18"/>
              </w:rPr>
              <w:t>参与融资融券业务股东情况说明（如有）（参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公司股东李小飞通过普通证券账户持有公司股份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1,283,040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股，合计持有公司股份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1,283,040 </w:t>
            </w:r>
            <w:r>
              <w:rPr>
                <w:rFonts w:ascii="宋体" w:hAnsi="宋体" w:cs="宋体" w:eastAsia="宋体" w:hint="default"/>
                <w:sz w:val="18"/>
                <w:szCs w:val="18"/>
              </w:rPr>
              <w:t>股。</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现任广东乐心医疗电子股份有限公司董事长</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334" w:hRule="exact"/>
        </w:trPr>
        <w:tc>
          <w:tcPr>
            <w:tcW w:w="3417" w:type="dxa"/>
            <w:tcBorders>
              <w:top w:val="nil" w:sz="6" w:space="0" w:color="auto"/>
              <w:left w:val="nil" w:sz="6" w:space="0" w:color="auto"/>
              <w:bottom w:val="single" w:sz="4" w:space="0" w:color="000000"/>
              <w:right w:val="nil" w:sz="6" w:space="0" w:color="auto"/>
            </w:tcBorders>
          </w:tcPr>
          <w:p>
            <w:pPr/>
          </w:p>
        </w:tc>
        <w:tc>
          <w:tcPr>
            <w:tcW w:w="6150" w:type="dxa"/>
            <w:tcBorders>
              <w:top w:val="nil" w:sz="6" w:space="0" w:color="auto"/>
              <w:left w:val="nil" w:sz="6" w:space="0" w:color="auto"/>
              <w:bottom w:val="single" w:sz="4" w:space="0" w:color="000000"/>
              <w:right w:val="nil" w:sz="6" w:space="0" w:color="auto"/>
            </w:tcBorders>
          </w:tcPr>
          <w:p>
            <w:pP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19" w:firstLine="0"/>
        <w:jc w:val="left"/>
        <w:rPr>
          <w:rFonts w:ascii="宋体" w:hAnsi="宋体" w:cs="宋体" w:eastAsia="宋体" w:hint="default"/>
          <w:sz w:val="18"/>
          <w:szCs w:val="18"/>
        </w:rPr>
      </w:pPr>
      <w:r>
        <w:rPr/>
        <w:pict>
          <v:group style="position:absolute;margin-left:55.200001pt;margin-top:-52.698269pt;width:484.9pt;height:.1pt;mso-position-horizontal-relative:page;mso-position-vertical-relative:paragraph;z-index:-1111456" coordorigin="1104,-1054" coordsize="9698,2">
            <v:shape style="position:absolute;left:1104;top:-1054;width:9698;height:2" coordorigin="1104,-1054" coordsize="9698,0" path="m1104,-1054l10802,-1054e" filled="false" stroked="true" strokeweight=".72pt" strokecolor="#000000">
              <v:path arrowok="t"/>
            </v:shape>
            <w10:wrap type="none"/>
          </v:group>
        </w:pict>
      </w:r>
      <w:r>
        <w:rPr>
          <w:rFonts w:ascii="宋体" w:hAnsi="宋体" w:cs="宋体" w:eastAsia="宋体" w:hint="default"/>
          <w:sz w:val="18"/>
          <w:szCs w:val="18"/>
        </w:rPr>
        <w:t>控股股东报告期内变更</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现任广东乐心医疗电子股份有限公司董事长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2" w:right="1119"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25"/>
          <w:szCs w:val="25"/>
        </w:rPr>
      </w:pPr>
    </w:p>
    <w:p>
      <w:pPr>
        <w:spacing w:line="2520" w:lineRule="exact"/>
        <w:ind w:left="2450"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219556" cy="16002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1" cstate="print"/>
                    <a:stretch>
                      <a:fillRect/>
                    </a:stretch>
                  </pic:blipFill>
                  <pic:spPr>
                    <a:xfrm>
                      <a:off x="0" y="0"/>
                      <a:ext cx="3219556" cy="160020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12"/>
        <w:rPr>
          <w:rFonts w:ascii="宋体" w:hAnsi="宋体" w:cs="宋体" w:eastAsia="宋体" w:hint="default"/>
          <w:sz w:val="20"/>
          <w:szCs w:val="20"/>
        </w:rPr>
      </w:pPr>
    </w:p>
    <w:p>
      <w:pPr>
        <w:pStyle w:val="Heading4"/>
        <w:spacing w:line="240" w:lineRule="auto" w:before="26"/>
        <w:ind w:left="152" w:right="1119"/>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365" w:right="1119"/>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19"/>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19"/>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1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566"/>
        <w:gridCol w:w="586"/>
        <w:gridCol w:w="566"/>
        <w:gridCol w:w="974"/>
        <w:gridCol w:w="991"/>
        <w:gridCol w:w="958"/>
        <w:gridCol w:w="797"/>
        <w:gridCol w:w="799"/>
        <w:gridCol w:w="797"/>
        <w:gridCol w:w="1008"/>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1" w:right="3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2"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潘伟潮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85,908,480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85,908,480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12,808,320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12,808,320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潘农菲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99,181</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蔡祥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钟前荣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赵小超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石绍海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33,060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丁芸洁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33,060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欧高良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3,724,000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872,480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沙华海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1,118,120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566"/>
        <w:gridCol w:w="586"/>
        <w:gridCol w:w="566"/>
        <w:gridCol w:w="974"/>
        <w:gridCol w:w="991"/>
        <w:gridCol w:w="958"/>
        <w:gridCol w:w="797"/>
        <w:gridCol w:w="799"/>
        <w:gridCol w:w="797"/>
        <w:gridCol w:w="1008"/>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万卫东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13,224</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梁启光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34,734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34,734</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黄洪燕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余国铮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邹晓冬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王继宝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许迎丰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7"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107,636,120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6,928,400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100,920,979</w:t>
            </w:r>
          </w:p>
        </w:tc>
      </w:tr>
    </w:tbl>
    <w:p>
      <w:pPr>
        <w:spacing w:line="240" w:lineRule="auto" w:before="1"/>
        <w:rPr>
          <w:rFonts w:ascii="宋体" w:hAnsi="宋体" w:cs="宋体" w:eastAsia="宋体" w:hint="default"/>
          <w:b/>
          <w:bCs/>
          <w:sz w:val="18"/>
          <w:szCs w:val="18"/>
        </w:rPr>
      </w:pPr>
    </w:p>
    <w:p>
      <w:pPr>
        <w:pStyle w:val="Heading3"/>
        <w:spacing w:line="240" w:lineRule="auto" w:before="26"/>
        <w:ind w:right="1119"/>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333"/>
        <w:gridCol w:w="1788"/>
        <w:gridCol w:w="4249"/>
      </w:tblGrid>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第二届董事会换届，任期届满离任</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第二届董事会换届，任期届满离任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第二届董事会换届，任期届满离任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第二届董事会换届，任期届满离任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第二届监事会换届，任期届满离任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高级管理人员换届，任期届满离任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高级管理人员换届，任期届满离任</w:t>
            </w:r>
          </w:p>
        </w:tc>
      </w:tr>
    </w:tbl>
    <w:p>
      <w:pPr>
        <w:spacing w:line="240" w:lineRule="auto" w:before="1"/>
        <w:rPr>
          <w:rFonts w:ascii="宋体" w:hAnsi="宋体" w:cs="宋体" w:eastAsia="宋体" w:hint="default"/>
          <w:sz w:val="18"/>
          <w:szCs w:val="18"/>
        </w:rPr>
      </w:pPr>
    </w:p>
    <w:p>
      <w:pPr>
        <w:pStyle w:val="Heading3"/>
        <w:spacing w:line="240" w:lineRule="auto" w:before="26"/>
        <w:ind w:right="1119"/>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240" w:lineRule="auto" w:before="0"/>
        <w:ind w:right="1119"/>
        <w:jc w:val="left"/>
      </w:pPr>
      <w:r>
        <w:rPr/>
        <w:t>（一）董事</w:t>
      </w:r>
    </w:p>
    <w:p>
      <w:pPr>
        <w:spacing w:line="240" w:lineRule="auto" w:before="12"/>
        <w:rPr>
          <w:rFonts w:ascii="宋体" w:hAnsi="宋体" w:cs="宋体" w:eastAsia="宋体" w:hint="default"/>
          <w:sz w:val="17"/>
          <w:szCs w:val="17"/>
        </w:rPr>
      </w:pPr>
    </w:p>
    <w:p>
      <w:pPr>
        <w:pStyle w:val="BodyText"/>
        <w:spacing w:line="408" w:lineRule="auto" w:before="0"/>
        <w:ind w:right="1023" w:firstLine="360"/>
        <w:jc w:val="both"/>
      </w:pPr>
      <w:r>
        <w:rPr>
          <w:rFonts w:ascii="宋体" w:hAnsi="宋体" w:cs="宋体" w:eastAsia="宋体" w:hint="default"/>
          <w:spacing w:val="-3"/>
        </w:rPr>
        <w:t>1</w:t>
      </w:r>
      <w:r>
        <w:rPr>
          <w:spacing w:val="-3"/>
        </w:rPr>
        <w:t>、潘伟潮，男，</w:t>
      </w:r>
      <w:r>
        <w:rPr>
          <w:rFonts w:ascii="宋体" w:hAnsi="宋体" w:cs="宋体" w:eastAsia="宋体" w:hint="default"/>
          <w:spacing w:val="-3"/>
        </w:rPr>
        <w:t>1973</w:t>
      </w:r>
      <w:r>
        <w:rPr>
          <w:spacing w:val="-3"/>
        </w:rPr>
        <w:t>年出生，中国国籍，无境外永久居留权，中欧国际工商学院</w:t>
      </w:r>
      <w:r>
        <w:rPr>
          <w:rFonts w:ascii="宋体" w:hAnsi="宋体" w:cs="宋体" w:eastAsia="宋体" w:hint="default"/>
          <w:spacing w:val="-3"/>
        </w:rPr>
        <w:t>EMBA</w:t>
      </w:r>
      <w:r>
        <w:rPr>
          <w:spacing w:val="-3"/>
        </w:rPr>
        <w:t>，曾任职于中山</w:t>
      </w:r>
      <w:r>
        <w:rPr>
          <w:w w:val="100"/>
        </w:rPr>
        <w:t> </w:t>
      </w:r>
      <w:r>
        <w:rPr>
          <w:spacing w:val="-2"/>
        </w:rPr>
        <w:t>健威电子有限公司、中山市读书郎电子有限公司。</w:t>
      </w:r>
      <w:r>
        <w:rPr>
          <w:rFonts w:ascii="宋体" w:hAnsi="宋体" w:cs="宋体" w:eastAsia="宋体" w:hint="default"/>
          <w:spacing w:val="-2"/>
        </w:rPr>
        <w:t>2002</w:t>
      </w:r>
      <w:r>
        <w:rPr>
          <w:spacing w:val="-2"/>
        </w:rPr>
        <w:t>年</w:t>
      </w:r>
      <w:r>
        <w:rPr>
          <w:rFonts w:ascii="宋体" w:hAnsi="宋体" w:cs="宋体" w:eastAsia="宋体" w:hint="default"/>
          <w:spacing w:val="-2"/>
        </w:rPr>
        <w:t>07</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月历任创源电子总经理、执行董</w:t>
      </w:r>
      <w:r>
        <w:rPr>
          <w:spacing w:val="-35"/>
        </w:rPr>
        <w:t> </w:t>
      </w:r>
      <w:r>
        <w:rPr>
          <w:spacing w:val="-35"/>
        </w:rPr>
      </w:r>
      <w:r>
        <w:rPr>
          <w:spacing w:val="-4"/>
        </w:rPr>
        <w:t>事、董事长。自</w:t>
      </w:r>
      <w:r>
        <w:rPr>
          <w:rFonts w:ascii="宋体" w:hAnsi="宋体" w:cs="宋体" w:eastAsia="宋体" w:hint="default"/>
          <w:spacing w:val="-4"/>
        </w:rPr>
        <w:t>2012</w:t>
      </w:r>
      <w:r>
        <w:rPr>
          <w:spacing w:val="-4"/>
        </w:rPr>
        <w:t>年</w:t>
      </w:r>
      <w:r>
        <w:rPr>
          <w:rFonts w:ascii="宋体" w:hAnsi="宋体" w:cs="宋体" w:eastAsia="宋体" w:hint="default"/>
          <w:spacing w:val="-4"/>
        </w:rPr>
        <w:t>11</w:t>
      </w:r>
      <w:r>
        <w:rPr>
          <w:spacing w:val="-4"/>
        </w:rPr>
        <w:t>月至</w:t>
      </w:r>
      <w:r>
        <w:rPr>
          <w:rFonts w:ascii="宋体" w:hAnsi="宋体" w:cs="宋体" w:eastAsia="宋体" w:hint="default"/>
          <w:spacing w:val="-4"/>
        </w:rPr>
        <w:t>2019</w:t>
      </w:r>
      <w:r>
        <w:rPr>
          <w:spacing w:val="-4"/>
        </w:rPr>
        <w:t>年</w:t>
      </w:r>
      <w:r>
        <w:rPr>
          <w:rFonts w:ascii="宋体" w:hAnsi="宋体" w:cs="宋体" w:eastAsia="宋体" w:hint="default"/>
          <w:spacing w:val="-4"/>
        </w:rPr>
        <w:t>02</w:t>
      </w:r>
      <w:r>
        <w:rPr>
          <w:spacing w:val="-4"/>
        </w:rPr>
        <w:t>月担任本公司董事长、总经理；</w:t>
      </w:r>
      <w:r>
        <w:rPr>
          <w:rFonts w:ascii="宋体" w:hAnsi="宋体" w:cs="宋体" w:eastAsia="宋体" w:hint="default"/>
          <w:spacing w:val="-4"/>
        </w:rPr>
        <w:t>2019</w:t>
      </w:r>
      <w:r>
        <w:rPr>
          <w:spacing w:val="-4"/>
        </w:rPr>
        <w:t>年</w:t>
      </w:r>
      <w:r>
        <w:rPr>
          <w:rFonts w:ascii="宋体" w:hAnsi="宋体" w:cs="宋体" w:eastAsia="宋体" w:hint="default"/>
          <w:spacing w:val="-4"/>
        </w:rPr>
        <w:t>02</w:t>
      </w:r>
      <w:r>
        <w:rPr>
          <w:spacing w:val="-4"/>
        </w:rPr>
        <w:t>月至今担任本公司董事长。</w:t>
      </w:r>
    </w:p>
    <w:p>
      <w:pPr>
        <w:pStyle w:val="BodyText"/>
        <w:spacing w:line="408" w:lineRule="auto" w:before="87"/>
        <w:ind w:right="1119" w:firstLine="360"/>
        <w:jc w:val="left"/>
      </w:pPr>
      <w:r>
        <w:rPr>
          <w:rFonts w:ascii="宋体" w:hAnsi="宋体" w:cs="宋体" w:eastAsia="宋体" w:hint="default"/>
          <w:spacing w:val="-3"/>
        </w:rPr>
        <w:t>2</w:t>
      </w:r>
      <w:r>
        <w:rPr>
          <w:spacing w:val="-3"/>
        </w:rPr>
        <w:t>、麦炯章，男，</w:t>
      </w:r>
      <w:r>
        <w:rPr>
          <w:rFonts w:ascii="宋体" w:hAnsi="宋体" w:cs="宋体" w:eastAsia="宋体" w:hint="default"/>
          <w:spacing w:val="-3"/>
        </w:rPr>
        <w:t>1973</w:t>
      </w:r>
      <w:r>
        <w:rPr>
          <w:spacing w:val="-3"/>
        </w:rPr>
        <w:t>年出生，中国国籍，无境外永久居留权，大专学历，曾任职于中山市华峰实业公</w:t>
      </w:r>
      <w:r>
        <w:rPr>
          <w:w w:val="100"/>
        </w:rPr>
        <w:t> </w:t>
      </w:r>
      <w:r>
        <w:rPr>
          <w:spacing w:val="-2"/>
        </w:rPr>
        <w:t>司。</w:t>
      </w:r>
      <w:r>
        <w:rPr>
          <w:rFonts w:ascii="宋体" w:hAnsi="宋体" w:cs="宋体" w:eastAsia="宋体" w:hint="default"/>
          <w:spacing w:val="-2"/>
        </w:rPr>
        <w:t>2002</w:t>
      </w:r>
      <w:r>
        <w:rPr>
          <w:spacing w:val="-2"/>
        </w:rPr>
        <w:t>年</w:t>
      </w:r>
      <w:r>
        <w:rPr>
          <w:rFonts w:ascii="宋体" w:hAnsi="宋体" w:cs="宋体" w:eastAsia="宋体" w:hint="default"/>
          <w:spacing w:val="-2"/>
        </w:rPr>
        <w:t>07</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月历任创源电子经理、副总经理、董事，</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月担任本公司</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董事、副总经理；</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月至今担任本公司董事、总经理。兼任本公司全资子公司创源传感器经理、全</w:t>
      </w:r>
      <w:r>
        <w:rPr>
          <w:spacing w:val="-41"/>
        </w:rPr>
        <w:t> </w:t>
      </w:r>
      <w:r>
        <w:rPr>
          <w:spacing w:val="-41"/>
        </w:rPr>
      </w:r>
      <w:r>
        <w:rPr/>
        <w:t>资子公司创源贸易执行董事及经理。</w:t>
      </w:r>
    </w:p>
    <w:p>
      <w:pPr>
        <w:pStyle w:val="BodyText"/>
        <w:spacing w:line="408" w:lineRule="auto" w:before="87"/>
        <w:ind w:right="1126" w:firstLine="360"/>
        <w:jc w:val="both"/>
      </w:pPr>
      <w:r>
        <w:rPr>
          <w:rFonts w:ascii="宋体" w:hAnsi="宋体" w:cs="宋体" w:eastAsia="宋体" w:hint="default"/>
          <w:spacing w:val="-3"/>
        </w:rPr>
        <w:t>3</w:t>
      </w:r>
      <w:r>
        <w:rPr>
          <w:spacing w:val="-3"/>
        </w:rPr>
        <w:t>、潘农菲，男，</w:t>
      </w:r>
      <w:r>
        <w:rPr>
          <w:rFonts w:ascii="宋体" w:hAnsi="宋体" w:cs="宋体" w:eastAsia="宋体" w:hint="default"/>
          <w:spacing w:val="-3"/>
        </w:rPr>
        <w:t>1974</w:t>
      </w:r>
      <w:r>
        <w:rPr>
          <w:spacing w:val="-3"/>
        </w:rPr>
        <w:t>年</w:t>
      </w:r>
      <w:r>
        <w:rPr>
          <w:rFonts w:ascii="宋体" w:hAnsi="宋体" w:cs="宋体" w:eastAsia="宋体" w:hint="default"/>
          <w:spacing w:val="-3"/>
        </w:rPr>
        <w:t>12</w:t>
      </w:r>
      <w:r>
        <w:rPr>
          <w:spacing w:val="-3"/>
        </w:rPr>
        <w:t>月出生，中国国籍，无境外永久居留权，硕士学历。曾任长城国际有限公司</w:t>
      </w:r>
      <w:r>
        <w:rPr>
          <w:w w:val="100"/>
        </w:rPr>
        <w:t> </w:t>
      </w:r>
      <w:r>
        <w:rPr>
          <w:spacing w:val="-3"/>
        </w:rPr>
        <w:t>工程师，大展集团技术售前顾问，微软公司</w:t>
      </w:r>
      <w:r>
        <w:rPr>
          <w:rFonts w:ascii="宋体" w:hAnsi="宋体" w:cs="宋体" w:eastAsia="宋体" w:hint="default"/>
          <w:spacing w:val="-3"/>
        </w:rPr>
        <w:t>Program Manager</w:t>
      </w:r>
      <w:r>
        <w:rPr>
          <w:spacing w:val="-3"/>
        </w:rPr>
        <w:t>，腾讯公司总监，大疆创新公司副总裁。</w:t>
      </w:r>
      <w:r>
        <w:rPr>
          <w:rFonts w:ascii="宋体" w:hAnsi="宋体" w:cs="宋体" w:eastAsia="宋体" w:hint="default"/>
          <w:spacing w:val="-3"/>
        </w:rPr>
        <w:t>2019</w:t>
      </w:r>
      <w:r>
        <w:rPr>
          <w:rFonts w:ascii="宋体" w:hAnsi="宋体" w:cs="宋体" w:eastAsia="宋体" w:hint="default"/>
          <w:spacing w:val="-78"/>
        </w:rPr>
        <w:t> </w:t>
      </w:r>
      <w:r>
        <w:rPr>
          <w:rFonts w:ascii="宋体" w:hAnsi="宋体" w:cs="宋体" w:eastAsia="宋体" w:hint="default"/>
          <w:spacing w:val="-78"/>
        </w:rPr>
      </w:r>
      <w:r>
        <w:rPr/>
        <w:t>年</w:t>
      </w:r>
      <w:r>
        <w:rPr>
          <w:rFonts w:ascii="宋体" w:hAnsi="宋体" w:cs="宋体" w:eastAsia="宋体" w:hint="default"/>
        </w:rPr>
        <w:t>02</w:t>
      </w:r>
      <w:r>
        <w:rPr/>
        <w:t>月至今任本公司副总经理、董事。</w:t>
      </w:r>
    </w:p>
    <w:p>
      <w:pPr>
        <w:pStyle w:val="BodyText"/>
        <w:spacing w:line="408" w:lineRule="auto" w:before="84"/>
        <w:ind w:right="1126" w:firstLine="360"/>
        <w:jc w:val="both"/>
      </w:pPr>
      <w:r>
        <w:rPr>
          <w:rFonts w:ascii="宋体" w:hAnsi="宋体" w:cs="宋体" w:eastAsia="宋体" w:hint="default"/>
          <w:spacing w:val="-3"/>
        </w:rPr>
        <w:t>4</w:t>
      </w:r>
      <w:r>
        <w:rPr>
          <w:spacing w:val="-3"/>
        </w:rPr>
        <w:t>、李延兵，女，</w:t>
      </w:r>
      <w:r>
        <w:rPr>
          <w:rFonts w:ascii="宋体" w:hAnsi="宋体" w:cs="宋体" w:eastAsia="宋体" w:hint="default"/>
          <w:spacing w:val="-3"/>
        </w:rPr>
        <w:t>1962</w:t>
      </w:r>
      <w:r>
        <w:rPr>
          <w:spacing w:val="-3"/>
        </w:rPr>
        <w:t>年出生，中国国籍，无境外永久居留权，中山大学博士。长期任职于中山大学附</w:t>
      </w:r>
      <w:r>
        <w:rPr>
          <w:w w:val="100"/>
        </w:rPr>
        <w:t> </w:t>
      </w:r>
      <w:r>
        <w:rPr>
          <w:spacing w:val="-2"/>
        </w:rPr>
        <w:t>属第一医院，现任中山大学附属第一医院内分泌科主任、教授、主任医师，兼任广东省医学会糖尿病分会</w:t>
      </w:r>
      <w:r>
        <w:rPr>
          <w:spacing w:val="-44"/>
        </w:rPr>
        <w:t> </w:t>
      </w:r>
      <w:r>
        <w:rPr>
          <w:spacing w:val="-44"/>
        </w:rPr>
      </w:r>
      <w:r>
        <w:rPr>
          <w:spacing w:val="-2"/>
        </w:rPr>
        <w:t>主任委员、中华医学会糖尿病分会委员、血糖监测学组副组长、广东省健康管理学会代谢与内分泌专业委</w:t>
      </w:r>
      <w:r>
        <w:rPr>
          <w:spacing w:val="-44"/>
        </w:rPr>
        <w:t> </w:t>
      </w:r>
      <w:r>
        <w:rPr>
          <w:spacing w:val="-44"/>
        </w:rPr>
      </w:r>
      <w:r>
        <w:rPr/>
        <w:t>员会主任委员。</w:t>
      </w:r>
      <w:r>
        <w:rPr>
          <w:rFonts w:ascii="宋体" w:hAnsi="宋体" w:cs="宋体" w:eastAsia="宋体" w:hint="default"/>
        </w:rPr>
        <w:t>2015</w:t>
      </w:r>
      <w:r>
        <w:rPr/>
        <w:t>年</w:t>
      </w:r>
      <w:r>
        <w:rPr>
          <w:rFonts w:ascii="宋体" w:hAnsi="宋体" w:cs="宋体" w:eastAsia="宋体" w:hint="default"/>
        </w:rPr>
        <w:t>11</w:t>
      </w:r>
      <w:r>
        <w:rPr/>
        <w:t>月至今担任本公司董事。</w:t>
      </w:r>
    </w:p>
    <w:p>
      <w:pPr>
        <w:pStyle w:val="BodyText"/>
        <w:spacing w:line="408" w:lineRule="auto" w:before="87"/>
        <w:ind w:right="1021" w:firstLine="360"/>
        <w:jc w:val="left"/>
      </w:pPr>
      <w:r>
        <w:rPr>
          <w:rFonts w:ascii="宋体" w:hAnsi="宋体" w:cs="宋体" w:eastAsia="宋体" w:hint="default"/>
        </w:rPr>
        <w:t>5</w:t>
      </w:r>
      <w:r>
        <w:rPr/>
        <w:t>、宋萍萍，女，</w:t>
      </w:r>
      <w:r>
        <w:rPr>
          <w:rFonts w:ascii="宋体" w:hAnsi="宋体" w:cs="宋体" w:eastAsia="宋体" w:hint="default"/>
        </w:rPr>
        <w:t>1967</w:t>
      </w:r>
      <w:r>
        <w:rPr/>
        <w:t>年出生，中国国籍，无永久境外居留权，法学硕士。</w:t>
      </w:r>
      <w:r>
        <w:rPr>
          <w:rFonts w:ascii="宋体" w:hAnsi="宋体" w:cs="宋体" w:eastAsia="宋体" w:hint="default"/>
        </w:rPr>
        <w:t>2002</w:t>
      </w:r>
      <w:r>
        <w:rPr/>
        <w:t>年</w:t>
      </w:r>
      <w:r>
        <w:rPr>
          <w:rFonts w:ascii="宋体" w:hAnsi="宋体" w:cs="宋体" w:eastAsia="宋体" w:hint="default"/>
        </w:rPr>
        <w:t>10</w:t>
      </w:r>
      <w:r>
        <w:rPr/>
        <w:t>月</w:t>
      </w:r>
      <w:r>
        <w:rPr>
          <w:rFonts w:ascii="宋体" w:hAnsi="宋体" w:cs="宋体" w:eastAsia="宋体" w:hint="default"/>
        </w:rPr>
        <w:t>-2011</w:t>
      </w:r>
      <w:r>
        <w:rPr/>
        <w:t>年</w:t>
      </w:r>
      <w:r>
        <w:rPr>
          <w:rFonts w:ascii="宋体" w:hAnsi="宋体" w:cs="宋体" w:eastAsia="宋体" w:hint="default"/>
        </w:rPr>
        <w:t>12</w:t>
      </w:r>
      <w:r>
        <w:rPr/>
        <w:t>月任</w:t>
      </w:r>
      <w:r>
        <w:rPr>
          <w:spacing w:val="-3"/>
          <w:w w:val="100"/>
        </w:rPr>
        <w:t> </w:t>
      </w:r>
      <w:r>
        <w:rPr/>
        <w:t>北京市金杜律师事务所深圳分所合伙人；</w:t>
      </w:r>
      <w:r>
        <w:rPr>
          <w:rFonts w:ascii="宋体" w:hAnsi="宋体" w:cs="宋体" w:eastAsia="宋体" w:hint="default"/>
        </w:rPr>
        <w:t>2012</w:t>
      </w:r>
      <w:r>
        <w:rPr/>
        <w:t>年</w:t>
      </w:r>
      <w:r>
        <w:rPr>
          <w:rFonts w:ascii="宋体" w:hAnsi="宋体" w:cs="宋体" w:eastAsia="宋体" w:hint="default"/>
        </w:rPr>
        <w:t>01</w:t>
      </w:r>
      <w:r>
        <w:rPr/>
        <w:t>月</w:t>
      </w:r>
      <w:r>
        <w:rPr>
          <w:rFonts w:ascii="宋体" w:hAnsi="宋体" w:cs="宋体" w:eastAsia="宋体" w:hint="default"/>
        </w:rPr>
        <w:t>-2015</w:t>
      </w:r>
      <w:r>
        <w:rPr/>
        <w:t>年</w:t>
      </w:r>
      <w:r>
        <w:rPr>
          <w:rFonts w:ascii="宋体" w:hAnsi="宋体" w:cs="宋体" w:eastAsia="宋体" w:hint="default"/>
        </w:rPr>
        <w:t>10</w:t>
      </w:r>
      <w:r>
        <w:rPr/>
        <w:t>月任深圳市东方富海投资管理有限公司合</w:t>
      </w:r>
      <w:r>
        <w:rPr>
          <w:w w:val="100"/>
        </w:rPr>
        <w:t> </w:t>
      </w:r>
      <w:r>
        <w:rPr/>
        <w:t>伙人、风控委主任；</w:t>
      </w:r>
      <w:r>
        <w:rPr>
          <w:rFonts w:ascii="宋体" w:hAnsi="宋体" w:cs="宋体" w:eastAsia="宋体" w:hint="default"/>
        </w:rPr>
        <w:t>2013</w:t>
      </w:r>
      <w:r>
        <w:rPr/>
        <w:t>年</w:t>
      </w:r>
      <w:r>
        <w:rPr>
          <w:rFonts w:ascii="宋体" w:hAnsi="宋体" w:cs="宋体" w:eastAsia="宋体" w:hint="default"/>
        </w:rPr>
        <w:t>06</w:t>
      </w:r>
      <w:r>
        <w:rPr/>
        <w:t>月</w:t>
      </w:r>
      <w:r>
        <w:rPr>
          <w:rFonts w:ascii="宋体" w:hAnsi="宋体" w:cs="宋体" w:eastAsia="宋体" w:hint="default"/>
        </w:rPr>
        <w:t>-2017</w:t>
      </w:r>
      <w:r>
        <w:rPr/>
        <w:t>年</w:t>
      </w:r>
      <w:r>
        <w:rPr>
          <w:rFonts w:ascii="宋体" w:hAnsi="宋体" w:cs="宋体" w:eastAsia="宋体" w:hint="default"/>
        </w:rPr>
        <w:t>12</w:t>
      </w:r>
      <w:r>
        <w:rPr/>
        <w:t>月，任深圳市致远富海投资管理有限公司风控委秘书长；</w:t>
      </w:r>
      <w:r>
        <w:rPr>
          <w:rFonts w:ascii="宋体" w:hAnsi="宋体" w:cs="宋体" w:eastAsia="宋体" w:hint="default"/>
        </w:rPr>
        <w:t>2015</w:t>
      </w:r>
      <w:r>
        <w:rPr>
          <w:rFonts w:ascii="宋体" w:hAnsi="宋体" w:cs="宋体" w:eastAsia="宋体" w:hint="default"/>
          <w:w w:val="100"/>
        </w:rPr>
        <w:t> </w:t>
      </w:r>
      <w:r>
        <w:rPr/>
        <w:t>年</w:t>
      </w:r>
      <w:r>
        <w:rPr>
          <w:rFonts w:ascii="宋体" w:hAnsi="宋体" w:cs="宋体" w:eastAsia="宋体" w:hint="default"/>
        </w:rPr>
        <w:t>10</w:t>
      </w:r>
      <w:r>
        <w:rPr/>
        <w:t>月</w:t>
      </w:r>
      <w:r>
        <w:rPr>
          <w:rFonts w:ascii="宋体" w:hAnsi="宋体" w:cs="宋体" w:eastAsia="宋体" w:hint="default"/>
        </w:rPr>
        <w:t>-</w:t>
      </w:r>
      <w:r>
        <w:rPr/>
        <w:t>至今任深圳市东方富海投资管理股份有限公司董事、董事会秘书、风控委主任，兼任北京科锐配</w:t>
      </w:r>
      <w:r>
        <w:rPr>
          <w:w w:val="100"/>
        </w:rPr>
        <w:t> </w:t>
      </w:r>
      <w:r>
        <w:rPr>
          <w:spacing w:val="-5"/>
        </w:rPr>
        <w:t>电自动化股份有限公司独立董事、深圳赛格股份有限公司独立董事、深圳市盐田港股份有限公司独立董事、</w:t>
      </w:r>
      <w:r>
        <w:rPr>
          <w:spacing w:val="-4"/>
        </w:rPr>
        <w:t> </w:t>
      </w:r>
      <w:r>
        <w:rPr>
          <w:spacing w:val="-4"/>
        </w:rPr>
      </w:r>
      <w:r>
        <w:rPr/>
        <w:t>长园集团股份有限公司独立董事。</w:t>
      </w:r>
      <w:r>
        <w:rPr>
          <w:rFonts w:ascii="宋体" w:hAnsi="宋体" w:cs="宋体" w:eastAsia="宋体" w:hint="default"/>
        </w:rPr>
        <w:t>2019</w:t>
      </w:r>
      <w:r>
        <w:rPr/>
        <w:t>年</w:t>
      </w:r>
      <w:r>
        <w:rPr>
          <w:rFonts w:ascii="宋体" w:hAnsi="宋体" w:cs="宋体" w:eastAsia="宋体" w:hint="default"/>
        </w:rPr>
        <w:t>02</w:t>
      </w:r>
      <w:r>
        <w:rPr/>
        <w:t>月至今担任本公司独立董事。</w:t>
      </w:r>
    </w:p>
    <w:p>
      <w:pPr>
        <w:pStyle w:val="BodyText"/>
        <w:spacing w:line="408" w:lineRule="auto" w:before="87"/>
        <w:ind w:right="1212" w:firstLine="360"/>
        <w:jc w:val="both"/>
      </w:pPr>
      <w:r>
        <w:rPr>
          <w:rFonts w:ascii="宋体" w:hAnsi="宋体" w:cs="宋体" w:eastAsia="宋体" w:hint="default"/>
          <w:spacing w:val="-2"/>
        </w:rPr>
        <w:t>6</w:t>
      </w:r>
      <w:r>
        <w:rPr>
          <w:spacing w:val="-2"/>
        </w:rPr>
        <w:t>、蔡祥，男，</w:t>
      </w:r>
      <w:r>
        <w:rPr>
          <w:rFonts w:ascii="宋体" w:hAnsi="宋体" w:cs="宋体" w:eastAsia="宋体" w:hint="default"/>
          <w:spacing w:val="-2"/>
        </w:rPr>
        <w:t>1973</w:t>
      </w:r>
      <w:r>
        <w:rPr>
          <w:spacing w:val="-2"/>
        </w:rPr>
        <w:t>年出生，中国国籍，无永久境外居留权，博士学位，会计学副教授职称。从</w:t>
      </w:r>
      <w:r>
        <w:rPr>
          <w:rFonts w:ascii="宋体" w:hAnsi="宋体" w:cs="宋体" w:eastAsia="宋体" w:hint="default"/>
          <w:spacing w:val="-2"/>
        </w:rPr>
        <w:t>2003</w:t>
      </w:r>
      <w:r>
        <w:rPr>
          <w:rFonts w:ascii="宋体" w:hAnsi="宋体" w:cs="宋体" w:eastAsia="宋体" w:hint="default"/>
          <w:w w:val="100"/>
        </w:rPr>
        <w:t> </w:t>
      </w:r>
      <w:r>
        <w:rPr>
          <w:spacing w:val="-2"/>
        </w:rPr>
        <w:t>年</w:t>
      </w:r>
      <w:r>
        <w:rPr>
          <w:rFonts w:ascii="宋体" w:hAnsi="宋体" w:cs="宋体" w:eastAsia="宋体" w:hint="default"/>
          <w:spacing w:val="-2"/>
        </w:rPr>
        <w:t>07</w:t>
      </w:r>
      <w:r>
        <w:rPr>
          <w:spacing w:val="-2"/>
        </w:rPr>
        <w:t>月至今任职于中山大学管理学院。现任中山大学管理学院</w:t>
      </w:r>
      <w:r>
        <w:rPr>
          <w:rFonts w:ascii="宋体" w:hAnsi="宋体" w:cs="宋体" w:eastAsia="宋体" w:hint="default"/>
          <w:spacing w:val="-2"/>
        </w:rPr>
        <w:t>MPAcc</w:t>
      </w:r>
      <w:r>
        <w:rPr>
          <w:spacing w:val="-2"/>
        </w:rPr>
        <w:t>、</w:t>
      </w:r>
      <w:r>
        <w:rPr>
          <w:rFonts w:ascii="宋体" w:hAnsi="宋体" w:cs="宋体" w:eastAsia="宋体" w:hint="default"/>
          <w:spacing w:val="-2"/>
        </w:rPr>
        <w:t>Maud</w:t>
      </w:r>
      <w:r>
        <w:rPr>
          <w:spacing w:val="-2"/>
        </w:rPr>
        <w:t>项目学术主任。</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w:t>
      </w:r>
      <w:r>
        <w:rPr>
          <w:spacing w:val="-11"/>
        </w:rPr>
        <w:t> </w:t>
      </w:r>
      <w:r>
        <w:rPr/>
        <w:t>今担任本公司独立董事。</w:t>
      </w:r>
    </w:p>
    <w:p>
      <w:pPr>
        <w:pStyle w:val="BodyText"/>
        <w:spacing w:line="408" w:lineRule="auto" w:before="84"/>
        <w:ind w:right="1126" w:firstLine="317"/>
        <w:jc w:val="both"/>
      </w:pPr>
      <w:r>
        <w:rPr>
          <w:rFonts w:ascii="宋体" w:hAnsi="宋体" w:cs="宋体" w:eastAsia="宋体" w:hint="default"/>
          <w:spacing w:val="-2"/>
        </w:rPr>
        <w:t>7</w:t>
      </w:r>
      <w:r>
        <w:rPr>
          <w:spacing w:val="-2"/>
        </w:rPr>
        <w:t>、徐佳，男，</w:t>
      </w:r>
      <w:r>
        <w:rPr>
          <w:rFonts w:ascii="宋体" w:hAnsi="宋体" w:cs="宋体" w:eastAsia="宋体" w:hint="default"/>
          <w:spacing w:val="-2"/>
        </w:rPr>
        <w:t>1972</w:t>
      </w:r>
      <w:r>
        <w:rPr>
          <w:spacing w:val="-2"/>
        </w:rPr>
        <w:t>年出生，中国国籍，无永久境外居留权，大学本科，中国注册会计师。曾任深圳顺</w:t>
      </w:r>
      <w:r>
        <w:rPr>
          <w:w w:val="100"/>
        </w:rPr>
        <w:t> </w:t>
      </w:r>
      <w:r>
        <w:rPr>
          <w:spacing w:val="-2"/>
        </w:rPr>
        <w:t>络电子股份有限公司董事会秘书，</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月至今任深圳顺络电子股份有限公司财务总监，兼任深圳市漫</w:t>
      </w:r>
      <w:r>
        <w:rPr>
          <w:spacing w:val="-37"/>
        </w:rPr>
        <w:t> </w:t>
      </w:r>
      <w:r>
        <w:rPr>
          <w:spacing w:val="-37"/>
        </w:rPr>
      </w:r>
      <w:r>
        <w:rPr/>
        <w:t>步者科技股份有限公司独立董事。</w:t>
      </w:r>
    </w:p>
    <w:p>
      <w:pPr>
        <w:pStyle w:val="BodyText"/>
        <w:spacing w:line="240" w:lineRule="auto" w:before="87"/>
        <w:ind w:right="1119"/>
        <w:jc w:val="left"/>
      </w:pPr>
      <w:r>
        <w:rPr/>
        <w:t>（二）监事</w:t>
      </w:r>
    </w:p>
    <w:p>
      <w:pPr>
        <w:spacing w:line="240" w:lineRule="auto" w:before="12"/>
        <w:rPr>
          <w:rFonts w:ascii="宋体" w:hAnsi="宋体" w:cs="宋体" w:eastAsia="宋体" w:hint="default"/>
          <w:sz w:val="17"/>
          <w:szCs w:val="17"/>
        </w:rPr>
      </w:pPr>
    </w:p>
    <w:p>
      <w:pPr>
        <w:pStyle w:val="BodyText"/>
        <w:spacing w:line="408" w:lineRule="auto" w:before="0"/>
        <w:ind w:right="1119" w:firstLine="317"/>
        <w:jc w:val="left"/>
      </w:pPr>
      <w:r>
        <w:rPr>
          <w:rFonts w:ascii="宋体" w:hAnsi="宋体" w:cs="宋体" w:eastAsia="宋体" w:hint="default"/>
        </w:rPr>
        <w:t>1</w:t>
      </w:r>
      <w:r>
        <w:rPr/>
        <w:t>、钟前荣，男，</w:t>
      </w:r>
      <w:r>
        <w:rPr>
          <w:rFonts w:ascii="宋体" w:hAnsi="宋体" w:cs="宋体" w:eastAsia="宋体" w:hint="default"/>
        </w:rPr>
        <w:t>1986</w:t>
      </w:r>
      <w:r>
        <w:rPr/>
        <w:t>年</w:t>
      </w:r>
      <w:r>
        <w:rPr>
          <w:rFonts w:ascii="宋体" w:hAnsi="宋体" w:cs="宋体" w:eastAsia="宋体" w:hint="default"/>
        </w:rPr>
        <w:t>4</w:t>
      </w:r>
      <w:r>
        <w:rPr/>
        <w:t>月出生，中国国籍，无境外永久居留权，大专学历。历任公司外贸业务员、</w:t>
      </w:r>
      <w:r>
        <w:rPr>
          <w:w w:val="100"/>
        </w:rPr>
        <w:t> </w:t>
      </w:r>
      <w:r>
        <w:rPr>
          <w:spacing w:val="-2"/>
        </w:rPr>
        <w:t>欧洲区销售经理、国内事业部运营总监、硬件产品部总监、产品中心总监。</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月至今任本公司监事</w:t>
      </w:r>
      <w:r>
        <w:rPr>
          <w:spacing w:val="-44"/>
        </w:rPr>
        <w:t> </w:t>
      </w:r>
      <w:r>
        <w:rPr>
          <w:spacing w:val="-44"/>
        </w:rPr>
      </w:r>
      <w:r>
        <w:rPr/>
        <w:t>会主席、可穿戴产品中心总监。</w:t>
      </w:r>
    </w:p>
    <w:p>
      <w:pPr>
        <w:pStyle w:val="BodyText"/>
        <w:spacing w:line="420" w:lineRule="auto" w:before="84"/>
        <w:ind w:right="1107" w:firstLine="317"/>
        <w:jc w:val="right"/>
        <w:rPr>
          <w:rFonts w:ascii="宋体" w:hAnsi="宋体" w:cs="宋体" w:eastAsia="宋体" w:hint="default"/>
        </w:rPr>
      </w:pPr>
      <w:r>
        <w:rPr>
          <w:rFonts w:ascii="宋体" w:hAnsi="宋体" w:cs="宋体" w:eastAsia="宋体" w:hint="default"/>
          <w:spacing w:val="-2"/>
        </w:rPr>
        <w:t>2</w:t>
      </w:r>
      <w:r>
        <w:rPr>
          <w:spacing w:val="-2"/>
        </w:rPr>
        <w:t>、周甜，女，</w:t>
      </w:r>
      <w:r>
        <w:rPr>
          <w:rFonts w:ascii="宋体" w:hAnsi="宋体" w:cs="宋体" w:eastAsia="宋体" w:hint="default"/>
          <w:spacing w:val="-2"/>
        </w:rPr>
        <w:t>1983</w:t>
      </w:r>
      <w:r>
        <w:rPr>
          <w:spacing w:val="-2"/>
        </w:rPr>
        <w:t>年出生，中国国籍，无境外永久居留权，本科学历。</w:t>
      </w:r>
      <w:r>
        <w:rPr>
          <w:rFonts w:ascii="宋体" w:hAnsi="宋体" w:cs="宋体" w:eastAsia="宋体" w:hint="default"/>
          <w:spacing w:val="-2"/>
        </w:rPr>
        <w:t>2007</w:t>
      </w:r>
      <w:r>
        <w:rPr>
          <w:spacing w:val="-2"/>
        </w:rPr>
        <w:t>年</w:t>
      </w:r>
      <w:r>
        <w:rPr>
          <w:rFonts w:ascii="宋体" w:hAnsi="宋体" w:cs="宋体" w:eastAsia="宋体" w:hint="default"/>
          <w:spacing w:val="-2"/>
        </w:rPr>
        <w:t>06</w:t>
      </w:r>
      <w:r>
        <w:rPr>
          <w:spacing w:val="-2"/>
        </w:rPr>
        <w:t>月入职本公司，先后</w:t>
      </w:r>
      <w:r>
        <w:rPr>
          <w:w w:val="100"/>
        </w:rPr>
        <w:t> </w:t>
      </w:r>
      <w:r>
        <w:rPr>
          <w:spacing w:val="-2"/>
        </w:rPr>
        <w:t>担任公司外销业务员、国际营销中心亚洲区经理。</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月至今任本公司监事、国际营销推广部经理。</w:t>
      </w:r>
      <w:r>
        <w:rPr>
          <w:spacing w:val="-42"/>
        </w:rPr>
        <w:t> </w:t>
      </w:r>
      <w:r>
        <w:rPr>
          <w:spacing w:val="-42"/>
        </w:rPr>
      </w:r>
      <w:r>
        <w:rPr>
          <w:rFonts w:ascii="宋体" w:hAnsi="宋体" w:cs="宋体" w:eastAsia="宋体" w:hint="default"/>
          <w:spacing w:val="-3"/>
        </w:rPr>
        <w:t>3</w:t>
      </w:r>
      <w:r>
        <w:rPr>
          <w:spacing w:val="-3"/>
        </w:rPr>
        <w:t>、赵小超，男，</w:t>
      </w:r>
      <w:r>
        <w:rPr>
          <w:rFonts w:ascii="宋体" w:hAnsi="宋体" w:cs="宋体" w:eastAsia="宋体" w:hint="default"/>
          <w:spacing w:val="-3"/>
        </w:rPr>
        <w:t>1988</w:t>
      </w:r>
      <w:r>
        <w:rPr>
          <w:spacing w:val="-3"/>
        </w:rPr>
        <w:t>年出生，中国国籍，无境外永久居留权，大专学历，助理会计师职称，曾任中山</w:t>
      </w:r>
      <w:r>
        <w:rPr>
          <w:w w:val="100"/>
        </w:rPr>
        <w:t> </w:t>
      </w:r>
      <w:r>
        <w:rPr>
          <w:spacing w:val="-2"/>
        </w:rPr>
        <w:t>市国信通科技讯息产业有限公司成本会计，</w:t>
      </w:r>
      <w:r>
        <w:rPr>
          <w:rFonts w:ascii="宋体" w:hAnsi="宋体" w:cs="宋体" w:eastAsia="宋体" w:hint="default"/>
          <w:spacing w:val="-2"/>
        </w:rPr>
        <w:t>2013</w:t>
      </w:r>
      <w:r>
        <w:rPr>
          <w:spacing w:val="-2"/>
        </w:rPr>
        <w:t>年</w:t>
      </w:r>
      <w:r>
        <w:rPr>
          <w:rFonts w:ascii="宋体" w:hAnsi="宋体" w:cs="宋体" w:eastAsia="宋体" w:hint="default"/>
          <w:spacing w:val="-2"/>
        </w:rPr>
        <w:t>08</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05</w:t>
      </w:r>
      <w:r>
        <w:rPr>
          <w:spacing w:val="-2"/>
        </w:rPr>
        <w:t>月任职于本公司财务部成本主管，</w:t>
      </w:r>
      <w:r>
        <w:rPr>
          <w:rFonts w:ascii="宋体" w:hAnsi="宋体" w:cs="宋体" w:eastAsia="宋体" w:hint="default"/>
          <w:spacing w:val="-2"/>
        </w:rPr>
        <w:t>2016</w:t>
      </w:r>
    </w:p>
    <w:p>
      <w:pPr>
        <w:spacing w:after="0" w:line="420" w:lineRule="auto"/>
        <w:jc w:val="right"/>
        <w:rPr>
          <w:rFonts w:ascii="宋体" w:hAnsi="宋体" w:cs="宋体" w:eastAsia="宋体" w:hint="default"/>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年</w:t>
      </w:r>
      <w:r>
        <w:rPr>
          <w:rFonts w:ascii="宋体" w:hAnsi="宋体" w:cs="宋体" w:eastAsia="宋体" w:hint="default"/>
          <w:spacing w:val="-2"/>
        </w:rPr>
        <w:t>06</w:t>
      </w:r>
      <w:r>
        <w:rPr>
          <w:spacing w:val="-2"/>
        </w:rPr>
        <w:t>月至今任本公司全资子公司深圳市乐心医疗电子有限公司财务经理。</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月至今担任本公司监</w:t>
      </w:r>
      <w:r>
        <w:rPr>
          <w:spacing w:val="-18"/>
        </w:rPr>
        <w:t> </w:t>
      </w:r>
      <w:r>
        <w:rPr>
          <w:spacing w:val="-18"/>
        </w:rPr>
      </w:r>
      <w:r>
        <w:rPr/>
        <w:t>事。</w:t>
      </w:r>
    </w:p>
    <w:p>
      <w:pPr>
        <w:pStyle w:val="BodyText"/>
        <w:spacing w:line="240" w:lineRule="auto" w:before="87"/>
        <w:ind w:right="1119"/>
        <w:jc w:val="left"/>
      </w:pPr>
      <w:r>
        <w:rPr/>
        <w:t>（三）高管</w:t>
      </w:r>
    </w:p>
    <w:p>
      <w:pPr>
        <w:spacing w:line="240" w:lineRule="auto" w:before="9"/>
        <w:rPr>
          <w:rFonts w:ascii="宋体" w:hAnsi="宋体" w:cs="宋体" w:eastAsia="宋体" w:hint="default"/>
          <w:sz w:val="17"/>
          <w:szCs w:val="17"/>
        </w:rPr>
      </w:pPr>
    </w:p>
    <w:p>
      <w:pPr>
        <w:pStyle w:val="BodyText"/>
        <w:spacing w:line="240" w:lineRule="auto" w:before="0"/>
        <w:ind w:left="513" w:right="1119"/>
        <w:jc w:val="left"/>
      </w:pPr>
      <w:r>
        <w:rPr>
          <w:rFonts w:ascii="宋体" w:hAnsi="宋体" w:cs="宋体" w:eastAsia="宋体" w:hint="default"/>
        </w:rPr>
        <w:t>1</w:t>
      </w:r>
      <w:r>
        <w:rPr/>
        <w:t>、麦炯章，简历详见“（一）董事部分简介”。</w:t>
      </w:r>
    </w:p>
    <w:p>
      <w:pPr>
        <w:spacing w:line="240" w:lineRule="auto" w:before="12"/>
        <w:rPr>
          <w:rFonts w:ascii="宋体" w:hAnsi="宋体" w:cs="宋体" w:eastAsia="宋体" w:hint="default"/>
          <w:sz w:val="17"/>
          <w:szCs w:val="17"/>
        </w:rPr>
      </w:pPr>
    </w:p>
    <w:p>
      <w:pPr>
        <w:pStyle w:val="BodyText"/>
        <w:spacing w:line="240" w:lineRule="auto" w:before="0"/>
        <w:ind w:left="513" w:right="1119"/>
        <w:jc w:val="left"/>
      </w:pPr>
      <w:r>
        <w:rPr>
          <w:rFonts w:ascii="宋体" w:hAnsi="宋体" w:cs="宋体" w:eastAsia="宋体" w:hint="default"/>
        </w:rPr>
        <w:t>2</w:t>
      </w:r>
      <w:r>
        <w:rPr/>
        <w:t>、潘农菲，简历详见“（一）董事部分简介”。</w:t>
      </w:r>
    </w:p>
    <w:p>
      <w:pPr>
        <w:spacing w:line="240" w:lineRule="auto" w:before="12"/>
        <w:rPr>
          <w:rFonts w:ascii="宋体" w:hAnsi="宋体" w:cs="宋体" w:eastAsia="宋体" w:hint="default"/>
          <w:sz w:val="17"/>
          <w:szCs w:val="17"/>
        </w:rPr>
      </w:pPr>
    </w:p>
    <w:p>
      <w:pPr>
        <w:pStyle w:val="BodyText"/>
        <w:spacing w:line="408" w:lineRule="auto" w:before="0"/>
        <w:ind w:right="1126" w:firstLine="360"/>
        <w:jc w:val="both"/>
      </w:pPr>
      <w:r>
        <w:rPr>
          <w:rFonts w:ascii="宋体" w:hAnsi="宋体" w:cs="宋体" w:eastAsia="宋体" w:hint="default"/>
          <w:spacing w:val="-3"/>
        </w:rPr>
        <w:t>3</w:t>
      </w:r>
      <w:r>
        <w:rPr>
          <w:spacing w:val="-3"/>
        </w:rPr>
        <w:t>、徐浪，男，</w:t>
      </w:r>
      <w:r>
        <w:rPr>
          <w:rFonts w:ascii="宋体" w:hAnsi="宋体" w:cs="宋体" w:eastAsia="宋体" w:hint="default"/>
          <w:spacing w:val="-3"/>
        </w:rPr>
        <w:t>1976</w:t>
      </w:r>
      <w:r>
        <w:rPr>
          <w:spacing w:val="-3"/>
        </w:rPr>
        <w:t>年出生，中国国籍，无永久境外居留权，本科学历。曾任广东佳隆食品股份有限公</w:t>
      </w:r>
      <w:r>
        <w:rPr>
          <w:w w:val="100"/>
        </w:rPr>
        <w:t> </w:t>
      </w:r>
      <w:r>
        <w:rPr>
          <w:spacing w:val="-2"/>
        </w:rPr>
        <w:t>司副总裁兼董事会秘书、深圳市同益实业股份有限公司副总经理兼董事会秘书、深圳市海恒智能科技有限</w:t>
      </w:r>
      <w:r>
        <w:rPr>
          <w:spacing w:val="-43"/>
        </w:rPr>
        <w:t> </w:t>
      </w:r>
      <w:r>
        <w:rPr>
          <w:spacing w:val="-43"/>
        </w:rPr>
      </w:r>
      <w:r>
        <w:rPr/>
        <w:t>公司副总经理。</w:t>
      </w:r>
      <w:r>
        <w:rPr>
          <w:rFonts w:ascii="宋体" w:hAnsi="宋体" w:cs="宋体" w:eastAsia="宋体" w:hint="default"/>
        </w:rPr>
        <w:t>2019</w:t>
      </w:r>
      <w:r>
        <w:rPr/>
        <w:t>年</w:t>
      </w:r>
      <w:r>
        <w:rPr>
          <w:rFonts w:ascii="宋体" w:hAnsi="宋体" w:cs="宋体" w:eastAsia="宋体" w:hint="default"/>
        </w:rPr>
        <w:t>08</w:t>
      </w:r>
      <w:r>
        <w:rPr/>
        <w:t>月至今任本公司副总经理。</w:t>
      </w:r>
    </w:p>
    <w:p>
      <w:pPr>
        <w:pStyle w:val="BodyText"/>
        <w:spacing w:line="408" w:lineRule="auto" w:before="85"/>
        <w:ind w:right="1104" w:firstLine="631"/>
        <w:jc w:val="both"/>
      </w:pPr>
      <w:r>
        <w:rPr>
          <w:rFonts w:ascii="宋体" w:hAnsi="宋体" w:cs="宋体" w:eastAsia="宋体" w:hint="default"/>
        </w:rPr>
        <w:t>4</w:t>
      </w:r>
      <w:r>
        <w:rPr/>
        <w:t>、丁芸洁，女，</w:t>
      </w:r>
      <w:r>
        <w:rPr>
          <w:rFonts w:ascii="宋体" w:hAnsi="宋体" w:cs="宋体" w:eastAsia="宋体" w:hint="default"/>
        </w:rPr>
        <w:t>1985</w:t>
      </w:r>
      <w:r>
        <w:rPr/>
        <w:t>年出生，中国国籍，无永久境外居留权，硕士学位。</w:t>
      </w:r>
      <w:r>
        <w:rPr>
          <w:rFonts w:ascii="宋体" w:hAnsi="宋体" w:cs="宋体" w:eastAsia="宋体" w:hint="default"/>
        </w:rPr>
        <w:t>2008</w:t>
      </w:r>
      <w:r>
        <w:rPr/>
        <w:t>年</w:t>
      </w:r>
      <w:r>
        <w:rPr>
          <w:rFonts w:ascii="宋体" w:hAnsi="宋体" w:cs="宋体" w:eastAsia="宋体" w:hint="default"/>
        </w:rPr>
        <w:t>07</w:t>
      </w:r>
      <w:r>
        <w:rPr/>
        <w:t>月至</w:t>
      </w:r>
      <w:r>
        <w:rPr>
          <w:rFonts w:ascii="宋体" w:hAnsi="宋体" w:cs="宋体" w:eastAsia="宋体" w:hint="default"/>
        </w:rPr>
        <w:t>2009</w:t>
      </w:r>
      <w:r>
        <w:rPr/>
        <w:t>年</w:t>
      </w:r>
      <w:r>
        <w:rPr>
          <w:rFonts w:ascii="宋体" w:hAnsi="宋体" w:cs="宋体" w:eastAsia="宋体" w:hint="default"/>
        </w:rPr>
        <w:t>08</w:t>
      </w:r>
      <w:r>
        <w:rPr>
          <w:rFonts w:ascii="宋体" w:hAnsi="宋体" w:cs="宋体" w:eastAsia="宋体" w:hint="default"/>
          <w:spacing w:val="-3"/>
          <w:w w:val="100"/>
        </w:rPr>
        <w:t> </w:t>
      </w:r>
      <w:r>
        <w:rPr>
          <w:spacing w:val="-2"/>
        </w:rPr>
        <w:t>月，任职于马士基中国航运有限公司；</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06</w:t>
      </w:r>
      <w:r>
        <w:rPr>
          <w:spacing w:val="-2"/>
        </w:rPr>
        <w:t>月，任职于平安证券综合研究所（深圳）；</w:t>
      </w:r>
      <w:r>
        <w:rPr>
          <w:spacing w:val="-10"/>
        </w:rPr>
        <w:t> </w:t>
      </w:r>
      <w:r>
        <w:rPr>
          <w:spacing w:val="-10"/>
        </w:rPr>
      </w:r>
      <w:r>
        <w:rPr>
          <w:rFonts w:ascii="宋体" w:hAnsi="宋体" w:cs="宋体" w:eastAsia="宋体" w:hint="default"/>
          <w:spacing w:val="-2"/>
        </w:rPr>
        <w:t>2016</w:t>
      </w:r>
      <w:r>
        <w:rPr>
          <w:spacing w:val="-2"/>
        </w:rPr>
        <w:t>年</w:t>
      </w:r>
      <w:r>
        <w:rPr>
          <w:rFonts w:ascii="宋体" w:hAnsi="宋体" w:cs="宋体" w:eastAsia="宋体" w:hint="default"/>
          <w:spacing w:val="-2"/>
        </w:rPr>
        <w:t>05</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05</w:t>
      </w:r>
      <w:r>
        <w:rPr>
          <w:spacing w:val="-2"/>
        </w:rPr>
        <w:t>月，任职于平安证券资本市场部（深圳）。</w:t>
      </w:r>
      <w:r>
        <w:rPr>
          <w:rFonts w:ascii="宋体" w:hAnsi="宋体" w:cs="宋体" w:eastAsia="宋体" w:hint="default"/>
          <w:spacing w:val="-2"/>
        </w:rPr>
        <w:t>2018</w:t>
      </w:r>
      <w:r>
        <w:rPr>
          <w:spacing w:val="-2"/>
        </w:rPr>
        <w:t>年</w:t>
      </w:r>
      <w:r>
        <w:rPr>
          <w:rFonts w:ascii="宋体" w:hAnsi="宋体" w:cs="宋体" w:eastAsia="宋体" w:hint="default"/>
          <w:spacing w:val="-2"/>
        </w:rPr>
        <w:t>06</w:t>
      </w:r>
      <w:r>
        <w:rPr>
          <w:spacing w:val="-2"/>
        </w:rPr>
        <w:t>月入职本公司，</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月至</w:t>
      </w:r>
      <w:r>
        <w:rPr>
          <w:spacing w:val="-21"/>
        </w:rPr>
        <w:t> </w:t>
      </w:r>
      <w:r>
        <w:rPr/>
        <w:t>今任公司董事会秘书。丁芸洁女士已取得深圳证券交易所董事会秘书资格证书。</w:t>
      </w:r>
    </w:p>
    <w:p>
      <w:pPr>
        <w:pStyle w:val="BodyText"/>
        <w:spacing w:line="405" w:lineRule="auto"/>
        <w:ind w:right="1119" w:firstLine="631"/>
        <w:jc w:val="left"/>
        <w:rPr>
          <w:sz w:val="18"/>
          <w:szCs w:val="18"/>
        </w:rPr>
      </w:pPr>
      <w:r>
        <w:rPr>
          <w:rFonts w:ascii="宋体" w:hAnsi="宋体" w:cs="宋体" w:eastAsia="宋体" w:hint="default"/>
        </w:rPr>
        <w:t>5</w:t>
      </w:r>
      <w:r>
        <w:rPr/>
        <w:t>、石绍海，男，</w:t>
      </w:r>
      <w:r>
        <w:rPr>
          <w:rFonts w:ascii="宋体" w:hAnsi="宋体" w:cs="宋体" w:eastAsia="宋体" w:hint="default"/>
        </w:rPr>
        <w:t>1982</w:t>
      </w:r>
      <w:r>
        <w:rPr/>
        <w:t>年出生，中国国籍，无永久境外居留权，大学本科，中级会计师和总会计师</w:t>
      </w:r>
      <w:r>
        <w:rPr>
          <w:w w:val="100"/>
        </w:rPr>
        <w:t> </w:t>
      </w:r>
      <w:r>
        <w:rPr>
          <w:spacing w:val="-2"/>
        </w:rPr>
        <w:t>职称，并已获得注册会计师专业阶段合格证书。曾在东莞台升家具有限公司担任成本副经理，虎彩印艺股</w:t>
      </w:r>
      <w:r>
        <w:rPr>
          <w:spacing w:val="-45"/>
        </w:rPr>
        <w:t> </w:t>
      </w:r>
      <w:r>
        <w:rPr>
          <w:spacing w:val="-45"/>
        </w:rPr>
      </w:r>
      <w:r>
        <w:rPr>
          <w:spacing w:val="-2"/>
        </w:rPr>
        <w:t>份有限公司担任财务主管、集团高级预算专员，广东银禧科技股份有限公司担任集团担任财务经理，华帝</w:t>
      </w:r>
      <w:r>
        <w:rPr>
          <w:spacing w:val="-43"/>
        </w:rPr>
        <w:t> </w:t>
      </w:r>
      <w:r>
        <w:rPr>
          <w:spacing w:val="-43"/>
        </w:rPr>
      </w:r>
      <w:r>
        <w:rPr/>
        <w:t>股份有限公司担任集团财务经理。</w:t>
      </w:r>
      <w:r>
        <w:rPr>
          <w:rFonts w:ascii="宋体" w:hAnsi="宋体" w:cs="宋体" w:eastAsia="宋体" w:hint="default"/>
        </w:rPr>
        <w:t>2017</w:t>
      </w:r>
      <w:r>
        <w:rPr/>
        <w:t>年</w:t>
      </w:r>
      <w:r>
        <w:rPr>
          <w:rFonts w:ascii="宋体" w:hAnsi="宋体" w:cs="宋体" w:eastAsia="宋体" w:hint="default"/>
        </w:rPr>
        <w:t>05</w:t>
      </w:r>
      <w:r>
        <w:rPr/>
        <w:t>月入职本公司，</w:t>
      </w:r>
      <w:r>
        <w:rPr>
          <w:rFonts w:ascii="宋体" w:hAnsi="宋体" w:cs="宋体" w:eastAsia="宋体" w:hint="default"/>
        </w:rPr>
        <w:t>2019</w:t>
      </w:r>
      <w:r>
        <w:rPr/>
        <w:t>年</w:t>
      </w:r>
      <w:r>
        <w:rPr>
          <w:rFonts w:ascii="宋体" w:hAnsi="宋体" w:cs="宋体" w:eastAsia="宋体" w:hint="default"/>
        </w:rPr>
        <w:t>02</w:t>
      </w:r>
      <w:r>
        <w:rPr/>
        <w:t>月至今任公司财务总监。</w:t>
      </w:r>
      <w:r>
        <w:rPr>
          <w:w w:val="100"/>
        </w:rPr>
        <w:t> </w:t>
      </w:r>
      <w:r>
        <w:rPr>
          <w:sz w:val="18"/>
          <w:szCs w:val="18"/>
        </w:rPr>
        <w:t>在股东单位任职情况</w:t>
      </w: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560"/>
        <w:gridCol w:w="1416"/>
        <w:gridCol w:w="1277"/>
        <w:gridCol w:w="1416"/>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潘伟潮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深圳潮牛智能科技有限公司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潘伟潮</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中山市政治协商会议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经理、法人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中山大学附属第一医院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内分泌科主任、教 授、主任医师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560"/>
        <w:gridCol w:w="1416"/>
        <w:gridCol w:w="1277"/>
        <w:gridCol w:w="1416"/>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广东省医学会内分泌分会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主任委员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中华医学会内分泌分会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95" w:right="53" w:hanging="540"/>
              <w:jc w:val="left"/>
              <w:rPr>
                <w:rFonts w:ascii="宋体" w:hAnsi="宋体" w:cs="宋体" w:eastAsia="宋体" w:hint="default"/>
                <w:sz w:val="18"/>
                <w:szCs w:val="18"/>
              </w:rPr>
            </w:pPr>
            <w:r>
              <w:rPr>
                <w:rFonts w:ascii="宋体" w:hAnsi="宋体" w:cs="宋体" w:eastAsia="宋体" w:hint="default"/>
                <w:sz w:val="18"/>
                <w:szCs w:val="18"/>
              </w:rPr>
              <w:t>委员、垂体学组副 组长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广东省健康管理学会代谢与内分泌 专业委员会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主任委员</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蔡祥</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副教授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蔡祥</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广东一力集团制药股份有限公司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蔡祥</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广东广金投资管理有限公司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蔡祥</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广东省管理会计师协会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会长助理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华南国际经济贸易仲裁委员会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仲裁员</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深圳市盐田港股份有限公司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北京科锐配电自动化股份有限公司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深圳市东方富海投资管理股份有限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深圳深爱半导体股份有限公司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
              <w:jc w:val="left"/>
              <w:rPr>
                <w:rFonts w:ascii="宋体" w:hAnsi="宋体" w:cs="宋体" w:eastAsia="宋体" w:hint="default"/>
                <w:sz w:val="18"/>
                <w:szCs w:val="18"/>
              </w:rPr>
            </w:pPr>
            <w:r>
              <w:rPr>
                <w:rFonts w:ascii="宋体" w:hAnsi="宋体" w:cs="宋体" w:eastAsia="宋体" w:hint="default"/>
                <w:sz w:val="18"/>
                <w:szCs w:val="18"/>
              </w:rPr>
              <w:t>珠海市富海铧创创业投资管理有限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1"/>
              <w:jc w:val="left"/>
              <w:rPr>
                <w:rFonts w:ascii="宋体" w:hAnsi="宋体" w:cs="宋体" w:eastAsia="宋体" w:hint="default"/>
                <w:sz w:val="18"/>
                <w:szCs w:val="18"/>
              </w:rPr>
            </w:pPr>
            <w:r>
              <w:rPr>
                <w:rFonts w:ascii="宋体" w:hAnsi="宋体" w:cs="宋体" w:eastAsia="宋体" w:hint="default"/>
                <w:sz w:val="18"/>
                <w:szCs w:val="18"/>
              </w:rPr>
              <w:t>深圳市前海科控港深创业投资有限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浙江美华鼎昌医药科技有限公司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深圳小库科技有限公司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深圳市傲科光电子有限公司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北京远舢智能科技有限公司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深圳市腾盟技术有限公司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湖南珂信健康产业发展有限公司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衢州顺络电子有限公司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衢州顺络电路板有限公司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深圳市海德门电子有限公司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深圳市漫步者科技股份有限公司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0"/>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深圳顺络迅达电子有限公司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湘潭顺络电子有限公司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深圳顺络叠层电子有限公司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东莞顺络电子有限公司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560"/>
        <w:gridCol w:w="1416"/>
        <w:gridCol w:w="1277"/>
        <w:gridCol w:w="1416"/>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徐佳</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深圳顺络微波器件有限公司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石绍海</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19"/>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
        <w:rPr>
          <w:rFonts w:ascii="宋体" w:hAnsi="宋体" w:cs="宋体" w:eastAsia="宋体" w:hint="default"/>
          <w:sz w:val="13"/>
          <w:szCs w:val="13"/>
        </w:rPr>
      </w:pPr>
    </w:p>
    <w:p>
      <w:pPr>
        <w:pStyle w:val="BodyText"/>
        <w:spacing w:line="408" w:lineRule="auto" w:before="0"/>
        <w:ind w:right="996" w:firstLine="420"/>
        <w:jc w:val="left"/>
      </w:pPr>
      <w:r>
        <w:rPr>
          <w:rFonts w:ascii="宋体" w:hAnsi="宋体" w:cs="宋体" w:eastAsia="宋体" w:hint="default"/>
          <w:spacing w:val="-2"/>
        </w:rPr>
        <w:t>1</w:t>
      </w:r>
      <w:r>
        <w:rPr>
          <w:spacing w:val="-2"/>
        </w:rPr>
        <w:t>、董事、监事和高级管理人员报酬的决策程序：经董事会薪酬与考核委员会审定后提交董事会审议，</w:t>
      </w:r>
      <w:r>
        <w:rPr>
          <w:w w:val="100"/>
        </w:rPr>
        <w:t> </w:t>
      </w:r>
      <w:r>
        <w:rPr/>
        <w:t>决策程序符合《公司法》、《公司章程》和《董事会薪酬委员会工作细则》的相关规定。</w:t>
      </w:r>
    </w:p>
    <w:p>
      <w:pPr>
        <w:pStyle w:val="BodyText"/>
        <w:spacing w:line="408" w:lineRule="auto"/>
        <w:ind w:right="996" w:firstLine="420"/>
        <w:jc w:val="left"/>
      </w:pPr>
      <w:r>
        <w:rPr>
          <w:rFonts w:ascii="宋体" w:hAnsi="宋体" w:cs="宋体" w:eastAsia="宋体" w:hint="default"/>
          <w:spacing w:val="-2"/>
        </w:rPr>
        <w:t>2</w:t>
      </w:r>
      <w:r>
        <w:rPr>
          <w:spacing w:val="-2"/>
        </w:rPr>
        <w:t>、董事、监事和高级管理人员报酬的确定依据：独立董事和非执行董事在公司领取津贴，执行董事、</w:t>
      </w:r>
      <w:r>
        <w:rPr>
          <w:w w:val="100"/>
        </w:rPr>
        <w:t> </w:t>
      </w:r>
      <w:r>
        <w:rPr/>
        <w:t>在公司同时担任其他职务的监事和高级管理人员根据其上年度领取的实际收入水平、工作职责和岗位重要</w:t>
      </w:r>
      <w:r>
        <w:rPr>
          <w:w w:val="100"/>
        </w:rPr>
        <w:t> </w:t>
      </w:r>
      <w:r>
        <w:rPr>
          <w:spacing w:val="-2"/>
        </w:rPr>
        <w:t>性，结合公司经营目标的完成情况，确定报酬；月度薪酬由公司财务部负责核算，年度奖金按公司实际经</w:t>
      </w:r>
      <w:r>
        <w:rPr>
          <w:spacing w:val="-47"/>
        </w:rPr>
        <w:t> </w:t>
      </w:r>
      <w:r>
        <w:rPr>
          <w:spacing w:val="-47"/>
        </w:rPr>
      </w:r>
      <w:r>
        <w:rPr/>
        <w:t>营完成指标，按其岗位绩效进行考评。</w:t>
      </w:r>
    </w:p>
    <w:p>
      <w:pPr>
        <w:spacing w:before="31"/>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203" w:type="dxa"/>
        <w:tblLayout w:type="fixed"/>
        <w:tblCellMar>
          <w:top w:w="0" w:type="dxa"/>
          <w:left w:w="0" w:type="dxa"/>
          <w:bottom w:w="0" w:type="dxa"/>
          <w:right w:w="0" w:type="dxa"/>
        </w:tblCellMar>
        <w:tblLook w:val="01E0"/>
      </w:tblPr>
      <w:tblGrid>
        <w:gridCol w:w="1371"/>
        <w:gridCol w:w="2031"/>
        <w:gridCol w:w="955"/>
        <w:gridCol w:w="1068"/>
        <w:gridCol w:w="1368"/>
        <w:gridCol w:w="1369"/>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50"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潘伟潮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麦炯章</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100.57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潘农菲</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李延兵</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徐佳</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周甜</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钟前荣</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赵小超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石绍海</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副总经理、财务总监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丁芸洁</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副总经理、董秘</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徐浪</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沙华海</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余国铮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邹晓冬</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03" w:type="dxa"/>
        <w:tblLayout w:type="fixed"/>
        <w:tblCellMar>
          <w:top w:w="0" w:type="dxa"/>
          <w:left w:w="0" w:type="dxa"/>
          <w:bottom w:w="0" w:type="dxa"/>
          <w:right w:w="0" w:type="dxa"/>
        </w:tblCellMar>
        <w:tblLook w:val="01E0"/>
      </w:tblPr>
      <w:tblGrid>
        <w:gridCol w:w="1371"/>
        <w:gridCol w:w="2031"/>
        <w:gridCol w:w="955"/>
        <w:gridCol w:w="1068"/>
        <w:gridCol w:w="1368"/>
        <w:gridCol w:w="1369"/>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黄洪燕</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欧高良</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万卫东</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梁启光</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689.93</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0"/>
        <w:rPr>
          <w:rFonts w:ascii="宋体" w:hAnsi="宋体" w:cs="宋体" w:eastAsia="宋体" w:hint="default"/>
          <w:sz w:val="20"/>
          <w:szCs w:val="20"/>
        </w:rPr>
      </w:pPr>
      <w:r>
        <w:rPr/>
        <w:pict>
          <v:shape style="position:absolute;margin-left:101.419998pt;margin-top:366.649994pt;width:85.2pt;height:15.6pt;mso-position-horizontal-relative:page;mso-position-vertical-relative:page;z-index:-11113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561" w:lineRule="exact"/>
        <w:ind w:left="1893"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3pt;height:28.1pt;mso-position-horizontal-relative:char;mso-position-vertical-relative:line" coordorigin="0,0" coordsize="860,562">
            <v:group style="position:absolute;left:0;top:0;width:860;height:156" coordorigin="0,0" coordsize="860,156">
              <v:shape style="position:absolute;left:0;top:0;width:860;height:156" coordorigin="0,0" coordsize="860,156" path="m0,156l859,156,859,0,0,0,0,156xe" filled="true" fillcolor="#ffffff" stroked="false">
                <v:path arrowok="t"/>
                <v:fill type="solid"/>
              </v:shape>
            </v:group>
            <v:group style="position:absolute;left:12;top:156;width:2;height:394" coordorigin="12,156" coordsize="2,394">
              <v:shape style="position:absolute;left:12;top:156;width:2;height:394" coordorigin="12,156" coordsize="0,394" path="m12,156l12,550e" filled="false" stroked="true" strokeweight="1.2pt" strokecolor="#ffffff">
                <v:path arrowok="t"/>
              </v:shape>
            </v:group>
            <v:group style="position:absolute;left:24;top:156;width:814;height:394" coordorigin="24,156" coordsize="814,394">
              <v:shape style="position:absolute;left:24;top:156;width:814;height:394" coordorigin="24,156" coordsize="814,394" path="m24,550l838,550,838,156,24,156,24,550xe" filled="true" fillcolor="#ffffff" stroked="false">
                <v:path arrowok="t"/>
                <v:fill type="solid"/>
              </v:shape>
            </v:group>
          </v:group>
        </w:pict>
      </w:r>
      <w:r>
        <w:rPr>
          <w:rFonts w:ascii="宋体" w:hAnsi="宋体" w:cs="宋体" w:eastAsia="宋体" w:hint="default"/>
          <w:position w:val="-10"/>
          <w:sz w:val="20"/>
          <w:szCs w:val="20"/>
        </w:rPr>
      </w:r>
    </w:p>
    <w:p>
      <w:pPr>
        <w:spacing w:line="240" w:lineRule="auto" w:before="10"/>
        <w:rPr>
          <w:rFonts w:ascii="宋体" w:hAnsi="宋体" w:cs="宋体" w:eastAsia="宋体" w:hint="default"/>
          <w:sz w:val="11"/>
          <w:szCs w:val="11"/>
        </w:rPr>
      </w:pPr>
    </w:p>
    <w:p>
      <w:pPr>
        <w:spacing w:line="312" w:lineRule="exact"/>
        <w:ind w:left="189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144" w:firstLine="0"/>
        <w:jc w:val="right"/>
        <w:rPr>
          <w:rFonts w:ascii="宋体" w:hAnsi="宋体" w:cs="宋体" w:eastAsia="宋体" w:hint="default"/>
          <w:sz w:val="18"/>
          <w:szCs w:val="18"/>
        </w:rPr>
      </w:pPr>
      <w:r>
        <w:rPr/>
        <w:pict>
          <v:shape style="position:absolute;margin-left:56.400002pt;margin-top:-289.738281pt;width:479.05pt;height:317.350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潘农菲</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99,181</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丁芸洁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前副总经 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86,834</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前副总经 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15.14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285,195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285,195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7"/>
                            <w:sz w:val="18"/>
                            <w:szCs w:val="18"/>
                          </w:rPr>
                          <w:t>梁启光先生、万卫东先生因任期届满，自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日起不再担任公司高级管理人员，目前仍在公司任职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before="26"/>
        <w:ind w:right="1119"/>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r>
      <w:tr>
        <w:trPr>
          <w:trHeight w:val="404"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w:t>
            </w:r>
          </w:p>
        </w:tc>
      </w:tr>
    </w:tbl>
    <w:p>
      <w:pPr>
        <w:spacing w:line="240" w:lineRule="auto" w:before="3"/>
        <w:rPr>
          <w:rFonts w:ascii="宋体" w:hAnsi="宋体" w:cs="宋体" w:eastAsia="宋体" w:hint="default"/>
          <w:b/>
          <w:bCs/>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19" w:firstLine="420"/>
        <w:jc w:val="left"/>
      </w:pPr>
      <w:r>
        <w:rPr>
          <w:spacing w:val="-2"/>
        </w:rPr>
        <w:t>为实现公司发展战略，共同分享企业发展所带来的收益，促进员工价值观念的凝合，形成留住人才和</w:t>
      </w:r>
      <w:r>
        <w:rPr>
          <w:w w:val="100"/>
        </w:rPr>
        <w:t> </w:t>
      </w:r>
      <w:r>
        <w:rPr>
          <w:spacing w:val="-2"/>
        </w:rPr>
        <w:t>吸引人才的机制，本着公平、竞争、激励、经济、合法的原则，公司人力资源部对不同岗位和部门制定了</w:t>
      </w:r>
    </w:p>
    <w:p>
      <w:pPr>
        <w:pStyle w:val="BodyText"/>
        <w:spacing w:line="408" w:lineRule="auto"/>
        <w:ind w:right="1119"/>
        <w:jc w:val="left"/>
      </w:pPr>
      <w:r>
        <w:rPr>
          <w:spacing w:val="-2"/>
        </w:rPr>
        <w:t>《薪酬管理规定》，公司财务部门负责薪酬的计算和发放。同时公司与员工签订劳动合同、为员工购买社</w:t>
      </w:r>
      <w:r>
        <w:rPr>
          <w:spacing w:val="-47"/>
        </w:rPr>
        <w:t> </w:t>
      </w:r>
      <w:r>
        <w:rPr>
          <w:spacing w:val="-47"/>
        </w:rPr>
      </w:r>
      <w:r>
        <w:rPr/>
        <w:t>会保险及住房公积金，除此之外员工还享有节假日福利、免费体检等其他福利。</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3" w:firstLine="420"/>
        <w:jc w:val="both"/>
      </w:pPr>
      <w:r>
        <w:rPr>
          <w:spacing w:val="-2"/>
        </w:rPr>
        <w:t>根据公司的发展需要，公司</w:t>
      </w:r>
      <w:r>
        <w:rPr>
          <w:rFonts w:ascii="宋体" w:hAnsi="宋体" w:cs="宋体" w:eastAsia="宋体" w:hint="default"/>
          <w:spacing w:val="-2"/>
        </w:rPr>
        <w:t>2018</w:t>
      </w:r>
      <w:r>
        <w:rPr>
          <w:spacing w:val="-2"/>
        </w:rPr>
        <w:t>年培训重心是进一步完善人才培养体系，以实用、专业为原则，立足</w:t>
      </w:r>
      <w:r>
        <w:rPr>
          <w:w w:val="100"/>
        </w:rPr>
        <w:t> </w:t>
      </w:r>
      <w:r>
        <w:rPr>
          <w:spacing w:val="-2"/>
        </w:rPr>
        <w:t>长远。采取线上培训、线下面授、户外拓展、研讨会等多种学习方式相结合的形式，进一步深化基层员工</w:t>
      </w:r>
      <w:r>
        <w:rPr>
          <w:spacing w:val="-43"/>
        </w:rPr>
        <w:t> </w:t>
      </w:r>
      <w:r>
        <w:rPr>
          <w:spacing w:val="-43"/>
        </w:rPr>
      </w:r>
      <w:r>
        <w:rPr/>
        <w:t>技能矩阵，提高中高层管理人员的管理能力和综合管理技能；聚焦提升研发技术人员的研发和创新能力，</w:t>
      </w:r>
      <w:r>
        <w:rPr>
          <w:w w:val="100"/>
        </w:rPr>
        <w:t> </w:t>
      </w:r>
      <w:r>
        <w:rPr>
          <w:spacing w:val="-5"/>
        </w:rPr>
        <w:t>同时深化实施培训后的效果评估，使培训发挥良好的效果，最大限度支持公司战略目标，促进公司的发展。</w:t>
      </w:r>
    </w:p>
    <w:p>
      <w:pPr>
        <w:pStyle w:val="BodyText"/>
        <w:spacing w:line="240" w:lineRule="auto" w:before="85"/>
        <w:ind w:left="573" w:right="1119"/>
        <w:jc w:val="left"/>
      </w:pPr>
      <w:r>
        <w:rPr>
          <w:rFonts w:ascii="宋体" w:hAnsi="宋体" w:cs="宋体" w:eastAsia="宋体" w:hint="default"/>
        </w:rPr>
        <w:t>2020</w:t>
      </w:r>
      <w:r>
        <w:rPr/>
        <w:t>年人力资源将主力打造高绩效团队，通过胜任力培养及高绩效赋能，达到高绩效人才覆盖。</w:t>
      </w:r>
    </w:p>
    <w:p>
      <w:pPr>
        <w:spacing w:line="240" w:lineRule="auto" w:before="12"/>
        <w:rPr>
          <w:rFonts w:ascii="宋体" w:hAnsi="宋体" w:cs="宋体" w:eastAsia="宋体" w:hint="default"/>
          <w:sz w:val="17"/>
          <w:szCs w:val="17"/>
        </w:rPr>
      </w:pPr>
    </w:p>
    <w:p>
      <w:pPr>
        <w:pStyle w:val="BodyText"/>
        <w:spacing w:line="240" w:lineRule="auto" w:before="0"/>
        <w:ind w:left="573" w:right="1119"/>
        <w:jc w:val="left"/>
      </w:pPr>
      <w:r>
        <w:rPr>
          <w:rFonts w:ascii="宋体" w:hAnsi="宋体" w:cs="宋体" w:eastAsia="宋体" w:hint="default"/>
        </w:rPr>
        <w:t>2020</w:t>
      </w:r>
      <w:r>
        <w:rPr/>
        <w:t>年人力资源计划在以下方面进行革新：</w:t>
      </w:r>
    </w:p>
    <w:p>
      <w:pPr>
        <w:spacing w:line="240" w:lineRule="auto" w:before="12"/>
        <w:rPr>
          <w:rFonts w:ascii="宋体" w:hAnsi="宋体" w:cs="宋体" w:eastAsia="宋体" w:hint="default"/>
          <w:sz w:val="17"/>
          <w:szCs w:val="17"/>
        </w:rPr>
      </w:pPr>
    </w:p>
    <w:p>
      <w:pPr>
        <w:pStyle w:val="BodyText"/>
        <w:spacing w:line="408" w:lineRule="auto" w:before="0"/>
        <w:ind w:right="1119" w:firstLine="420"/>
        <w:jc w:val="left"/>
      </w:pPr>
      <w:r>
        <w:rPr>
          <w:rFonts w:ascii="宋体" w:hAnsi="宋体" w:cs="宋体" w:eastAsia="宋体" w:hint="default"/>
        </w:rPr>
        <w:t>1</w:t>
      </w:r>
      <w:r>
        <w:rPr/>
        <w:t>、绩效管理改革，激发高绩效。</w:t>
      </w:r>
      <w:r>
        <w:rPr>
          <w:rFonts w:ascii="宋体" w:hAnsi="宋体" w:cs="宋体" w:eastAsia="宋体" w:hint="default"/>
        </w:rPr>
        <w:t>2020</w:t>
      </w:r>
      <w:r>
        <w:rPr/>
        <w:t>年人力资源对绩效考核思维及管理进行新的尝试及运转，通过</w:t>
      </w:r>
      <w:r>
        <w:rPr>
          <w:w w:val="100"/>
        </w:rPr>
        <w:t> </w:t>
      </w:r>
      <w:r>
        <w:rPr>
          <w:spacing w:val="-2"/>
        </w:rPr>
        <w:t>绩效考核分析人才绩效层级，重点培养明星员工及了解员工的绩效短板，从而为员工定制培养计划及提升</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计划。</w:t>
      </w:r>
    </w:p>
    <w:p>
      <w:pPr>
        <w:spacing w:line="240" w:lineRule="auto" w:before="12"/>
        <w:rPr>
          <w:rFonts w:ascii="宋体" w:hAnsi="宋体" w:cs="宋体" w:eastAsia="宋体" w:hint="default"/>
          <w:sz w:val="17"/>
          <w:szCs w:val="17"/>
        </w:rPr>
      </w:pPr>
    </w:p>
    <w:p>
      <w:pPr>
        <w:pStyle w:val="BodyText"/>
        <w:spacing w:line="408" w:lineRule="auto" w:before="0"/>
        <w:ind w:right="1126" w:firstLine="420"/>
        <w:jc w:val="both"/>
      </w:pPr>
      <w:r>
        <w:rPr>
          <w:rFonts w:ascii="宋体" w:hAnsi="宋体" w:cs="宋体" w:eastAsia="宋体" w:hint="default"/>
        </w:rPr>
        <w:t>2</w:t>
      </w:r>
      <w:r>
        <w:rPr/>
        <w:t>、关键岗位人才培养机制导入。人力资源对关键岗位及核心人才进行新的培养机制设置，通过系统</w:t>
      </w:r>
      <w:r>
        <w:rPr>
          <w:w w:val="100"/>
        </w:rPr>
        <w:t> </w:t>
      </w:r>
      <w:r>
        <w:rPr>
          <w:spacing w:val="-2"/>
        </w:rPr>
        <w:t>性及针对性课程开发培训及业绩突破任务激励设置，达到关键岗位从优秀到精英的新变化，从而更符合公</w:t>
      </w:r>
      <w:r>
        <w:rPr>
          <w:spacing w:val="-43"/>
        </w:rPr>
        <w:t> </w:t>
      </w:r>
      <w:r>
        <w:rPr>
          <w:spacing w:val="-43"/>
        </w:rPr>
      </w:r>
      <w:r>
        <w:rPr/>
        <w:t>司的战略发展。</w:t>
      </w:r>
    </w:p>
    <w:p>
      <w:pPr>
        <w:pStyle w:val="BodyText"/>
        <w:spacing w:line="408" w:lineRule="auto" w:before="84"/>
        <w:ind w:right="1136" w:firstLine="420"/>
        <w:jc w:val="both"/>
      </w:pPr>
      <w:r>
        <w:rPr>
          <w:rFonts w:ascii="宋体" w:hAnsi="宋体" w:cs="宋体" w:eastAsia="宋体" w:hint="default"/>
        </w:rPr>
        <w:t>3</w:t>
      </w:r>
      <w:r>
        <w:rPr/>
        <w:t>、胜任力项目导入为团队赋能。新一年人力资源根据各岗位性质，贴合业务需要，对人才测评进行</w:t>
      </w:r>
      <w:r>
        <w:rPr>
          <w:w w:val="100"/>
        </w:rPr>
        <w:t> </w:t>
      </w:r>
      <w:r>
        <w:rPr/>
        <w:t>系统科学地评估，通过胜任力的评估及人才盘点为团队赋能。</w:t>
      </w:r>
    </w:p>
    <w:p>
      <w:pPr>
        <w:pStyle w:val="BodyText"/>
        <w:spacing w:line="408" w:lineRule="auto" w:before="87"/>
        <w:ind w:right="1131" w:firstLine="420"/>
        <w:jc w:val="both"/>
      </w:pPr>
      <w:r>
        <w:rPr>
          <w:rFonts w:ascii="宋体" w:hAnsi="宋体" w:cs="宋体" w:eastAsia="宋体" w:hint="default"/>
        </w:rPr>
        <w:t>4</w:t>
      </w:r>
      <w:r>
        <w:rPr/>
        <w:t>、内部培训学院建设完善，为人才加油助力。</w:t>
      </w:r>
      <w:r>
        <w:rPr>
          <w:rFonts w:ascii="宋体" w:hAnsi="宋体" w:cs="宋体" w:eastAsia="宋体" w:hint="default"/>
        </w:rPr>
        <w:t>2020</w:t>
      </w:r>
      <w:r>
        <w:rPr/>
        <w:t>年人力资源将人才培养作为部门工作核心重要工</w:t>
      </w:r>
      <w:r>
        <w:rPr>
          <w:w w:val="100"/>
        </w:rPr>
        <w:t> </w:t>
      </w:r>
      <w:r>
        <w:rPr/>
        <w:t>作，通过人才培养计划设计系统的提升培训课程，打造一支高绩效团队，为前沿业务提供优秀人才。</w:t>
      </w:r>
    </w:p>
    <w:p>
      <w:pPr>
        <w:pStyle w:val="BodyText"/>
        <w:spacing w:line="408" w:lineRule="auto" w:before="87"/>
        <w:ind w:right="1136" w:firstLine="420"/>
        <w:jc w:val="both"/>
      </w:pPr>
      <w:r>
        <w:rPr>
          <w:rFonts w:ascii="宋体" w:hAnsi="宋体" w:cs="宋体" w:eastAsia="宋体" w:hint="default"/>
        </w:rPr>
        <w:t>5</w:t>
      </w:r>
      <w:r>
        <w:rPr/>
        <w:t>、薪酬制度改革，激励人才及合理定薪。通过多方位考核及评估，对人才薪酬结构及激励方案进行</w:t>
      </w:r>
      <w:r>
        <w:rPr>
          <w:w w:val="100"/>
        </w:rPr>
        <w:t> </w:t>
      </w:r>
      <w:r>
        <w:rPr/>
        <w:t>新的改革，达到最大化的激励作用，从而激发员工的内驱力。</w:t>
      </w:r>
    </w:p>
    <w:p>
      <w:pPr>
        <w:spacing w:line="240" w:lineRule="auto" w:before="5"/>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9"/>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报告期内，公司严格按照《公司法》、《证券法》、《上市公司治理准则》、《深圳证券交易所股票</w:t>
      </w:r>
      <w:r>
        <w:rPr>
          <w:w w:val="100"/>
        </w:rPr>
        <w:t> </w:t>
      </w:r>
      <w:r>
        <w:rPr>
          <w:spacing w:val="-2"/>
        </w:rPr>
        <w:t>上市规则》、《深圳证券交易所创业板上市公司规范运作指引》和中国证监会、深圳证券交易所颁布的相</w:t>
      </w:r>
      <w:r>
        <w:rPr>
          <w:spacing w:val="-43"/>
        </w:rPr>
        <w:t> </w:t>
      </w:r>
      <w:r>
        <w:rPr>
          <w:spacing w:val="-43"/>
        </w:rPr>
      </w:r>
      <w:r>
        <w:rPr>
          <w:spacing w:val="-2"/>
        </w:rPr>
        <w:t>关法律法规的要求，不断完善公司治理结构，进一步提高公司治理水平，明确了股东大会、董事会、监事</w:t>
      </w:r>
      <w:r>
        <w:rPr>
          <w:spacing w:val="-43"/>
        </w:rPr>
        <w:t> </w:t>
      </w:r>
      <w:r>
        <w:rPr>
          <w:spacing w:val="-43"/>
        </w:rPr>
      </w:r>
      <w:r>
        <w:rPr>
          <w:spacing w:val="-2"/>
        </w:rPr>
        <w:t>会和管理层之间的职责分工，建立了规范运作的法人治理结构，并制订了一系列公司治理及财务内部控制</w:t>
      </w:r>
      <w:r>
        <w:rPr>
          <w:spacing w:val="-44"/>
        </w:rPr>
        <w:t> </w:t>
      </w:r>
      <w:r>
        <w:rPr>
          <w:spacing w:val="-44"/>
        </w:rPr>
      </w:r>
      <w:r>
        <w:rPr>
          <w:spacing w:val="-2"/>
        </w:rPr>
        <w:t>方面规章制度。公司治理的实际状况基本符合《上市公司治理准则》、《深圳证券交易所创业板上市公司</w:t>
      </w:r>
      <w:r>
        <w:rPr>
          <w:spacing w:val="-43"/>
        </w:rPr>
        <w:t> </w:t>
      </w:r>
      <w:r>
        <w:rPr>
          <w:spacing w:val="-43"/>
        </w:rPr>
      </w:r>
      <w:r>
        <w:rPr/>
        <w:t>规范运作指引》等的相关规范性文件规定。</w:t>
      </w:r>
    </w:p>
    <w:p>
      <w:pPr>
        <w:pStyle w:val="BodyText"/>
        <w:spacing w:line="408" w:lineRule="auto"/>
        <w:ind w:left="573" w:right="1119"/>
        <w:jc w:val="left"/>
      </w:pPr>
      <w:r>
        <w:rPr>
          <w:rFonts w:ascii="宋体" w:hAnsi="宋体" w:cs="宋体" w:eastAsia="宋体" w:hint="default"/>
        </w:rPr>
        <w:t>1</w:t>
      </w:r>
      <w:r>
        <w:rPr/>
        <w:t>、股东及股东大会</w:t>
      </w:r>
      <w:r>
        <w:rPr>
          <w:w w:val="100"/>
        </w:rPr>
        <w:t> </w:t>
      </w:r>
      <w:r>
        <w:rPr>
          <w:spacing w:val="-2"/>
        </w:rPr>
        <w:t>股东大会是公司最高权力机构，由全体股东组成。公司严格遵守法律法规，规范地召集、召开股东大</w:t>
      </w:r>
    </w:p>
    <w:p>
      <w:pPr>
        <w:pStyle w:val="BodyText"/>
        <w:spacing w:line="240" w:lineRule="auto"/>
        <w:ind w:right="0"/>
        <w:jc w:val="both"/>
      </w:pPr>
      <w:r>
        <w:rPr>
          <w:spacing w:val="-5"/>
        </w:rPr>
        <w:t>会。历次股东大会的召集、召开程序、出席股东大会的人员资格及股东大会的表决程序均符合《公司法》、</w:t>
      </w:r>
    </w:p>
    <w:p>
      <w:pPr>
        <w:spacing w:line="240" w:lineRule="auto" w:before="10"/>
        <w:rPr>
          <w:rFonts w:ascii="宋体" w:hAnsi="宋体" w:cs="宋体" w:eastAsia="宋体" w:hint="default"/>
          <w:sz w:val="14"/>
          <w:szCs w:val="14"/>
        </w:rPr>
      </w:pPr>
    </w:p>
    <w:p>
      <w:pPr>
        <w:pStyle w:val="BodyText"/>
        <w:spacing w:line="408" w:lineRule="auto" w:before="0"/>
        <w:ind w:right="1127"/>
        <w:jc w:val="both"/>
      </w:pPr>
      <w:r>
        <w:rPr>
          <w:spacing w:val="-2"/>
        </w:rPr>
        <w:t>《公司章程》和《股东大会议事规则》等法律法规等文件的规定，能够确保全体股东尤其是中小股东享有</w:t>
      </w:r>
      <w:r>
        <w:rPr>
          <w:spacing w:val="-47"/>
        </w:rPr>
        <w:t> </w:t>
      </w:r>
      <w:r>
        <w:rPr>
          <w:spacing w:val="-47"/>
        </w:rPr>
      </w:r>
      <w:r>
        <w:rPr>
          <w:spacing w:val="-2"/>
        </w:rPr>
        <w:t>平等地位，充分行使自己的权利。股东认真履行股东义务，依法行使股东权利。股东大会严格按照《公司</w:t>
      </w:r>
      <w:r>
        <w:rPr>
          <w:spacing w:val="-43"/>
        </w:rPr>
        <w:t> </w:t>
      </w:r>
      <w:r>
        <w:rPr>
          <w:spacing w:val="-43"/>
        </w:rPr>
      </w:r>
      <w:r>
        <w:rPr/>
        <w:t>法》、《公司章程》、《股东大会议事规则》等规定行使权利。</w:t>
      </w:r>
    </w:p>
    <w:p>
      <w:pPr>
        <w:pStyle w:val="BodyText"/>
        <w:spacing w:line="408" w:lineRule="auto"/>
        <w:ind w:left="573" w:right="1119"/>
        <w:jc w:val="left"/>
      </w:pPr>
      <w:r>
        <w:rPr>
          <w:rFonts w:ascii="宋体" w:hAnsi="宋体" w:cs="宋体" w:eastAsia="宋体" w:hint="default"/>
        </w:rPr>
        <w:t>2</w:t>
      </w:r>
      <w:r>
        <w:rPr/>
        <w:t>、公司与控股股东</w:t>
      </w:r>
      <w:r>
        <w:rPr>
          <w:w w:val="100"/>
        </w:rPr>
        <w:t> </w:t>
      </w:r>
      <w:r>
        <w:rPr>
          <w:spacing w:val="-2"/>
        </w:rPr>
        <w:t>公司控股股东及实际控制人均严格规范自己的行为，没有超越股东大会直接或间接干预公司的决策和</w:t>
      </w:r>
    </w:p>
    <w:p>
      <w:pPr>
        <w:pStyle w:val="BodyText"/>
        <w:spacing w:line="408" w:lineRule="auto"/>
        <w:ind w:right="1126"/>
        <w:jc w:val="both"/>
      </w:pPr>
      <w:r>
        <w:rPr>
          <w:spacing w:val="-2"/>
        </w:rPr>
        <w:t>经营活动。公司具备与生产经营相关的主要生产系统、辅助生产系统和配套设施，合法拥有与生产经营相</w:t>
      </w:r>
      <w:r>
        <w:rPr>
          <w:spacing w:val="-44"/>
        </w:rPr>
        <w:t> </w:t>
      </w:r>
      <w:r>
        <w:rPr>
          <w:spacing w:val="-44"/>
        </w:rPr>
      </w:r>
      <w:r>
        <w:rPr>
          <w:spacing w:val="-2"/>
        </w:rPr>
        <w:t>关的主要土地、厂房、机器设备以及商标、专利、非专利技术的所有权或者使用权，具有独立的原料采购</w:t>
      </w:r>
      <w:r>
        <w:rPr>
          <w:spacing w:val="-43"/>
        </w:rPr>
        <w:t> </w:t>
      </w:r>
      <w:r>
        <w:rPr>
          <w:spacing w:val="-43"/>
        </w:rPr>
      </w:r>
      <w:r>
        <w:rPr>
          <w:spacing w:val="-2"/>
        </w:rPr>
        <w:t>和产品销售系统，具有独立完整的业务和自主经营能力，在业务、人员、资产、机构、财务上均独立于控</w:t>
      </w:r>
      <w:r>
        <w:rPr>
          <w:spacing w:val="-42"/>
        </w:rPr>
        <w:t> </w:t>
      </w:r>
      <w:r>
        <w:rPr>
          <w:spacing w:val="-42"/>
        </w:rPr>
      </w:r>
      <w:r>
        <w:rPr/>
        <w:t>股股东及实际控制人。</w:t>
      </w:r>
    </w:p>
    <w:p>
      <w:pPr>
        <w:pStyle w:val="BodyText"/>
        <w:spacing w:line="408" w:lineRule="auto"/>
        <w:ind w:left="573" w:right="1119"/>
        <w:jc w:val="left"/>
      </w:pPr>
      <w:r>
        <w:rPr>
          <w:rFonts w:ascii="宋体" w:hAnsi="宋体" w:cs="宋体" w:eastAsia="宋体" w:hint="default"/>
        </w:rPr>
        <w:t>3</w:t>
      </w:r>
      <w:r>
        <w:rPr/>
        <w:t>、董事及董事会</w:t>
      </w:r>
      <w:r>
        <w:rPr>
          <w:w w:val="100"/>
        </w:rPr>
        <w:t> </w:t>
      </w:r>
      <w:r>
        <w:rPr>
          <w:spacing w:val="-2"/>
        </w:rPr>
        <w:t>根据《公司章程》和《董事会议事规则》的规定，公司设董事会，对股东大会负责。公司董事会由七</w:t>
      </w:r>
    </w:p>
    <w:p>
      <w:pPr>
        <w:pStyle w:val="BodyText"/>
        <w:spacing w:line="408" w:lineRule="auto"/>
        <w:ind w:right="1105"/>
        <w:jc w:val="both"/>
      </w:pPr>
      <w:r>
        <w:rPr>
          <w:spacing w:val="-2"/>
        </w:rPr>
        <w:t>名董事组成，包含三名独立董事。公司设董事长一人，董事长由董事会以全体董事的过半数选举产生。董</w:t>
      </w:r>
      <w:r>
        <w:rPr>
          <w:spacing w:val="-47"/>
        </w:rPr>
        <w:t> </w:t>
      </w:r>
      <w:r>
        <w:rPr>
          <w:spacing w:val="-47"/>
        </w:rPr>
      </w:r>
      <w:r>
        <w:rPr>
          <w:spacing w:val="-2"/>
        </w:rPr>
        <w:t>事任期三年，任期届满，可连选连任，但独立董事连续任期不得超过六年。董事会下设审计委员会、战略</w:t>
      </w:r>
      <w:r>
        <w:rPr>
          <w:spacing w:val="-43"/>
        </w:rPr>
        <w:t> </w:t>
      </w:r>
      <w:r>
        <w:rPr>
          <w:spacing w:val="-43"/>
        </w:rPr>
      </w:r>
      <w:r>
        <w:rPr>
          <w:spacing w:val="-2"/>
        </w:rPr>
        <w:t>委员会、提名委员会和薪酬与考核委员会。董事会的人数和人员符合《公司法》、《公司章程》等规定。</w:t>
      </w:r>
      <w:r>
        <w:rPr>
          <w:spacing w:val="-21"/>
        </w:rPr>
        <w:t> </w:t>
      </w:r>
      <w:r>
        <w:rPr>
          <w:spacing w:val="-21"/>
        </w:rPr>
      </w:r>
      <w:r>
        <w:rPr>
          <w:spacing w:val="-2"/>
        </w:rPr>
        <w:t>公司董事能够依据《董事会议事规则》、《独立董事工作制度》、《深圳证券交易所创业板上市公司规范</w:t>
      </w:r>
      <w:r>
        <w:rPr>
          <w:spacing w:val="-43"/>
        </w:rPr>
        <w:t> </w:t>
      </w:r>
      <w:r>
        <w:rPr>
          <w:spacing w:val="-43"/>
        </w:rPr>
      </w:r>
      <w:r>
        <w:rPr>
          <w:spacing w:val="-2"/>
        </w:rPr>
        <w:t>运作指引》等开展工作，出席董事会和股东大会，依法行使职权，勤勉尽责地履行职责和义务，能够持续</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96"/>
        <w:jc w:val="left"/>
      </w:pPr>
      <w:r>
        <w:rPr>
          <w:spacing w:val="-5"/>
        </w:rPr>
        <w:t>关注公司经营状况，提高公司治理能力。公司董事会按照《公司法》、《公司章程》和《董事会议事规则》</w:t>
      </w:r>
      <w:r>
        <w:rPr>
          <w:spacing w:val="-6"/>
        </w:rPr>
        <w:t> </w:t>
      </w:r>
      <w:r>
        <w:rPr>
          <w:spacing w:val="-6"/>
        </w:rPr>
      </w:r>
      <w:r>
        <w:rPr/>
        <w:t>等相关法律法规规定召开，和履行会议程序，并做好会议资料存档并保证相关信息及时披露、公告。</w:t>
      </w:r>
    </w:p>
    <w:p>
      <w:pPr>
        <w:pStyle w:val="BodyText"/>
        <w:spacing w:line="408" w:lineRule="auto"/>
        <w:ind w:left="573" w:right="1119"/>
        <w:jc w:val="left"/>
      </w:pPr>
      <w:r>
        <w:rPr>
          <w:rFonts w:ascii="宋体" w:hAnsi="宋体" w:cs="宋体" w:eastAsia="宋体" w:hint="default"/>
        </w:rPr>
        <w:t>4</w:t>
      </w:r>
      <w:r>
        <w:rPr/>
        <w:t>、监事和监事会</w:t>
      </w:r>
      <w:r>
        <w:rPr>
          <w:w w:val="100"/>
        </w:rPr>
        <w:t> </w:t>
      </w:r>
      <w:r>
        <w:rPr>
          <w:spacing w:val="-2"/>
        </w:rPr>
        <w:t>公司设监事会，监事会应对公司全体股东负责，维护公司及股东的合法权益。公司监事会由三名监事</w:t>
      </w:r>
    </w:p>
    <w:p>
      <w:pPr>
        <w:pStyle w:val="BodyText"/>
        <w:spacing w:line="408" w:lineRule="auto"/>
        <w:ind w:right="1127"/>
        <w:jc w:val="both"/>
      </w:pPr>
      <w:r>
        <w:rPr>
          <w:spacing w:val="-2"/>
        </w:rPr>
        <w:t>组成，包含一名职工代表监事。监事会设主席一名，监事会主席由全体监事过半数选举产生。监事会中的</w:t>
      </w:r>
      <w:r>
        <w:rPr>
          <w:spacing w:val="-50"/>
        </w:rPr>
        <w:t> </w:t>
      </w:r>
      <w:r>
        <w:rPr>
          <w:spacing w:val="-50"/>
        </w:rPr>
      </w:r>
      <w:r>
        <w:rPr>
          <w:spacing w:val="-2"/>
        </w:rPr>
        <w:t>职工代表监事由公司职工代表大会民主选举产生。监事会的人数和人员符合《公司法》、《公司章程》等</w:t>
      </w:r>
      <w:r>
        <w:rPr>
          <w:spacing w:val="-45"/>
        </w:rPr>
        <w:t> </w:t>
      </w:r>
      <w:r>
        <w:rPr>
          <w:spacing w:val="-45"/>
        </w:rPr>
      </w:r>
      <w:r>
        <w:rPr>
          <w:spacing w:val="-2"/>
        </w:rPr>
        <w:t>规定。公司监事认真履行职责，本着对股东负责的态度，对公司财务以及公司董事、高级管理人员履行职</w:t>
      </w:r>
      <w:r>
        <w:rPr>
          <w:spacing w:val="-50"/>
        </w:rPr>
        <w:t> </w:t>
      </w:r>
      <w:r>
        <w:rPr>
          <w:spacing w:val="-50"/>
        </w:rPr>
      </w:r>
      <w:r>
        <w:rPr>
          <w:spacing w:val="-2"/>
        </w:rPr>
        <w:t>责的合法、合规性进行监督，维护公司及股东的合法权益。监事会会议召集、召开和表决程序符合《公司</w:t>
      </w:r>
      <w:r>
        <w:rPr>
          <w:spacing w:val="-43"/>
        </w:rPr>
        <w:t> </w:t>
      </w:r>
      <w:r>
        <w:rPr>
          <w:spacing w:val="-43"/>
        </w:rPr>
      </w:r>
      <w:r>
        <w:rPr/>
        <w:t>法》、《公司章程》和《监事会议事规则》的规定。</w:t>
      </w:r>
    </w:p>
    <w:p>
      <w:pPr>
        <w:pStyle w:val="BodyText"/>
        <w:spacing w:line="408" w:lineRule="auto"/>
        <w:ind w:left="573" w:right="1119"/>
        <w:jc w:val="left"/>
      </w:pPr>
      <w:r>
        <w:rPr>
          <w:rFonts w:ascii="宋体" w:hAnsi="宋体" w:cs="宋体" w:eastAsia="宋体" w:hint="default"/>
        </w:rPr>
        <w:t>5</w:t>
      </w:r>
      <w:r>
        <w:rPr/>
        <w:t>、关于信息披露与透明度</w:t>
      </w:r>
      <w:r>
        <w:rPr>
          <w:w w:val="100"/>
        </w:rPr>
        <w:t> </w:t>
      </w:r>
      <w:r>
        <w:rPr>
          <w:spacing w:val="-2"/>
        </w:rPr>
        <w:t>公司严格按照《上市公司信息披露管理办法》、深圳证券交易所创业板上市公司的信息披露格式指引</w:t>
      </w:r>
    </w:p>
    <w:p>
      <w:pPr>
        <w:pStyle w:val="BodyText"/>
        <w:spacing w:line="405" w:lineRule="auto"/>
        <w:ind w:right="1017"/>
        <w:jc w:val="left"/>
        <w:rPr>
          <w:sz w:val="18"/>
          <w:szCs w:val="18"/>
        </w:rPr>
      </w:pPr>
      <w:r>
        <w:rPr>
          <w:spacing w:val="-2"/>
        </w:rPr>
        <w:t>等规定以及公司制定的《信息披露制度》等要求，真实、准确、及时、公平、完整地披露有关信息；并指</w:t>
      </w:r>
      <w:r>
        <w:rPr>
          <w:spacing w:val="-50"/>
        </w:rPr>
        <w:t> </w:t>
      </w:r>
      <w:r>
        <w:rPr>
          <w:spacing w:val="-50"/>
        </w:rPr>
      </w:r>
      <w:r>
        <w:rPr>
          <w:spacing w:val="-2"/>
        </w:rPr>
        <w:t>定公司董事会秘书负责信息披露工作，协调公司与投资者的关系，接待股东来访，回答投资者咨询；并指</w:t>
      </w:r>
      <w:r>
        <w:rPr>
          <w:spacing w:val="-47"/>
        </w:rPr>
        <w:t> </w:t>
      </w:r>
      <w:r>
        <w:rPr>
          <w:spacing w:val="-47"/>
        </w:rPr>
      </w:r>
      <w:r>
        <w:rPr>
          <w:spacing w:val="-19"/>
          <w:w w:val="100"/>
        </w:rPr>
        <w:t>定《证券时报》、《证券日报》、《中国证券报》、《上海证券报》等法定报纸和巨潮资讯网（</w:t>
      </w:r>
      <w:hyperlink r:id="rId11">
        <w:r>
          <w:rPr>
            <w:rFonts w:ascii="宋体" w:hAnsi="宋体" w:cs="宋体" w:eastAsia="宋体" w:hint="default"/>
            <w:spacing w:val="-19"/>
            <w:w w:val="100"/>
          </w:rPr>
          <w:t>www.cninfo.com.cn</w:t>
        </w:r>
      </w:hyperlink>
      <w:r>
        <w:rPr>
          <w:spacing w:val="-19"/>
          <w:w w:val="100"/>
        </w:rPr>
        <w:t>）</w:t>
      </w:r>
      <w:r>
        <w:rPr>
          <w:w w:val="100"/>
        </w:rPr>
        <w:t> </w:t>
      </w:r>
      <w:r>
        <w:rPr/>
        <w:t>为公司信息披露的指定报纸和网站，确保所有投资者公平及时的获取公司信息。公司注重与投资者沟通交</w:t>
      </w:r>
      <w:r>
        <w:rPr>
          <w:w w:val="100"/>
        </w:rPr>
        <w:t> </w:t>
      </w:r>
      <w:r>
        <w:rPr/>
        <w:t>流，同时还加强了与监管机构的联系和主动沟通，确保公司信息披露的规范化和合规化。</w:t>
      </w:r>
      <w:r>
        <w:rPr>
          <w:w w:val="100"/>
        </w:rPr>
        <w:t> </w:t>
      </w:r>
      <w:r>
        <w:rPr>
          <w:sz w:val="18"/>
          <w:szCs w:val="18"/>
        </w:rPr>
        <w:t>公司治理的实际状况与中国证监会发布的有关上市公司治理的规范性文件是否存在重大差异</w:t>
      </w:r>
    </w:p>
    <w:p>
      <w:pPr>
        <w:spacing w:line="340" w:lineRule="auto" w:before="0"/>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1119"/>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jc w:val="left"/>
      </w:pPr>
      <w:r>
        <w:rPr>
          <w:rFonts w:ascii="宋体" w:hAnsi="宋体" w:cs="宋体" w:eastAsia="宋体" w:hint="default"/>
        </w:rPr>
        <w:t>1</w:t>
      </w:r>
      <w:r>
        <w:rPr/>
        <w:t>、业务方面</w:t>
      </w:r>
      <w:r>
        <w:rPr>
          <w:w w:val="100"/>
        </w:rPr>
        <w:t> </w:t>
      </w:r>
      <w:r>
        <w:rPr>
          <w:spacing w:val="-2"/>
        </w:rPr>
        <w:t>公司的业务独立于控股股东、实际控制人，与控股股东、实际控制人不存在同业竞争或者显失公平的</w:t>
      </w:r>
    </w:p>
    <w:p>
      <w:pPr>
        <w:pStyle w:val="BodyText"/>
        <w:spacing w:line="240" w:lineRule="auto"/>
        <w:ind w:right="1119"/>
        <w:jc w:val="left"/>
      </w:pPr>
      <w:r>
        <w:rPr/>
        <w:t>关联交易。</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rFonts w:ascii="宋体" w:hAnsi="宋体" w:cs="宋体" w:eastAsia="宋体" w:hint="default"/>
        </w:rPr>
        <w:t>2</w:t>
      </w:r>
      <w:r>
        <w:rPr/>
        <w:t>、人员</w:t>
      </w:r>
      <w:r>
        <w:rPr>
          <w:w w:val="100"/>
        </w:rPr>
        <w:t> </w:t>
      </w:r>
      <w:r>
        <w:rPr>
          <w:spacing w:val="-2"/>
        </w:rPr>
        <w:t>公司的总经理、副总经理、财务负责人和董事会秘书等高级管理人员不在控股股东、实际控制人中担</w:t>
      </w:r>
    </w:p>
    <w:p>
      <w:pPr>
        <w:pStyle w:val="BodyText"/>
        <w:spacing w:line="408" w:lineRule="auto"/>
        <w:ind w:right="1119"/>
        <w:jc w:val="left"/>
      </w:pPr>
      <w:r>
        <w:rPr>
          <w:spacing w:val="-2"/>
        </w:rPr>
        <w:t>任除董事、监事以外的其他职务，不在控股股东、实际控制人领薪；公司的财务人员不在控股股东、实际</w:t>
      </w:r>
      <w:r>
        <w:rPr>
          <w:spacing w:val="-43"/>
        </w:rPr>
        <w:t> </w:t>
      </w:r>
      <w:r>
        <w:rPr>
          <w:spacing w:val="-43"/>
        </w:rPr>
      </w:r>
      <w:r>
        <w:rPr/>
        <w:t>控制人中兼职。</w:t>
      </w:r>
    </w:p>
    <w:p>
      <w:pPr>
        <w:pStyle w:val="BodyText"/>
        <w:spacing w:line="408" w:lineRule="auto"/>
        <w:ind w:left="573" w:right="1119"/>
        <w:jc w:val="left"/>
      </w:pPr>
      <w:r>
        <w:rPr>
          <w:rFonts w:ascii="宋体" w:hAnsi="宋体" w:cs="宋体" w:eastAsia="宋体" w:hint="default"/>
        </w:rPr>
        <w:t>3</w:t>
      </w:r>
      <w:r>
        <w:rPr/>
        <w:t>、资产</w:t>
      </w:r>
      <w:r>
        <w:rPr>
          <w:w w:val="100"/>
        </w:rPr>
        <w:t> </w:t>
      </w:r>
      <w:r>
        <w:rPr>
          <w:spacing w:val="-2"/>
        </w:rPr>
        <w:t>公司具备与生产经营相关的主要生产系统、辅助生产系统和配套设施，合法拥有与生产经营相关的主</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要土地、厂房、机器设备以及商标、专利、非专利技术的所有权或者使用权，具有独立的原料采购和产品</w:t>
      </w:r>
      <w:r>
        <w:rPr>
          <w:spacing w:val="-43"/>
        </w:rPr>
        <w:t> </w:t>
      </w:r>
      <w:r>
        <w:rPr>
          <w:spacing w:val="-43"/>
        </w:rPr>
      </w:r>
      <w:r>
        <w:rPr/>
        <w:t>销售系统。</w:t>
      </w:r>
    </w:p>
    <w:p>
      <w:pPr>
        <w:pStyle w:val="BodyText"/>
        <w:spacing w:line="408" w:lineRule="auto"/>
        <w:ind w:left="573" w:right="1119"/>
        <w:jc w:val="left"/>
      </w:pPr>
      <w:r>
        <w:rPr>
          <w:rFonts w:ascii="宋体" w:hAnsi="宋体" w:cs="宋体" w:eastAsia="宋体" w:hint="default"/>
        </w:rPr>
        <w:t>4</w:t>
      </w:r>
      <w:r>
        <w:rPr/>
        <w:t>、机构</w:t>
      </w:r>
      <w:r>
        <w:rPr>
          <w:w w:val="100"/>
        </w:rPr>
        <w:t> </w:t>
      </w:r>
      <w:r>
        <w:rPr>
          <w:spacing w:val="-2"/>
        </w:rPr>
        <w:t>公司已建立健全内部经营管理机构、独立行使经营管理职权，与控股股东、实际控制人间不存在机构</w:t>
      </w:r>
    </w:p>
    <w:p>
      <w:pPr>
        <w:pStyle w:val="BodyText"/>
        <w:spacing w:line="240" w:lineRule="auto"/>
        <w:ind w:right="1119"/>
        <w:jc w:val="left"/>
      </w:pPr>
      <w:r>
        <w:rPr/>
        <w:t>混同的情形。</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rFonts w:ascii="宋体" w:hAnsi="宋体" w:cs="宋体" w:eastAsia="宋体" w:hint="default"/>
        </w:rPr>
        <w:t>5</w:t>
      </w:r>
      <w:r>
        <w:rPr/>
        <w:t>、财务</w:t>
      </w:r>
      <w:r>
        <w:rPr>
          <w:w w:val="100"/>
        </w:rPr>
        <w:t> </w:t>
      </w:r>
      <w:r>
        <w:rPr>
          <w:spacing w:val="-2"/>
        </w:rPr>
        <w:t>公司已建立独立的财务核算体系、能够独立作出财务决策、具有规范的财务会计制度和对分公司、子</w:t>
      </w:r>
    </w:p>
    <w:p>
      <w:pPr>
        <w:pStyle w:val="BodyText"/>
        <w:spacing w:line="240" w:lineRule="auto"/>
        <w:ind w:right="1119"/>
        <w:jc w:val="left"/>
      </w:pPr>
      <w:r>
        <w:rPr/>
        <w:t>公司的财务管理制度；公司不存在与控股股东、实际控制人共用银行账户的情形。</w:t>
      </w:r>
    </w:p>
    <w:p>
      <w:pPr>
        <w:spacing w:line="240" w:lineRule="auto" w:before="12"/>
        <w:rPr>
          <w:rFonts w:ascii="宋体" w:hAnsi="宋体" w:cs="宋体" w:eastAsia="宋体" w:hint="default"/>
          <w:sz w:val="29"/>
          <w:szCs w:val="29"/>
        </w:rPr>
      </w:pPr>
    </w:p>
    <w:p>
      <w:pPr>
        <w:pStyle w:val="Heading3"/>
        <w:spacing w:line="240" w:lineRule="auto"/>
        <w:ind w:right="1119"/>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9"/>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416"/>
        <w:gridCol w:w="1594"/>
        <w:gridCol w:w="1594"/>
        <w:gridCol w:w="1918"/>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19"/>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428"/>
        <w:gridCol w:w="1164"/>
        <w:gridCol w:w="1165"/>
        <w:gridCol w:w="1162"/>
        <w:gridCol w:w="1164"/>
        <w:gridCol w:w="1164"/>
        <w:gridCol w:w="1162"/>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4"/>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余国铮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邹晓冬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黄洪燕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81" w:type="dxa"/>
        <w:tblLayout w:type="fixed"/>
        <w:tblCellMar>
          <w:top w:w="0" w:type="dxa"/>
          <w:left w:w="0" w:type="dxa"/>
          <w:bottom w:w="0" w:type="dxa"/>
          <w:right w:w="0" w:type="dxa"/>
        </w:tblCellMar>
        <w:tblLook w:val="01E0"/>
      </w:tblPr>
      <w:tblGrid>
        <w:gridCol w:w="1428"/>
        <w:gridCol w:w="1164"/>
        <w:gridCol w:w="1165"/>
        <w:gridCol w:w="1162"/>
        <w:gridCol w:w="1164"/>
        <w:gridCol w:w="1164"/>
        <w:gridCol w:w="1162"/>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宋萍萍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19" w:firstLine="504"/>
        <w:jc w:val="left"/>
      </w:pPr>
      <w:r>
        <w:rPr/>
        <w:t>报告期内，公司独立董事严格按照《公司法》、《证券法》、《深圳证券交易所创业板股票上市规</w:t>
      </w:r>
      <w:r>
        <w:rPr>
          <w:w w:val="100"/>
        </w:rPr>
        <w:t> </w:t>
      </w:r>
      <w:r>
        <w:rPr>
          <w:spacing w:val="-2"/>
        </w:rPr>
        <w:t>则》、《深圳证券交易所创业板上市公司规范运作指引》、《公司章程》及《独立董事工作细则》等法律</w:t>
      </w:r>
      <w:r>
        <w:rPr>
          <w:spacing w:val="-42"/>
        </w:rPr>
        <w:t> </w:t>
      </w:r>
      <w:r>
        <w:rPr>
          <w:spacing w:val="-42"/>
        </w:rPr>
      </w:r>
      <w:r>
        <w:rPr>
          <w:spacing w:val="-2"/>
        </w:rPr>
        <w:t>法规及规章制度的相关规定，忠实勤勉地履行独立董事职责，积极出席报告期内公司召开的相关会议，认</w:t>
      </w:r>
      <w:r>
        <w:rPr>
          <w:spacing w:val="-43"/>
        </w:rPr>
        <w:t> </w:t>
      </w:r>
      <w:r>
        <w:rPr>
          <w:spacing w:val="-43"/>
        </w:rPr>
      </w:r>
      <w:r>
        <w:rPr>
          <w:spacing w:val="-2"/>
        </w:rPr>
        <w:t>真审议董事会各项议案，对相关事项发表了独立意见，也在公司的制度完善和日常经营决策等方面提出了</w:t>
      </w:r>
      <w:r>
        <w:rPr>
          <w:spacing w:val="-43"/>
        </w:rPr>
        <w:t> </w:t>
      </w:r>
      <w:r>
        <w:rPr>
          <w:spacing w:val="-43"/>
        </w:rPr>
      </w:r>
      <w:r>
        <w:rPr>
          <w:spacing w:val="-2"/>
        </w:rPr>
        <w:t>专业性建议，并被公司予以采纳，较好的发挥了独立董事的作用，切实维护了公司和股东尤其是中小股东</w:t>
      </w:r>
      <w:r>
        <w:rPr>
          <w:spacing w:val="-43"/>
        </w:rPr>
        <w:t> </w:t>
      </w:r>
      <w:r>
        <w:rPr>
          <w:spacing w:val="-43"/>
        </w:rPr>
      </w:r>
      <w:r>
        <w:rPr/>
        <w:t>利益。</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05" w:firstLine="432"/>
        <w:jc w:val="both"/>
      </w:pPr>
      <w:r>
        <w:rPr>
          <w:spacing w:val="-3"/>
        </w:rPr>
        <w:t>公司董事会下设审计委员会、战略委员会、提名委员会、薪酬与考核委员会，报告期内，四个专门委</w:t>
      </w:r>
      <w:r>
        <w:rPr>
          <w:w w:val="100"/>
        </w:rPr>
        <w:t> </w:t>
      </w:r>
      <w:r>
        <w:rPr>
          <w:spacing w:val="-2"/>
        </w:rPr>
        <w:t>员会严格遵照《公司章程》、《董事会议事规则》及各专门委员会的实施细则等相关规定履行各项职责。</w:t>
      </w:r>
      <w:r>
        <w:rPr>
          <w:spacing w:val="-21"/>
        </w:rPr>
        <w:t> </w:t>
      </w:r>
      <w:r>
        <w:rPr>
          <w:spacing w:val="-21"/>
        </w:rPr>
      </w:r>
      <w:r>
        <w:rPr/>
        <w:t>现将</w:t>
      </w:r>
      <w:r>
        <w:rPr>
          <w:rFonts w:ascii="宋体" w:hAnsi="宋体" w:cs="宋体" w:eastAsia="宋体" w:hint="default"/>
        </w:rPr>
        <w:t>2019</w:t>
      </w:r>
      <w:r>
        <w:rPr/>
        <w:t>年度董事会专门委员会履职情况报告如下：</w:t>
      </w:r>
    </w:p>
    <w:p>
      <w:pPr>
        <w:pStyle w:val="BodyText"/>
        <w:spacing w:line="410" w:lineRule="auto"/>
        <w:ind w:left="573" w:right="1119"/>
        <w:jc w:val="left"/>
      </w:pPr>
      <w:r>
        <w:rPr>
          <w:rFonts w:ascii="宋体" w:hAnsi="宋体" w:cs="宋体" w:eastAsia="宋体" w:hint="default"/>
        </w:rPr>
        <w:t>1</w:t>
      </w:r>
      <w:r>
        <w:rPr/>
        <w:t>、审计委员会</w:t>
      </w:r>
      <w:r>
        <w:rPr>
          <w:w w:val="100"/>
        </w:rPr>
        <w:t> </w:t>
      </w:r>
      <w:r>
        <w:rPr>
          <w:spacing w:val="-2"/>
        </w:rPr>
        <w:t>报告期内，公司董事会审计委员会依据《审计委员会议事规则》，对公司全年生产经营情况、募集资</w:t>
      </w:r>
    </w:p>
    <w:p>
      <w:pPr>
        <w:pStyle w:val="BodyText"/>
        <w:spacing w:line="408" w:lineRule="auto" w:before="44"/>
        <w:ind w:right="1119"/>
        <w:jc w:val="left"/>
      </w:pPr>
      <w:r>
        <w:rPr>
          <w:spacing w:val="-2"/>
        </w:rPr>
        <w:t>金使用、财务审计报告、定期报告、审计部工作等相关事项进行了监督、评估及有效的沟通协调，并制定</w:t>
      </w:r>
      <w:r>
        <w:rPr>
          <w:spacing w:val="-43"/>
        </w:rPr>
        <w:t> </w:t>
      </w:r>
      <w:r>
        <w:rPr>
          <w:spacing w:val="-43"/>
        </w:rPr>
      </w:r>
      <w:r>
        <w:rPr/>
        <w:t>年度审计计划并对年度审计工作进行安排，切实履行了审计委员会工作职责。</w:t>
      </w:r>
    </w:p>
    <w:p>
      <w:pPr>
        <w:pStyle w:val="BodyText"/>
        <w:spacing w:line="408" w:lineRule="auto"/>
        <w:ind w:left="573" w:right="1119"/>
        <w:jc w:val="left"/>
      </w:pPr>
      <w:r>
        <w:rPr>
          <w:rFonts w:ascii="宋体" w:hAnsi="宋体" w:cs="宋体" w:eastAsia="宋体" w:hint="default"/>
        </w:rPr>
        <w:t>2</w:t>
      </w:r>
      <w:r>
        <w:rPr/>
        <w:t>、战略委员会</w:t>
      </w:r>
      <w:r>
        <w:rPr>
          <w:w w:val="100"/>
        </w:rPr>
        <w:t> </w:t>
      </w:r>
      <w:r>
        <w:rPr>
          <w:spacing w:val="-2"/>
        </w:rPr>
        <w:t>报告期内，公司董事会战略委员会依据《战略委员会议事规则》，积极履行职责，结合公司所处行业</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96"/>
        <w:jc w:val="left"/>
      </w:pPr>
      <w:r>
        <w:rPr>
          <w:spacing w:val="-5"/>
        </w:rPr>
        <w:t>发展状况及公司自身的发展状况，对公司的长期发展战略和其他重大事项，从战略和技术角度提出了建议，</w:t>
      </w:r>
      <w:r>
        <w:rPr>
          <w:spacing w:val="-4"/>
        </w:rPr>
        <w:t> </w:t>
      </w:r>
      <w:r>
        <w:rPr>
          <w:spacing w:val="-4"/>
        </w:rPr>
      </w:r>
      <w:r>
        <w:rPr/>
        <w:t>并发表了建议。</w:t>
      </w:r>
    </w:p>
    <w:p>
      <w:pPr>
        <w:pStyle w:val="BodyText"/>
        <w:spacing w:line="408" w:lineRule="auto"/>
        <w:ind w:left="573" w:right="1119"/>
        <w:jc w:val="left"/>
      </w:pPr>
      <w:r>
        <w:rPr>
          <w:rFonts w:ascii="宋体" w:hAnsi="宋体" w:cs="宋体" w:eastAsia="宋体" w:hint="default"/>
        </w:rPr>
        <w:t>3</w:t>
      </w:r>
      <w:r>
        <w:rPr/>
        <w:t>、薪酬与考核委员会</w:t>
      </w:r>
      <w:r>
        <w:rPr>
          <w:w w:val="100"/>
        </w:rPr>
        <w:t> </w:t>
      </w:r>
      <w:r>
        <w:rPr>
          <w:spacing w:val="-2"/>
        </w:rPr>
        <w:t>报告期内，公司董事会薪酬与考核委员会依据《提名委员会议事规则》，结合公司实际经营情况，对</w:t>
      </w:r>
    </w:p>
    <w:p>
      <w:pPr>
        <w:pStyle w:val="BodyText"/>
        <w:spacing w:line="408" w:lineRule="auto"/>
        <w:ind w:right="1119"/>
        <w:jc w:val="left"/>
      </w:pPr>
      <w:r>
        <w:rPr>
          <w:spacing w:val="-2"/>
        </w:rPr>
        <w:t>公司董事、监事和高级管理人员薪酬等事项进行了讨论审议，充分发挥专业性作用，切实履行了委员会的</w:t>
      </w:r>
      <w:r>
        <w:rPr>
          <w:spacing w:val="-44"/>
        </w:rPr>
        <w:t> </w:t>
      </w:r>
      <w:r>
        <w:rPr>
          <w:spacing w:val="-44"/>
        </w:rPr>
      </w:r>
      <w:r>
        <w:rPr/>
        <w:t>工作职责。</w:t>
      </w:r>
    </w:p>
    <w:p>
      <w:pPr>
        <w:pStyle w:val="BodyText"/>
        <w:spacing w:line="408" w:lineRule="auto"/>
        <w:ind w:left="573" w:right="1119"/>
        <w:jc w:val="left"/>
      </w:pPr>
      <w:r>
        <w:rPr>
          <w:rFonts w:ascii="宋体" w:hAnsi="宋体" w:cs="宋体" w:eastAsia="宋体" w:hint="default"/>
        </w:rPr>
        <w:t>4</w:t>
      </w:r>
      <w:r>
        <w:rPr/>
        <w:t>、提名委员会</w:t>
      </w:r>
      <w:r>
        <w:rPr>
          <w:w w:val="100"/>
        </w:rPr>
        <w:t> </w:t>
      </w:r>
      <w:r>
        <w:rPr>
          <w:spacing w:val="-2"/>
        </w:rPr>
        <w:t>报告期内，公司董事会提名委员会依据《提名委员会议事规则》，在公司高级管理人员履职情况检查</w:t>
      </w:r>
    </w:p>
    <w:p>
      <w:pPr>
        <w:pStyle w:val="BodyText"/>
        <w:spacing w:line="410" w:lineRule="auto"/>
        <w:ind w:right="1119"/>
        <w:jc w:val="left"/>
      </w:pPr>
      <w:r>
        <w:rPr>
          <w:spacing w:val="-2"/>
        </w:rPr>
        <w:t>的过程中，根据任职条件和工作业绩进行审查，对高级管理人员的工作提出了意见和建议，切实履行了委</w:t>
      </w:r>
      <w:r>
        <w:rPr>
          <w:spacing w:val="-45"/>
        </w:rPr>
        <w:t> </w:t>
      </w:r>
      <w:r>
        <w:rPr>
          <w:spacing w:val="-45"/>
        </w:rPr>
      </w:r>
      <w:r>
        <w:rPr/>
        <w:t>员会的工作职责。</w:t>
      </w:r>
    </w:p>
    <w:p>
      <w:pPr>
        <w:spacing w:line="240" w:lineRule="auto" w:before="6"/>
        <w:rPr>
          <w:rFonts w:ascii="宋体" w:hAnsi="宋体" w:cs="宋体" w:eastAsia="宋体" w:hint="default"/>
          <w:sz w:val="18"/>
          <w:szCs w:val="18"/>
        </w:rPr>
      </w:pPr>
    </w:p>
    <w:p>
      <w:pPr>
        <w:pStyle w:val="Heading3"/>
        <w:spacing w:line="240" w:lineRule="auto"/>
        <w:ind w:right="1119"/>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1119"/>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公司建立了高级管理人员的薪酬与公司业绩挂钩的绩效考核与激励约束机制，公司高级管理人员实行</w:t>
      </w:r>
      <w:r>
        <w:rPr>
          <w:w w:val="100"/>
        </w:rPr>
        <w:t> </w:t>
      </w:r>
      <w:r>
        <w:rPr>
          <w:spacing w:val="-2"/>
        </w:rPr>
        <w:t>基本年薪与年终绩效考核相结合的薪酬制度。年末根据公司年度经营目标完成情况以及高级管理人员的工</w:t>
      </w:r>
      <w:r>
        <w:rPr>
          <w:spacing w:val="-43"/>
        </w:rPr>
        <w:t> </w:t>
      </w:r>
      <w:r>
        <w:rPr>
          <w:spacing w:val="-43"/>
        </w:rPr>
      </w:r>
      <w:r>
        <w:rPr>
          <w:spacing w:val="-2"/>
        </w:rPr>
        <w:t>作业绩，由董事会薪酬与考核委员会对高级管理人员进行年度绩效考核，并监督薪酬制度执行情况。公司</w:t>
      </w:r>
      <w:r>
        <w:rPr>
          <w:spacing w:val="-43"/>
        </w:rPr>
        <w:t> </w:t>
      </w:r>
      <w:r>
        <w:rPr>
          <w:spacing w:val="-43"/>
        </w:rPr>
      </w:r>
      <w:r>
        <w:rPr>
          <w:spacing w:val="-2"/>
        </w:rPr>
        <w:t>则根据绩效考核结果兑现其绩效年薪，并进行奖惩。公司董事会薪酬与考核委员会根据实际情况对高级管</w:t>
      </w:r>
      <w:r>
        <w:rPr>
          <w:spacing w:val="-44"/>
        </w:rPr>
        <w:t> </w:t>
      </w:r>
      <w:r>
        <w:rPr>
          <w:spacing w:val="-44"/>
        </w:rPr>
      </w:r>
      <w:r>
        <w:rPr>
          <w:spacing w:val="-2"/>
        </w:rPr>
        <w:t>理人员进行考核后，一致认为：</w:t>
      </w:r>
      <w:r>
        <w:rPr>
          <w:rFonts w:ascii="宋体" w:hAnsi="宋体" w:cs="宋体" w:eastAsia="宋体" w:hint="default"/>
          <w:spacing w:val="-2"/>
        </w:rPr>
        <w:t>2019</w:t>
      </w:r>
      <w:r>
        <w:rPr>
          <w:spacing w:val="-2"/>
        </w:rPr>
        <w:t>年度，公司高级管理人员薪酬方案严格执行相关考核制度，与公司经</w:t>
      </w:r>
      <w:r>
        <w:rPr>
          <w:spacing w:val="-44"/>
        </w:rPr>
        <w:t> </w:t>
      </w:r>
      <w:r>
        <w:rPr>
          <w:spacing w:val="-44"/>
        </w:rPr>
      </w:r>
      <w:r>
        <w:rPr/>
        <w:t>营业绩挂钩，薪酬方案合理，薪酬发放的程序符合有关法律法规及《公司章程》的规定。</w:t>
      </w:r>
    </w:p>
    <w:p>
      <w:pPr>
        <w:pStyle w:val="BodyText"/>
        <w:spacing w:line="408" w:lineRule="auto"/>
        <w:ind w:right="1105" w:firstLine="420"/>
        <w:jc w:val="both"/>
      </w:pPr>
      <w:r>
        <w:rPr>
          <w:spacing w:val="-2"/>
        </w:rPr>
        <w:t>为进一步完善公司法人治理结构，建立、健全公司长效激励约束机制，吸引和留住专业管理人员及核</w:t>
      </w:r>
      <w:r>
        <w:rPr>
          <w:w w:val="100"/>
        </w:rPr>
        <w:t> </w:t>
      </w:r>
      <w:r>
        <w:rPr>
          <w:spacing w:val="-2"/>
        </w:rPr>
        <w:t>心骨干人员，充分调动其积极性和创造性，有效提升核心团队凝聚力和企业核心竞争力，有效地将股东、</w:t>
      </w:r>
      <w:r>
        <w:rPr>
          <w:spacing w:val="-21"/>
        </w:rPr>
        <w:t> </w:t>
      </w:r>
      <w:r>
        <w:rPr>
          <w:spacing w:val="-21"/>
        </w:rPr>
      </w:r>
      <w:r>
        <w:rPr>
          <w:spacing w:val="-2"/>
        </w:rPr>
        <w:t>公司和核心团队三方利益结合在一起，使各方共同关注公司的长远发展，确保公司发展战略和经营目标的</w:t>
      </w:r>
      <w:r>
        <w:rPr>
          <w:spacing w:val="-44"/>
        </w:rPr>
        <w:t> </w:t>
      </w:r>
      <w:r>
        <w:rPr>
          <w:spacing w:val="-44"/>
        </w:rPr>
      </w:r>
      <w:r>
        <w:rPr>
          <w:spacing w:val="-2"/>
        </w:rPr>
        <w:t>实现，在充分保障股东利益的前提下，按照收益与贡献对等的原则，根据《公司法》、《证券法》、《上</w:t>
      </w:r>
      <w:r>
        <w:rPr>
          <w:spacing w:val="-45"/>
        </w:rPr>
        <w:t> </w:t>
      </w:r>
      <w:r>
        <w:rPr>
          <w:spacing w:val="-45"/>
        </w:rPr>
      </w:r>
      <w:r>
        <w:rPr>
          <w:spacing w:val="-7"/>
        </w:rPr>
        <w:t>市公司股权激励管理办法》等有关法律、行政法规、规范性文件以及《公司章程》的规定，公司制定了《广</w:t>
      </w:r>
      <w:r>
        <w:rPr>
          <w:spacing w:val="-17"/>
        </w:rPr>
        <w:t> </w:t>
      </w:r>
      <w:r>
        <w:rPr>
          <w:spacing w:val="-17"/>
        </w:rPr>
      </w:r>
      <w:r>
        <w:rPr>
          <w:spacing w:val="-2"/>
        </w:rPr>
        <w:t>东乐心医疗电子股份有限公司</w:t>
      </w:r>
      <w:r>
        <w:rPr>
          <w:rFonts w:ascii="宋体" w:hAnsi="宋体" w:cs="宋体" w:eastAsia="宋体" w:hint="default"/>
          <w:spacing w:val="-2"/>
        </w:rPr>
        <w:t>2018</w:t>
      </w:r>
      <w:r>
        <w:rPr>
          <w:spacing w:val="-2"/>
        </w:rPr>
        <w:t>年股票期权与限制性股票激励计划》，本激励计划首次授予的激励对象</w:t>
      </w:r>
      <w:r>
        <w:rPr>
          <w:spacing w:val="-39"/>
        </w:rPr>
        <w:t> </w:t>
      </w:r>
      <w:r>
        <w:rPr>
          <w:spacing w:val="-39"/>
        </w:rPr>
      </w:r>
      <w:r>
        <w:rPr/>
        <w:t>包括公司（含子公司）任职的董事、高级管理人员及核心技术</w:t>
      </w:r>
      <w:r>
        <w:rPr>
          <w:rFonts w:ascii="宋体" w:hAnsi="宋体" w:cs="宋体" w:eastAsia="宋体" w:hint="default"/>
        </w:rPr>
        <w:t>/</w:t>
      </w:r>
      <w:r>
        <w:rPr/>
        <w:t>业务人员，关于股权激励计划的具体实施</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r>
        <w:rPr/>
        <w:pict>
          <v:group style="position:absolute;margin-left:355.869995pt;margin-top:525.789978pt;width:177.9pt;height:17.55pt;mso-position-horizontal-relative:page;mso-position-vertical-relative:page;z-index:-1111312" coordorigin="7117,10516" coordsize="3558,351">
            <v:shape style="position:absolute;left:7117;top:10516;width:3558;height:351" coordorigin="7117,10516" coordsize="3558,351" path="m7117,10866l10675,10866,10675,10516,7117,10516,7117,10866xe" filled="true" fillcolor="#ffffff" stroked="false">
              <v:path arrowok="t"/>
              <v:fill type="solid"/>
            </v:shape>
            <w10:wrap type="none"/>
          </v:group>
        </w:pict>
      </w:r>
    </w:p>
    <w:p>
      <w:pPr>
        <w:pStyle w:val="BodyText"/>
        <w:spacing w:line="408" w:lineRule="auto" w:before="175"/>
        <w:ind w:left="573" w:right="996" w:hanging="421"/>
        <w:jc w:val="left"/>
      </w:pPr>
      <w:r>
        <w:rPr/>
        <w:t>情况请查阅“第五节、十四、公司股权激励计划、员工持股计划或其他员工激励措施的实施情况”。</w:t>
      </w:r>
      <w:r>
        <w:rPr>
          <w:w w:val="100"/>
        </w:rPr>
        <w:t> </w:t>
      </w:r>
      <w:r>
        <w:rPr>
          <w:spacing w:val="-5"/>
        </w:rPr>
        <w:t>报告期内，公司为充分调动高级管理人员工作的积极性和创造性，增强高级管理人员对实现公司持续、</w:t>
      </w:r>
    </w:p>
    <w:p>
      <w:pPr>
        <w:pStyle w:val="BodyText"/>
        <w:spacing w:line="408" w:lineRule="auto"/>
        <w:ind w:right="1127"/>
        <w:jc w:val="left"/>
      </w:pPr>
      <w:r>
        <w:rPr>
          <w:spacing w:val="-2"/>
        </w:rPr>
        <w:t>健康、稳定发展的责任感、使命感，进一步提高公司经营管理水平，公司制定了《高级管理人员薪酬考核</w:t>
      </w:r>
      <w:r>
        <w:rPr>
          <w:spacing w:val="-43"/>
        </w:rPr>
        <w:t> </w:t>
      </w:r>
      <w:r>
        <w:rPr>
          <w:spacing w:val="-43"/>
        </w:rPr>
      </w:r>
      <w:r>
        <w:rPr/>
        <w:t>方案（</w:t>
      </w:r>
      <w:r>
        <w:rPr>
          <w:rFonts w:ascii="宋体" w:hAnsi="宋体" w:cs="宋体" w:eastAsia="宋体" w:hint="default"/>
        </w:rPr>
        <w:t>2019</w:t>
      </w:r>
      <w:r>
        <w:rPr/>
        <w:t>年</w:t>
      </w:r>
      <w:r>
        <w:rPr>
          <w:rFonts w:ascii="宋体" w:hAnsi="宋体" w:cs="宋体" w:eastAsia="宋体" w:hint="default"/>
        </w:rPr>
        <w:t>-2021</w:t>
      </w:r>
      <w:r>
        <w:rPr/>
        <w:t>年）》并于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22</w:t>
      </w:r>
      <w:r>
        <w:rPr/>
        <w:t>日经第三届董事会第四次会议审议通过。</w:t>
      </w:r>
    </w:p>
    <w:p>
      <w:pPr>
        <w:pStyle w:val="BodyText"/>
        <w:spacing w:line="408" w:lineRule="auto"/>
        <w:ind w:right="1104" w:firstLine="420"/>
        <w:jc w:val="both"/>
      </w:pPr>
      <w:r>
        <w:rPr>
          <w:spacing w:val="-2"/>
        </w:rPr>
        <w:t>股权激励计划的实施及高管薪酬考核方案的推行提高了核心团队的凝聚力和战斗力，有效地将股东、</w:t>
      </w:r>
      <w:r>
        <w:rPr>
          <w:w w:val="100"/>
        </w:rPr>
        <w:t> </w:t>
      </w:r>
      <w:r>
        <w:rPr>
          <w:spacing w:val="-2"/>
        </w:rPr>
        <w:t>公司和核心团队三方利益结合在一起，使各方共同关注公司的长远发展，确保公司发展战略和经营目标的</w:t>
      </w:r>
      <w:r>
        <w:rPr>
          <w:spacing w:val="-44"/>
        </w:rPr>
        <w:t> </w:t>
      </w:r>
      <w:r>
        <w:rPr>
          <w:spacing w:val="-44"/>
        </w:rPr>
      </w:r>
      <w:r>
        <w:rPr/>
        <w:t>实现，共同分享公司成长带来的收益。</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32"/>
        <w:gridCol w:w="3284"/>
        <w:gridCol w:w="3603"/>
      </w:tblGrid>
      <w:tr>
        <w:trPr>
          <w:trHeight w:val="401"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7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6" w:type="dxa"/>
            <w:gridSpan w:val="2"/>
            <w:vMerge w:val="restart"/>
            <w:tcBorders>
              <w:top w:val="single" w:sz="4" w:space="0" w:color="000000"/>
              <w:left w:val="single" w:sz="10" w:space="0" w:color="D2D2D2"/>
              <w:right w:val="single" w:sz="13" w:space="0" w:color="FFFFFF"/>
            </w:tcBorders>
          </w:tcPr>
          <w:p>
            <w:pPr>
              <w:pStyle w:val="TableParagraph"/>
              <w:spacing w:line="316" w:lineRule="auto" w:before="87"/>
              <w:ind w:left="16" w:right="-50"/>
              <w:jc w:val="left"/>
              <w:rPr>
                <w:rFonts w:ascii="宋体" w:hAnsi="宋体" w:cs="宋体" w:eastAsia="宋体" w:hint="default"/>
                <w:sz w:val="18"/>
                <w:szCs w:val="18"/>
              </w:rPr>
            </w:pPr>
            <w:r>
              <w:rPr>
                <w:rFonts w:ascii="宋体" w:hAnsi="宋体" w:cs="宋体" w:eastAsia="宋体" w:hint="default"/>
                <w:sz w:val="18"/>
                <w:szCs w:val="18"/>
              </w:rPr>
              <w:t>① </w:t>
            </w:r>
            <w:r>
              <w:rPr>
                <w:rFonts w:ascii="宋体" w:hAnsi="宋体" w:cs="宋体" w:eastAsia="宋体" w:hint="default"/>
                <w:spacing w:val="-7"/>
                <w:sz w:val="18"/>
                <w:szCs w:val="18"/>
              </w:rPr>
              <w:t>重大缺陷的认定标准：该缺陷涉及董事、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监事和高级管理人员舞弊；更正已经公布的</w:t>
            </w:r>
            <w:r>
              <w:rPr>
                <w:rFonts w:ascii="宋体" w:hAnsi="宋体" w:cs="宋体" w:eastAsia="宋体" w:hint="default"/>
                <w:sz w:val="18"/>
                <w:szCs w:val="18"/>
              </w:rPr>
              <w:t> </w:t>
            </w:r>
            <w:r>
              <w:rPr>
                <w:rFonts w:ascii="宋体" w:hAnsi="宋体" w:cs="宋体" w:eastAsia="宋体" w:hint="default"/>
                <w:spacing w:val="-4"/>
                <w:sz w:val="18"/>
                <w:szCs w:val="18"/>
              </w:rPr>
              <w:t>财务报表；注册会计师发现当期财务报表存</w:t>
            </w:r>
            <w:r>
              <w:rPr>
                <w:rFonts w:ascii="宋体" w:hAnsi="宋体" w:cs="宋体" w:eastAsia="宋体" w:hint="default"/>
                <w:sz w:val="18"/>
                <w:szCs w:val="18"/>
              </w:rPr>
              <w:t> </w:t>
            </w:r>
            <w:r>
              <w:rPr>
                <w:rFonts w:ascii="宋体" w:hAnsi="宋体" w:cs="宋体" w:eastAsia="宋体" w:hint="default"/>
                <w:spacing w:val="-4"/>
                <w:sz w:val="18"/>
                <w:szCs w:val="18"/>
              </w:rPr>
              <w:t>在重大错报，而内部控制在运行过程中未能</w:t>
            </w:r>
            <w:r>
              <w:rPr>
                <w:rFonts w:ascii="宋体" w:hAnsi="宋体" w:cs="宋体" w:eastAsia="宋体" w:hint="default"/>
                <w:sz w:val="18"/>
                <w:szCs w:val="18"/>
              </w:rPr>
              <w:t> </w:t>
            </w:r>
            <w:r>
              <w:rPr>
                <w:rFonts w:ascii="宋体" w:hAnsi="宋体" w:cs="宋体" w:eastAsia="宋体" w:hint="default"/>
                <w:spacing w:val="-4"/>
                <w:sz w:val="18"/>
                <w:szCs w:val="18"/>
              </w:rPr>
              <w:t>发现该错报；企业审计委员会和内部审计机</w:t>
            </w:r>
            <w:r>
              <w:rPr>
                <w:rFonts w:ascii="宋体" w:hAnsi="宋体" w:cs="宋体" w:eastAsia="宋体" w:hint="default"/>
                <w:sz w:val="18"/>
                <w:szCs w:val="18"/>
              </w:rPr>
              <w:t> 构对内部控制的监督无效。②</w:t>
            </w:r>
            <w:r>
              <w:rPr>
                <w:rFonts w:ascii="宋体" w:hAnsi="宋体" w:cs="宋体" w:eastAsia="宋体" w:hint="default"/>
                <w:spacing w:val="1"/>
                <w:sz w:val="18"/>
                <w:szCs w:val="18"/>
              </w:rPr>
              <w:t> </w:t>
            </w:r>
            <w:r>
              <w:rPr>
                <w:rFonts w:ascii="宋体" w:hAnsi="宋体" w:cs="宋体" w:eastAsia="宋体" w:hint="default"/>
                <w:sz w:val="18"/>
                <w:szCs w:val="18"/>
              </w:rPr>
              <w:t>重要缺陷的</w:t>
            </w:r>
            <w:r>
              <w:rPr>
                <w:rFonts w:ascii="宋体" w:hAnsi="宋体" w:cs="宋体" w:eastAsia="宋体" w:hint="default"/>
                <w:sz w:val="18"/>
                <w:szCs w:val="18"/>
              </w:rPr>
              <w:t> </w:t>
            </w:r>
            <w:r>
              <w:rPr>
                <w:rFonts w:ascii="宋体" w:hAnsi="宋体" w:cs="宋体" w:eastAsia="宋体" w:hint="default"/>
                <w:spacing w:val="-4"/>
                <w:sz w:val="18"/>
                <w:szCs w:val="18"/>
              </w:rPr>
              <w:t>认定标准：注册会计师发现当期财务报告存</w:t>
            </w:r>
            <w:r>
              <w:rPr>
                <w:rFonts w:ascii="宋体" w:hAnsi="宋体" w:cs="宋体" w:eastAsia="宋体" w:hint="default"/>
                <w:sz w:val="18"/>
                <w:szCs w:val="18"/>
              </w:rPr>
              <w:t> </w:t>
            </w:r>
            <w:r>
              <w:rPr>
                <w:rFonts w:ascii="宋体" w:hAnsi="宋体" w:cs="宋体" w:eastAsia="宋体" w:hint="default"/>
                <w:spacing w:val="-4"/>
                <w:sz w:val="18"/>
                <w:szCs w:val="18"/>
              </w:rPr>
              <w:t>在一般错报，而内部控制在运行过程中未能</w:t>
            </w:r>
            <w:r>
              <w:rPr>
                <w:rFonts w:ascii="宋体" w:hAnsi="宋体" w:cs="宋体" w:eastAsia="宋体" w:hint="default"/>
                <w:sz w:val="18"/>
                <w:szCs w:val="18"/>
              </w:rPr>
              <w:t> </w:t>
            </w:r>
            <w:r>
              <w:rPr>
                <w:rFonts w:ascii="宋体" w:hAnsi="宋体" w:cs="宋体" w:eastAsia="宋体" w:hint="default"/>
                <w:spacing w:val="-4"/>
                <w:sz w:val="18"/>
                <w:szCs w:val="18"/>
              </w:rPr>
              <w:t>发现该错报；企业审计委员会和内部审计机</w:t>
            </w:r>
            <w:r>
              <w:rPr>
                <w:rFonts w:ascii="宋体" w:hAnsi="宋体" w:cs="宋体" w:eastAsia="宋体" w:hint="default"/>
                <w:sz w:val="18"/>
                <w:szCs w:val="18"/>
              </w:rPr>
              <w:t> </w:t>
            </w:r>
            <w:r>
              <w:rPr>
                <w:rFonts w:ascii="宋体" w:hAnsi="宋体" w:cs="宋体" w:eastAsia="宋体" w:hint="default"/>
                <w:spacing w:val="-4"/>
                <w:sz w:val="18"/>
                <w:szCs w:val="18"/>
              </w:rPr>
              <w:t>构对内部控制的监督存在重要缺陷。③一般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缺陷的认定标准：注册会计师发现当期财务</w:t>
            </w:r>
            <w:r>
              <w:rPr>
                <w:rFonts w:ascii="宋体" w:hAnsi="宋体" w:cs="宋体" w:eastAsia="宋体" w:hint="default"/>
                <w:sz w:val="18"/>
                <w:szCs w:val="18"/>
              </w:rPr>
              <w:t> </w:t>
            </w:r>
            <w:r>
              <w:rPr>
                <w:rFonts w:ascii="宋体" w:hAnsi="宋体" w:cs="宋体" w:eastAsia="宋体" w:hint="default"/>
                <w:spacing w:val="-4"/>
                <w:sz w:val="18"/>
                <w:szCs w:val="18"/>
              </w:rPr>
              <w:t>报告存在小额错报，而内部控制在运行过程</w:t>
            </w:r>
            <w:r>
              <w:rPr>
                <w:rFonts w:ascii="宋体" w:hAnsi="宋体" w:cs="宋体" w:eastAsia="宋体" w:hint="default"/>
                <w:sz w:val="18"/>
                <w:szCs w:val="18"/>
              </w:rPr>
              <w:t> </w:t>
            </w:r>
            <w:r>
              <w:rPr>
                <w:rFonts w:ascii="宋体" w:hAnsi="宋体" w:cs="宋体" w:eastAsia="宋体" w:hint="default"/>
                <w:spacing w:val="-4"/>
                <w:sz w:val="18"/>
                <w:szCs w:val="18"/>
              </w:rPr>
              <w:t>中未能发现该错报；公司审计委员会和内部</w:t>
            </w:r>
            <w:r>
              <w:rPr>
                <w:rFonts w:ascii="宋体" w:hAnsi="宋体" w:cs="宋体" w:eastAsia="宋体" w:hint="default"/>
                <w:sz w:val="18"/>
                <w:szCs w:val="18"/>
              </w:rPr>
              <w:t> 审计机构对内部控制的监督存在一般缺陷。</w:t>
            </w:r>
          </w:p>
        </w:tc>
        <w:tc>
          <w:tcPr>
            <w:tcW w:w="3603" w:type="dxa"/>
            <w:vMerge w:val="restart"/>
            <w:tcBorders>
              <w:top w:val="single" w:sz="4" w:space="0" w:color="000000"/>
              <w:left w:val="single" w:sz="13" w:space="0" w:color="FFFFFF"/>
              <w:right w:val="single" w:sz="4" w:space="0" w:color="000000"/>
            </w:tcBorders>
          </w:tcPr>
          <w:p>
            <w:pPr>
              <w:pStyle w:val="TableParagraph"/>
              <w:spacing w:line="316" w:lineRule="auto" w:before="49"/>
              <w:ind w:right="-19"/>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重大缺陷的认定标准：公司经营活动严重</w:t>
            </w:r>
            <w:r>
              <w:rPr>
                <w:rFonts w:ascii="宋体" w:hAnsi="宋体" w:cs="宋体" w:eastAsia="宋体" w:hint="default"/>
                <w:sz w:val="18"/>
                <w:szCs w:val="18"/>
              </w:rPr>
              <w:t> 违反国家法律法规；媒体负面新闻频频曝光， </w:t>
            </w:r>
            <w:r>
              <w:rPr>
                <w:rFonts w:ascii="宋体" w:hAnsi="宋体" w:cs="宋体" w:eastAsia="宋体" w:hint="default"/>
                <w:spacing w:val="-3"/>
                <w:sz w:val="18"/>
                <w:szCs w:val="18"/>
              </w:rPr>
              <w:t>对公司声誉造成重大损害；中高级管理人员和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高级技术人员严重流失；重要业务缺乏制度控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制或制度系统性失效；内部控制评价的结果特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别是重大缺陷或重要缺陷未得到整改。</w:t>
            </w:r>
          </w:p>
          <w:p>
            <w:pPr>
              <w:pStyle w:val="TableParagraph"/>
              <w:spacing w:line="319" w:lineRule="auto" w:before="59"/>
              <w:ind w:right="2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重要缺陷的认定标准：公司违反国家法律</w:t>
            </w:r>
            <w:r>
              <w:rPr>
                <w:rFonts w:ascii="宋体" w:hAnsi="宋体" w:cs="宋体" w:eastAsia="宋体" w:hint="default"/>
                <w:sz w:val="18"/>
                <w:szCs w:val="18"/>
              </w:rPr>
              <w:t> </w:t>
            </w:r>
            <w:r>
              <w:rPr>
                <w:rFonts w:ascii="宋体" w:hAnsi="宋体" w:cs="宋体" w:eastAsia="宋体" w:hint="default"/>
                <w:spacing w:val="-3"/>
                <w:sz w:val="18"/>
                <w:szCs w:val="18"/>
              </w:rPr>
              <w:t>法规受到轻微处罚；关键岗位业务人员流失严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重；媒体出现负面新闻，波及局部区域；重要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业务制度控制或系统存在缺陷；内部控制重要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缺陷未得到整改。</w:t>
            </w:r>
          </w:p>
          <w:p>
            <w:pPr>
              <w:pStyle w:val="TableParagraph"/>
              <w:spacing w:line="316" w:lineRule="auto" w:before="58"/>
              <w:ind w:right="-19"/>
              <w:jc w:val="both"/>
              <w:rPr>
                <w:rFonts w:ascii="宋体" w:hAnsi="宋体" w:cs="宋体" w:eastAsia="宋体" w:hint="default"/>
                <w:sz w:val="18"/>
                <w:szCs w:val="18"/>
              </w:rPr>
            </w:pPr>
            <w:r>
              <w:rPr>
                <w:rFonts w:ascii="宋体" w:hAnsi="宋体" w:cs="宋体" w:eastAsia="宋体" w:hint="default"/>
                <w:sz w:val="18"/>
                <w:szCs w:val="18"/>
              </w:rPr>
              <w:t>③一般缺陷的认定标准：违反企业内部规章， 但未形成损失；一般岗位业务人员流失严重； 媒体出现负面新闻，</w:t>
            </w:r>
          </w:p>
        </w:tc>
      </w:tr>
      <w:tr>
        <w:trPr>
          <w:trHeight w:val="394"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16" w:type="dxa"/>
            <w:gridSpan w:val="2"/>
            <w:vMerge/>
            <w:tcBorders>
              <w:left w:val="single" w:sz="10" w:space="0" w:color="D2D2D2"/>
              <w:right w:val="single" w:sz="13" w:space="0" w:color="FFFFFF"/>
            </w:tcBorders>
          </w:tcPr>
          <w:p>
            <w:pPr/>
          </w:p>
        </w:tc>
        <w:tc>
          <w:tcPr>
            <w:tcW w:w="3603" w:type="dxa"/>
            <w:vMerge/>
            <w:tcBorders>
              <w:left w:val="single" w:sz="13" w:space="0" w:color="FFFFFF"/>
              <w:right w:val="single" w:sz="4" w:space="0" w:color="000000"/>
            </w:tcBorders>
          </w:tcPr>
          <w:p>
            <w:pPr/>
          </w:p>
        </w:tc>
      </w:tr>
      <w:tr>
        <w:trPr>
          <w:trHeight w:val="2074"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6" w:type="dxa"/>
            <w:gridSpan w:val="2"/>
            <w:vMerge/>
            <w:tcBorders>
              <w:left w:val="single" w:sz="10" w:space="0" w:color="D2D2D2"/>
              <w:bottom w:val="single" w:sz="4" w:space="0" w:color="000000"/>
              <w:right w:val="single" w:sz="13" w:space="0" w:color="FFFFFF"/>
            </w:tcBorders>
          </w:tcPr>
          <w:p>
            <w:pPr/>
          </w:p>
        </w:tc>
        <w:tc>
          <w:tcPr>
            <w:tcW w:w="3603" w:type="dxa"/>
            <w:vMerge/>
            <w:tcBorders>
              <w:left w:val="single" w:sz="13" w:space="0" w:color="FFFFFF"/>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0" w:right="1138" w:firstLine="0"/>
        <w:jc w:val="right"/>
        <w:rPr>
          <w:rFonts w:ascii="宋体" w:hAnsi="宋体" w:cs="宋体" w:eastAsia="宋体" w:hint="default"/>
          <w:sz w:val="18"/>
          <w:szCs w:val="18"/>
        </w:rPr>
      </w:pPr>
      <w:r>
        <w:rPr/>
        <w:pict>
          <v:shape style="position:absolute;margin-left:56.459999pt;margin-top:-18.548296pt;width:479.2pt;height:179.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0"/>
                    <w:gridCol w:w="3404"/>
                    <w:gridCol w:w="3615"/>
                  </w:tblGrid>
                  <w:tr>
                    <w:trPr>
                      <w:trHeight w:val="196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宋体" w:hAnsi="宋体" w:cs="宋体" w:eastAsia="宋体" w:hint="default"/>
                            <w:spacing w:val="-4"/>
                            <w:sz w:val="18"/>
                            <w:szCs w:val="18"/>
                          </w:rPr>
                          <w:t>以合并财务报表数据为基准，确定公司合并</w:t>
                        </w:r>
                        <w:r>
                          <w:rPr>
                            <w:rFonts w:ascii="宋体" w:hAnsi="宋体" w:cs="宋体" w:eastAsia="宋体" w:hint="default"/>
                            <w:sz w:val="18"/>
                            <w:szCs w:val="18"/>
                          </w:rPr>
                          <w:t> </w:t>
                        </w:r>
                        <w:r>
                          <w:rPr>
                            <w:rFonts w:ascii="宋体" w:hAnsi="宋体" w:cs="宋体" w:eastAsia="宋体" w:hint="default"/>
                            <w:spacing w:val="-4"/>
                            <w:sz w:val="18"/>
                            <w:szCs w:val="18"/>
                          </w:rPr>
                          <w:t>财务报表错报（包括漏报）重要程度的定量</w:t>
                        </w:r>
                        <w:r>
                          <w:rPr>
                            <w:rFonts w:ascii="宋体" w:hAnsi="宋体" w:cs="宋体" w:eastAsia="宋体" w:hint="default"/>
                            <w:sz w:val="18"/>
                            <w:szCs w:val="18"/>
                          </w:rPr>
                          <w:t> 标准：重大缺陷：错报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重要缺陷：税前利润的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错报＜税前利</w:t>
                        </w:r>
                      </w:p>
                      <w:p>
                        <w:pPr>
                          <w:pStyle w:val="TableParagraph"/>
                          <w:spacing w:line="340" w:lineRule="auto" w:before="3"/>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；一般缺陷：错报＜税前利润的 </w:t>
                        </w:r>
                        <w:r>
                          <w:rPr>
                            <w:rFonts w:ascii="Times New Roman" w:hAnsi="Times New Roman" w:cs="Times New Roman" w:eastAsia="Times New Roman" w:hint="default"/>
                            <w:sz w:val="18"/>
                            <w:szCs w:val="18"/>
                          </w:rPr>
                          <w:t>2%</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4"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重大缺陷：直接损失金额﹥资产总额的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3"/>
                            <w:sz w:val="18"/>
                            <w:szCs w:val="18"/>
                          </w:rPr>
                          <w:t>重要缺陷：资产总额的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；一般缺陷：直接损失金额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0.2%</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3"/>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3"/>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before="26"/>
        <w:ind w:right="1119"/>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日在所有重大 方面保持了与财务报表相关的有效的内部控制。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9"/>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05"/>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1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ZL10100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张丽宾、马玥</w:t>
            </w:r>
          </w:p>
        </w:tc>
      </w:tr>
    </w:tbl>
    <w:p>
      <w:pPr>
        <w:spacing w:line="240" w:lineRule="auto" w:before="8"/>
        <w:rPr>
          <w:rFonts w:ascii="宋体" w:hAnsi="宋体" w:cs="宋体" w:eastAsia="宋体" w:hint="default"/>
          <w:b/>
          <w:bCs/>
          <w:sz w:val="8"/>
          <w:szCs w:val="8"/>
        </w:rPr>
      </w:pPr>
    </w:p>
    <w:p>
      <w:pPr>
        <w:pStyle w:val="Heading2"/>
        <w:spacing w:line="434" w:lineRule="auto"/>
        <w:ind w:left="152" w:right="5092" w:firstLine="3975"/>
        <w:jc w:val="left"/>
        <w:rPr>
          <w:b w:val="0"/>
          <w:bCs w:val="0"/>
        </w:rPr>
      </w:pPr>
      <w:r>
        <w:rPr/>
        <w:t>审计报告正文</w:t>
      </w:r>
      <w:r>
        <w:rPr>
          <w:w w:val="99"/>
        </w:rPr>
        <w:t> </w:t>
      </w:r>
      <w:r>
        <w:rPr/>
        <w:t>广东乐心医疗电子股份有限公司全体股东：</w:t>
      </w:r>
      <w:r>
        <w:rPr>
          <w:b w:val="0"/>
          <w:bCs w:val="0"/>
        </w:rPr>
      </w:r>
    </w:p>
    <w:p>
      <w:pPr>
        <w:pStyle w:val="Heading3"/>
        <w:spacing w:line="298" w:lineRule="exact"/>
        <w:ind w:left="626" w:right="1119"/>
        <w:jc w:val="left"/>
        <w:rPr>
          <w:b w:val="0"/>
          <w:bCs w:val="0"/>
        </w:rPr>
      </w:pPr>
      <w:r>
        <w:rPr/>
        <w:t>一、审计意见</w:t>
      </w:r>
      <w:r>
        <w:rPr>
          <w:b w:val="0"/>
          <w:bCs w:val="0"/>
        </w:rPr>
      </w:r>
    </w:p>
    <w:p>
      <w:pPr>
        <w:pStyle w:val="Heading4"/>
        <w:spacing w:line="357" w:lineRule="auto" w:before="154"/>
        <w:ind w:left="513" w:right="1132" w:firstLine="480"/>
        <w:jc w:val="both"/>
      </w:pPr>
      <w:r>
        <w:rPr>
          <w:spacing w:val="-9"/>
        </w:rPr>
        <w:t>我们审计了广东乐心医疗电子股份有限公司（以下简称乐心医疗）财务报表，包括</w:t>
      </w:r>
      <w:r>
        <w:rPr>
          <w:rFonts w:ascii="宋体" w:hAnsi="宋体" w:cs="宋体" w:eastAsia="宋体" w:hint="default"/>
          <w:spacing w:val="-9"/>
        </w:rPr>
        <w:t>2019</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2019</w:t>
      </w:r>
      <w:r>
        <w:rPr>
          <w:spacing w:val="-2"/>
        </w:rPr>
        <w:t>年度的合并及母公司利润表、合并及母公司</w:t>
      </w:r>
      <w:r>
        <w:rPr>
          <w:spacing w:val="-117"/>
        </w:rPr>
        <w:t> </w:t>
      </w:r>
      <w:r>
        <w:rPr>
          <w:spacing w:val="-117"/>
        </w:rPr>
      </w:r>
      <w:r>
        <w:rPr/>
        <w:t>现金流量表、合并及母公司所有者权益变动表以及相关财务报表附注。</w:t>
      </w:r>
    </w:p>
    <w:p>
      <w:pPr>
        <w:pStyle w:val="Heading4"/>
        <w:spacing w:line="357" w:lineRule="auto" w:before="36"/>
        <w:ind w:left="513" w:right="1119" w:firstLine="480"/>
        <w:jc w:val="left"/>
      </w:pPr>
      <w:r>
        <w:rPr>
          <w:spacing w:val="-3"/>
        </w:rPr>
        <w:t>我们认为，后附的财务报表在所有重大方面按照企业会计准则的规定编制，公允反映</w:t>
      </w:r>
      <w:r>
        <w:rPr/>
        <w:t> 了乐心医疗</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 成果和现金流量。</w:t>
      </w:r>
    </w:p>
    <w:p>
      <w:pPr>
        <w:spacing w:line="357" w:lineRule="auto" w:before="36"/>
        <w:ind w:left="993" w:right="1119" w:hanging="368"/>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3"/>
          <w:sz w:val="24"/>
          <w:szCs w:val="24"/>
        </w:rPr>
        <w:t>我们按照中国注册会计师审计准则的规定执行了审计工作。审计报告的“注册会计师</w:t>
      </w:r>
    </w:p>
    <w:p>
      <w:pPr>
        <w:pStyle w:val="Heading4"/>
        <w:spacing w:line="357" w:lineRule="auto" w:before="36"/>
        <w:ind w:left="513" w:right="1033"/>
        <w:jc w:val="left"/>
      </w:pPr>
      <w:r>
        <w:rPr>
          <w:spacing w:val="-3"/>
        </w:rPr>
        <w:t>对财务报表审计的责任”部分进一步阐述了我们在这些准则下的责任。按照中国注册会计</w:t>
      </w:r>
      <w:r>
        <w:rPr>
          <w:spacing w:val="-86"/>
        </w:rPr>
        <w:t> </w:t>
      </w:r>
      <w:r>
        <w:rPr>
          <w:spacing w:val="-86"/>
        </w:rPr>
      </w:r>
      <w:r>
        <w:rPr/>
        <w:t>师职业道德守则，我们独立于乐心医疗，并履行了职业道德方面的其他责任。我们相信， 我们获取的审计证据是充分、适当的，为发表审计意见提供了基础。</w:t>
      </w:r>
    </w:p>
    <w:p>
      <w:pPr>
        <w:pStyle w:val="Heading4"/>
        <w:spacing w:line="357" w:lineRule="auto" w:before="36"/>
        <w:ind w:left="988" w:right="1119" w:hanging="363"/>
        <w:jc w:val="left"/>
      </w:pPr>
      <w:r>
        <w:rPr>
          <w:rFonts w:ascii="宋体" w:hAnsi="宋体" w:cs="宋体" w:eastAsia="宋体" w:hint="default"/>
          <w:b/>
          <w:bCs/>
        </w:rPr>
        <w:t>三、关键审计事项</w:t>
      </w:r>
      <w:r>
        <w:rPr>
          <w:rFonts w:ascii="宋体" w:hAnsi="宋体" w:cs="宋体" w:eastAsia="宋体" w:hint="default"/>
          <w:b/>
          <w:bCs/>
          <w:w w:val="99"/>
        </w:rPr>
        <w:t> </w:t>
      </w:r>
      <w:r>
        <w:rPr>
          <w:spacing w:val="-3"/>
        </w:rPr>
        <w:t>关键审计事项是我们根据职业判断，认为对本期财务报表审计最为重要的事项。这些</w:t>
      </w:r>
    </w:p>
    <w:p>
      <w:pPr>
        <w:pStyle w:val="Heading4"/>
        <w:spacing w:line="357" w:lineRule="auto" w:before="36"/>
        <w:ind w:right="1116"/>
        <w:jc w:val="left"/>
      </w:pPr>
      <w:r>
        <w:rPr>
          <w:spacing w:val="-2"/>
        </w:rPr>
        <w:t>事项的应对以对财务报表整体进行审计并形成审计意见为背景，我们不对这些事项单独发</w:t>
      </w:r>
      <w:r>
        <w:rPr/>
        <w:t> 表意见。我们确定下列事项是需要在审计报告中沟通的关键审计事项。</w:t>
      </w:r>
    </w:p>
    <w:p>
      <w:pPr>
        <w:spacing w:line="240" w:lineRule="auto" w:before="10"/>
        <w:rPr>
          <w:rFonts w:ascii="宋体" w:hAnsi="宋体" w:cs="宋体" w:eastAsia="宋体" w:hint="default"/>
          <w:sz w:val="11"/>
          <w:szCs w:val="11"/>
        </w:rPr>
      </w:pPr>
    </w:p>
    <w:tbl>
      <w:tblPr>
        <w:tblW w:w="0" w:type="auto"/>
        <w:jc w:val="left"/>
        <w:tblInd w:w="364" w:type="dxa"/>
        <w:tblLayout w:type="fixed"/>
        <w:tblCellMar>
          <w:top w:w="0" w:type="dxa"/>
          <w:left w:w="0" w:type="dxa"/>
          <w:bottom w:w="0" w:type="dxa"/>
          <w:right w:w="0" w:type="dxa"/>
        </w:tblCellMar>
        <w:tblLook w:val="01E0"/>
      </w:tblPr>
      <w:tblGrid>
        <w:gridCol w:w="4414"/>
        <w:gridCol w:w="4789"/>
      </w:tblGrid>
      <w:tr>
        <w:trPr>
          <w:trHeight w:val="492"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17"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8"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（一）应收账款的可收回性</w:t>
            </w:r>
            <w:r>
              <w:rPr>
                <w:rFonts w:ascii="宋体" w:hAnsi="宋体" w:cs="宋体" w:eastAsia="宋体" w:hint="default"/>
                <w:sz w:val="21"/>
                <w:szCs w:val="21"/>
              </w:rPr>
            </w:r>
          </w:p>
        </w:tc>
        <w:tc>
          <w:tcPr>
            <w:tcW w:w="47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64" w:type="dxa"/>
        <w:tblLayout w:type="fixed"/>
        <w:tblCellMar>
          <w:top w:w="0" w:type="dxa"/>
          <w:left w:w="0" w:type="dxa"/>
          <w:bottom w:w="0" w:type="dxa"/>
          <w:right w:w="0" w:type="dxa"/>
        </w:tblCellMar>
        <w:tblLook w:val="01E0"/>
      </w:tblPr>
      <w:tblGrid>
        <w:gridCol w:w="4414"/>
        <w:gridCol w:w="4789"/>
      </w:tblGrid>
      <w:tr>
        <w:trPr>
          <w:trHeight w:val="3780"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0"/>
              <w:jc w:val="left"/>
              <w:rPr>
                <w:rFonts w:ascii="宋体" w:hAnsi="宋体" w:cs="宋体" w:eastAsia="宋体" w:hint="default"/>
                <w:sz w:val="21"/>
                <w:szCs w:val="21"/>
              </w:rPr>
            </w:pPr>
            <w:r>
              <w:rPr>
                <w:rFonts w:ascii="宋体" w:hAnsi="宋体" w:cs="宋体" w:eastAsia="宋体" w:hint="default"/>
                <w:sz w:val="21"/>
                <w:szCs w:val="21"/>
              </w:rPr>
              <w:t>应收账款的会计政策及应收账款的分析请参阅</w:t>
            </w:r>
            <w:r>
              <w:rPr>
                <w:rFonts w:ascii="宋体" w:hAnsi="宋体" w:cs="宋体" w:eastAsia="宋体" w:hint="default"/>
                <w:w w:val="100"/>
                <w:sz w:val="21"/>
                <w:szCs w:val="21"/>
              </w:rPr>
              <w:t> </w:t>
            </w:r>
            <w:r>
              <w:rPr>
                <w:rFonts w:ascii="宋体" w:hAnsi="宋体" w:cs="宋体" w:eastAsia="宋体" w:hint="default"/>
                <w:spacing w:val="-6"/>
                <w:w w:val="100"/>
                <w:sz w:val="21"/>
                <w:szCs w:val="21"/>
              </w:rPr>
              <w:t>本“五、</w:t>
            </w:r>
            <w:r>
              <w:rPr>
                <w:rFonts w:ascii="宋体" w:hAnsi="宋体" w:cs="宋体" w:eastAsia="宋体" w:hint="default"/>
                <w:spacing w:val="-6"/>
                <w:w w:val="100"/>
                <w:sz w:val="21"/>
                <w:szCs w:val="21"/>
              </w:rPr>
              <w:t>10.</w:t>
            </w:r>
            <w:r>
              <w:rPr>
                <w:rFonts w:ascii="宋体" w:hAnsi="宋体" w:cs="宋体" w:eastAsia="宋体" w:hint="default"/>
                <w:spacing w:val="-6"/>
                <w:w w:val="100"/>
                <w:sz w:val="21"/>
                <w:szCs w:val="21"/>
              </w:rPr>
              <w:t>金融工具”所述的会计政策及“七、</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5.</w:t>
            </w:r>
            <w:r>
              <w:rPr>
                <w:rFonts w:ascii="宋体" w:hAnsi="宋体" w:cs="宋体" w:eastAsia="宋体" w:hint="default"/>
                <w:sz w:val="21"/>
                <w:szCs w:val="21"/>
              </w:rPr>
              <w:t>应收账款”。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截至</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日止，乐心医疗应收账款账面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余额</w:t>
            </w:r>
            <w:r>
              <w:rPr>
                <w:rFonts w:ascii="宋体" w:hAnsi="宋体" w:cs="宋体" w:eastAsia="宋体" w:hint="default"/>
                <w:sz w:val="21"/>
                <w:szCs w:val="21"/>
              </w:rPr>
              <w:t>21,135.95</w:t>
            </w:r>
            <w:r>
              <w:rPr>
                <w:rFonts w:ascii="宋体" w:hAnsi="宋体" w:cs="宋体" w:eastAsia="宋体" w:hint="default"/>
                <w:sz w:val="21"/>
                <w:szCs w:val="21"/>
              </w:rPr>
              <w:t>万元，坏账准备</w:t>
            </w:r>
            <w:r>
              <w:rPr>
                <w:rFonts w:ascii="宋体" w:hAnsi="宋体" w:cs="宋体" w:eastAsia="宋体" w:hint="default"/>
                <w:sz w:val="21"/>
                <w:szCs w:val="21"/>
              </w:rPr>
              <w:t>1,191.11</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账面价值</w:t>
            </w:r>
            <w:r>
              <w:rPr>
                <w:rFonts w:ascii="宋体" w:hAnsi="宋体" w:cs="宋体" w:eastAsia="宋体" w:hint="default"/>
                <w:sz w:val="21"/>
                <w:szCs w:val="21"/>
              </w:rPr>
              <w:t>19,944.84</w:t>
            </w:r>
            <w:r>
              <w:rPr>
                <w:rFonts w:ascii="宋体" w:hAnsi="宋体" w:cs="宋体" w:eastAsia="宋体" w:hint="default"/>
                <w:sz w:val="21"/>
                <w:szCs w:val="21"/>
              </w:rPr>
              <w:t>万元，占</w:t>
            </w:r>
            <w:r>
              <w:rPr>
                <w:rFonts w:ascii="宋体" w:hAnsi="宋体" w:cs="宋体" w:eastAsia="宋体" w:hint="default"/>
                <w:sz w:val="21"/>
                <w:szCs w:val="21"/>
              </w:rPr>
              <w:t>2019</w:t>
            </w:r>
            <w:r>
              <w:rPr>
                <w:rFonts w:ascii="宋体" w:hAnsi="宋体" w:cs="宋体" w:eastAsia="宋体" w:hint="default"/>
                <w:sz w:val="21"/>
                <w:szCs w:val="21"/>
              </w:rPr>
              <w:t>年度归属于母</w:t>
            </w:r>
            <w:r>
              <w:rPr>
                <w:rFonts w:ascii="宋体" w:hAnsi="宋体" w:cs="宋体" w:eastAsia="宋体" w:hint="default"/>
                <w:w w:val="100"/>
                <w:sz w:val="21"/>
                <w:szCs w:val="21"/>
              </w:rPr>
              <w:t> </w:t>
            </w:r>
            <w:r>
              <w:rPr>
                <w:rFonts w:ascii="宋体" w:hAnsi="宋体" w:cs="宋体" w:eastAsia="宋体" w:hint="default"/>
                <w:spacing w:val="-2"/>
                <w:sz w:val="21"/>
                <w:szCs w:val="21"/>
              </w:rPr>
              <w:t>公司净资产总额的</w:t>
            </w:r>
            <w:r>
              <w:rPr>
                <w:rFonts w:ascii="宋体" w:hAnsi="宋体" w:cs="宋体" w:eastAsia="宋体" w:hint="default"/>
                <w:spacing w:val="-2"/>
                <w:sz w:val="21"/>
                <w:szCs w:val="21"/>
              </w:rPr>
              <w:t>35.10%</w:t>
            </w:r>
            <w:r>
              <w:rPr>
                <w:rFonts w:ascii="宋体" w:hAnsi="宋体" w:cs="宋体" w:eastAsia="宋体" w:hint="default"/>
                <w:spacing w:val="-2"/>
                <w:sz w:val="21"/>
                <w:szCs w:val="21"/>
              </w:rPr>
              <w:t>，占</w:t>
            </w:r>
            <w:r>
              <w:rPr>
                <w:rFonts w:ascii="宋体" w:hAnsi="宋体" w:cs="宋体" w:eastAsia="宋体" w:hint="default"/>
                <w:spacing w:val="-2"/>
                <w:sz w:val="21"/>
                <w:szCs w:val="21"/>
              </w:rPr>
              <w:t>2019</w:t>
            </w:r>
            <w:r>
              <w:rPr>
                <w:rFonts w:ascii="宋体" w:hAnsi="宋体" w:cs="宋体" w:eastAsia="宋体" w:hint="default"/>
                <w:spacing w:val="-2"/>
                <w:sz w:val="21"/>
                <w:szCs w:val="21"/>
              </w:rPr>
              <w:t>年末资产总额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的</w:t>
            </w:r>
            <w:r>
              <w:rPr>
                <w:rFonts w:ascii="宋体" w:hAnsi="宋体" w:cs="宋体" w:eastAsia="宋体" w:hint="default"/>
                <w:spacing w:val="-2"/>
                <w:sz w:val="21"/>
                <w:szCs w:val="21"/>
              </w:rPr>
              <w:t>20.32%</w:t>
            </w:r>
            <w:r>
              <w:rPr>
                <w:rFonts w:ascii="宋体" w:hAnsi="宋体" w:cs="宋体" w:eastAsia="宋体" w:hint="default"/>
                <w:spacing w:val="-2"/>
                <w:sz w:val="21"/>
                <w:szCs w:val="21"/>
              </w:rPr>
              <w:t>。由于对应收账款可收回性进行估计并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进行减值测试涉及管理层的重要会计估计和判</w:t>
            </w:r>
            <w:r>
              <w:rPr>
                <w:rFonts w:ascii="宋体" w:hAnsi="宋体" w:cs="宋体" w:eastAsia="宋体" w:hint="default"/>
                <w:w w:val="100"/>
                <w:sz w:val="21"/>
                <w:szCs w:val="21"/>
              </w:rPr>
              <w:t> </w:t>
            </w:r>
            <w:r>
              <w:rPr>
                <w:rFonts w:ascii="宋体" w:hAnsi="宋体" w:cs="宋体" w:eastAsia="宋体" w:hint="default"/>
                <w:spacing w:val="-3"/>
                <w:sz w:val="21"/>
                <w:szCs w:val="21"/>
              </w:rPr>
              <w:t>断，且若应收账款不能按期收回或者无法收回对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财务报表影响较为重大，因此我们将应收账款的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可收回性识别为关键审计事项。</w:t>
            </w:r>
          </w:p>
        </w:tc>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4" w:right="3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）了解和评价管理层对应收账款管理内部控制的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设计合理性和运行有效性；</w:t>
            </w:r>
          </w:p>
          <w:p>
            <w:pPr>
              <w:pStyle w:val="TableParagraph"/>
              <w:spacing w:line="273" w:lineRule="auto" w:before="7"/>
              <w:ind w:left="4" w:right="3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）分析应收账款坏账准备会计估计的合理性，包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括确定应收账款组合的依据、预期信用损失率的判</w:t>
            </w:r>
            <w:r>
              <w:rPr>
                <w:rFonts w:ascii="宋体" w:hAnsi="宋体" w:cs="宋体" w:eastAsia="宋体" w:hint="default"/>
                <w:w w:val="100"/>
                <w:sz w:val="21"/>
                <w:szCs w:val="21"/>
              </w:rPr>
              <w:t> </w:t>
            </w:r>
            <w:r>
              <w:rPr>
                <w:rFonts w:ascii="宋体" w:hAnsi="宋体" w:cs="宋体" w:eastAsia="宋体" w:hint="default"/>
                <w:sz w:val="21"/>
                <w:szCs w:val="21"/>
              </w:rPr>
              <w:t>断，评价本期应收账款坏账准备计提的合理性；</w:t>
            </w:r>
          </w:p>
          <w:p>
            <w:pPr>
              <w:pStyle w:val="TableParagraph"/>
              <w:spacing w:line="273" w:lineRule="auto" w:before="7"/>
              <w:ind w:left="4" w:right="3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）复核乐心医疗应收账款坏账准备的计提过程，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测试应收账款坏账准备计提的准确性；</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）对应收账款期末余额选取样本执行函证程序；</w:t>
            </w:r>
          </w:p>
          <w:p>
            <w:pPr>
              <w:pStyle w:val="TableParagraph"/>
              <w:spacing w:line="273" w:lineRule="auto" w:before="37"/>
              <w:ind w:left="4" w:right="3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）对应收账款余额选取样本，检查其期后回款情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况，评价本期应收账款的真实性及可收回性。</w:t>
            </w:r>
          </w:p>
        </w:tc>
      </w:tr>
      <w:tr>
        <w:trPr>
          <w:trHeight w:val="346"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17"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8"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（二）收入确认</w:t>
            </w:r>
            <w:r>
              <w:rPr>
                <w:rFonts w:ascii="宋体" w:hAnsi="宋体" w:cs="宋体" w:eastAsia="宋体" w:hint="default"/>
                <w:sz w:val="21"/>
                <w:szCs w:val="21"/>
              </w:rPr>
            </w:r>
          </w:p>
        </w:tc>
        <w:tc>
          <w:tcPr>
            <w:tcW w:w="4789" w:type="dxa"/>
            <w:tcBorders>
              <w:top w:val="single" w:sz="6" w:space="0" w:color="000000"/>
              <w:left w:val="single" w:sz="6" w:space="0" w:color="000000"/>
              <w:bottom w:val="single" w:sz="6" w:space="0" w:color="000000"/>
              <w:right w:val="single" w:sz="6" w:space="0" w:color="000000"/>
            </w:tcBorders>
          </w:tcPr>
          <w:p>
            <w:pPr/>
          </w:p>
        </w:tc>
      </w:tr>
      <w:tr>
        <w:trPr>
          <w:trHeight w:val="5964" w:hRule="exact"/>
        </w:trPr>
        <w:tc>
          <w:tcPr>
            <w:tcW w:w="44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z w:val="21"/>
                <w:szCs w:val="21"/>
              </w:rPr>
              <w:t>收入确认的会计政策及收入的分析请参阅本附</w:t>
            </w:r>
            <w:r>
              <w:rPr>
                <w:rFonts w:ascii="宋体" w:hAnsi="宋体" w:cs="宋体" w:eastAsia="宋体" w:hint="default"/>
                <w:w w:val="100"/>
                <w:sz w:val="21"/>
                <w:szCs w:val="21"/>
              </w:rPr>
              <w:t> </w:t>
            </w:r>
            <w:r>
              <w:rPr>
                <w:rFonts w:ascii="宋体" w:hAnsi="宋体" w:cs="宋体" w:eastAsia="宋体" w:hint="default"/>
                <w:spacing w:val="-3"/>
                <w:sz w:val="21"/>
                <w:szCs w:val="21"/>
              </w:rPr>
              <w:t>注“五、</w:t>
            </w:r>
            <w:r>
              <w:rPr>
                <w:rFonts w:ascii="宋体" w:hAnsi="宋体" w:cs="宋体" w:eastAsia="宋体" w:hint="default"/>
                <w:spacing w:val="-3"/>
                <w:sz w:val="21"/>
                <w:szCs w:val="21"/>
              </w:rPr>
              <w:t>39.</w:t>
            </w:r>
            <w:r>
              <w:rPr>
                <w:rFonts w:ascii="宋体" w:hAnsi="宋体" w:cs="宋体" w:eastAsia="宋体" w:hint="default"/>
                <w:spacing w:val="-3"/>
                <w:sz w:val="21"/>
                <w:szCs w:val="21"/>
              </w:rPr>
              <w:t>收入”所述的会计政策及“七、</w:t>
            </w:r>
            <w:r>
              <w:rPr>
                <w:rFonts w:ascii="宋体" w:hAnsi="宋体" w:cs="宋体" w:eastAsia="宋体" w:hint="default"/>
                <w:spacing w:val="-3"/>
                <w:sz w:val="21"/>
                <w:szCs w:val="21"/>
              </w:rPr>
              <w:t>61.</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营业收入和营业成本”。</w:t>
            </w:r>
            <w:r>
              <w:rPr>
                <w:rFonts w:ascii="宋体" w:hAnsi="宋体" w:cs="宋体" w:eastAsia="宋体" w:hint="default"/>
                <w:spacing w:val="-2"/>
                <w:sz w:val="21"/>
                <w:szCs w:val="21"/>
              </w:rPr>
              <w:t>2019</w:t>
            </w:r>
            <w:r>
              <w:rPr>
                <w:rFonts w:ascii="宋体" w:hAnsi="宋体" w:cs="宋体" w:eastAsia="宋体" w:hint="default"/>
                <w:spacing w:val="-2"/>
                <w:sz w:val="21"/>
                <w:szCs w:val="21"/>
              </w:rPr>
              <w:t>年度，乐心医疗实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现营业收入</w:t>
            </w:r>
            <w:r>
              <w:rPr>
                <w:rFonts w:ascii="宋体" w:hAnsi="宋体" w:cs="宋体" w:eastAsia="宋体" w:hint="default"/>
                <w:sz w:val="21"/>
                <w:szCs w:val="21"/>
              </w:rPr>
              <w:t>88,366.82</w:t>
            </w:r>
            <w:r>
              <w:rPr>
                <w:rFonts w:ascii="宋体" w:hAnsi="宋体" w:cs="宋体" w:eastAsia="宋体" w:hint="default"/>
                <w:sz w:val="21"/>
                <w:szCs w:val="21"/>
              </w:rPr>
              <w:t>万元，较</w:t>
            </w:r>
            <w:r>
              <w:rPr>
                <w:rFonts w:ascii="宋体" w:hAnsi="宋体" w:cs="宋体" w:eastAsia="宋体" w:hint="default"/>
                <w:sz w:val="21"/>
                <w:szCs w:val="21"/>
              </w:rPr>
              <w:t>2018</w:t>
            </w:r>
            <w:r>
              <w:rPr>
                <w:rFonts w:ascii="宋体" w:hAnsi="宋体" w:cs="宋体" w:eastAsia="宋体" w:hint="default"/>
                <w:sz w:val="21"/>
                <w:szCs w:val="21"/>
              </w:rPr>
              <w:t>年度增长</w:t>
            </w:r>
            <w:r>
              <w:rPr>
                <w:rFonts w:ascii="宋体" w:hAnsi="宋体" w:cs="宋体" w:eastAsia="宋体" w:hint="default"/>
                <w:w w:val="100"/>
                <w:sz w:val="21"/>
                <w:szCs w:val="21"/>
              </w:rPr>
              <w:t> </w:t>
            </w:r>
            <w:r>
              <w:rPr>
                <w:rFonts w:ascii="宋体" w:hAnsi="宋体" w:cs="宋体" w:eastAsia="宋体" w:hint="default"/>
                <w:sz w:val="21"/>
                <w:szCs w:val="21"/>
              </w:rPr>
              <w:t>14.01%</w:t>
            </w:r>
            <w:r>
              <w:rPr>
                <w:rFonts w:ascii="宋体" w:hAnsi="宋体" w:cs="宋体" w:eastAsia="宋体" w:hint="default"/>
                <w:sz w:val="21"/>
                <w:szCs w:val="21"/>
              </w:rPr>
              <w:t>。</w:t>
            </w:r>
          </w:p>
          <w:p>
            <w:pPr>
              <w:pStyle w:val="TableParagraph"/>
              <w:spacing w:line="273" w:lineRule="auto" w:before="7"/>
              <w:ind w:left="4" w:right="-20"/>
              <w:jc w:val="left"/>
              <w:rPr>
                <w:rFonts w:ascii="宋体" w:hAnsi="宋体" w:cs="宋体" w:eastAsia="宋体" w:hint="default"/>
                <w:sz w:val="21"/>
                <w:szCs w:val="21"/>
              </w:rPr>
            </w:pPr>
            <w:r>
              <w:rPr>
                <w:rFonts w:ascii="宋体" w:hAnsi="宋体" w:cs="宋体" w:eastAsia="宋体" w:hint="default"/>
                <w:spacing w:val="-3"/>
                <w:sz w:val="21"/>
                <w:szCs w:val="21"/>
              </w:rPr>
              <w:t>由于营业收入为公司关键经营指标，存在管理层</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为了达到特定目标或期望而操纵收入确认时点</w:t>
            </w:r>
            <w:r>
              <w:rPr>
                <w:rFonts w:ascii="宋体" w:hAnsi="宋体" w:cs="宋体" w:eastAsia="宋体" w:hint="default"/>
                <w:w w:val="100"/>
                <w:sz w:val="21"/>
                <w:szCs w:val="21"/>
              </w:rPr>
              <w:t> </w:t>
            </w:r>
            <w:r>
              <w:rPr>
                <w:rFonts w:ascii="宋体" w:hAnsi="宋体" w:cs="宋体" w:eastAsia="宋体" w:hint="default"/>
                <w:spacing w:val="-2"/>
                <w:sz w:val="21"/>
                <w:szCs w:val="21"/>
              </w:rPr>
              <w:t>的固有风险，且收入确认对财务报表影响较大，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因此我们将收入确认识别为关键审计事项。</w:t>
            </w:r>
          </w:p>
        </w:tc>
        <w:tc>
          <w:tcPr>
            <w:tcW w:w="47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both"/>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4" w:right="3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）了解和评价管理层与收入确认相关的关键内部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控制的设计和运行是否有效；</w:t>
            </w:r>
          </w:p>
          <w:p>
            <w:pPr>
              <w:pStyle w:val="TableParagraph"/>
              <w:spacing w:line="273" w:lineRule="auto" w:before="7"/>
              <w:ind w:left="4" w:right="3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）了解和评价管理层对收入确认相关政策的选择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及执行是否符合企业会计准则的要求；</w:t>
            </w:r>
          </w:p>
          <w:p>
            <w:pPr>
              <w:pStyle w:val="TableParagraph"/>
              <w:spacing w:line="273" w:lineRule="auto" w:before="7"/>
              <w:ind w:left="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）对本年记录的收入交易选取样本，检查交易过</w:t>
            </w:r>
            <w:r>
              <w:rPr>
                <w:rFonts w:ascii="宋体" w:hAnsi="宋体" w:cs="宋体" w:eastAsia="宋体" w:hint="default"/>
                <w:w w:val="100"/>
                <w:sz w:val="21"/>
                <w:szCs w:val="21"/>
              </w:rPr>
              <w:t> </w:t>
            </w:r>
            <w:r>
              <w:rPr>
                <w:rFonts w:ascii="宋体" w:hAnsi="宋体" w:cs="宋体" w:eastAsia="宋体" w:hint="default"/>
                <w:spacing w:val="-5"/>
                <w:sz w:val="21"/>
                <w:szCs w:val="21"/>
              </w:rPr>
              <w:t>程中的相关单据，包括出库单、客户签收记录、销售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发票、资金收款凭证等，确认交易的真实性。针对外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销收入，取得海关</w:t>
            </w:r>
            <w:r>
              <w:rPr>
                <w:rFonts w:ascii="宋体" w:hAnsi="宋体" w:cs="宋体" w:eastAsia="宋体" w:hint="default"/>
                <w:sz w:val="21"/>
                <w:szCs w:val="21"/>
              </w:rPr>
              <w:t>2019</w:t>
            </w:r>
            <w:r>
              <w:rPr>
                <w:rFonts w:ascii="宋体" w:hAnsi="宋体" w:cs="宋体" w:eastAsia="宋体" w:hint="default"/>
                <w:spacing w:val="-3"/>
                <w:sz w:val="21"/>
                <w:szCs w:val="21"/>
              </w:rPr>
              <w:t> </w:t>
            </w:r>
            <w:r>
              <w:rPr>
                <w:rFonts w:ascii="宋体" w:hAnsi="宋体" w:cs="宋体" w:eastAsia="宋体" w:hint="default"/>
                <w:sz w:val="21"/>
                <w:szCs w:val="21"/>
              </w:rPr>
              <w:t>年出口数据与账面外销收入</w:t>
            </w:r>
            <w:r>
              <w:rPr>
                <w:rFonts w:ascii="宋体" w:hAnsi="宋体" w:cs="宋体" w:eastAsia="宋体" w:hint="default"/>
                <w:w w:val="100"/>
                <w:sz w:val="21"/>
                <w:szCs w:val="21"/>
              </w:rPr>
              <w:t> </w:t>
            </w:r>
            <w:r>
              <w:rPr>
                <w:rFonts w:ascii="宋体" w:hAnsi="宋体" w:cs="宋体" w:eastAsia="宋体" w:hint="default"/>
                <w:sz w:val="21"/>
                <w:szCs w:val="21"/>
              </w:rPr>
              <w:t>记录核对，并对主要客户回款进行检查；</w:t>
            </w:r>
          </w:p>
          <w:p>
            <w:pPr>
              <w:pStyle w:val="TableParagraph"/>
              <w:spacing w:line="273" w:lineRule="auto" w:before="7"/>
              <w:ind w:left="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）就资产负债表日前后记录的收入交易，选取样</w:t>
            </w:r>
            <w:r>
              <w:rPr>
                <w:rFonts w:ascii="宋体" w:hAnsi="宋体" w:cs="宋体" w:eastAsia="宋体" w:hint="default"/>
                <w:w w:val="100"/>
                <w:sz w:val="21"/>
                <w:szCs w:val="21"/>
              </w:rPr>
              <w:t> </w:t>
            </w:r>
            <w:r>
              <w:rPr>
                <w:rFonts w:ascii="宋体" w:hAnsi="宋体" w:cs="宋体" w:eastAsia="宋体" w:hint="default"/>
                <w:spacing w:val="-5"/>
                <w:sz w:val="21"/>
                <w:szCs w:val="21"/>
              </w:rPr>
              <w:t>本，检查出库单及其他支持性文件，评价收入是否被</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记录于恰当的会计期间；</w:t>
            </w:r>
          </w:p>
          <w:p>
            <w:pPr>
              <w:pStyle w:val="TableParagraph"/>
              <w:spacing w:line="273" w:lineRule="auto" w:before="7"/>
              <w:ind w:left="4" w:right="3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）获取本年度销售清单，对营业收入实施分析程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序，判断本期收入、毛利率变动的合理性；</w:t>
            </w:r>
          </w:p>
          <w:p>
            <w:pPr>
              <w:pStyle w:val="TableParagraph"/>
              <w:spacing w:line="273" w:lineRule="auto" w:before="7"/>
              <w:ind w:left="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）向重要客户实施函证程序，询证本期发生的销</w:t>
            </w:r>
            <w:r>
              <w:rPr>
                <w:rFonts w:ascii="宋体" w:hAnsi="宋体" w:cs="宋体" w:eastAsia="宋体" w:hint="default"/>
                <w:w w:val="100"/>
                <w:sz w:val="21"/>
                <w:szCs w:val="21"/>
              </w:rPr>
              <w:t> </w:t>
            </w:r>
            <w:r>
              <w:rPr>
                <w:rFonts w:ascii="宋体" w:hAnsi="宋体" w:cs="宋体" w:eastAsia="宋体" w:hint="default"/>
                <w:spacing w:val="-6"/>
                <w:sz w:val="21"/>
                <w:szCs w:val="21"/>
              </w:rPr>
              <w:t>售金额及往来款项余额，确认销售收入的真实性、完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整性；对于未收到询证回函的客户交易实施替代审计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程序，检查期后回款情况等。</w:t>
            </w:r>
          </w:p>
        </w:tc>
      </w:tr>
    </w:tbl>
    <w:p>
      <w:pPr>
        <w:pStyle w:val="Heading4"/>
        <w:spacing w:line="357" w:lineRule="auto" w:before="39"/>
        <w:ind w:left="988" w:right="1278" w:hanging="363"/>
        <w:jc w:val="left"/>
        <w:rPr>
          <w:rFonts w:ascii="宋体" w:hAnsi="宋体" w:cs="宋体" w:eastAsia="宋体" w:hint="default"/>
        </w:rPr>
      </w:pPr>
      <w:r>
        <w:rPr>
          <w:rFonts w:ascii="宋体" w:hAnsi="宋体" w:cs="宋体" w:eastAsia="宋体" w:hint="default"/>
          <w:b/>
          <w:bCs/>
        </w:rPr>
        <w:t>四、其他信息</w:t>
      </w:r>
      <w:r>
        <w:rPr>
          <w:rFonts w:ascii="宋体" w:hAnsi="宋体" w:cs="宋体" w:eastAsia="宋体" w:hint="default"/>
          <w:b/>
          <w:bCs/>
          <w:w w:val="99"/>
        </w:rPr>
        <w:t> </w:t>
      </w:r>
      <w:r>
        <w:rPr/>
        <w:t>乐心医疗管理层（以下简称管理层）对其他信息负责。其他信息包括乐心医疗</w:t>
      </w:r>
      <w:r>
        <w:rPr>
          <w:rFonts w:ascii="宋体" w:hAnsi="宋体" w:cs="宋体" w:eastAsia="宋体" w:hint="default"/>
        </w:rPr>
        <w:t>2019</w:t>
      </w:r>
    </w:p>
    <w:p>
      <w:pPr>
        <w:pStyle w:val="Heading4"/>
        <w:spacing w:line="240" w:lineRule="auto" w:before="37"/>
        <w:ind w:right="1119"/>
        <w:jc w:val="left"/>
      </w:pPr>
      <w:r>
        <w:rPr/>
        <w:t>年年度报告中涵盖的信息，但不包括财务报表和我们的审计报告。</w:t>
      </w:r>
    </w:p>
    <w:p>
      <w:pPr>
        <w:spacing w:line="240" w:lineRule="auto" w:before="9"/>
        <w:rPr>
          <w:rFonts w:ascii="宋体" w:hAnsi="宋体" w:cs="宋体" w:eastAsia="宋体" w:hint="default"/>
          <w:sz w:val="23"/>
          <w:szCs w:val="23"/>
        </w:rPr>
      </w:pPr>
    </w:p>
    <w:p>
      <w:pPr>
        <w:pStyle w:val="Heading4"/>
        <w:spacing w:line="357" w:lineRule="auto"/>
        <w:ind w:right="1119" w:firstLine="480"/>
        <w:jc w:val="left"/>
      </w:pPr>
      <w:r>
        <w:rPr>
          <w:spacing w:val="-3"/>
        </w:rPr>
        <w:t>我们对财务报表发表的审计意见不涵盖其他信息，我们也不对其他信息发表任何形式</w:t>
      </w:r>
      <w:r>
        <w:rPr/>
        <w:t> 的鉴证结论。</w:t>
      </w:r>
    </w:p>
    <w:p>
      <w:pPr>
        <w:pStyle w:val="Heading4"/>
        <w:spacing w:line="240" w:lineRule="auto" w:before="192"/>
        <w:ind w:left="988" w:right="1119"/>
        <w:jc w:val="left"/>
      </w:pPr>
      <w:r>
        <w:rPr>
          <w:spacing w:val="-3"/>
        </w:rPr>
        <w:t>结合我们对财务报表的审计，我们的责任是阅读其他信息，在此过程中，考虑其他信</w:t>
      </w:r>
    </w:p>
    <w:p>
      <w:pPr>
        <w:spacing w:after="0" w:line="240" w:lineRule="auto"/>
        <w:jc w:val="left"/>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4"/>
        <w:spacing w:line="357" w:lineRule="auto" w:before="26"/>
        <w:ind w:right="1278"/>
        <w:jc w:val="left"/>
      </w:pPr>
      <w:r>
        <w:rPr/>
        <w:t>息是否与财务报表或我们在审计过程中了解到的情况存在重大不一致或者似乎存在重大 错报。</w:t>
      </w:r>
    </w:p>
    <w:p>
      <w:pPr>
        <w:pStyle w:val="Heading4"/>
        <w:spacing w:line="357" w:lineRule="auto" w:before="192"/>
        <w:ind w:right="996" w:firstLine="480"/>
        <w:jc w:val="left"/>
      </w:pPr>
      <w:r>
        <w:rPr>
          <w:spacing w:val="-6"/>
        </w:rPr>
        <w:t>基于我们已执行的工作，如果我们确定其他信息存在重大错报，我们应当报告该事实。</w:t>
      </w:r>
      <w:r>
        <w:rPr/>
        <w:t> 在这方面，我们无任何事项需要报告。</w:t>
      </w:r>
    </w:p>
    <w:p>
      <w:pPr>
        <w:spacing w:line="357" w:lineRule="auto" w:before="192"/>
        <w:ind w:left="988" w:right="1119" w:hanging="363"/>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管理层负责按照企业会计准则的规定编制财务报表，使其实现公允反映，并设计、执</w:t>
      </w:r>
    </w:p>
    <w:p>
      <w:pPr>
        <w:pStyle w:val="Heading4"/>
        <w:spacing w:line="240" w:lineRule="auto" w:before="36"/>
        <w:ind w:right="0"/>
        <w:jc w:val="both"/>
      </w:pPr>
      <w:r>
        <w:rPr/>
        <w:t>行和维护必要的内部控制，以使财务报表不存在由于舞弊或错误导致的重大错报。</w:t>
      </w:r>
    </w:p>
    <w:p>
      <w:pPr>
        <w:spacing w:line="240" w:lineRule="auto" w:before="9"/>
        <w:rPr>
          <w:rFonts w:ascii="宋体" w:hAnsi="宋体" w:cs="宋体" w:eastAsia="宋体" w:hint="default"/>
          <w:sz w:val="23"/>
          <w:szCs w:val="23"/>
        </w:rPr>
      </w:pPr>
    </w:p>
    <w:p>
      <w:pPr>
        <w:pStyle w:val="Heading4"/>
        <w:spacing w:line="357" w:lineRule="auto"/>
        <w:ind w:right="1131" w:firstLine="480"/>
        <w:jc w:val="both"/>
      </w:pPr>
      <w:r>
        <w:rPr>
          <w:spacing w:val="-3"/>
        </w:rPr>
        <w:t>在编制财务报表时，管理层负责评估乐心医疗的持续经营能力，披露与持续经营相关</w:t>
      </w:r>
      <w:r>
        <w:rPr/>
        <w:t> </w:t>
      </w:r>
      <w:r>
        <w:rPr>
          <w:spacing w:val="-2"/>
        </w:rPr>
        <w:t>的事项（如适用），并运用持续经营假设，除非计划进行清算、终止运营或别无其他现实</w:t>
      </w:r>
      <w:r>
        <w:rPr/>
        <w:t> 的选择。</w:t>
      </w:r>
    </w:p>
    <w:p>
      <w:pPr>
        <w:pStyle w:val="Heading4"/>
        <w:spacing w:line="240" w:lineRule="auto" w:before="192"/>
        <w:ind w:left="988" w:right="1119"/>
        <w:jc w:val="left"/>
      </w:pPr>
      <w:r>
        <w:rPr/>
        <w:t>治理层负责监督乐心医疗的财务报告过程。</w:t>
      </w:r>
    </w:p>
    <w:p>
      <w:pPr>
        <w:spacing w:line="240" w:lineRule="auto" w:before="9"/>
        <w:rPr>
          <w:rFonts w:ascii="宋体" w:hAnsi="宋体" w:cs="宋体" w:eastAsia="宋体" w:hint="default"/>
          <w:sz w:val="23"/>
          <w:szCs w:val="23"/>
        </w:rPr>
      </w:pPr>
    </w:p>
    <w:p>
      <w:pPr>
        <w:spacing w:line="357" w:lineRule="auto" w:before="0"/>
        <w:ind w:left="988" w:right="1278" w:hanging="363"/>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w:t>
      </w:r>
    </w:p>
    <w:p>
      <w:pPr>
        <w:pStyle w:val="Heading4"/>
        <w:spacing w:line="357" w:lineRule="auto" w:before="36"/>
        <w:ind w:right="1132"/>
        <w:jc w:val="both"/>
      </w:pPr>
      <w:r>
        <w:rPr>
          <w:spacing w:val="-3"/>
        </w:rPr>
        <w:t>保证，并出具包含审计意见的审计报告。合理保证是高水平的保证，但并不能保证按照审</w:t>
      </w:r>
      <w:r>
        <w:rPr>
          <w:spacing w:val="-84"/>
        </w:rPr>
        <w:t> </w:t>
      </w:r>
      <w:r>
        <w:rPr>
          <w:spacing w:val="-84"/>
        </w:rPr>
      </w:r>
      <w:r>
        <w:rPr>
          <w:spacing w:val="-2"/>
        </w:rPr>
        <w:t>计准则执行的审计在某一重大错报存在时总能发现。错报可能由于舞弊或错误导致，如果</w:t>
      </w:r>
      <w:r>
        <w:rPr/>
        <w:t> </w:t>
      </w:r>
      <w:r>
        <w:rPr>
          <w:spacing w:val="-3"/>
        </w:rPr>
        <w:t>合理预期错报单独或汇总起来可能影响财务报表使用者依据财务报表作出的经济决策，则</w:t>
      </w:r>
      <w:r>
        <w:rPr>
          <w:spacing w:val="-83"/>
        </w:rPr>
        <w:t> </w:t>
      </w:r>
      <w:r>
        <w:rPr>
          <w:spacing w:val="-83"/>
        </w:rPr>
      </w:r>
      <w:r>
        <w:rPr/>
        <w:t>通常认为错报是重大的。</w:t>
      </w:r>
    </w:p>
    <w:p>
      <w:pPr>
        <w:pStyle w:val="Heading4"/>
        <w:spacing w:line="357" w:lineRule="auto" w:before="192"/>
        <w:ind w:right="996" w:firstLine="480"/>
        <w:jc w:val="left"/>
      </w:pPr>
      <w:r>
        <w:rPr>
          <w:spacing w:val="-6"/>
        </w:rPr>
        <w:t>在按照审计准则执行审计工作的过程中，我们运用职业判断，并保持职业怀疑。同时，</w:t>
      </w:r>
      <w:r>
        <w:rPr/>
        <w:t> 我们也执行以下工作：</w:t>
      </w:r>
    </w:p>
    <w:p>
      <w:pPr>
        <w:pStyle w:val="Heading4"/>
        <w:spacing w:line="357" w:lineRule="auto" w:before="192"/>
        <w:ind w:right="1132" w:firstLine="480"/>
        <w:jc w:val="both"/>
      </w:pPr>
      <w:r>
        <w:rPr/>
        <w:t>（</w:t>
      </w:r>
      <w:r>
        <w:rPr>
          <w:rFonts w:ascii="宋体" w:hAnsi="宋体" w:cs="宋体" w:eastAsia="宋体" w:hint="default"/>
        </w:rPr>
        <w:t>1</w:t>
      </w:r>
      <w:r>
        <w:rPr/>
        <w:t>）识别和评估由于舞弊或错误导致的财务报表重大错报风险，设计和实施审计程 </w:t>
      </w:r>
      <w:r>
        <w:rPr>
          <w:spacing w:val="-3"/>
        </w:rPr>
        <w:t>序以应对这些风险，并获取充分、适当的审计证据，作为发表审计意见的基础。由于舞弊</w:t>
      </w:r>
      <w:r>
        <w:rPr>
          <w:spacing w:val="-83"/>
        </w:rPr>
        <w:t> </w:t>
      </w:r>
      <w:r>
        <w:rPr>
          <w:spacing w:val="-83"/>
        </w:rPr>
      </w:r>
      <w:r>
        <w:rPr>
          <w:spacing w:val="-3"/>
        </w:rPr>
        <w:t>可能涉及串通、伪造、故意遗漏、虚假陈述或凌驾于内部控制之上，未能发现由于舞弊导</w:t>
      </w:r>
      <w:r>
        <w:rPr>
          <w:spacing w:val="-83"/>
        </w:rPr>
        <w:t> </w:t>
      </w:r>
      <w:r>
        <w:rPr>
          <w:spacing w:val="-83"/>
        </w:rPr>
      </w:r>
      <w:r>
        <w:rPr/>
        <w:t>致的重大错报的风险高于未能发现由于错误导致的重大错报的风险。</w:t>
      </w:r>
    </w:p>
    <w:p>
      <w:pPr>
        <w:pStyle w:val="Heading4"/>
        <w:spacing w:line="357" w:lineRule="auto" w:before="192"/>
        <w:ind w:right="1177" w:firstLine="480"/>
        <w:jc w:val="both"/>
      </w:pPr>
      <w:r>
        <w:rPr/>
        <w:t>（</w:t>
      </w:r>
      <w:r>
        <w:rPr>
          <w:rFonts w:ascii="宋体" w:hAnsi="宋体" w:cs="宋体" w:eastAsia="宋体" w:hint="default"/>
        </w:rPr>
        <w:t>2</w:t>
      </w:r>
      <w:r>
        <w:rPr/>
        <w:t>）了解与审计相关的内部控制，以设计恰当的审计程序，但目的并非对内部控制 的有效性发表意见。</w:t>
      </w:r>
    </w:p>
    <w:p>
      <w:pPr>
        <w:pStyle w:val="Heading4"/>
        <w:spacing w:line="240" w:lineRule="auto" w:before="192"/>
        <w:ind w:left="988" w:right="1119"/>
        <w:jc w:val="left"/>
      </w:pPr>
      <w:r>
        <w:rPr/>
        <w:t>（</w:t>
      </w:r>
      <w:r>
        <w:rPr>
          <w:rFonts w:ascii="宋体" w:hAnsi="宋体" w:cs="宋体" w:eastAsia="宋体" w:hint="default"/>
        </w:rPr>
        <w:t>3</w:t>
      </w:r>
      <w:r>
        <w:rPr/>
        <w:t>）评价管理层选用会计政策的恰当性和作出会计估计及相关披露的合理性。</w:t>
      </w:r>
    </w:p>
    <w:p>
      <w:pPr>
        <w:spacing w:after="0" w:line="240" w:lineRule="auto"/>
        <w:jc w:val="left"/>
        <w:sectPr>
          <w:pgSz w:w="11910" w:h="16840"/>
          <w:pgMar w:header="877" w:footer="980" w:top="1060" w:bottom="1160" w:left="980" w:right="0"/>
        </w:sectPr>
      </w:pPr>
    </w:p>
    <w:p>
      <w:pPr>
        <w:spacing w:line="240" w:lineRule="auto" w:before="6"/>
        <w:rPr>
          <w:rFonts w:ascii="宋体" w:hAnsi="宋体" w:cs="宋体" w:eastAsia="宋体" w:hint="default"/>
          <w:sz w:val="29"/>
          <w:szCs w:val="29"/>
        </w:rPr>
      </w:pPr>
    </w:p>
    <w:p>
      <w:pPr>
        <w:pStyle w:val="Heading4"/>
        <w:spacing w:line="357" w:lineRule="auto" w:before="26"/>
        <w:ind w:right="998" w:firstLine="480"/>
        <w:jc w:val="left"/>
      </w:pPr>
      <w:r>
        <w:rPr/>
        <w:t>（</w:t>
      </w:r>
      <w:r>
        <w:rPr>
          <w:rFonts w:ascii="宋体" w:hAnsi="宋体" w:cs="宋体" w:eastAsia="宋体" w:hint="default"/>
        </w:rPr>
        <w:t>4</w:t>
      </w:r>
      <w:r>
        <w:rPr/>
        <w:t>）对管理层使用持续经营假设的恰当性得出结论。同时，根据获取的审计证据， 就可能导致对乐心医疗持续经营能力产生重大疑虑的事项或情况是否存在重大不确定性 得出结论。如果我们得出结论认为存在重大不确定性，审计准则要求我们在审计报告中提 </w:t>
      </w:r>
      <w:r>
        <w:rPr>
          <w:spacing w:val="-5"/>
        </w:rPr>
        <w:t>请报表使用者注意财务报表中的相关披露；如果披露不充分，我们应当发表非无保留意见。</w:t>
      </w:r>
      <w:r>
        <w:rPr>
          <w:spacing w:val="-118"/>
        </w:rPr>
        <w:t> </w:t>
      </w:r>
      <w:r>
        <w:rPr>
          <w:spacing w:val="-118"/>
        </w:rPr>
      </w:r>
      <w:r>
        <w:rPr/>
        <w:t>我们的结论基于截至审计报告日可获得的信息。然而，未来的事项或情况可能导致乐心医</w:t>
      </w:r>
      <w:r>
        <w:rPr/>
        <w:t> 疗不能持续经营。</w:t>
      </w:r>
    </w:p>
    <w:p>
      <w:pPr>
        <w:pStyle w:val="Heading4"/>
        <w:spacing w:line="357" w:lineRule="auto" w:before="192"/>
        <w:ind w:right="1158" w:firstLine="480"/>
        <w:jc w:val="left"/>
      </w:pPr>
      <w:r>
        <w:rPr/>
        <w:t>（</w:t>
      </w:r>
      <w:r>
        <w:rPr>
          <w:rFonts w:ascii="宋体" w:hAnsi="宋体" w:cs="宋体" w:eastAsia="宋体" w:hint="default"/>
        </w:rPr>
        <w:t>5</w:t>
      </w:r>
      <w:r>
        <w:rPr/>
        <w:t>）评价财务报表的总体列报（包括披露）、结构和内容，并评价财务报表是否公 允反映相关交易和事项。</w:t>
      </w:r>
    </w:p>
    <w:p>
      <w:pPr>
        <w:pStyle w:val="Heading4"/>
        <w:spacing w:line="357" w:lineRule="auto" w:before="193"/>
        <w:ind w:right="998" w:firstLine="480"/>
        <w:jc w:val="left"/>
      </w:pPr>
      <w:r>
        <w:rPr/>
        <w:t>（</w:t>
      </w:r>
      <w:r>
        <w:rPr>
          <w:rFonts w:ascii="宋体" w:hAnsi="宋体" w:cs="宋体" w:eastAsia="宋体" w:hint="default"/>
        </w:rPr>
        <w:t>6</w:t>
      </w:r>
      <w:r>
        <w:rPr/>
        <w:t>）就乐心医疗中实体或业务活动的财务信息获取充分、适当的审计证据，以对财 </w:t>
      </w:r>
      <w:r>
        <w:rPr>
          <w:spacing w:val="-5"/>
        </w:rPr>
        <w:t>务报表发表审计意见。我们负责指导、监督和执行集团审计，并对审计意见承担全部责任。</w:t>
      </w:r>
    </w:p>
    <w:p>
      <w:pPr>
        <w:pStyle w:val="Heading4"/>
        <w:spacing w:line="357" w:lineRule="auto" w:before="192"/>
        <w:ind w:right="1119" w:firstLine="480"/>
        <w:jc w:val="left"/>
      </w:pPr>
      <w:r>
        <w:rPr>
          <w:spacing w:val="-3"/>
        </w:rPr>
        <w:t>我们与治理层就计划的审计范围、时间安排和重大审计发现等事项进行沟通，包括沟</w:t>
      </w:r>
      <w:r>
        <w:rPr/>
        <w:t> 通我们在审计中识别出的值得关注的内部控制缺陷。</w:t>
      </w:r>
    </w:p>
    <w:p>
      <w:pPr>
        <w:pStyle w:val="Heading4"/>
        <w:spacing w:line="357" w:lineRule="auto" w:before="192"/>
        <w:ind w:right="1055" w:firstLine="480"/>
        <w:jc w:val="right"/>
      </w:pPr>
      <w:r>
        <w:rPr>
          <w:spacing w:val="-3"/>
        </w:rPr>
        <w:t>我们还就已遵守与独立性相关的职业道德要求向治理层提供声明，并与治理层沟通可</w:t>
      </w:r>
      <w:r>
        <w:rPr/>
        <w:t> 能被合理认为影响我们独立性的所有关系和其他事项，以及相关的防范措施（如适用）。</w:t>
      </w:r>
    </w:p>
    <w:p>
      <w:pPr>
        <w:pStyle w:val="Heading4"/>
        <w:spacing w:line="357" w:lineRule="auto" w:before="192"/>
        <w:ind w:right="1132" w:firstLine="480"/>
        <w:jc w:val="both"/>
      </w:pPr>
      <w:r>
        <w:rPr>
          <w:spacing w:val="-3"/>
        </w:rPr>
        <w:t>从与治理层沟通过的事项中，我们确定哪些事项对本期财务报表审计最为重要，因而</w:t>
      </w:r>
      <w:r>
        <w:rPr/>
        <w:t> </w:t>
      </w:r>
      <w:r>
        <w:rPr>
          <w:spacing w:val="-2"/>
        </w:rPr>
        <w:t>构成关键审计事项。我们在审计报告中描述这些事项，除非法律法规禁止公开披露这些事</w:t>
      </w:r>
      <w:r>
        <w:rPr/>
        <w:t> </w:t>
      </w:r>
      <w:r>
        <w:rPr>
          <w:spacing w:val="-2"/>
        </w:rPr>
        <w:t>项，或在极少数情形下，如果合理预期在审计报告中沟通某事项造成的负面后果超过在公</w:t>
      </w:r>
      <w:r>
        <w:rPr/>
        <w:t> 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357" w:lineRule="auto" w:before="188"/>
        <w:ind w:left="5352" w:right="1132" w:firstLine="586"/>
        <w:jc w:val="both"/>
        <w:rPr>
          <w:b w:val="0"/>
          <w:bCs w:val="0"/>
        </w:rPr>
      </w:pPr>
      <w:r>
        <w:rPr/>
        <w:t>立信会计师事务所（特殊普通合伙）</w:t>
      </w:r>
      <w:r>
        <w:rPr>
          <w:w w:val="99"/>
        </w:rPr>
        <w:t> </w:t>
      </w:r>
      <w:r>
        <w:rPr/>
        <w:t>中国注册会计师：张丽宾（项目合伙人）</w:t>
      </w:r>
      <w:r>
        <w:rPr>
          <w:w w:val="99"/>
        </w:rPr>
        <w:t> </w:t>
      </w:r>
      <w:r>
        <w:rPr/>
        <w:t>中国注册会计师：马玥</w:t>
      </w:r>
      <w:r>
        <w:rPr>
          <w:b w:val="0"/>
          <w:bCs w:val="0"/>
        </w:rPr>
      </w:r>
    </w:p>
    <w:p>
      <w:pPr>
        <w:spacing w:line="240" w:lineRule="auto" w:before="0"/>
        <w:rPr>
          <w:rFonts w:ascii="宋体" w:hAnsi="宋体" w:cs="宋体" w:eastAsia="宋体" w:hint="default"/>
          <w:b/>
          <w:bCs/>
          <w:sz w:val="24"/>
          <w:szCs w:val="24"/>
        </w:rPr>
      </w:pPr>
    </w:p>
    <w:p>
      <w:pPr>
        <w:pStyle w:val="Heading3"/>
        <w:tabs>
          <w:tab w:pos="2486" w:val="left" w:leader="none"/>
        </w:tabs>
        <w:spacing w:line="240" w:lineRule="auto" w:before="191"/>
        <w:ind w:left="0" w:right="1131"/>
        <w:jc w:val="right"/>
        <w:rPr>
          <w:b w:val="0"/>
          <w:bCs w:val="0"/>
        </w:rPr>
      </w:pPr>
      <w:r>
        <w:rPr>
          <w:w w:val="95"/>
        </w:rPr>
        <w:t>中国•上海</w:t>
        <w:tab/>
      </w:r>
      <w:r>
        <w:rPr>
          <w:rFonts w:ascii="宋体" w:hAnsi="宋体" w:cs="宋体" w:eastAsia="宋体" w:hint="default"/>
          <w:w w:val="95"/>
        </w:rPr>
        <w:t>2020</w:t>
      </w:r>
      <w:r>
        <w:rPr>
          <w:w w:val="95"/>
        </w:rPr>
        <w:t>年</w:t>
      </w:r>
      <w:r>
        <w:rPr>
          <w:rFonts w:ascii="宋体" w:hAnsi="宋体" w:cs="宋体" w:eastAsia="宋体" w:hint="default"/>
          <w:w w:val="95"/>
        </w:rPr>
        <w:t>4</w:t>
      </w:r>
      <w:r>
        <w:rPr>
          <w:w w:val="95"/>
        </w:rPr>
        <w:t>月</w:t>
      </w:r>
      <w:r>
        <w:rPr>
          <w:rFonts w:ascii="宋体" w:hAnsi="宋体" w:cs="宋体" w:eastAsia="宋体" w:hint="default"/>
          <w:w w:val="95"/>
        </w:rPr>
        <w:t>23</w:t>
      </w:r>
      <w:r>
        <w:rPr>
          <w:w w:val="95"/>
        </w:rPr>
        <w:t>日</w:t>
      </w:r>
      <w:r>
        <w:rPr>
          <w:b w:val="0"/>
          <w:bCs w:val="0"/>
        </w:rPr>
      </w:r>
    </w:p>
    <w:p>
      <w:pPr>
        <w:spacing w:after="0" w:line="240" w:lineRule="auto"/>
        <w:jc w:val="right"/>
        <w:sectPr>
          <w:pgSz w:w="11910" w:h="16840"/>
          <w:pgMar w:header="877" w:footer="980"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111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编制单位：广东乐心医疗电子股份有限公司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1" w:space="320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224,218,906.86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296,997,118.00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4,175,615.59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199,448,422.94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171,708,408.00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2,389,010.07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8,543,209.50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7,581,986.73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6,598,881.17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10,576,957.86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93,219,482.70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87,366,384.41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9,342,053.34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14,006,362.57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636,975,161.45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592,412,833.16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53,792,124.20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7,114,470.75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93,123,278.44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139,952,812.05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142,243,575.37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23,962,815.59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7,491,643.82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45,152,447.85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45,251,639.90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2,226,970.18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18,628,595.47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20,681,165.45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11,407,656.71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10,674,457.30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3,089,389.47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5,958,616.14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344,658,436.51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286,093,222.18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981,633,597.96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878,506,055.34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33,492,900.00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204,930,282.34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210,516,593.99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116,542,081.79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55,010,454.54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17,642,567.78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22,743,321.35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17,208,347.49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15,396,962.65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3,127,581.75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5,280,547.59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17,605,936.78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12,816,495.02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418,310.39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16,954.94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410,549,697.93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345,762,515.14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3,033,258.61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3,033,258.61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778,333.33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413,582,956.54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346,540,848.47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189,797,349.00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130,779,964.74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121,931,134.96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6,791,946.69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6,148,754.25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-215,577.87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35,905,571.51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32,197,649.21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212,339,989.55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188,210,351.19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568,179,682.36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530,923,557.49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1,041,649.38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568,050,641.42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531,965,206.87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981,633,597.96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878,506,055.34</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法定代表人：潘伟潮</w:t>
        <w:tab/>
      </w:r>
      <w:r>
        <w:rPr>
          <w:rFonts w:ascii="宋体" w:hAnsi="宋体" w:cs="宋体" w:eastAsia="宋体" w:hint="default"/>
          <w:spacing w:val="-1"/>
          <w:sz w:val="18"/>
          <w:szCs w:val="18"/>
        </w:rPr>
        <w:t>主管会计工作负责人：石绍海</w:t>
        <w:tab/>
      </w:r>
      <w:r>
        <w:rPr>
          <w:rFonts w:ascii="宋体" w:hAnsi="宋体" w:cs="宋体" w:eastAsia="宋体" w:hint="default"/>
          <w:sz w:val="18"/>
          <w:szCs w:val="18"/>
        </w:rPr>
        <w:t>会计机构负责人：汪小飞</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125,897,290.27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214,634,869.52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92,203,177.00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285,344,496.67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188,783,905.13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617,338.51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26,728,677.53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60,020,927.87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9,409,708.42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14,431,952.70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123,572.18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39,341,149.02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36,529,636.73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251,345.17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124,770.81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579,793,182.59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514,526,062.76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92,605,985.00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71,078,854.32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114,933,328.97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116,710,150.42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23,079,024.06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4,973,557.91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39,382,781.10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39,789,089.81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2,226,970.18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8,874,540.12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9,211,978.26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615,392.32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365,861.76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294,518,021.75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242,129,492.48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874,311,204.34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756,655,555.24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31,392,900.00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21,962,240.00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1,131,600.00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79,840,772.62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96,724,801.33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117,129,160.29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34,633,269.24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3,691,813.99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5,466,758.07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7,235,059.97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5,203,961.06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1,180,042.98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2,174,961.21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16,345,552.12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8,321,105.37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418,310.39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16,954.94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256,815,301.97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175,618,696.28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330,476.55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330,476.55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778,333.33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257,145,778.52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176,397,029.61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189,797,349.00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126,907,337.39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118,058,507.61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6,791,946.69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80" w:header="8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35,655,571.51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31,947,649.21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271,597,114.61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241,452,368.81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617,165,425.82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580,258,525.63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874,311,204.34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756,655,555.24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0"/>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883,668,227.98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775,103,192.35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883,668,227.98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775,103,192.35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857,633,368.35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751,325,256.93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669,163,605.78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574,238,940.18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5,973,662.05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6,540,132.14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69,078,757.90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75,033,670.43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46,792,196.67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43,055,194.85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68,673,306.33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56,404,153.45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-2,048,160.38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-3,946,834.12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1,570,736.46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405,915.63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8"/>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1,335,971.48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1,690,397.33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9,383,155.28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8,402,257.43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-32,575.82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2,498,428.80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-885,529.25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80" w:header="87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0"/>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4,239,077.00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-2,970,500.00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-931,620.95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-1,042,382.59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-5,277,196.19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76,047.22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37,642,646.02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26,506,972.68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368,884.61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2,922,431.77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1,162,961.16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933,431.50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36,848,569.47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28,495,972.95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6,955,144.19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6,461,104.58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29,893,425.28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22,034,868.37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29,893,425.28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22,034,868.37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31,064,115.60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24,015,870.62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-1,170,690.32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-1,981,002.25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515,504.15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-120,879.48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515,504.15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-120,879.48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505,970.60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505,970.60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9,533.55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-120,879.48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0"/>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9,533.55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-120,879.48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30,408,929.43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21,913,988.89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31,579,619.75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23,894,991.14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-1,170,690.32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-1,981,002.25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bl>
    <w:p>
      <w:pPr>
        <w:tabs>
          <w:tab w:pos="3578" w:val="left" w:leader="none"/>
          <w:tab w:pos="7721" w:val="left" w:leader="none"/>
        </w:tabs>
        <w:spacing w:line="595" w:lineRule="auto" w:before="49"/>
        <w:ind w:left="152" w:right="122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法定代表人：潘伟潮</w:t>
        <w:tab/>
      </w:r>
      <w:r>
        <w:rPr>
          <w:rFonts w:ascii="宋体" w:hAnsi="宋体" w:cs="宋体" w:eastAsia="宋体" w:hint="default"/>
          <w:spacing w:val="-1"/>
          <w:sz w:val="18"/>
          <w:szCs w:val="18"/>
        </w:rPr>
        <w:t>主管会计工作负责人：石绍海</w:t>
        <w:tab/>
      </w:r>
      <w:r>
        <w:rPr>
          <w:rFonts w:ascii="宋体" w:hAnsi="宋体" w:cs="宋体" w:eastAsia="宋体" w:hint="default"/>
          <w:sz w:val="18"/>
          <w:szCs w:val="18"/>
        </w:rPr>
        <w:t>会计机构负责人：汪小飞</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582,030,290.83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445,114,965.47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468,344,514.97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354,376,026.05</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3,548,557.09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3,794,779.70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15,143,724.34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16,775,462.70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28,805,766.85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20,180,594.66</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34,950,764.34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27,256,296.03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-811,926.22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-677,309.84</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1,444,410.04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327,462.37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1,239,522.74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1,428,859.07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7,421,008.85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5,503,919.00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2,253,436.29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6,233,348.17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1"/>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3,334,777.00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-2,066,200.00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-2,623,522.54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-2,644,483.86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-444,924.27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69,971.54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39,790,067.48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32,705,230.61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2,599.03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2,378,869.08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70,641.06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314,322.39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39,722,025.45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34,769,777.30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2,642,802.41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2,145,408.82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37,079,223.04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32,624,368.48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37,079,223.04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32,624,368.48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37,079,223.04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32,624,368.48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7"/>
        <w:gridCol w:w="2550"/>
        <w:gridCol w:w="2470"/>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887,811,796.48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775,354,954.68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67,842,864.29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68,158,228.40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9,311,307.60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10,561,605.31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964,965,968.37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854,074,788.39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589,009,583.25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499,779,470.51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207,755,313.52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161,250,036.04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17,363,731.14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27,506,580.09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75,879,541.87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80,382,520.98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890,008,169.78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768,918,607.62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74,957,798.59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85,156,180.77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582,900,000.00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3,118,788.29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7,003,765.43</w:t>
            </w:r>
          </w:p>
        </w:tc>
      </w:tr>
      <w:tr>
        <w:trPr>
          <w:trHeight w:val="71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30,454.32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698,823.45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355,000.15</w:t>
            </w: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348,504,242.76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590,602,588.88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31,734,278.29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24,854,666.31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469,508,830.00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519,999,146.46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2,293,550.00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5,906,300.00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503,536,658.29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554,160,112.77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-155,032,415.53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36,442,476.11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516,308.96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6,850,637.73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76,002,972.00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41,223,520.00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76,519,280.96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48,074,157.73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65,128,496.00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49,112,380.00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4,364,443.77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5,503,747.58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69,492,939.77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54,616,127.58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7,026,341.19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-6,541,969.85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1,895,856.51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-689,115.22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-71,152,419.24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114,367,571.81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233,426,937.34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119,059,365.53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162,274,518.10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233,426,937.34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6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527,287,274.22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436,532,239.11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31,511,005.53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27,404,917.80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6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11,205,791.61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7,064,025.47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570,004,071.36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471,001,182.38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6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387,280,050.07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312,285,250.26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48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79,920,611.77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52,716,242.78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8,420,210.88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13,312,405.19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34,861,508.56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22,516,120.52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510,482,381.28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400,830,018.75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59,521,690.08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70,171,163.63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559,900,000.00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3,118,788.29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6,735,334.80</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 金净额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782,972.62</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8"/>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348,118,788.29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567,418,307.42</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26,446,650.34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18,699,083.66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468,800,000.00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496,370,000.00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8"/>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865,350.00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1,902,950.00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496,112,000.34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520,372,033.66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-147,993,212.05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47,046,273.76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516,308.96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6,275,637.73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72,002,972.00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41,223,520.00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72,519,280.96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47,499,157.73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63,228,496.00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40,011,600.00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4,235,699.65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5,425,294.32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67,464,195.65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48,936,894.32</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5,055,085.31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-1,437,736.59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1,163,410.70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-774,768.20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-82,253,025.96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115,004,932.60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185,295,289.01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70,290,356.41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103,042,263.05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185,295,289.01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1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9"/>
        <w:gridCol w:w="583"/>
        <w:gridCol w:w="586"/>
        <w:gridCol w:w="583"/>
        <w:gridCol w:w="490"/>
        <w:gridCol w:w="677"/>
        <w:gridCol w:w="583"/>
        <w:gridCol w:w="586"/>
        <w:gridCol w:w="422"/>
        <w:gridCol w:w="745"/>
        <w:gridCol w:w="586"/>
        <w:gridCol w:w="578"/>
      </w:tblGrid>
      <w:tr>
        <w:trPr>
          <w:trHeight w:val="402"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5"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422" w:type="dxa"/>
            <w:vMerge w:val="restart"/>
            <w:tcBorders>
              <w:top w:val="single" w:sz="4" w:space="0" w:color="000000"/>
              <w:left w:val="single" w:sz="4" w:space="0" w:color="000000"/>
              <w:right w:val="single" w:sz="4" w:space="0" w:color="000000"/>
            </w:tcBorders>
            <w:shd w:val="clear" w:color="auto" w:fill="D2D2D2"/>
          </w:tcPr>
          <w:p>
            <w:pPr/>
          </w:p>
        </w:tc>
        <w:tc>
          <w:tcPr>
            <w:tcW w:w="745"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5" w:right="60"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9"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677"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9"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745"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96</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77.87</w:t>
            </w:r>
          </w:p>
        </w:tc>
        <w:tc>
          <w:tcPr>
            <w:tcW w:w="490"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32,197,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649.21</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19</w:t>
            </w:r>
          </w:p>
        </w:tc>
        <w:tc>
          <w:tcPr>
            <w:tcW w:w="422"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530,923,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557.49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649.38</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45"/>
              <w:ind w:left="52" w:right="0"/>
              <w:jc w:val="left"/>
              <w:rPr>
                <w:rFonts w:ascii="Times New Roman" w:hAnsi="Times New Roman" w:cs="Times New Roman" w:eastAsia="Times New Roman" w:hint="default"/>
                <w:sz w:val="18"/>
                <w:szCs w:val="18"/>
              </w:rPr>
            </w:pPr>
            <w:r>
              <w:rPr>
                <w:rFonts w:ascii="Times New Roman"/>
                <w:sz w:val="18"/>
              </w:rPr>
              <w:t>531,96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5,206.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87</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9"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5,848,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827.97</w:t>
            </w: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5,848,82</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7.97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5,848,</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827.97</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96</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5,633,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250.10</w:t>
            </w:r>
          </w:p>
        </w:tc>
        <w:tc>
          <w:tcPr>
            <w:tcW w:w="490"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32,197,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649.21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19</w:t>
            </w:r>
          </w:p>
        </w:tc>
        <w:tc>
          <w:tcPr>
            <w:tcW w:w="422"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536,772,</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385.46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649.38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537,81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4,034.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84</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9"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997,3</w:t>
            </w:r>
          </w:p>
          <w:p>
            <w:pPr>
              <w:pStyle w:val="TableParagraph"/>
              <w:spacing w:line="240" w:lineRule="auto" w:before="105"/>
              <w:ind w:left="44" w:right="0"/>
              <w:jc w:val="left"/>
              <w:rPr>
                <w:rFonts w:ascii="Times New Roman" w:hAnsi="Times New Roman" w:cs="Times New Roman" w:eastAsia="Times New Roman" w:hint="default"/>
                <w:sz w:val="18"/>
                <w:szCs w:val="18"/>
              </w:rPr>
            </w:pPr>
            <w:r>
              <w:rPr>
                <w:rFonts w:ascii="Times New Roman"/>
                <w:sz w:val="18"/>
              </w:rPr>
              <w:t>49.00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829.78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946.69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515,50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4.15</w:t>
            </w: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3,707,9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22.30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31,407,2</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96.90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690.32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515,50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4.15</w:t>
            </w:r>
          </w:p>
        </w:tc>
        <w:tc>
          <w:tcPr>
            <w:tcW w:w="490"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31,064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sz w:val="18"/>
              </w:rPr>
              <w:t>,115.6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22"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31,579,6</w:t>
            </w:r>
          </w:p>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19.75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690.32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9"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997,3</w:t>
            </w:r>
          </w:p>
          <w:p>
            <w:pPr>
              <w:pStyle w:val="TableParagraph"/>
              <w:spacing w:line="240" w:lineRule="auto" w:before="105"/>
              <w:ind w:left="44" w:right="0"/>
              <w:jc w:val="left"/>
              <w:rPr>
                <w:rFonts w:ascii="Times New Roman" w:hAnsi="Times New Roman" w:cs="Times New Roman" w:eastAsia="Times New Roman" w:hint="default"/>
                <w:sz w:val="18"/>
                <w:szCs w:val="18"/>
              </w:rPr>
            </w:pPr>
            <w:r>
              <w:rPr>
                <w:rFonts w:ascii="Times New Roman"/>
                <w:sz w:val="18"/>
              </w:rPr>
              <w:t>49.00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829.78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6,791,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946.69</w:t>
            </w: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3,054,23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3,054,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232.09</w:t>
            </w: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997,3</w:t>
            </w:r>
          </w:p>
          <w:p>
            <w:pPr>
              <w:pStyle w:val="TableParagraph"/>
              <w:spacing w:line="240" w:lineRule="auto" w:before="105"/>
              <w:ind w:left="44" w:right="0"/>
              <w:jc w:val="left"/>
              <w:rPr>
                <w:rFonts w:ascii="Times New Roman" w:hAnsi="Times New Roman" w:cs="Times New Roman" w:eastAsia="Times New Roman" w:hint="default"/>
                <w:sz w:val="18"/>
                <w:szCs w:val="18"/>
              </w:rPr>
            </w:pPr>
            <w:r>
              <w:rPr>
                <w:rFonts w:ascii="Times New Roman"/>
                <w:sz w:val="18"/>
              </w:rPr>
              <w:t>49.00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829.78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6,791,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946.69</w:t>
            </w: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3,054,23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3,054,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232.09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9"/>
        <w:gridCol w:w="583"/>
        <w:gridCol w:w="586"/>
        <w:gridCol w:w="583"/>
        <w:gridCol w:w="490"/>
        <w:gridCol w:w="677"/>
        <w:gridCol w:w="583"/>
        <w:gridCol w:w="586"/>
        <w:gridCol w:w="422"/>
        <w:gridCol w:w="745"/>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3,707,9</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22.30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-6,934,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477.24</w:t>
            </w: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-3,226,55</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4.94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554.94</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3,707,9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22.30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-3,707,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922.30</w:t>
            </w: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554.94</w:t>
            </w: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-3,226,55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4.94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554.94</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189,7</w:t>
            </w:r>
          </w:p>
          <w:p>
            <w:pPr>
              <w:pStyle w:val="TableParagraph"/>
              <w:spacing w:line="240" w:lineRule="auto" w:before="103"/>
              <w:ind w:left="55" w:right="0"/>
              <w:jc w:val="left"/>
              <w:rPr>
                <w:rFonts w:ascii="Times New Roman" w:hAnsi="Times New Roman" w:cs="Times New Roman" w:eastAsia="Times New Roman" w:hint="default"/>
                <w:sz w:val="18"/>
                <w:szCs w:val="18"/>
              </w:rPr>
            </w:pPr>
            <w:r>
              <w:rPr>
                <w:rFonts w:ascii="Times New Roman"/>
                <w:sz w:val="18"/>
              </w:rPr>
              <w:t>97,34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130,77</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9,964.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6,791,</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946.69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6,148,</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754.25</w:t>
            </w:r>
          </w:p>
        </w:tc>
        <w:tc>
          <w:tcPr>
            <w:tcW w:w="49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35,905,</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571.51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212,33</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9,989.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55</w:t>
            </w:r>
          </w:p>
        </w:tc>
        <w:tc>
          <w:tcPr>
            <w:tcW w:w="422"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568,179,</w:t>
            </w:r>
          </w:p>
          <w:p>
            <w:pPr>
              <w:pStyle w:val="TableParagraph"/>
              <w:spacing w:line="240" w:lineRule="auto" w:before="103"/>
              <w:ind w:left="201" w:right="0"/>
              <w:jc w:val="center"/>
              <w:rPr>
                <w:rFonts w:ascii="Times New Roman" w:hAnsi="Times New Roman" w:cs="Times New Roman" w:eastAsia="Times New Roman" w:hint="default"/>
                <w:sz w:val="18"/>
                <w:szCs w:val="18"/>
              </w:rPr>
            </w:pPr>
            <w:r>
              <w:rPr>
                <w:rFonts w:ascii="Times New Roman"/>
                <w:sz w:val="18"/>
              </w:rPr>
              <w:t>682.36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40.94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568,05</w:t>
            </w:r>
          </w:p>
          <w:p>
            <w:pPr>
              <w:pStyle w:val="TableParagraph"/>
              <w:spacing w:line="240" w:lineRule="auto" w:before="103"/>
              <w:ind w:left="95" w:right="0"/>
              <w:jc w:val="left"/>
              <w:rPr>
                <w:rFonts w:ascii="Times New Roman" w:hAnsi="Times New Roman" w:cs="Times New Roman" w:eastAsia="Times New Roman" w:hint="default"/>
                <w:sz w:val="18"/>
                <w:szCs w:val="18"/>
              </w:rPr>
            </w:pPr>
            <w:r>
              <w:rPr>
                <w:rFonts w:ascii="Times New Roman"/>
                <w:sz w:val="18"/>
              </w:rPr>
              <w:t>0,641.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7065"/>
        <w:gridCol w:w="641"/>
        <w:gridCol w:w="653"/>
      </w:tblGrid>
      <w:tr>
        <w:trPr>
          <w:trHeight w:val="403"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7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8"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6"/>
        <w:gridCol w:w="569"/>
        <w:gridCol w:w="641"/>
        <w:gridCol w:w="653"/>
      </w:tblGrid>
      <w:tr>
        <w:trPr>
          <w:trHeight w:val="206"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3" w:type="dxa"/>
            <w:vMerge w:val="restart"/>
            <w:tcBorders>
              <w:top w:val="single" w:sz="4" w:space="0" w:color="000000"/>
              <w:left w:val="single" w:sz="4" w:space="0" w:color="000000"/>
              <w:right w:val="single" w:sz="4" w:space="0" w:color="000000"/>
            </w:tcBorders>
          </w:tcPr>
          <w:p>
            <w:pPr>
              <w:pStyle w:val="TableParagraph"/>
              <w:spacing w:line="319" w:lineRule="auto" w:before="8"/>
              <w:ind w:left="232" w:right="48"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76"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10" w:space="0" w:color="D2D2D2"/>
              <w:right w:val="single" w:sz="4" w:space="0" w:color="000000"/>
            </w:tcBorders>
          </w:tcPr>
          <w:p>
            <w:pPr/>
          </w:p>
        </w:tc>
        <w:tc>
          <w:tcPr>
            <w:tcW w:w="653" w:type="dxa"/>
            <w:vMerge/>
            <w:tcBorders>
              <w:left w:val="single" w:sz="4" w:space="0" w:color="000000"/>
              <w:right w:val="single" w:sz="4" w:space="0" w:color="000000"/>
            </w:tcBorders>
          </w:tcPr>
          <w:p>
            <w:pPr/>
          </w:p>
        </w:tc>
      </w:tr>
      <w:tr>
        <w:trPr>
          <w:trHeight w:val="182"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10" w:space="0" w:color="D2D2D2"/>
              <w:right w:val="single" w:sz="4" w:space="0" w:color="000000"/>
            </w:tcBorders>
          </w:tcPr>
          <w:p>
            <w:pPr/>
          </w:p>
        </w:tc>
        <w:tc>
          <w:tcPr>
            <w:tcW w:w="653" w:type="dxa"/>
            <w:vMerge/>
            <w:tcBorders>
              <w:left w:val="single" w:sz="4" w:space="0" w:color="000000"/>
              <w:right w:val="single" w:sz="4" w:space="0" w:color="000000"/>
            </w:tcBorders>
          </w:tcPr>
          <w:p>
            <w:pPr/>
          </w:p>
        </w:tc>
      </w:tr>
      <w:tr>
        <w:trPr>
          <w:trHeight w:val="190"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10" w:space="0" w:color="D2D2D2"/>
              <w:right w:val="single" w:sz="4" w:space="0" w:color="000000"/>
            </w:tcBorders>
          </w:tcPr>
          <w:p>
            <w:pPr/>
          </w:p>
        </w:tc>
        <w:tc>
          <w:tcPr>
            <w:tcW w:w="653" w:type="dxa"/>
            <w:vMerge/>
            <w:tcBorders>
              <w:left w:val="single" w:sz="4" w:space="0" w:color="000000"/>
              <w:right w:val="single" w:sz="4" w:space="0" w:color="000000"/>
            </w:tcBorders>
          </w:tcPr>
          <w:p>
            <w:pPr/>
          </w:p>
        </w:tc>
      </w:tr>
      <w:tr>
        <w:trPr>
          <w:trHeight w:val="156"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10" w:space="0" w:color="D2D2D2"/>
              <w:right w:val="single" w:sz="4" w:space="0" w:color="000000"/>
            </w:tcBorders>
          </w:tcPr>
          <w:p>
            <w:pPr/>
          </w:p>
        </w:tc>
        <w:tc>
          <w:tcPr>
            <w:tcW w:w="653" w:type="dxa"/>
            <w:vMerge/>
            <w:tcBorders>
              <w:left w:val="single" w:sz="4" w:space="0" w:color="000000"/>
              <w:right w:val="single" w:sz="4" w:space="0" w:color="000000"/>
            </w:tcBorders>
          </w:tcPr>
          <w:p>
            <w:pPr/>
          </w:p>
        </w:tc>
      </w:tr>
      <w:tr>
        <w:trPr>
          <w:trHeight w:val="206"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121,88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0,180.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13</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-94,69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8.39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172,55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4,517.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512,07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5,211.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78.98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514,280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,290.50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121,88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0,180.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13</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-94,69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8.39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172,55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4,517.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512,07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5,211.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78.98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514,280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,290.50</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79.48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436.85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-1,163,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429.60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17,684,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916.37</w:t>
            </w:r>
          </w:p>
        </w:tc>
      </w:tr>
      <w:tr>
        <w:trPr>
          <w:trHeight w:val="163"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-120,8</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79.48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24,015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23,894</w:t>
            </w:r>
          </w:p>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,991.1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-1,981,</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002.25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21,913,</w:t>
            </w:r>
          </w:p>
          <w:p>
            <w:pPr>
              <w:pStyle w:val="TableParagraph"/>
              <w:spacing w:line="240" w:lineRule="auto" w:before="103"/>
              <w:ind w:left="127" w:right="0"/>
              <w:jc w:val="left"/>
              <w:rPr>
                <w:rFonts w:ascii="Times New Roman" w:hAnsi="Times New Roman" w:cs="Times New Roman" w:eastAsia="Times New Roman" w:hint="default"/>
                <w:sz w:val="18"/>
                <w:szCs w:val="18"/>
              </w:rPr>
            </w:pPr>
            <w:r>
              <w:rPr>
                <w:rFonts w:ascii="Times New Roman"/>
                <w:sz w:val="18"/>
              </w:rPr>
              <w:t>988.89</w:t>
            </w: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293,52</w:t>
            </w:r>
          </w:p>
          <w:p>
            <w:pPr>
              <w:pStyle w:val="TableParagraph"/>
              <w:spacing w:line="240" w:lineRule="auto" w:before="103"/>
              <w:ind w:left="209" w:right="0"/>
              <w:jc w:val="center"/>
              <w:rPr>
                <w:rFonts w:ascii="Times New Roman" w:hAnsi="Times New Roman" w:cs="Times New Roman" w:eastAsia="Times New Roman" w:hint="default"/>
                <w:sz w:val="18"/>
                <w:szCs w:val="18"/>
              </w:rPr>
            </w:pPr>
            <w:r>
              <w:rPr>
                <w:rFonts w:ascii="Times New Roman"/>
                <w:sz w:val="18"/>
              </w:rPr>
              <w:t>7.48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293,52</w:t>
            </w:r>
          </w:p>
          <w:p>
            <w:pPr>
              <w:pStyle w:val="TableParagraph"/>
              <w:spacing w:line="240" w:lineRule="auto" w:before="103"/>
              <w:ind w:left="196" w:right="0"/>
              <w:jc w:val="center"/>
              <w:rPr>
                <w:rFonts w:ascii="Times New Roman" w:hAnsi="Times New Roman" w:cs="Times New Roman" w:eastAsia="Times New Roman" w:hint="default"/>
                <w:sz w:val="18"/>
                <w:szCs w:val="18"/>
              </w:rPr>
            </w:pPr>
            <w:r>
              <w:rPr>
                <w:rFonts w:ascii="Times New Roman"/>
                <w:sz w:val="18"/>
              </w:rPr>
              <w:t>7.48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3"/>
              <w:ind w:left="395" w:right="0"/>
              <w:jc w:val="left"/>
              <w:rPr>
                <w:rFonts w:ascii="Times New Roman" w:hAnsi="Times New Roman" w:cs="Times New Roman" w:eastAsia="Times New Roman" w:hint="default"/>
                <w:sz w:val="18"/>
                <w:szCs w:val="18"/>
              </w:rPr>
            </w:pPr>
            <w:r>
              <w:rPr>
                <w:rFonts w:ascii="Times New Roman"/>
                <w:sz w:val="18"/>
              </w:rPr>
              <w:t>.48</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-242,5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72.65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-242,5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72.65</w:t>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-242,57</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2.65</w:t>
            </w: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436.85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-8,360,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036.85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-5,097,</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817,572</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027.35</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80" w:header="877"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436.85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436.85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-5,097,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-5,097,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-5,097,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242,572</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242,572</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.65</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188,8</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-215,5</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77.87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0,351.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530,92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1,041,6</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49.38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531,965</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,206.87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7"/>
        <w:gridCol w:w="725"/>
        <w:gridCol w:w="727"/>
        <w:gridCol w:w="727"/>
        <w:gridCol w:w="614"/>
        <w:gridCol w:w="711"/>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188,80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118,058,</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507.61</w:t>
            </w:r>
          </w:p>
        </w:tc>
        <w:tc>
          <w:tcPr>
            <w:tcW w:w="727" w:type="dxa"/>
            <w:vMerge w:val="restart"/>
            <w:tcBorders>
              <w:top w:val="single" w:sz="21" w:space="0" w:color="D2D2D2"/>
              <w:left w:val="single" w:sz="4" w:space="0" w:color="000000"/>
              <w:right w:val="single" w:sz="4" w:space="0" w:color="000000"/>
            </w:tcBorders>
          </w:tcPr>
          <w:p>
            <w:pPr/>
          </w:p>
        </w:tc>
        <w:tc>
          <w:tcPr>
            <w:tcW w:w="725"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31,947,6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49.21</w:t>
            </w:r>
          </w:p>
        </w:tc>
        <w:tc>
          <w:tcPr>
            <w:tcW w:w="614" w:type="dxa"/>
            <w:vMerge w:val="restart"/>
            <w:tcBorders>
              <w:top w:val="single" w:sz="21" w:space="0" w:color="D2D2D2"/>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2,368.8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1" w:space="0" w:color="D2D2D2"/>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580,258,5</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25.63</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188,80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118,058,</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507.61</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31,947,6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49.21</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241,45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2,368.8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580,258,5</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25.63</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997,34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8,848,82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6,791,94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6.69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3,707,92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2.30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30,144,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745.80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36,906,90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0.19</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37,079,</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223.04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37,079,22</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3.04</w:t>
            </w: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997,34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8,848,82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6,791,94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6.69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3,054,232.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997,34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8,848,82</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9.78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6,791,94</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6.69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3,054,232.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3,707,92</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2.30</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-6,934,</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477.24</w:t>
            </w:r>
          </w:p>
        </w:tc>
        <w:tc>
          <w:tcPr>
            <w:tcW w:w="711"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-3,226,554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39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3,707,92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2.30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-3,707,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922.30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554.94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-3,226,554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（四）所有者权</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4"/>
        <w:gridCol w:w="711"/>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7,349.0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126,907,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337.39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6,791,94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6.69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35,655,5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71.51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7,114.6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617,165,4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25.82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7"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1"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117,764,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980.13</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28,685,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212.36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217,188,0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37.18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552,438,22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本年期初余</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56" w:right="0"/>
              <w:jc w:val="left"/>
              <w:rPr>
                <w:rFonts w:ascii="Times New Roman" w:hAnsi="Times New Roman" w:cs="Times New Roman" w:eastAsia="Times New Roman" w:hint="default"/>
                <w:sz w:val="18"/>
                <w:szCs w:val="18"/>
              </w:rPr>
            </w:pPr>
            <w:r>
              <w:rPr>
                <w:rFonts w:ascii="Times New Roman"/>
                <w:sz w:val="18"/>
              </w:rPr>
              <w:t>188,80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Times New Roman" w:hAnsi="Times New Roman" w:cs="Times New Roman" w:eastAsia="Times New Roman" w:hint="default"/>
                <w:sz w:val="18"/>
                <w:szCs w:val="18"/>
              </w:rPr>
            </w:pPr>
            <w:r>
              <w:rPr>
                <w:rFonts w:ascii="Times New Roman"/>
                <w:sz w:val="18"/>
              </w:rPr>
              <w:t>117,764,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28,685,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217,188,0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552,438,22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980.13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212.36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37.18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9.67</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24,264,33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27,820,295.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32,624,36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32,624,368.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293,527.48</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293,527.48</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-8,360,03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36.85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-3,262,43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-5,097,60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118,058,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507.61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31,947,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649.21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241,452,3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580,258,52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5.63</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1119"/>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广东乐心医疗电子股份有限公司（以下简称“公司”或“本公司”），是在中山市创源电子有限公司</w:t>
      </w:r>
      <w:r>
        <w:rPr>
          <w:w w:val="100"/>
        </w:rPr>
        <w:t> </w:t>
      </w:r>
      <w:r>
        <w:rPr/>
        <w:t>基础上整体变更设立的股份公司。创源电子于</w:t>
      </w:r>
      <w:r>
        <w:rPr>
          <w:rFonts w:ascii="宋体" w:hAnsi="宋体" w:cs="宋体" w:eastAsia="宋体" w:hint="default"/>
        </w:rPr>
        <w:t>2002</w:t>
      </w:r>
      <w:r>
        <w:rPr/>
        <w:t>年</w:t>
      </w:r>
      <w:r>
        <w:rPr>
          <w:rFonts w:ascii="宋体" w:hAnsi="宋体" w:cs="宋体" w:eastAsia="宋体" w:hint="default"/>
        </w:rPr>
        <w:t>7</w:t>
      </w:r>
      <w:r>
        <w:rPr/>
        <w:t>月</w:t>
      </w:r>
      <w:r>
        <w:rPr>
          <w:rFonts w:ascii="宋体" w:hAnsi="宋体" w:cs="宋体" w:eastAsia="宋体" w:hint="default"/>
        </w:rPr>
        <w:t>18</w:t>
      </w:r>
      <w:r>
        <w:rPr/>
        <w:t>日经中山市工商行政管理局批准成立，公司初</w:t>
      </w:r>
      <w:r>
        <w:rPr>
          <w:spacing w:val="-28"/>
        </w:rPr>
        <w:t> </w:t>
      </w:r>
      <w:r>
        <w:rPr>
          <w:spacing w:val="-28"/>
        </w:rPr>
      </w:r>
      <w:r>
        <w:rPr/>
        <w:t>始注册资本为</w:t>
      </w:r>
      <w:r>
        <w:rPr>
          <w:rFonts w:ascii="宋体" w:hAnsi="宋体" w:cs="宋体" w:eastAsia="宋体" w:hint="default"/>
        </w:rPr>
        <w:t>50.00</w:t>
      </w:r>
      <w:r>
        <w:rPr/>
        <w:t>万元，营业执照注册号为</w:t>
      </w:r>
      <w:r>
        <w:rPr>
          <w:rFonts w:ascii="宋体" w:hAnsi="宋体" w:cs="宋体" w:eastAsia="宋体" w:hint="default"/>
        </w:rPr>
        <w:t>442000000123096</w:t>
      </w:r>
      <w:r>
        <w:rPr/>
        <w:t>。</w:t>
      </w:r>
    </w:p>
    <w:p>
      <w:pPr>
        <w:pStyle w:val="BodyText"/>
        <w:spacing w:line="408" w:lineRule="auto"/>
        <w:ind w:right="1128" w:firstLine="420"/>
        <w:jc w:val="both"/>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日，经中国证券监督管理委员会“证监许可【</w:t>
      </w:r>
      <w:r>
        <w:rPr>
          <w:rFonts w:ascii="宋体" w:hAnsi="宋体" w:cs="宋体" w:eastAsia="宋体" w:hint="default"/>
          <w:spacing w:val="-2"/>
        </w:rPr>
        <w:t>2016</w:t>
      </w:r>
      <w:r>
        <w:rPr>
          <w:spacing w:val="-2"/>
        </w:rPr>
        <w:t>】</w:t>
      </w:r>
      <w:r>
        <w:rPr>
          <w:rFonts w:ascii="宋体" w:hAnsi="宋体" w:cs="宋体" w:eastAsia="宋体" w:hint="default"/>
          <w:spacing w:val="-2"/>
        </w:rPr>
        <w:t>2432</w:t>
      </w:r>
      <w:r>
        <w:rPr>
          <w:spacing w:val="-2"/>
        </w:rPr>
        <w:t>号文”《关于核准广东乐心医</w:t>
      </w:r>
      <w:r>
        <w:rPr>
          <w:w w:val="100"/>
        </w:rPr>
        <w:t> </w:t>
      </w:r>
      <w:r>
        <w:rPr/>
        <w:t>疗电子股份有限公司首次公开发行股票的批复》核准，</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7</w:t>
      </w:r>
      <w:r>
        <w:rPr/>
        <w:t>日公司向社会公众公开发行</w:t>
      </w:r>
      <w:r>
        <w:rPr>
          <w:rFonts w:ascii="宋体" w:hAnsi="宋体" w:cs="宋体" w:eastAsia="宋体" w:hint="default"/>
        </w:rPr>
        <w:t>1,480.00</w:t>
      </w:r>
      <w:r>
        <w:rPr>
          <w:rFonts w:ascii="宋体" w:hAnsi="宋体" w:cs="宋体" w:eastAsia="宋体" w:hint="default"/>
          <w:spacing w:val="-24"/>
        </w:rPr>
        <w:t> </w:t>
      </w:r>
      <w:r>
        <w:rPr>
          <w:rFonts w:ascii="宋体" w:hAnsi="宋体" w:cs="宋体" w:eastAsia="宋体" w:hint="default"/>
          <w:spacing w:val="-24"/>
        </w:rPr>
      </w:r>
      <w:r>
        <w:rPr/>
        <w:t>万股人民币普通股股票（每股面值</w:t>
      </w:r>
      <w:r>
        <w:rPr>
          <w:rFonts w:ascii="宋体" w:hAnsi="宋体" w:cs="宋体" w:eastAsia="宋体" w:hint="default"/>
        </w:rPr>
        <w:t>1</w:t>
      </w:r>
      <w:r>
        <w:rPr/>
        <w:t>元）。本次公开发行股票后增加注册资本人民币</w:t>
      </w:r>
      <w:r>
        <w:rPr>
          <w:rFonts w:ascii="宋体" w:hAnsi="宋体" w:cs="宋体" w:eastAsia="宋体" w:hint="default"/>
        </w:rPr>
        <w:t>1,480.00</w:t>
      </w:r>
      <w:r>
        <w:rPr/>
        <w:t>万元，变更</w:t>
      </w:r>
      <w:r>
        <w:rPr>
          <w:spacing w:val="-23"/>
        </w:rPr>
        <w:t> </w:t>
      </w:r>
      <w:r>
        <w:rPr>
          <w:spacing w:val="-23"/>
        </w:rPr>
      </w:r>
      <w:r>
        <w:rPr/>
        <w:t>后的注册资本为人民币</w:t>
      </w:r>
      <w:r>
        <w:rPr>
          <w:rFonts w:ascii="宋体" w:hAnsi="宋体" w:cs="宋体" w:eastAsia="宋体" w:hint="default"/>
        </w:rPr>
        <w:t>5,900.00</w:t>
      </w:r>
      <w:r>
        <w:rPr/>
        <w:t>万元。</w:t>
      </w:r>
    </w:p>
    <w:p>
      <w:pPr>
        <w:pStyle w:val="BodyText"/>
        <w:spacing w:line="408" w:lineRule="auto"/>
        <w:ind w:right="1126" w:firstLine="420"/>
        <w:jc w:val="both"/>
      </w:pPr>
      <w:r>
        <w:rPr>
          <w:rFonts w:ascii="宋体" w:hAnsi="宋体" w:cs="宋体" w:eastAsia="宋体" w:hint="default"/>
        </w:rPr>
        <w:t>2017</w:t>
      </w:r>
      <w:r>
        <w:rPr/>
        <w:t>年</w:t>
      </w:r>
      <w:r>
        <w:rPr>
          <w:rFonts w:ascii="宋体" w:hAnsi="宋体" w:cs="宋体" w:eastAsia="宋体" w:hint="default"/>
        </w:rPr>
        <w:t>4</w:t>
      </w:r>
      <w:r>
        <w:rPr/>
        <w:t>月，根据</w:t>
      </w:r>
      <w:r>
        <w:rPr>
          <w:rFonts w:ascii="宋体" w:hAnsi="宋体" w:cs="宋体" w:eastAsia="宋体" w:hint="default"/>
        </w:rPr>
        <w:t>2016</w:t>
      </w:r>
      <w:r>
        <w:rPr/>
        <w:t>年度股东大会通过的有关决议，公司以截止</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5,900.00</w:t>
      </w:r>
      <w:r>
        <w:rPr/>
        <w:t>万</w:t>
      </w:r>
      <w:r>
        <w:rPr>
          <w:w w:val="100"/>
        </w:rPr>
        <w:t> </w:t>
      </w:r>
      <w:r>
        <w:rPr>
          <w:spacing w:val="-2"/>
        </w:rPr>
        <w:t>股为基数，以资本公积金向全体股东每</w:t>
      </w:r>
      <w:r>
        <w:rPr>
          <w:rFonts w:ascii="宋体" w:hAnsi="宋体" w:cs="宋体" w:eastAsia="宋体" w:hint="default"/>
          <w:spacing w:val="-2"/>
        </w:rPr>
        <w:t>10.00</w:t>
      </w:r>
      <w:r>
        <w:rPr>
          <w:spacing w:val="-2"/>
        </w:rPr>
        <w:t>股转增</w:t>
      </w:r>
      <w:r>
        <w:rPr>
          <w:rFonts w:ascii="宋体" w:hAnsi="宋体" w:cs="宋体" w:eastAsia="宋体" w:hint="default"/>
          <w:spacing w:val="-2"/>
        </w:rPr>
        <w:t>22.00</w:t>
      </w:r>
      <w:r>
        <w:rPr>
          <w:spacing w:val="-2"/>
        </w:rPr>
        <w:t>股。转增完成后公司股本由</w:t>
      </w:r>
      <w:r>
        <w:rPr>
          <w:rFonts w:ascii="宋体" w:hAnsi="宋体" w:cs="宋体" w:eastAsia="宋体" w:hint="default"/>
          <w:spacing w:val="-2"/>
        </w:rPr>
        <w:t>5,900.00</w:t>
      </w:r>
      <w:r>
        <w:rPr>
          <w:spacing w:val="-2"/>
        </w:rPr>
        <w:t>万股增加至</w:t>
      </w:r>
      <w:r>
        <w:rPr>
          <w:spacing w:val="-27"/>
        </w:rPr>
        <w:t> </w:t>
      </w:r>
      <w:r>
        <w:rPr>
          <w:spacing w:val="-27"/>
        </w:rPr>
      </w:r>
      <w:r>
        <w:rPr>
          <w:rFonts w:ascii="宋体" w:hAnsi="宋体" w:cs="宋体" w:eastAsia="宋体" w:hint="default"/>
        </w:rPr>
        <w:t>18,880.00</w:t>
      </w:r>
      <w:r>
        <w:rPr/>
        <w:t>万股，公司注册资本由</w:t>
      </w:r>
      <w:r>
        <w:rPr>
          <w:rFonts w:ascii="宋体" w:hAnsi="宋体" w:cs="宋体" w:eastAsia="宋体" w:hint="default"/>
        </w:rPr>
        <w:t>5,900.00</w:t>
      </w:r>
      <w:r>
        <w:rPr/>
        <w:t>万元增加至</w:t>
      </w:r>
      <w:r>
        <w:rPr>
          <w:rFonts w:ascii="宋体" w:hAnsi="宋体" w:cs="宋体" w:eastAsia="宋体" w:hint="default"/>
        </w:rPr>
        <w:t>18,880.00</w:t>
      </w:r>
      <w:r>
        <w:rPr/>
        <w:t>万元。</w:t>
      </w:r>
    </w:p>
    <w:p>
      <w:pPr>
        <w:pStyle w:val="BodyText"/>
        <w:spacing w:line="408" w:lineRule="auto" w:before="43"/>
        <w:ind w:right="1126"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日，根据公司第二届董事会第二十一次会议、</w:t>
      </w:r>
      <w:r>
        <w:rPr>
          <w:rFonts w:ascii="宋体" w:hAnsi="宋体" w:cs="宋体" w:eastAsia="宋体" w:hint="default"/>
          <w:spacing w:val="-2"/>
        </w:rPr>
        <w:t>2018</w:t>
      </w:r>
      <w:r>
        <w:rPr>
          <w:spacing w:val="-2"/>
        </w:rPr>
        <w:t>年第四次临时股东大会审议通过《关</w:t>
      </w:r>
      <w:r>
        <w:rPr>
          <w:w w:val="100"/>
        </w:rPr>
        <w:t> </w:t>
      </w:r>
      <w:r>
        <w:rPr>
          <w:spacing w:val="2"/>
        </w:rPr>
        <w:t>于向激励对象授予股票期权与限制性股票的议案》，以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日为授予日，向</w:t>
      </w:r>
      <w:r>
        <w:rPr>
          <w:rFonts w:ascii="宋体" w:hAnsi="宋体" w:cs="宋体" w:eastAsia="宋体" w:hint="default"/>
          <w:spacing w:val="2"/>
        </w:rPr>
        <w:t>42</w:t>
      </w:r>
      <w:r>
        <w:rPr>
          <w:spacing w:val="2"/>
        </w:rPr>
        <w:t>名激励对象授予</w:t>
      </w:r>
      <w:r>
        <w:rPr>
          <w:spacing w:val="-30"/>
        </w:rPr>
        <w:t> </w:t>
      </w:r>
      <w:r>
        <w:rPr>
          <w:spacing w:val="-30"/>
        </w:rPr>
      </w:r>
      <w:r>
        <w:rPr>
          <w:rFonts w:ascii="宋体" w:hAnsi="宋体" w:cs="宋体" w:eastAsia="宋体" w:hint="default"/>
        </w:rPr>
        <w:t>997,349</w:t>
      </w:r>
      <w:r>
        <w:rPr/>
        <w:t>股限制性股票，公司申请增加注册资本</w:t>
      </w:r>
      <w:r>
        <w:rPr>
          <w:rFonts w:ascii="宋体" w:hAnsi="宋体" w:cs="宋体" w:eastAsia="宋体" w:hint="default"/>
        </w:rPr>
        <w:t>99.7349</w:t>
      </w:r>
      <w:r>
        <w:rPr/>
        <w:t>万元，变更后的注册资本为</w:t>
      </w:r>
      <w:r>
        <w:rPr>
          <w:rFonts w:ascii="宋体" w:hAnsi="宋体" w:cs="宋体" w:eastAsia="宋体" w:hint="default"/>
        </w:rPr>
        <w:t>18,979.7349</w:t>
      </w:r>
      <w:r>
        <w:rPr/>
        <w:t>万元。本</w:t>
      </w:r>
      <w:r>
        <w:rPr>
          <w:spacing w:val="-29"/>
        </w:rPr>
        <w:t> </w:t>
      </w:r>
      <w:r>
        <w:rPr>
          <w:spacing w:val="-29"/>
        </w:rPr>
      </w:r>
      <w:r>
        <w:rPr/>
        <w:t>次增资业经立信会计师事务所（特殊普通合伙）于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8</w:t>
      </w:r>
      <w:r>
        <w:rPr/>
        <w:t>日出具信会师报字</w:t>
      </w:r>
      <w:r>
        <w:rPr>
          <w:rFonts w:ascii="宋体" w:hAnsi="宋体" w:cs="宋体" w:eastAsia="宋体" w:hint="default"/>
        </w:rPr>
        <w:t>[2019]</w:t>
      </w:r>
      <w:r>
        <w:rPr/>
        <w:t>第</w:t>
      </w:r>
      <w:r>
        <w:rPr>
          <w:rFonts w:ascii="宋体" w:hAnsi="宋体" w:cs="宋体" w:eastAsia="宋体" w:hint="default"/>
        </w:rPr>
        <w:t>ZE10003</w:t>
      </w:r>
      <w:r>
        <w:rPr/>
        <w:t>号《验</w:t>
      </w:r>
      <w:r>
        <w:rPr>
          <w:spacing w:val="-24"/>
        </w:rPr>
        <w:t> </w:t>
      </w:r>
      <w:r>
        <w:rPr>
          <w:spacing w:val="-24"/>
        </w:rPr>
      </w:r>
      <w:r>
        <w:rPr/>
        <w:t>资报告》审验。</w:t>
      </w:r>
    </w:p>
    <w:p>
      <w:pPr>
        <w:pStyle w:val="BodyText"/>
        <w:spacing w:line="408" w:lineRule="auto"/>
        <w:ind w:left="573" w:right="1119"/>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日止，公司总股本</w:t>
      </w:r>
      <w:r>
        <w:rPr>
          <w:rFonts w:ascii="宋体" w:hAnsi="宋体" w:cs="宋体" w:eastAsia="宋体" w:hint="default"/>
        </w:rPr>
        <w:t>18,979.7349</w:t>
      </w:r>
      <w:r>
        <w:rPr/>
        <w:t>万股，注册资本</w:t>
      </w:r>
      <w:r>
        <w:rPr>
          <w:rFonts w:ascii="宋体" w:hAnsi="宋体" w:cs="宋体" w:eastAsia="宋体" w:hint="default"/>
        </w:rPr>
        <w:t>18,979.7349</w:t>
      </w:r>
      <w:r>
        <w:rPr/>
        <w:t>万元。</w:t>
      </w:r>
      <w:r>
        <w:rPr>
          <w:w w:val="100"/>
        </w:rPr>
        <w:t> </w:t>
      </w:r>
      <w:r>
        <w:rPr/>
        <w:t>法定代表人：潘伟潮</w:t>
      </w:r>
      <w:r>
        <w:rPr>
          <w:w w:val="100"/>
        </w:rPr>
        <w:t> </w:t>
      </w:r>
      <w:r>
        <w:rPr>
          <w:spacing w:val="-2"/>
        </w:rPr>
        <w:t>经营范围：软件开发和销售；研发：医疗器械；第二、三类医疗器械生产企业；研发、生产、销售：</w:t>
      </w:r>
    </w:p>
    <w:p>
      <w:pPr>
        <w:pStyle w:val="BodyText"/>
        <w:spacing w:line="408" w:lineRule="auto"/>
        <w:ind w:right="1119"/>
        <w:jc w:val="left"/>
      </w:pPr>
      <w:r>
        <w:rPr>
          <w:spacing w:val="-2"/>
        </w:rPr>
        <w:t>电子产品、无线通信器材；相关产品的技术推广和咨询服务；货物和技术进出口（依法须经批准的项目，</w:t>
      </w:r>
      <w:r>
        <w:rPr>
          <w:spacing w:val="-21"/>
        </w:rPr>
        <w:t> </w:t>
      </w:r>
      <w:r>
        <w:rPr>
          <w:spacing w:val="-21"/>
        </w:rPr>
      </w:r>
      <w:r>
        <w:rPr>
          <w:spacing w:val="-2"/>
        </w:rPr>
        <w:t>经相关部门批准后方可开展经营活动。）</w:t>
      </w:r>
      <w:r>
        <w:rPr>
          <w:rFonts w:ascii="宋体" w:hAnsi="宋体" w:cs="宋体" w:eastAsia="宋体" w:hint="default"/>
          <w:spacing w:val="-2"/>
        </w:rPr>
        <w:t>(</w:t>
      </w:r>
      <w:r>
        <w:rPr>
          <w:spacing w:val="-2"/>
        </w:rPr>
        <w:t>依法须经批准的项目，经相关部门批准后方可开展经营活动</w:t>
      </w:r>
      <w:r>
        <w:rPr>
          <w:rFonts w:ascii="宋体" w:hAnsi="宋体" w:cs="宋体" w:eastAsia="宋体" w:hint="default"/>
          <w:spacing w:val="-2"/>
        </w:rPr>
        <w:t>)</w:t>
      </w:r>
      <w:r>
        <w:rPr>
          <w:spacing w:val="-2"/>
        </w:rPr>
        <w:t>。</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343" w:lineRule="auto" w:before="175"/>
        <w:ind w:left="152" w:right="4274" w:firstLine="420"/>
        <w:jc w:val="left"/>
        <w:rPr>
          <w:rFonts w:ascii="宋体" w:hAnsi="宋体" w:cs="宋体" w:eastAsia="宋体" w:hint="default"/>
          <w:sz w:val="21"/>
          <w:szCs w:val="21"/>
        </w:rPr>
      </w:pPr>
      <w:r>
        <w:rPr>
          <w:rFonts w:ascii="宋体" w:hAnsi="宋体" w:cs="宋体" w:eastAsia="宋体" w:hint="default"/>
          <w:spacing w:val="-2"/>
          <w:sz w:val="21"/>
          <w:szCs w:val="21"/>
        </w:rPr>
        <w:t>本财务报表业经公司董事会于</w:t>
      </w:r>
      <w:r>
        <w:rPr>
          <w:rFonts w:ascii="宋体" w:hAnsi="宋体" w:cs="宋体" w:eastAsia="宋体" w:hint="default"/>
          <w:spacing w:val="-2"/>
          <w:sz w:val="21"/>
          <w:szCs w:val="21"/>
        </w:rPr>
        <w:t>2020</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23</w:t>
      </w:r>
      <w:r>
        <w:rPr>
          <w:rFonts w:ascii="宋体" w:hAnsi="宋体" w:cs="宋体" w:eastAsia="宋体" w:hint="default"/>
          <w:spacing w:val="-2"/>
          <w:sz w:val="21"/>
          <w:szCs w:val="21"/>
        </w:rPr>
        <w:t>日批准报出。</w:t>
      </w:r>
      <w:r>
        <w:rPr>
          <w:rFonts w:ascii="宋体" w:hAnsi="宋体" w:cs="宋体" w:eastAsia="宋体" w:hint="default"/>
          <w:w w:val="100"/>
          <w:sz w:val="21"/>
          <w:szCs w:val="21"/>
        </w:rPr>
        <w:t> </w:t>
      </w:r>
      <w:r>
        <w:rPr>
          <w:rFonts w:ascii="宋体" w:hAnsi="宋体" w:cs="宋体" w:eastAsia="宋体" w:hint="default"/>
          <w:b/>
          <w:bCs/>
          <w:sz w:val="21"/>
          <w:szCs w:val="21"/>
        </w:rPr>
        <w:t>合并财务报表范围</w:t>
      </w:r>
      <w:r>
        <w:rPr>
          <w:rFonts w:ascii="宋体" w:hAnsi="宋体" w:cs="宋体" w:eastAsia="宋体" w:hint="default"/>
          <w:sz w:val="21"/>
          <w:szCs w:val="21"/>
        </w:rPr>
      </w:r>
    </w:p>
    <w:p>
      <w:pPr>
        <w:pStyle w:val="BodyText"/>
        <w:spacing w:line="238" w:lineRule="exact" w:before="0"/>
        <w:ind w:left="489" w:right="1119"/>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755" w:type="dxa"/>
        <w:tblLayout w:type="fixed"/>
        <w:tblCellMar>
          <w:top w:w="0" w:type="dxa"/>
          <w:left w:w="0" w:type="dxa"/>
          <w:bottom w:w="0" w:type="dxa"/>
          <w:right w:w="0" w:type="dxa"/>
        </w:tblCellMar>
        <w:tblLook w:val="01E0"/>
      </w:tblPr>
      <w:tblGrid>
        <w:gridCol w:w="7814"/>
      </w:tblGrid>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中山市创源传感器有限公司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中山市创源贸易有限公司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深圳市乐心医疗电子有限公司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广州动心信息科技有限公司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香港创源有限公司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Lifesense Singapore</w:t>
            </w:r>
            <w:r>
              <w:rPr>
                <w:rFonts w:ascii="Times New Roman"/>
                <w:spacing w:val="-5"/>
                <w:sz w:val="18"/>
              </w:rPr>
              <w:t> </w:t>
            </w:r>
            <w:r>
              <w:rPr>
                <w:rFonts w:ascii="Times New Roman"/>
                <w:sz w:val="18"/>
              </w:rPr>
              <w:t>Pte.Ltd.</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广州乐心瑜宏医疗产业投资基金合伙企业（有限合伙）</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中山市乐恒电子有限公司</w:t>
            </w:r>
          </w:p>
        </w:tc>
      </w:tr>
    </w:tbl>
    <w:p>
      <w:pPr>
        <w:spacing w:line="240" w:lineRule="auto" w:before="2"/>
        <w:rPr>
          <w:rFonts w:ascii="宋体" w:hAnsi="宋体" w:cs="宋体" w:eastAsia="宋体" w:hint="default"/>
          <w:sz w:val="20"/>
          <w:szCs w:val="20"/>
        </w:rPr>
      </w:pPr>
    </w:p>
    <w:p>
      <w:pPr>
        <w:pStyle w:val="BodyText"/>
        <w:spacing w:line="240" w:lineRule="auto" w:before="36"/>
        <w:ind w:left="489" w:right="996"/>
        <w:jc w:val="left"/>
      </w:pPr>
      <w:r>
        <w:rPr>
          <w:w w:val="100"/>
        </w:rPr>
        <w:t>本期</w:t>
      </w:r>
      <w:r>
        <w:rPr>
          <w:spacing w:val="-3"/>
          <w:w w:val="100"/>
        </w:rPr>
        <w:t>合</w:t>
      </w:r>
      <w:r>
        <w:rPr>
          <w:w w:val="100"/>
        </w:rPr>
        <w:t>并</w:t>
      </w:r>
      <w:r>
        <w:rPr>
          <w:spacing w:val="-3"/>
          <w:w w:val="100"/>
        </w:rPr>
        <w:t>财</w:t>
      </w:r>
      <w:r>
        <w:rPr>
          <w:w w:val="100"/>
        </w:rPr>
        <w:t>务</w:t>
      </w:r>
      <w:r>
        <w:rPr>
          <w:spacing w:val="-3"/>
          <w:w w:val="100"/>
        </w:rPr>
        <w:t>报</w:t>
      </w:r>
      <w:r>
        <w:rPr>
          <w:w w:val="100"/>
        </w:rPr>
        <w:t>表</w:t>
      </w:r>
      <w:r>
        <w:rPr>
          <w:spacing w:val="-3"/>
          <w:w w:val="100"/>
        </w:rPr>
        <w:t>范围</w:t>
      </w:r>
      <w:r>
        <w:rPr>
          <w:w w:val="100"/>
        </w:rPr>
        <w:t>及其</w:t>
      </w:r>
      <w:r>
        <w:rPr>
          <w:spacing w:val="-3"/>
          <w:w w:val="100"/>
        </w:rPr>
        <w:t>变</w:t>
      </w:r>
      <w:r>
        <w:rPr>
          <w:w w:val="100"/>
        </w:rPr>
        <w:t>化</w:t>
      </w:r>
      <w:r>
        <w:rPr>
          <w:spacing w:val="-3"/>
          <w:w w:val="100"/>
        </w:rPr>
        <w:t>情</w:t>
      </w:r>
      <w:r>
        <w:rPr>
          <w:w w:val="100"/>
        </w:rPr>
        <w:t>况</w:t>
      </w:r>
      <w:r>
        <w:rPr>
          <w:spacing w:val="-3"/>
          <w:w w:val="100"/>
        </w:rPr>
        <w:t>详</w:t>
      </w:r>
      <w:r>
        <w:rPr>
          <w:w w:val="100"/>
        </w:rPr>
        <w:t>见</w:t>
      </w:r>
      <w:r>
        <w:rPr>
          <w:spacing w:val="-3"/>
          <w:w w:val="100"/>
        </w:rPr>
        <w:t>本</w:t>
      </w:r>
      <w:r>
        <w:rPr>
          <w:w w:val="100"/>
        </w:rPr>
        <w:t>附</w:t>
      </w:r>
      <w:r>
        <w:rPr>
          <w:spacing w:val="-3"/>
          <w:w w:val="100"/>
        </w:rPr>
        <w:t>注</w:t>
      </w:r>
      <w:r>
        <w:rPr>
          <w:rFonts w:ascii="Times New Roman" w:hAnsi="Times New Roman" w:cs="Times New Roman" w:eastAsia="Times New Roman" w:hint="default"/>
          <w:spacing w:val="-3"/>
          <w:w w:val="100"/>
        </w:rPr>
        <w:t>“</w:t>
      </w:r>
      <w:r>
        <w:rPr>
          <w:w w:val="100"/>
        </w:rPr>
        <w:t>八</w:t>
      </w:r>
      <w:r>
        <w:rPr>
          <w:spacing w:val="-85"/>
          <w:w w:val="100"/>
        </w:rPr>
        <w:t>、</w:t>
      </w:r>
      <w:r>
        <w:rPr>
          <w:w w:val="100"/>
        </w:rPr>
        <w:t>合</w:t>
      </w:r>
      <w:r>
        <w:rPr>
          <w:spacing w:val="-3"/>
          <w:w w:val="100"/>
        </w:rPr>
        <w:t>并</w:t>
      </w:r>
      <w:r>
        <w:rPr>
          <w:w w:val="100"/>
        </w:rPr>
        <w:t>范</w:t>
      </w:r>
      <w:r>
        <w:rPr>
          <w:spacing w:val="-3"/>
          <w:w w:val="100"/>
        </w:rPr>
        <w:t>围</w:t>
      </w:r>
      <w:r>
        <w:rPr>
          <w:w w:val="100"/>
        </w:rPr>
        <w:t>的</w:t>
      </w:r>
      <w:r>
        <w:rPr>
          <w:spacing w:val="-3"/>
          <w:w w:val="100"/>
        </w:rPr>
        <w:t>变</w:t>
      </w:r>
      <w:r>
        <w:rPr>
          <w:w w:val="100"/>
        </w:rPr>
        <w:t>更</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和</w:t>
      </w:r>
      <w:r>
        <w:rPr>
          <w:spacing w:val="-21"/>
        </w:rPr>
        <w:t> </w:t>
      </w:r>
      <w:r>
        <w:rPr>
          <w:rFonts w:ascii="Times New Roman" w:hAnsi="Times New Roman" w:cs="Times New Roman" w:eastAsia="Times New Roman" w:hint="default"/>
          <w:spacing w:val="-3"/>
          <w:w w:val="100"/>
        </w:rPr>
        <w:t>“</w:t>
      </w:r>
      <w:r>
        <w:rPr>
          <w:w w:val="100"/>
        </w:rPr>
        <w:t>九</w:t>
      </w:r>
      <w:r>
        <w:rPr>
          <w:spacing w:val="-85"/>
          <w:w w:val="100"/>
        </w:rPr>
        <w:t>、</w:t>
      </w:r>
      <w:r>
        <w:rPr>
          <w:w w:val="100"/>
        </w:rPr>
        <w:t>在</w:t>
      </w:r>
      <w:r>
        <w:rPr>
          <w:spacing w:val="-3"/>
          <w:w w:val="100"/>
        </w:rPr>
        <w:t>其</w:t>
      </w:r>
      <w:r>
        <w:rPr>
          <w:w w:val="100"/>
        </w:rPr>
        <w:t>他</w:t>
      </w:r>
      <w:r>
        <w:rPr>
          <w:spacing w:val="-3"/>
          <w:w w:val="100"/>
        </w:rPr>
        <w:t>主</w:t>
      </w:r>
      <w:r>
        <w:rPr>
          <w:w w:val="100"/>
        </w:rPr>
        <w:t>体</w:t>
      </w:r>
      <w:r>
        <w:rPr>
          <w:spacing w:val="-3"/>
          <w:w w:val="100"/>
        </w:rPr>
        <w:t>中</w:t>
      </w:r>
      <w:r>
        <w:rPr>
          <w:w w:val="100"/>
        </w:rPr>
        <w:t>的</w:t>
      </w:r>
      <w:r>
        <w:rPr>
          <w:spacing w:val="-3"/>
          <w:w w:val="100"/>
        </w:rPr>
        <w:t>权</w:t>
      </w:r>
      <w:r>
        <w:rPr>
          <w:w w:val="100"/>
        </w:rPr>
        <w:t>益</w:t>
      </w:r>
      <w:r>
        <w:rPr>
          <w:rFonts w:ascii="Times New Roman" w:hAnsi="Times New Roman" w:cs="Times New Roman" w:eastAsia="Times New Roman" w:hint="default"/>
          <w:spacing w:val="-1"/>
          <w:w w:val="100"/>
        </w:rPr>
        <w:t>”</w:t>
      </w:r>
      <w:r>
        <w:rPr>
          <w:w w:val="100"/>
        </w:rPr>
        <w:t>。</w:t>
      </w:r>
    </w:p>
    <w:p>
      <w:pPr>
        <w:spacing w:line="240" w:lineRule="auto" w:before="8"/>
        <w:rPr>
          <w:rFonts w:ascii="宋体" w:hAnsi="宋体" w:cs="宋体" w:eastAsia="宋体" w:hint="default"/>
          <w:sz w:val="22"/>
          <w:szCs w:val="22"/>
        </w:rPr>
      </w:pPr>
    </w:p>
    <w:p>
      <w:pPr>
        <w:pStyle w:val="Heading3"/>
        <w:spacing w:line="240" w:lineRule="auto"/>
        <w:ind w:right="1119"/>
        <w:jc w:val="left"/>
        <w:rPr>
          <w:b w:val="0"/>
          <w:bCs w:val="0"/>
        </w:rPr>
      </w:pPr>
      <w:r>
        <w:rPr/>
        <w:t>四、财务报表的编制基础</w:t>
      </w:r>
      <w:r>
        <w:rPr>
          <w:b w:val="0"/>
          <w:bCs w:val="0"/>
        </w:rPr>
      </w:r>
    </w:p>
    <w:p>
      <w:pPr>
        <w:pStyle w:val="Heading5"/>
        <w:spacing w:line="590" w:lineRule="atLeast" w:before="26"/>
        <w:ind w:right="9595"/>
        <w:jc w:val="left"/>
        <w:rPr>
          <w:b w:val="0"/>
          <w:bCs w:val="0"/>
        </w:rPr>
      </w:pPr>
      <w:r>
        <w:rPr>
          <w:rFonts w:ascii="Times New Roman" w:hAnsi="Times New Roman" w:cs="Times New Roman" w:eastAsia="Times New Roman" w:hint="default"/>
        </w:rPr>
        <w:t>1</w:t>
      </w:r>
      <w:r>
        <w:rPr/>
        <w:t>、编制基础</w:t>
      </w:r>
      <w:r>
        <w:rPr>
          <w:spacing w:val="-104"/>
        </w:rPr>
        <w:t> </w:t>
      </w:r>
      <w:r>
        <w:rPr/>
        <w:t>编制基础</w:t>
      </w:r>
      <w:r>
        <w:rPr>
          <w:b w:val="0"/>
          <w:bCs w:val="0"/>
        </w:rPr>
      </w:r>
    </w:p>
    <w:p>
      <w:pPr>
        <w:pStyle w:val="BodyText"/>
        <w:spacing w:line="408" w:lineRule="auto" w:before="114"/>
        <w:ind w:right="1126" w:firstLine="420"/>
        <w:jc w:val="both"/>
      </w:pPr>
      <w:r>
        <w:rPr>
          <w:spacing w:val="-2"/>
        </w:rPr>
        <w:t>公司以持续经营为基础，根据实际发生的交易和事项，按照财政部颁布的《企业会计准则——基本准</w:t>
      </w:r>
      <w:r>
        <w:rPr>
          <w:w w:val="100"/>
        </w:rPr>
        <w:t> </w:t>
      </w:r>
      <w:r>
        <w:rPr>
          <w:spacing w:val="-2"/>
        </w:rPr>
        <w:t>则》和各项具体会计准则、企业会计准则应用指南、企业会计准则解释及其他相关规定（以下合称“企业</w:t>
      </w:r>
      <w:r>
        <w:rPr>
          <w:spacing w:val="-49"/>
        </w:rPr>
        <w:t> </w:t>
      </w:r>
      <w:r>
        <w:rPr>
          <w:spacing w:val="-49"/>
        </w:rPr>
      </w:r>
      <w:r>
        <w:rPr/>
        <w:t>会计准则”），以及中国证券监督管理委员会《公开发行证券的公司信息披露编报规则第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65"/>
        </w:rPr>
        <w:t> </w:t>
      </w:r>
      <w:r>
        <w:rPr/>
        <w:t>号——财务</w:t>
      </w:r>
      <w:r>
        <w:rPr>
          <w:spacing w:val="-93"/>
        </w:rPr>
        <w:t> </w:t>
      </w:r>
      <w:r>
        <w:rPr>
          <w:spacing w:val="-93"/>
        </w:rPr>
      </w:r>
      <w:r>
        <w:rPr/>
        <w:t>报告的一般规定》的披露规定编制财务报表。</w:t>
      </w:r>
    </w:p>
    <w:p>
      <w:pPr>
        <w:pStyle w:val="Heading5"/>
        <w:spacing w:line="614" w:lineRule="exact" w:before="23"/>
        <w:ind w:right="9595"/>
        <w:jc w:val="left"/>
        <w:rPr>
          <w:b w:val="0"/>
          <w:bCs w:val="0"/>
        </w:rPr>
      </w:pPr>
      <w:r>
        <w:rPr>
          <w:rFonts w:ascii="Times New Roman" w:hAnsi="Times New Roman" w:cs="Times New Roman" w:eastAsia="Times New Roman" w:hint="default"/>
        </w:rPr>
        <w:t>2</w:t>
      </w:r>
      <w:r>
        <w:rPr/>
        <w:t>、持续经营</w:t>
      </w:r>
      <w:r>
        <w:rPr>
          <w:spacing w:val="-104"/>
        </w:rPr>
        <w:t> </w:t>
      </w:r>
      <w:r>
        <w:rPr/>
        <w:t>持续经营</w:t>
      </w:r>
      <w:r>
        <w:rPr>
          <w:b w:val="0"/>
          <w:bCs w:val="0"/>
        </w:rPr>
      </w:r>
    </w:p>
    <w:p>
      <w:pPr>
        <w:pStyle w:val="BodyText"/>
        <w:spacing w:line="240" w:lineRule="auto" w:before="20"/>
        <w:ind w:left="952" w:right="1119"/>
        <w:jc w:val="left"/>
      </w:pPr>
      <w:r>
        <w:rPr/>
        <w:t>公司自报告期末至少</w:t>
      </w:r>
      <w:r>
        <w:rPr>
          <w:rFonts w:ascii="宋体" w:hAnsi="宋体" w:cs="宋体" w:eastAsia="宋体" w:hint="default"/>
        </w:rPr>
        <w:t>12</w:t>
      </w:r>
      <w:r>
        <w:rPr/>
        <w:t>个月内具备持续经营能力，无影响持续经营能力的重大事项。</w:t>
      </w:r>
    </w:p>
    <w:p>
      <w:pPr>
        <w:spacing w:line="240" w:lineRule="auto" w:before="12"/>
        <w:rPr>
          <w:rFonts w:ascii="宋体" w:hAnsi="宋体" w:cs="宋体" w:eastAsia="宋体" w:hint="default"/>
          <w:sz w:val="29"/>
          <w:szCs w:val="29"/>
        </w:rPr>
      </w:pPr>
    </w:p>
    <w:p>
      <w:pPr>
        <w:pStyle w:val="Heading3"/>
        <w:spacing w:line="240" w:lineRule="auto"/>
        <w:ind w:right="1119"/>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3"/>
        <w:rPr>
          <w:rFonts w:ascii="宋体" w:hAnsi="宋体" w:cs="宋体" w:eastAsia="宋体" w:hint="default"/>
          <w:sz w:val="13"/>
          <w:szCs w:val="13"/>
        </w:rPr>
      </w:pPr>
    </w:p>
    <w:p>
      <w:pPr>
        <w:pStyle w:val="BodyText"/>
        <w:spacing w:line="408" w:lineRule="auto" w:before="0"/>
        <w:ind w:right="1140" w:firstLine="420"/>
        <w:jc w:val="both"/>
      </w:pPr>
      <w:r>
        <w:rPr>
          <w:spacing w:val="2"/>
        </w:rPr>
        <w:t>以下披露内容已涵盖了本公司根据实际生产经营特点制定的具体会计政策和会计估计。详见本附注</w:t>
      </w:r>
      <w:r>
        <w:rPr>
          <w:w w:val="100"/>
        </w:rPr>
        <w:t> </w:t>
      </w:r>
      <w:r>
        <w:rPr/>
        <w:t>“五、</w:t>
      </w:r>
      <w:r>
        <w:rPr>
          <w:rFonts w:ascii="宋体" w:hAnsi="宋体" w:cs="宋体" w:eastAsia="宋体" w:hint="default"/>
        </w:rPr>
        <w:t>24</w:t>
      </w:r>
      <w:r>
        <w:rPr/>
        <w:t>、固定资产、“五、</w:t>
      </w:r>
      <w:r>
        <w:rPr>
          <w:rFonts w:ascii="宋体" w:hAnsi="宋体" w:cs="宋体" w:eastAsia="宋体" w:hint="default"/>
        </w:rPr>
        <w:t>30</w:t>
      </w:r>
      <w:r>
        <w:rPr/>
        <w:t>、无形资产”、“五、</w:t>
      </w:r>
      <w:r>
        <w:rPr>
          <w:rFonts w:ascii="宋体" w:hAnsi="宋体" w:cs="宋体" w:eastAsia="宋体" w:hint="default"/>
        </w:rPr>
        <w:t>39</w:t>
      </w:r>
      <w:r>
        <w:rPr/>
        <w:t>、收入”</w:t>
      </w:r>
      <w:r>
        <w:rPr>
          <w:spacing w:val="-6"/>
        </w:rPr>
        <w:t> </w:t>
      </w:r>
      <w:r>
        <w:rPr/>
        <w:t>等各项描述。</w:t>
      </w:r>
    </w:p>
    <w:p>
      <w:pPr>
        <w:spacing w:after="0" w:line="408"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338" w:lineRule="auto" w:before="0"/>
        <w:ind w:left="573" w:right="1119" w:hanging="421"/>
        <w:jc w:val="left"/>
      </w:pP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p>
    <w:p>
      <w:pPr>
        <w:pStyle w:val="BodyText"/>
        <w:spacing w:line="240" w:lineRule="auto" w:before="107"/>
        <w:ind w:right="1119"/>
        <w:jc w:val="left"/>
      </w:pPr>
      <w:r>
        <w:rPr/>
        <w:t>并及母公司财务状况以及</w:t>
      </w:r>
      <w:r>
        <w:rPr>
          <w:rFonts w:ascii="宋体" w:hAnsi="宋体" w:cs="宋体" w:eastAsia="宋体" w:hint="default"/>
        </w:rPr>
        <w:t>2019</w:t>
      </w:r>
      <w:r>
        <w:rPr/>
        <w:t>年度的合并及母公司经营成果和现金流量。</w:t>
      </w:r>
    </w:p>
    <w:p>
      <w:pPr>
        <w:pStyle w:val="Heading5"/>
        <w:spacing w:line="590" w:lineRule="atLeast" w:before="117"/>
        <w:ind w:right="9595"/>
        <w:jc w:val="left"/>
        <w:rPr>
          <w:b w:val="0"/>
          <w:bCs w:val="0"/>
        </w:rPr>
      </w:pPr>
      <w:r>
        <w:rPr>
          <w:rFonts w:ascii="Times New Roman" w:hAnsi="Times New Roman" w:cs="Times New Roman" w:eastAsia="Times New Roman" w:hint="default"/>
        </w:rPr>
        <w:t>2</w:t>
      </w:r>
      <w:r>
        <w:rPr/>
        <w:t>、会计期间</w:t>
      </w:r>
      <w:r>
        <w:rPr>
          <w:spacing w:val="-104"/>
        </w:rPr>
        <w:t> </w:t>
      </w:r>
      <w:r>
        <w:rPr/>
        <w:t>会计期间</w:t>
      </w:r>
      <w:r>
        <w:rPr>
          <w:b w:val="0"/>
          <w:bCs w:val="0"/>
        </w:rPr>
      </w:r>
    </w:p>
    <w:p>
      <w:pPr>
        <w:pStyle w:val="BodyText"/>
        <w:spacing w:line="240" w:lineRule="auto" w:before="114"/>
        <w:ind w:left="573" w:right="1119"/>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pStyle w:val="Heading5"/>
        <w:spacing w:line="600" w:lineRule="atLeast" w:before="107"/>
        <w:ind w:right="9595"/>
        <w:jc w:val="left"/>
        <w:rPr>
          <w:b w:val="0"/>
          <w:bCs w:val="0"/>
        </w:rPr>
      </w:pPr>
      <w:r>
        <w:rPr>
          <w:rFonts w:ascii="Times New Roman" w:hAnsi="Times New Roman" w:cs="Times New Roman" w:eastAsia="Times New Roman" w:hint="default"/>
        </w:rPr>
        <w:t>3</w:t>
      </w:r>
      <w:r>
        <w:rPr/>
        <w:t>、营业周期</w:t>
      </w:r>
      <w:r>
        <w:rPr>
          <w:spacing w:val="-104"/>
        </w:rPr>
        <w:t> </w:t>
      </w:r>
      <w:r>
        <w:rPr/>
        <w:t>营业周期</w:t>
      </w:r>
      <w:r>
        <w:rPr>
          <w:b w:val="0"/>
          <w:bCs w:val="0"/>
        </w:rPr>
      </w:r>
    </w:p>
    <w:p>
      <w:pPr>
        <w:pStyle w:val="BodyText"/>
        <w:spacing w:line="240" w:lineRule="auto" w:before="37"/>
        <w:ind w:left="489" w:right="1119"/>
        <w:jc w:val="left"/>
      </w:pPr>
      <w:r>
        <w:rPr/>
        <w:t>本公司营业周期为</w:t>
      </w:r>
      <w:r>
        <w:rPr>
          <w:rFonts w:ascii="Times New Roman" w:hAnsi="Times New Roman" w:cs="Times New Roman" w:eastAsia="Times New Roman" w:hint="default"/>
        </w:rPr>
        <w:t>12</w:t>
      </w:r>
      <w:r>
        <w:rPr/>
        <w:t>个月。</w:t>
      </w:r>
    </w:p>
    <w:p>
      <w:pPr>
        <w:pStyle w:val="Heading5"/>
        <w:spacing w:line="590" w:lineRule="atLeast" w:before="22"/>
        <w:ind w:right="9384"/>
        <w:jc w:val="left"/>
        <w:rPr>
          <w:b w:val="0"/>
          <w:bCs w:val="0"/>
        </w:rPr>
      </w:pPr>
      <w:r>
        <w:rPr>
          <w:rFonts w:ascii="Times New Roman" w:hAnsi="Times New Roman" w:cs="Times New Roman" w:eastAsia="Times New Roman" w:hint="default"/>
        </w:rPr>
        <w:t>4</w:t>
      </w:r>
      <w:r>
        <w:rPr/>
        <w:t>、记账本位币</w:t>
      </w:r>
      <w:r>
        <w:rPr>
          <w:spacing w:val="-103"/>
        </w:rPr>
        <w:t> </w:t>
      </w:r>
      <w:r>
        <w:rPr/>
        <w:t>记账本位币</w:t>
      </w:r>
      <w:r>
        <w:rPr>
          <w:b w:val="0"/>
          <w:bCs w:val="0"/>
        </w:rPr>
      </w:r>
    </w:p>
    <w:p>
      <w:pPr>
        <w:pStyle w:val="BodyText"/>
        <w:spacing w:line="240" w:lineRule="auto" w:before="37"/>
        <w:ind w:left="489" w:right="1119"/>
        <w:jc w:val="left"/>
      </w:pPr>
      <w:r>
        <w:rPr/>
        <w:t>本公司采用人民币为记账本位币。</w:t>
      </w:r>
    </w:p>
    <w:p>
      <w:pPr>
        <w:spacing w:line="692" w:lineRule="exact" w:before="29"/>
        <w:ind w:left="573" w:right="11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同一控制下企业合并：合并方在企业合并中取得的资产和负债，按照合并日被合并方资产、负债（包</w:t>
      </w:r>
    </w:p>
    <w:p>
      <w:pPr>
        <w:pStyle w:val="BodyText"/>
        <w:spacing w:line="408" w:lineRule="auto" w:before="84"/>
        <w:ind w:right="1126"/>
        <w:jc w:val="both"/>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408" w:lineRule="auto"/>
        <w:ind w:right="1126" w:firstLine="420"/>
        <w:jc w:val="both"/>
      </w:pPr>
      <w:r>
        <w:rPr>
          <w:spacing w:val="-2"/>
        </w:rPr>
        <w:t>非同一控制下企业合并：购买方在购买日对作为企业合并对价付出的资产、发生或承担的负债按照公</w:t>
      </w:r>
      <w:r>
        <w:rPr>
          <w:w w:val="100"/>
        </w:rPr>
        <w:t> </w:t>
      </w:r>
      <w:r>
        <w:rPr>
          <w:spacing w:val="-2"/>
        </w:rPr>
        <w:t>允价值计量，公允价值与其账面价值的差额，计入当期损益。合并成本大于合并中取得的被购买方可辨认</w:t>
      </w:r>
      <w:r>
        <w:rPr>
          <w:spacing w:val="-43"/>
        </w:rPr>
        <w:t> </w:t>
      </w:r>
      <w:r>
        <w:rPr>
          <w:spacing w:val="-43"/>
        </w:rPr>
      </w:r>
      <w:r>
        <w:rPr>
          <w:spacing w:val="-2"/>
        </w:rPr>
        <w:t>净资产公允价值份额的差额，确认为商誉；合并成本小于合并中取得的被购买方可辨认净资产公允价值份</w:t>
      </w:r>
      <w:r>
        <w:rPr>
          <w:spacing w:val="-43"/>
        </w:rPr>
        <w:t> </w:t>
      </w:r>
      <w:r>
        <w:rPr>
          <w:spacing w:val="-43"/>
        </w:rPr>
      </w:r>
      <w:r>
        <w:rPr/>
        <w:t>额的差额，计入当期损益。</w:t>
      </w:r>
    </w:p>
    <w:p>
      <w:pPr>
        <w:pStyle w:val="BodyText"/>
        <w:spacing w:line="410" w:lineRule="auto"/>
        <w:ind w:right="1119" w:firstLine="420"/>
        <w:jc w:val="left"/>
      </w:pPr>
      <w:r>
        <w:rPr>
          <w:spacing w:val="-2"/>
        </w:rPr>
        <w:t>为企业合并发生的直接相关费用于发生时计入当期损益；为企业合并而发行权益性证券或债务性证券</w:t>
      </w:r>
      <w:r>
        <w:rPr>
          <w:w w:val="100"/>
        </w:rPr>
        <w:t> </w:t>
      </w:r>
      <w:r>
        <w:rPr/>
        <w:t>的交易费用，计入权益性证券或债务性证券的初始确认金额。</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73" w:right="1119"/>
        <w:jc w:val="left"/>
      </w:pPr>
      <w:r>
        <w:rPr/>
        <w:t>（</w:t>
      </w:r>
      <w:r>
        <w:rPr>
          <w:rFonts w:ascii="宋体" w:hAnsi="宋体" w:cs="宋体" w:eastAsia="宋体" w:hint="default"/>
        </w:rPr>
        <w:t>1</w:t>
      </w:r>
      <w:r>
        <w:rPr/>
        <w:t>）合并范围合并</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19"/>
        <w:jc w:val="left"/>
      </w:pPr>
      <w:r>
        <w:rPr/>
        <w:t>财务报表的合并范围以控制为基础确定，合并范围包括本公司及全部子公司。</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本公司以自身和各子公司的财务报表为基础，根据其他有关资料，编制合并财务报表。本公司编制合</w:t>
      </w:r>
    </w:p>
    <w:p>
      <w:pPr>
        <w:pStyle w:val="BodyText"/>
        <w:spacing w:line="408" w:lineRule="auto"/>
        <w:ind w:right="1129"/>
        <w:jc w:val="both"/>
      </w:pPr>
      <w:r>
        <w:rPr>
          <w:spacing w:val="-2"/>
        </w:rPr>
        <w:t>并财务报表，将整个企业集团视为一个会计主体，依据相关企业会计准则的确认、计量和列报要求，按照</w:t>
      </w:r>
      <w:r>
        <w:rPr>
          <w:spacing w:val="-46"/>
        </w:rPr>
        <w:t> </w:t>
      </w:r>
      <w:r>
        <w:rPr>
          <w:spacing w:val="-46"/>
        </w:rPr>
      </w:r>
      <w:r>
        <w:rPr/>
        <w:t>统一的会计政策，反映本企业集团整体财务状况、经营成果和现金流量。</w:t>
      </w:r>
    </w:p>
    <w:p>
      <w:pPr>
        <w:pStyle w:val="BodyText"/>
        <w:spacing w:line="408"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408" w:lineRule="auto"/>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408" w:lineRule="auto"/>
        <w:ind w:left="573" w:right="1119"/>
        <w:jc w:val="left"/>
      </w:pPr>
      <w:r>
        <w:rPr/>
        <w:t>① 增加子公司或业务</w:t>
      </w:r>
      <w:r>
        <w:rPr>
          <w:w w:val="100"/>
        </w:rPr>
        <w:t> </w:t>
      </w:r>
      <w:r>
        <w:rPr>
          <w:spacing w:val="-2"/>
        </w:rPr>
        <w:t>在报告期内，若因同一控制下企业合并增加子公司或业务的，则调整合并资产负债表的期初数；将子</w:t>
      </w:r>
    </w:p>
    <w:p>
      <w:pPr>
        <w:pStyle w:val="BodyText"/>
        <w:spacing w:line="408" w:lineRule="auto"/>
        <w:ind w:right="1126"/>
        <w:jc w:val="both"/>
      </w:pPr>
      <w:r>
        <w:rPr>
          <w:spacing w:val="-2"/>
        </w:rPr>
        <w:t>公司或业务合并当期期初至报告期末的收入、费用、利润纳入合并利润表；将子公司或业务合并当期期初</w:t>
      </w:r>
      <w:r>
        <w:rPr>
          <w:spacing w:val="-42"/>
        </w:rPr>
        <w:t> </w:t>
      </w:r>
      <w:r>
        <w:rPr>
          <w:spacing w:val="-42"/>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408"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408" w:lineRule="auto"/>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p>
    <w:p>
      <w:pPr>
        <w:spacing w:after="0" w:line="408" w:lineRule="auto"/>
        <w:jc w:val="both"/>
        <w:sectPr>
          <w:footerReference w:type="default" r:id="rId25"/>
          <w:pgSz w:w="11910" w:h="16840"/>
          <w:pgMar w:footer="1496" w:header="877" w:top="1060" w:bottom="1680" w:left="980" w:right="0"/>
          <w:pgNumType w:start="118"/>
        </w:sectPr>
      </w:pPr>
    </w:p>
    <w:p>
      <w:pPr>
        <w:spacing w:line="240" w:lineRule="auto" w:before="0"/>
        <w:rPr>
          <w:rFonts w:ascii="宋体" w:hAnsi="宋体" w:cs="宋体" w:eastAsia="宋体" w:hint="default"/>
          <w:sz w:val="20"/>
          <w:szCs w:val="20"/>
        </w:rPr>
      </w:pPr>
    </w:p>
    <w:p>
      <w:pPr>
        <w:pStyle w:val="BodyText"/>
        <w:spacing w:line="408" w:lineRule="auto" w:before="175"/>
        <w:ind w:left="573" w:right="8340"/>
        <w:jc w:val="left"/>
      </w:pPr>
      <w:r>
        <w:rPr/>
        <w:t>②</w:t>
      </w:r>
      <w:r>
        <w:rPr>
          <w:spacing w:val="-2"/>
        </w:rPr>
        <w:t> </w:t>
      </w:r>
      <w:r>
        <w:rPr/>
        <w:t>处置子公司或业务</w:t>
      </w:r>
      <w:r>
        <w:rPr>
          <w:w w:val="100"/>
        </w:rPr>
        <w:t> </w:t>
      </w:r>
      <w:r>
        <w:rPr>
          <w:rFonts w:ascii="宋体" w:hAnsi="宋体" w:cs="宋体" w:eastAsia="宋体" w:hint="default"/>
        </w:rPr>
        <w:t>A</w:t>
      </w:r>
      <w:r>
        <w:rPr/>
        <w:t>、一般处理方法</w:t>
      </w:r>
    </w:p>
    <w:p>
      <w:pPr>
        <w:pStyle w:val="BodyText"/>
        <w:spacing w:line="408" w:lineRule="auto"/>
        <w:ind w:right="1128" w:firstLine="420"/>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408" w:lineRule="auto"/>
        <w:ind w:right="112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2"/>
        </w:rPr>
        <w:t> </w:t>
      </w:r>
      <w:r>
        <w:rPr>
          <w:spacing w:val="-42"/>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408" w:lineRule="auto"/>
        <w:ind w:right="1126" w:firstLine="420"/>
        <w:jc w:val="both"/>
      </w:pPr>
      <w:r>
        <w:rPr>
          <w:spacing w:val="-2"/>
        </w:rPr>
        <w:t>因其他投资方对子公司增资而导致本公司持股比例下降从而丧失控制权的，按照上述原则进行会计处</w:t>
      </w:r>
      <w:r>
        <w:rPr>
          <w:w w:val="100"/>
        </w:rPr>
        <w:t> </w:t>
      </w:r>
      <w:r>
        <w:rPr/>
        <w:t>理。</w:t>
      </w:r>
    </w:p>
    <w:p>
      <w:pPr>
        <w:pStyle w:val="BodyText"/>
        <w:spacing w:line="408" w:lineRule="auto"/>
        <w:ind w:left="573" w:right="1119"/>
        <w:jc w:val="left"/>
      </w:pPr>
      <w:r>
        <w:rPr>
          <w:rFonts w:ascii="宋体" w:hAnsi="宋体" w:cs="宋体" w:eastAsia="宋体" w:hint="default"/>
        </w:rPr>
        <w:t>B</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408" w:lineRule="auto"/>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408" w:lineRule="auto"/>
        <w:ind w:left="573" w:right="1119"/>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408" w:lineRule="auto"/>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408" w:lineRule="auto"/>
        <w:ind w:left="573" w:right="1119"/>
        <w:jc w:val="left"/>
      </w:pPr>
      <w:r>
        <w:rPr/>
        <w:t>③ 子公司少数股权</w:t>
      </w:r>
      <w:r>
        <w:rPr>
          <w:w w:val="100"/>
        </w:rPr>
        <w:t> </w:t>
      </w:r>
      <w:r>
        <w:rPr>
          <w:spacing w:val="-2"/>
        </w:rPr>
        <w:t>本公司因购买少数股权新取得的长期股权投资与按照新增持股比例计算应享有子公司自购买日（或合</w:t>
      </w:r>
    </w:p>
    <w:p>
      <w:pPr>
        <w:pStyle w:val="BodyText"/>
        <w:spacing w:line="240" w:lineRule="auto"/>
        <w:ind w:right="0"/>
        <w:jc w:val="both"/>
      </w:pPr>
      <w:r>
        <w:rPr/>
        <w:t>并日）开始持续计算的净资产份额之间的差额，调整合并资产负债表中的资本公积中的股本溢价，资本公</w:t>
      </w:r>
    </w:p>
    <w:p>
      <w:pPr>
        <w:spacing w:after="0" w:line="240" w:lineRule="auto"/>
        <w:jc w:val="both"/>
        <w:sectPr>
          <w:footerReference w:type="default" r:id="rId26"/>
          <w:pgSz w:w="11910" w:h="16840"/>
          <w:pgMar w:footer="980" w:header="877" w:top="1060" w:bottom="1160" w:left="980" w:right="0"/>
          <w:pgNumType w:start="119"/>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积中的股本溢价不足冲减的，调整留存收益。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④</w:t>
      </w:r>
      <w:r>
        <w:rPr>
          <w:spacing w:val="-1"/>
        </w:rPr>
        <w:t> </w:t>
      </w:r>
      <w:r>
        <w:rPr/>
        <w:t>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08" w:lineRule="auto"/>
        <w:ind w:right="1119"/>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pStyle w:val="Heading5"/>
        <w:spacing w:line="614" w:lineRule="exact" w:before="23"/>
        <w:ind w:right="5691"/>
        <w:jc w:val="left"/>
        <w:rPr>
          <w:b w:val="0"/>
          <w:bCs w:val="0"/>
        </w:rPr>
      </w:pPr>
      <w:r>
        <w:rPr>
          <w:rFonts w:ascii="Times New Roman" w:hAnsi="Times New Roman" w:cs="Times New Roman" w:eastAsia="Times New Roman" w:hint="default"/>
          <w:spacing w:val="-1"/>
        </w:rPr>
        <w:t>7</w:t>
      </w:r>
      <w:r>
        <w:rPr>
          <w:spacing w:val="-1"/>
        </w:rPr>
        <w:t>、合营安排分类及共同经营会计处理方法</w:t>
      </w:r>
      <w:r>
        <w:rPr>
          <w:spacing w:val="-86"/>
        </w:rPr>
        <w:t> </w:t>
      </w:r>
      <w:r>
        <w:rPr>
          <w:spacing w:val="-86"/>
        </w:rPr>
      </w:r>
      <w:r>
        <w:rPr/>
        <w:t>合营安排分类及会计处理方法</w:t>
      </w:r>
      <w:r>
        <w:rPr>
          <w:b w:val="0"/>
          <w:bCs w:val="0"/>
        </w:rPr>
      </w:r>
    </w:p>
    <w:p>
      <w:pPr>
        <w:pStyle w:val="BodyText"/>
        <w:spacing w:line="408" w:lineRule="auto" w:before="20"/>
        <w:ind w:left="678" w:right="996"/>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ind w:left="573" w:right="1119"/>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3"/>
        </w:rPr>
        <w:t> </w:t>
      </w:r>
      <w:r>
        <w:rPr>
          <w:spacing w:val="-43"/>
        </w:rPr>
      </w:r>
      <w:r>
        <w:rPr/>
        <w:t>本公司对合营企业投资的会计政策见本附注“五、</w:t>
      </w:r>
      <w:r>
        <w:rPr>
          <w:rFonts w:ascii="宋体" w:hAnsi="宋体" w:cs="宋体" w:eastAsia="宋体" w:hint="default"/>
        </w:rPr>
        <w:t>22</w:t>
      </w:r>
      <w:r>
        <w:rPr/>
        <w:t>、长期股权投资”。</w:t>
      </w:r>
    </w:p>
    <w:p>
      <w:pPr>
        <w:pStyle w:val="Heading5"/>
        <w:spacing w:line="614" w:lineRule="exact" w:before="21"/>
        <w:ind w:right="7712"/>
        <w:jc w:val="left"/>
        <w:rPr>
          <w:b w:val="0"/>
          <w:bCs w:val="0"/>
        </w:rPr>
      </w:pPr>
      <w:r>
        <w:rPr>
          <w:rFonts w:ascii="Times New Roman" w:hAnsi="Times New Roman" w:cs="Times New Roman" w:eastAsia="Times New Roman" w:hint="default"/>
          <w:spacing w:val="-1"/>
        </w:rPr>
        <w:t>8</w:t>
      </w:r>
      <w:r>
        <w:rPr>
          <w:spacing w:val="-1"/>
        </w:rPr>
        <w:t>、现金及现金等价物的确定标准</w:t>
      </w:r>
      <w:r>
        <w:rPr>
          <w:spacing w:val="-91"/>
        </w:rPr>
        <w:t> </w:t>
      </w:r>
      <w:r>
        <w:rPr>
          <w:spacing w:val="-91"/>
        </w:rPr>
      </w:r>
      <w:r>
        <w:rPr/>
        <w:t>现金及现金等价物的确定标准</w:t>
      </w:r>
      <w:r>
        <w:rPr>
          <w:b w:val="0"/>
          <w:bCs w:val="0"/>
        </w:rPr>
      </w:r>
    </w:p>
    <w:p>
      <w:pPr>
        <w:pStyle w:val="BodyText"/>
        <w:spacing w:line="408" w:lineRule="auto" w:before="20"/>
        <w:ind w:right="1105" w:firstLine="420"/>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left="573" w:right="1119"/>
        <w:jc w:val="left"/>
      </w:pPr>
      <w:r>
        <w:rPr/>
        <w:t>（</w:t>
      </w:r>
      <w:r>
        <w:rPr>
          <w:rFonts w:ascii="宋体" w:hAnsi="宋体" w:cs="宋体" w:eastAsia="宋体" w:hint="default"/>
        </w:rPr>
        <w:t>1</w:t>
      </w:r>
      <w:r>
        <w:rPr/>
        <w:t>）外币业务</w:t>
      </w:r>
      <w:r>
        <w:rPr>
          <w:w w:val="100"/>
        </w:rPr>
        <w:t> </w:t>
      </w:r>
      <w:r>
        <w:rPr/>
        <w:t>外币业务采用交易发生日当月第</w:t>
      </w:r>
      <w:r>
        <w:rPr>
          <w:rFonts w:ascii="宋体" w:hAnsi="宋体" w:cs="宋体" w:eastAsia="宋体" w:hint="default"/>
        </w:rPr>
        <w:t>1</w:t>
      </w:r>
      <w:r>
        <w:rPr/>
        <w:t>个工作日国家外管局公布的汇率中间价作为折算汇率将外币金额折</w:t>
      </w:r>
    </w:p>
    <w:p>
      <w:pPr>
        <w:pStyle w:val="BodyText"/>
        <w:spacing w:line="408" w:lineRule="auto" w:before="44"/>
        <w:ind w:left="573" w:right="1119" w:hanging="421"/>
        <w:jc w:val="left"/>
      </w:pPr>
      <w:r>
        <w:rPr/>
        <w:t>合成人民币记账。</w:t>
      </w:r>
      <w:r>
        <w:rPr>
          <w:w w:val="100"/>
        </w:rPr>
        <w:t> </w:t>
      </w:r>
      <w:r>
        <w:rPr>
          <w:spacing w:val="-2"/>
        </w:rPr>
        <w:t>资产负债表日外币货币性项目余额按资产负债表日即期汇率折算，由此产生的汇兑差额，除属于与购</w:t>
      </w:r>
    </w:p>
    <w:p>
      <w:pPr>
        <w:pStyle w:val="BodyText"/>
        <w:spacing w:line="240" w:lineRule="auto"/>
        <w:ind w:right="996"/>
        <w:jc w:val="left"/>
      </w:pPr>
      <w:r>
        <w:rPr/>
        <w:t>建符合资本化条件的资产相关的外币专门借款产生的汇兑差额按照借款费用资本化的原则处理外，均计入</w:t>
      </w:r>
    </w:p>
    <w:p>
      <w:pPr>
        <w:spacing w:after="0" w:line="240" w:lineRule="auto"/>
        <w:jc w:val="left"/>
        <w:sectPr>
          <w:footerReference w:type="default" r:id="rId27"/>
          <w:pgSz w:w="11910" w:h="16840"/>
          <w:pgMar w:footer="980" w:header="877" w:top="1060" w:bottom="1160" w:left="980" w:right="0"/>
          <w:pgNumType w:start="12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当期损益。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w:t>
      </w:r>
      <w:r>
        <w:rPr>
          <w:rFonts w:ascii="宋体" w:hAnsi="宋体" w:cs="宋体" w:eastAsia="宋体" w:hint="default"/>
        </w:rPr>
        <w:t>2</w:t>
      </w:r>
      <w:r>
        <w:rPr/>
        <w:t>）外币财务报表的折算</w:t>
      </w:r>
      <w:r>
        <w:rPr>
          <w:w w:val="100"/>
        </w:rPr>
        <w:t> </w:t>
      </w:r>
      <w:r>
        <w:rPr>
          <w:spacing w:val="-2"/>
        </w:rPr>
        <w:t>资产负债表中的资产和负债项目，采用资产负债表日的即期汇率折算；所有者权益项目除“未分配利</w:t>
      </w:r>
    </w:p>
    <w:p>
      <w:pPr>
        <w:pStyle w:val="BodyText"/>
        <w:spacing w:line="408" w:lineRule="auto"/>
        <w:ind w:right="1119"/>
        <w:jc w:val="left"/>
      </w:pPr>
      <w:r>
        <w:rPr>
          <w:spacing w:val="-2"/>
        </w:rPr>
        <w:t>润”项目外，其他项目采用发生时的即期汇率折算。利润表中的收入和费用项目，采用交易发生时当月第</w:t>
      </w:r>
      <w:r>
        <w:rPr>
          <w:spacing w:val="-44"/>
        </w:rPr>
        <w:t> </w:t>
      </w:r>
      <w:r>
        <w:rPr>
          <w:spacing w:val="-44"/>
        </w:rPr>
      </w:r>
      <w:r>
        <w:rPr>
          <w:rFonts w:ascii="宋体" w:hAnsi="宋体" w:cs="宋体" w:eastAsia="宋体" w:hint="default"/>
        </w:rPr>
        <w:t>1</w:t>
      </w:r>
      <w:r>
        <w:rPr/>
        <w:t>个工作日国家外管局公布的汇率中间价折算。</w:t>
      </w:r>
    </w:p>
    <w:p>
      <w:pPr>
        <w:pStyle w:val="BodyText"/>
        <w:spacing w:line="408" w:lineRule="auto"/>
        <w:ind w:right="1126" w:firstLine="420"/>
        <w:jc w:val="both"/>
      </w:pPr>
      <w:r>
        <w:rPr>
          <w:spacing w:val="-2"/>
        </w:rPr>
        <w:t>处置境外经营时，将与该境外经营相关的外币财务报表折算差额，自所有者权益项目转入处置当期损</w:t>
      </w:r>
      <w:r>
        <w:rPr>
          <w:w w:val="100"/>
        </w:rPr>
        <w:t> </w:t>
      </w:r>
      <w:r>
        <w:rPr/>
        <w:t>益。</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1119"/>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Heading5"/>
        <w:spacing w:line="408" w:lineRule="auto"/>
        <w:ind w:left="575" w:right="7166"/>
        <w:jc w:val="left"/>
        <w:rPr>
          <w:b w:val="0"/>
          <w:bCs w:val="0"/>
        </w:rPr>
      </w:pPr>
      <w:r>
        <w:rPr/>
        <w:t>（</w:t>
      </w:r>
      <w:r>
        <w:rPr>
          <w:rFonts w:ascii="宋体" w:hAnsi="宋体" w:cs="宋体" w:eastAsia="宋体" w:hint="default"/>
        </w:rPr>
        <w:t>1</w:t>
      </w:r>
      <w:r>
        <w:rPr/>
        <w:t>）金融工具的分类</w:t>
      </w:r>
      <w:r>
        <w:rPr>
          <w:spacing w:val="-104"/>
        </w:rPr>
        <w:t> </w:t>
      </w:r>
      <w:r>
        <w:rPr>
          <w:spacing w:val="-104"/>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b w:val="0"/>
          <w:bCs w:val="0"/>
        </w:rPr>
      </w:r>
    </w:p>
    <w:p>
      <w:pPr>
        <w:pStyle w:val="BodyText"/>
        <w:spacing w:line="408" w:lineRule="auto"/>
        <w:ind w:right="1129" w:firstLine="420"/>
        <w:jc w:val="both"/>
      </w:pPr>
      <w:r>
        <w:rPr>
          <w:spacing w:val="2"/>
        </w:rPr>
        <w:t>根据本公司管理金融资产的业务模式和金融资产的合同现金流量特征，金融资产于初始确认时分类</w:t>
      </w:r>
      <w:r>
        <w:rPr>
          <w:w w:val="100"/>
        </w:rPr>
        <w:t> </w:t>
      </w:r>
      <w:r>
        <w:rPr>
          <w:spacing w:val="-2"/>
        </w:rPr>
        <w:t>为：以摊余成本计量的金融资产、以公允价值计量且其变动计入其他综合收益的金融资产（债务工具）和</w:t>
      </w:r>
      <w:r>
        <w:rPr>
          <w:spacing w:val="-47"/>
        </w:rPr>
        <w:t> </w:t>
      </w:r>
      <w:r>
        <w:rPr>
          <w:spacing w:val="-47"/>
        </w:rPr>
      </w:r>
      <w:r>
        <w:rPr/>
        <w:t>以公允价值计量且其变动计入当期损益的金融资产。</w:t>
      </w:r>
    </w:p>
    <w:p>
      <w:pPr>
        <w:pStyle w:val="BodyText"/>
        <w:spacing w:line="408" w:lineRule="auto"/>
        <w:ind w:right="1126" w:firstLine="420"/>
        <w:jc w:val="both"/>
      </w:pPr>
      <w:r>
        <w:rPr>
          <w:spacing w:val="2"/>
        </w:rPr>
        <w:t>业务模式是以收取合同现金流量为目标且合同现金流量仅为对本金和以未偿付本金金额为基础的利</w:t>
      </w:r>
      <w:r>
        <w:rPr>
          <w:w w:val="100"/>
        </w:rPr>
        <w:t> </w:t>
      </w:r>
      <w:r>
        <w:rPr>
          <w:spacing w:val="-2"/>
        </w:rPr>
        <w:t>息的支付的，分类为以摊余成本计量的金融资产；业务模式既以收取合同现金流量又以出售该金融资产为</w:t>
      </w:r>
      <w:r>
        <w:rPr>
          <w:spacing w:val="-43"/>
        </w:rPr>
        <w:t> </w:t>
      </w:r>
      <w:r>
        <w:rPr>
          <w:spacing w:val="-43"/>
        </w:rPr>
      </w:r>
      <w:r>
        <w:rPr>
          <w:spacing w:val="-2"/>
        </w:rPr>
        <w:t>目标且合同现金流量仅为对本金和以未偿付本金金额为基础的利息的支付的，分类为以公允价值计量且其</w:t>
      </w:r>
      <w:r>
        <w:rPr>
          <w:spacing w:val="-43"/>
        </w:rPr>
        <w:t> </w:t>
      </w:r>
      <w:r>
        <w:rPr>
          <w:spacing w:val="-43"/>
        </w:rPr>
      </w:r>
      <w:r>
        <w:rPr>
          <w:spacing w:val="-2"/>
        </w:rPr>
        <w:t>变动计入其他综合收益的金融资产（债务工具）；除此之外的其他金融资产，分类为以公允价值计量且其</w:t>
      </w:r>
      <w:r>
        <w:rPr>
          <w:spacing w:val="-44"/>
        </w:rPr>
        <w:t> </w:t>
      </w:r>
      <w:r>
        <w:rPr>
          <w:spacing w:val="-44"/>
        </w:rPr>
      </w:r>
      <w:r>
        <w:rPr/>
        <w:t>变动计入当期损益的金融资产。</w:t>
      </w:r>
    </w:p>
    <w:p>
      <w:pPr>
        <w:pStyle w:val="BodyText"/>
        <w:spacing w:line="408" w:lineRule="auto"/>
        <w:ind w:right="1126" w:firstLine="420"/>
        <w:jc w:val="both"/>
      </w:pPr>
      <w:r>
        <w:rPr>
          <w:spacing w:val="-2"/>
        </w:rPr>
        <w:t>对于非交易性权益工具投资，本公司在初始确认时确定是否将其指定为以公允价值计量且其变动计入</w:t>
      </w:r>
      <w:r>
        <w:rPr>
          <w:w w:val="100"/>
        </w:rPr>
        <w:t> </w:t>
      </w:r>
      <w:r>
        <w:rPr>
          <w:spacing w:val="-2"/>
        </w:rPr>
        <w:t>其他综合收益的金融资产（权益工具）。在初始确认时，为了能够消除或显著减少会计错配，可以将金融</w:t>
      </w:r>
      <w:r>
        <w:rPr>
          <w:spacing w:val="-43"/>
        </w:rPr>
        <w:t> </w:t>
      </w:r>
      <w:r>
        <w:rPr>
          <w:spacing w:val="-43"/>
        </w:rPr>
      </w:r>
      <w:r>
        <w:rPr/>
        <w:t>资产指定为以公允价值计量且其变动计入当期损益的金融资产。</w:t>
      </w:r>
    </w:p>
    <w:p>
      <w:pPr>
        <w:pStyle w:val="BodyText"/>
        <w:spacing w:line="408" w:lineRule="auto"/>
        <w:ind w:right="1126" w:firstLine="420"/>
        <w:jc w:val="both"/>
      </w:pPr>
      <w:r>
        <w:rPr>
          <w:spacing w:val="-2"/>
        </w:rPr>
        <w:t>金融负债于初始确认时分类为：以公允价值计量且其变动计入当期损益的金融负债和以摊余成本计量</w:t>
      </w:r>
      <w:r>
        <w:rPr>
          <w:w w:val="100"/>
        </w:rPr>
        <w:t> </w:t>
      </w:r>
      <w:r>
        <w:rPr/>
        <w:t>的金融负债。</w:t>
      </w:r>
    </w:p>
    <w:p>
      <w:pPr>
        <w:pStyle w:val="BodyText"/>
        <w:spacing w:line="408" w:lineRule="auto"/>
        <w:ind w:right="1140" w:firstLine="420"/>
        <w:jc w:val="both"/>
      </w:pPr>
      <w:r>
        <w:rPr>
          <w:spacing w:val="2"/>
        </w:rPr>
        <w:t>符合以下条件之一的金融负债可在初始计量时指定为以公允价值计量且其变动计入当期损益的金融</w:t>
      </w:r>
      <w:r>
        <w:rPr>
          <w:w w:val="100"/>
        </w:rPr>
        <w:t> </w:t>
      </w:r>
      <w:r>
        <w:rPr/>
        <w:t>负债：</w:t>
      </w:r>
    </w:p>
    <w:p>
      <w:pPr>
        <w:pStyle w:val="BodyText"/>
        <w:spacing w:line="240" w:lineRule="auto"/>
        <w:ind w:left="573" w:right="1119"/>
        <w:jc w:val="left"/>
      </w:pPr>
      <w:r>
        <w:rPr>
          <w:rFonts w:ascii="宋体" w:hAnsi="宋体" w:cs="宋体" w:eastAsia="宋体" w:hint="default"/>
        </w:rPr>
        <w:t>1</w:t>
      </w:r>
      <w:r>
        <w:rPr/>
        <w:t>）该项指定能够消除或显著减少会计错配。</w:t>
      </w:r>
    </w:p>
    <w:p>
      <w:pPr>
        <w:spacing w:line="240" w:lineRule="auto" w:before="10"/>
        <w:rPr>
          <w:rFonts w:ascii="宋体" w:hAnsi="宋体" w:cs="宋体" w:eastAsia="宋体" w:hint="default"/>
          <w:sz w:val="14"/>
          <w:szCs w:val="14"/>
        </w:rPr>
      </w:pPr>
    </w:p>
    <w:p>
      <w:pPr>
        <w:pStyle w:val="BodyText"/>
        <w:spacing w:line="408" w:lineRule="auto" w:before="0"/>
        <w:ind w:right="1136" w:firstLine="420"/>
        <w:jc w:val="both"/>
      </w:pPr>
      <w:r>
        <w:rPr>
          <w:rFonts w:ascii="宋体" w:hAnsi="宋体" w:cs="宋体" w:eastAsia="宋体" w:hint="default"/>
        </w:rPr>
        <w:t>2</w:t>
      </w:r>
      <w:r>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19"/>
        <w:jc w:val="left"/>
      </w:pPr>
      <w:r>
        <w:rPr>
          <w:rFonts w:ascii="宋体" w:hAnsi="宋体" w:cs="宋体" w:eastAsia="宋体" w:hint="default"/>
        </w:rPr>
        <w:t>3</w:t>
      </w:r>
      <w:r>
        <w:rPr/>
        <w:t>）该金融负债包含需单独分拆的嵌入衍生工具。</w:t>
      </w:r>
    </w:p>
    <w:p>
      <w:pPr>
        <w:spacing w:line="240" w:lineRule="auto" w:before="10"/>
        <w:rPr>
          <w:rFonts w:ascii="宋体" w:hAnsi="宋体" w:cs="宋体" w:eastAsia="宋体" w:hint="default"/>
          <w:sz w:val="14"/>
          <w:szCs w:val="14"/>
        </w:rPr>
      </w:pPr>
    </w:p>
    <w:p>
      <w:pPr>
        <w:spacing w:line="408" w:lineRule="auto" w:before="0"/>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sz w:val="21"/>
          <w:szCs w:val="21"/>
        </w:rPr>
        <w:t>1</w:t>
      </w:r>
      <w:r>
        <w:rPr>
          <w:rFonts w:ascii="宋体" w:hAnsi="宋体" w:cs="宋体" w:eastAsia="宋体" w:hint="default"/>
          <w:b/>
          <w:bCs/>
          <w:sz w:val="21"/>
          <w:szCs w:val="21"/>
        </w:rPr>
        <w:t>月</w:t>
      </w:r>
      <w:r>
        <w:rPr>
          <w:rFonts w:ascii="宋体" w:hAnsi="宋体" w:cs="宋体" w:eastAsia="宋体"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金融资产和金融负债于初始确认时分类为：以公允价值计量且其变动计入当期损益的金融资产或金融</w:t>
      </w:r>
    </w:p>
    <w:p>
      <w:pPr>
        <w:pStyle w:val="BodyText"/>
        <w:spacing w:line="408" w:lineRule="auto"/>
        <w:ind w:right="1119"/>
        <w:jc w:val="left"/>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pStyle w:val="Heading5"/>
        <w:spacing w:line="408" w:lineRule="auto" w:before="46"/>
        <w:ind w:left="575" w:right="5691" w:hanging="10"/>
        <w:jc w:val="left"/>
        <w:rPr>
          <w:b w:val="0"/>
          <w:bCs w:val="0"/>
        </w:rPr>
      </w:pPr>
      <w:r>
        <w:rPr>
          <w:spacing w:val="-1"/>
        </w:rPr>
        <w:t>（</w:t>
      </w:r>
      <w:r>
        <w:rPr>
          <w:rFonts w:ascii="宋体" w:hAnsi="宋体" w:cs="宋体" w:eastAsia="宋体" w:hint="default"/>
          <w:spacing w:val="-1"/>
        </w:rPr>
        <w:t>3</w:t>
      </w:r>
      <w:r>
        <w:rPr>
          <w:spacing w:val="-1"/>
        </w:rPr>
        <w:t>）金融工具的确认依据和计量方法</w:t>
      </w:r>
      <w:r>
        <w:rPr>
          <w:spacing w:val="-90"/>
        </w:rPr>
        <w:t> </w:t>
      </w:r>
      <w:r>
        <w:rPr>
          <w:spacing w:val="-90"/>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b w:val="0"/>
          <w:bCs w:val="0"/>
        </w:rPr>
      </w:r>
    </w:p>
    <w:p>
      <w:pPr>
        <w:pStyle w:val="BodyText"/>
        <w:spacing w:line="408" w:lineRule="auto"/>
        <w:ind w:left="573" w:right="1119"/>
        <w:jc w:val="left"/>
      </w:pPr>
      <w:r>
        <w:rPr/>
        <w:t>①</w:t>
      </w:r>
      <w:r>
        <w:rPr>
          <w:spacing w:val="-1"/>
        </w:rPr>
        <w:t> </w:t>
      </w:r>
      <w:r>
        <w:rPr/>
        <w:t>以摊余成本计量的金融资产</w:t>
      </w:r>
      <w:r>
        <w:rPr>
          <w:w w:val="100"/>
        </w:rPr>
        <w:t> </w:t>
      </w:r>
      <w:r>
        <w:rPr>
          <w:spacing w:val="-2"/>
        </w:rPr>
        <w:t>以摊余成本计量的金融资产包括应收票据、应收账款、其他应收款、长期应收款、债权投资等，按公</w:t>
      </w:r>
    </w:p>
    <w:p>
      <w:pPr>
        <w:pStyle w:val="BodyText"/>
        <w:spacing w:line="408" w:lineRule="auto"/>
        <w:ind w:right="1119"/>
        <w:jc w:val="left"/>
      </w:pPr>
      <w:r>
        <w:rPr>
          <w:spacing w:val="-2"/>
        </w:rPr>
        <w:t>允价值进行初始计量，相关交易费用计入初始确认金额；不包含重大融资成分的应收账款以及本公司决定</w:t>
      </w:r>
      <w:r>
        <w:rPr>
          <w:spacing w:val="-43"/>
        </w:rPr>
        <w:t> </w:t>
      </w:r>
      <w:r>
        <w:rPr>
          <w:spacing w:val="-43"/>
        </w:rPr>
      </w:r>
      <w:r>
        <w:rPr/>
        <w:t>不考虑不超过一年的融资成分的应收账款，以合同交易价格进行初始计量。</w:t>
      </w:r>
    </w:p>
    <w:p>
      <w:pPr>
        <w:pStyle w:val="BodyText"/>
        <w:spacing w:line="408" w:lineRule="auto"/>
        <w:ind w:left="573" w:right="1119"/>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pStyle w:val="BodyText"/>
        <w:spacing w:line="408" w:lineRule="auto"/>
        <w:ind w:left="573" w:right="1119"/>
        <w:jc w:val="left"/>
      </w:pPr>
      <w:r>
        <w:rPr/>
        <w:t>②</w:t>
      </w:r>
      <w:r>
        <w:rPr>
          <w:spacing w:val="-1"/>
        </w:rPr>
        <w:t> </w:t>
      </w:r>
      <w:r>
        <w:rPr/>
        <w:t>以公允价值计量且其变动计入其他综合收益的金融资产（债务工具）</w:t>
      </w:r>
      <w:r>
        <w:rPr>
          <w:w w:val="100"/>
        </w:rPr>
        <w:t> </w:t>
      </w:r>
      <w:r>
        <w:rPr>
          <w:spacing w:val="-2"/>
        </w:rPr>
        <w:t>以公允价值计量且其变动计入其他综合收益的金融资产（债务工具）包括应收款项融资、其他债权投</w:t>
      </w:r>
    </w:p>
    <w:p>
      <w:pPr>
        <w:pStyle w:val="BodyText"/>
        <w:spacing w:line="408" w:lineRule="auto"/>
        <w:ind w:right="996"/>
        <w:jc w:val="left"/>
      </w:pPr>
      <w:r>
        <w:rPr>
          <w:spacing w:val="-5"/>
        </w:rPr>
        <w:t>资等，按公允价值进行初始计量，相关交易费用计入初始确认金额。该金融资产按公允价值进行后续计量， </w:t>
      </w:r>
      <w:r>
        <w:rPr/>
        <w:t>公允价值变动除采用实际利率法计算的利息、减值损失或利得和汇兑损益之外，均计入其他综合收益。</w:t>
      </w:r>
    </w:p>
    <w:p>
      <w:pPr>
        <w:pStyle w:val="BodyText"/>
        <w:spacing w:line="240" w:lineRule="auto"/>
        <w:ind w:left="573" w:right="1119"/>
        <w:jc w:val="left"/>
      </w:pPr>
      <w:r>
        <w:rPr/>
        <w:t>终止确认时，之前计入其他综合收益的累计利得或损失从其他综合收益中转出，计入当期损益。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③</w:t>
      </w:r>
      <w:r>
        <w:rPr>
          <w:spacing w:val="-1"/>
        </w:rPr>
        <w:t> </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w:t>
      </w:r>
    </w:p>
    <w:p>
      <w:pPr>
        <w:pStyle w:val="BodyText"/>
        <w:spacing w:line="408" w:lineRule="auto"/>
        <w:ind w:right="1119"/>
        <w:jc w:val="left"/>
      </w:pPr>
      <w:r>
        <w:rPr>
          <w:spacing w:val="-2"/>
        </w:rPr>
        <w:t>允价值进行初始计量，相关交易费用计入初始确认金额。该金融资产按公允价值进行后续计量，公允价值</w:t>
      </w:r>
      <w:r>
        <w:rPr>
          <w:spacing w:val="-44"/>
        </w:rPr>
        <w:t> </w:t>
      </w:r>
      <w:r>
        <w:rPr>
          <w:spacing w:val="-44"/>
        </w:rPr>
      </w:r>
      <w:r>
        <w:rPr/>
        <w:t>变动计入其他综合收益。取得的股利计入当期损益。</w:t>
      </w:r>
    </w:p>
    <w:p>
      <w:pPr>
        <w:pStyle w:val="BodyText"/>
        <w:spacing w:line="240" w:lineRule="auto"/>
        <w:ind w:left="573" w:right="1119"/>
        <w:jc w:val="left"/>
      </w:pPr>
      <w:r>
        <w:rPr/>
        <w:t>终止确认时，之前计入其他综合收益的累计利得或损失从其他综合收益中转出，计入留存收益。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④</w:t>
      </w:r>
      <w:r>
        <w:rPr>
          <w:spacing w:val="-1"/>
        </w:rPr>
        <w:t> </w:t>
      </w:r>
      <w:r>
        <w:rPr/>
        <w:t>以公允价值计量且其变动计入当期损益的金融资产</w:t>
      </w:r>
      <w:r>
        <w:rPr>
          <w:w w:val="100"/>
        </w:rPr>
        <w:t> </w:t>
      </w:r>
      <w:r>
        <w:rPr>
          <w:spacing w:val="-2"/>
        </w:rPr>
        <w:t>以公允价值计量且其变动计入当期损益的金融资产包括交易性金融资产、衍生金融资产、其他非流动</w:t>
      </w:r>
    </w:p>
    <w:p>
      <w:pPr>
        <w:pStyle w:val="BodyText"/>
        <w:spacing w:line="408" w:lineRule="auto"/>
        <w:ind w:right="1119"/>
        <w:jc w:val="left"/>
      </w:pPr>
      <w:r>
        <w:rPr>
          <w:spacing w:val="-2"/>
        </w:rPr>
        <w:t>金融资产等，按公允价值进行初始计量，相关交易费用计入当期损益。该金融资产按公允价值进行后续计</w:t>
      </w:r>
      <w:r>
        <w:rPr>
          <w:spacing w:val="-42"/>
        </w:rPr>
        <w:t> </w:t>
      </w:r>
      <w:r>
        <w:rPr>
          <w:spacing w:val="-42"/>
        </w:rPr>
      </w:r>
      <w:r>
        <w:rPr/>
        <w:t>量，公允价值变动计入当期损益。</w:t>
      </w:r>
    </w:p>
    <w:p>
      <w:pPr>
        <w:pStyle w:val="BodyText"/>
        <w:spacing w:line="408" w:lineRule="auto"/>
        <w:ind w:left="573" w:right="1119"/>
        <w:jc w:val="left"/>
      </w:pPr>
      <w:r>
        <w:rPr/>
        <w:t>⑤</w:t>
      </w:r>
      <w:r>
        <w:rPr>
          <w:spacing w:val="-1"/>
        </w:rPr>
        <w:t> </w:t>
      </w:r>
      <w:r>
        <w:rPr/>
        <w:t>以公允价值计量且其变动计入当期损益的金融负债</w:t>
      </w:r>
      <w:r>
        <w:rPr>
          <w:w w:val="100"/>
        </w:rPr>
        <w:t> </w:t>
      </w:r>
      <w:r>
        <w:rPr>
          <w:spacing w:val="-2"/>
        </w:rPr>
        <w:t>以公允价值计量且其变动计入当期损益的金融负债包括交易性金融负债、衍生金融负债等，按公允价</w:t>
      </w:r>
    </w:p>
    <w:p>
      <w:pPr>
        <w:pStyle w:val="BodyText"/>
        <w:spacing w:line="240" w:lineRule="auto"/>
        <w:ind w:right="996"/>
        <w:jc w:val="left"/>
      </w:pPr>
      <w:r>
        <w:rPr/>
        <w:t>值进行初始计量，相关交易费用计入当期损益。该金融负债按公允价值进行后续计量，公允价值变动计入</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当期损益。</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终止确认时，其账面价值与支付的对价之间的差额计入当期损益。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996"/>
        <w:jc w:val="left"/>
      </w:pPr>
      <w:r>
        <w:rPr/>
        <w:t>⑥</w:t>
      </w:r>
      <w:r>
        <w:rPr>
          <w:spacing w:val="-1"/>
        </w:rPr>
        <w:t> </w:t>
      </w:r>
      <w:r>
        <w:rPr/>
        <w:t>以摊余成本计量的金融负债</w:t>
      </w:r>
      <w:r>
        <w:rPr>
          <w:w w:val="100"/>
        </w:rPr>
        <w:t> </w:t>
      </w:r>
      <w:r>
        <w:rPr>
          <w:spacing w:val="-5"/>
        </w:rPr>
        <w:t>以摊余成本计量的金融负债包括短期借款、应付票据、应付账款、其他应付款、长期借款、应付债券、</w:t>
      </w:r>
    </w:p>
    <w:p>
      <w:pPr>
        <w:pStyle w:val="BodyText"/>
        <w:spacing w:line="408" w:lineRule="auto"/>
        <w:ind w:left="573" w:right="1119" w:hanging="421"/>
        <w:jc w:val="left"/>
        <w:rPr>
          <w:rFonts w:ascii="宋体" w:hAnsi="宋体" w:cs="宋体" w:eastAsia="宋体" w:hint="default"/>
        </w:rPr>
      </w:pPr>
      <w:r>
        <w:rPr/>
        <w:t>长期应付款，按公允价值进行初始计量，相关交易费用计入初始确认金额。</w:t>
      </w:r>
      <w:r>
        <w:rPr>
          <w:w w:val="100"/>
        </w:rPr>
        <w:t> </w:t>
      </w:r>
      <w:r>
        <w:rPr/>
        <w:t>持有期间采用实际利率法计算的利息计入当期损益。</w:t>
      </w:r>
      <w:r>
        <w:rPr>
          <w:w w:val="100"/>
        </w:rPr>
        <w:t> </w:t>
      </w:r>
      <w:r>
        <w:rPr>
          <w:spacing w:val="-2"/>
        </w:rPr>
        <w:t>终止确认时，将支付的对价与该金融负债账面价值之间的差额计入当期损益。</w:t>
      </w:r>
      <w:r>
        <w:rPr>
          <w:w w:val="100"/>
        </w:rPr>
        <w:t> </w:t>
      </w:r>
      <w:r>
        <w:rPr>
          <w:rFonts w:ascii="宋体" w:hAnsi="宋体" w:cs="宋体" w:eastAsia="宋体" w:hint="default"/>
          <w:b/>
          <w:bCs/>
        </w:rPr>
        <w:t>2019</w:t>
      </w:r>
      <w:r>
        <w:rPr>
          <w:rFonts w:ascii="宋体" w:hAnsi="宋体" w:cs="宋体" w:eastAsia="宋体" w:hint="default"/>
          <w:b/>
          <w:bCs/>
        </w:rPr>
        <w:t>年</w:t>
      </w:r>
      <w:r>
        <w:rPr>
          <w:rFonts w:ascii="宋体" w:hAnsi="宋体" w:cs="宋体" w:eastAsia="宋体" w:hint="default"/>
          <w:b/>
          <w:bCs/>
        </w:rPr>
        <w:t>1</w:t>
      </w:r>
      <w:r>
        <w:rPr>
          <w:rFonts w:ascii="宋体" w:hAnsi="宋体" w:cs="宋体" w:eastAsia="宋体" w:hint="default"/>
          <w:b/>
          <w:bCs/>
        </w:rPr>
        <w:t>月</w:t>
      </w:r>
      <w:r>
        <w:rPr>
          <w:rFonts w:ascii="宋体" w:hAnsi="宋体" w:cs="宋体" w:eastAsia="宋体" w:hint="default"/>
          <w:b/>
          <w:bCs/>
        </w:rPr>
        <w:t>1</w:t>
      </w:r>
      <w:r>
        <w:rPr>
          <w:rFonts w:ascii="宋体" w:hAnsi="宋体" w:cs="宋体" w:eastAsia="宋体" w:hint="default"/>
          <w:b/>
          <w:bCs/>
        </w:rPr>
        <w:t>日前适用的会计政策</w:t>
      </w:r>
      <w:r>
        <w:rPr>
          <w:rFonts w:ascii="宋体" w:hAnsi="宋体" w:cs="宋体" w:eastAsia="宋体" w:hint="default"/>
        </w:rPr>
      </w:r>
    </w:p>
    <w:p>
      <w:pPr>
        <w:pStyle w:val="BodyText"/>
        <w:spacing w:line="410" w:lineRule="auto"/>
        <w:ind w:left="573" w:right="1119"/>
        <w:jc w:val="left"/>
      </w:pPr>
      <w:r>
        <w:rPr/>
        <w:t>①</w:t>
      </w:r>
      <w:r>
        <w:rPr>
          <w:spacing w:val="-1"/>
        </w:rPr>
        <w:t> </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08" w:lineRule="auto" w:before="44"/>
        <w:ind w:left="573" w:right="1119"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408" w:lineRule="auto"/>
        <w:ind w:left="573" w:right="996"/>
        <w:jc w:val="left"/>
      </w:pPr>
      <w:r>
        <w:rPr/>
        <w:t>② 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408" w:lineRule="auto"/>
        <w:ind w:left="573" w:right="1119"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408" w:lineRule="auto"/>
        <w:ind w:left="573" w:right="1119"/>
        <w:jc w:val="left"/>
      </w:pPr>
      <w:r>
        <w:rPr/>
        <w:t>③ 应收款项</w:t>
      </w:r>
      <w:r>
        <w:rPr>
          <w:w w:val="100"/>
        </w:rPr>
        <w:t> </w:t>
      </w:r>
      <w:r>
        <w:rPr>
          <w:spacing w:val="-2"/>
        </w:rPr>
        <w:t>公司对外销售商品或提供劳务形成的应收债权，以及公司持有的其他企业的不包括在活跃市场上有报</w:t>
      </w:r>
    </w:p>
    <w:p>
      <w:pPr>
        <w:pStyle w:val="BodyText"/>
        <w:spacing w:line="408" w:lineRule="auto"/>
        <w:ind w:right="1119"/>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ind w:left="573" w:right="1119"/>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④ 可供出售金融资产</w:t>
      </w:r>
      <w:r>
        <w:rPr>
          <w:w w:val="100"/>
        </w:rPr>
        <w:t> </w:t>
      </w:r>
      <w:r>
        <w:rPr>
          <w:spacing w:val="-2"/>
        </w:rPr>
        <w:t>取得时按公允价值（扣除已宣告但尚未发放的现金股利或已到付息期但尚未领取的债券利息）和相关</w:t>
      </w:r>
    </w:p>
    <w:p>
      <w:pPr>
        <w:pStyle w:val="BodyText"/>
        <w:spacing w:line="408" w:lineRule="auto"/>
        <w:ind w:left="573" w:right="1119"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408" w:lineRule="auto"/>
        <w:ind w:right="1119"/>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240" w:lineRule="auto"/>
        <w:ind w:left="573" w:right="996"/>
        <w:jc w:val="left"/>
      </w:pPr>
      <w:r>
        <w:rPr/>
        <w:t>处置时，将取得的价款与该金融资产账面价值之间的差额，计入投资损益；同时，将原直接计入其他</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综合收益的公允价值变动累计额对应处置部分的金额转出，计入当期损益。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⑤ 其他金融负债</w:t>
      </w:r>
      <w:r>
        <w:rPr>
          <w:w w:val="100"/>
        </w:rPr>
        <w:t> </w:t>
      </w:r>
      <w:r>
        <w:rPr>
          <w:spacing w:val="-2"/>
        </w:rPr>
        <w:t>按其公允价值和相关交易费用之和作为初始确认金额。采用摊余成本进行后续计量。</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408" w:lineRule="auto"/>
        <w:ind w:left="573" w:right="1119" w:hanging="421"/>
        <w:jc w:val="left"/>
      </w:pPr>
      <w:r>
        <w:rPr/>
        <w:t>认该金融资产；如保留了金融资产所有权上几乎所有的风险和报酬的，则不终止确认该金融资产。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spacing w:val="-2"/>
        </w:rPr>
        <w:t>公司将金融资产转移区分为金融资产整体转移和部分转移。金融资产整体转移满足终止确认条件的，</w:t>
      </w:r>
    </w:p>
    <w:p>
      <w:pPr>
        <w:pStyle w:val="BodyText"/>
        <w:spacing w:line="240" w:lineRule="auto"/>
        <w:ind w:right="1119"/>
        <w:jc w:val="left"/>
      </w:pPr>
      <w:r>
        <w:rPr/>
        <w:t>将下列两项金额的差额计入当期损益：</w:t>
      </w:r>
    </w:p>
    <w:p>
      <w:pPr>
        <w:spacing w:line="240" w:lineRule="auto" w:before="11"/>
        <w:rPr>
          <w:rFonts w:ascii="宋体" w:hAnsi="宋体" w:cs="宋体" w:eastAsia="宋体" w:hint="default"/>
          <w:sz w:val="14"/>
          <w:szCs w:val="14"/>
        </w:rPr>
      </w:pPr>
    </w:p>
    <w:p>
      <w:pPr>
        <w:pStyle w:val="BodyText"/>
        <w:spacing w:line="240" w:lineRule="auto" w:before="0"/>
        <w:ind w:left="573" w:right="1119"/>
        <w:jc w:val="left"/>
      </w:pPr>
      <w:r>
        <w:rPr/>
        <w:t>①</w:t>
      </w:r>
      <w:r>
        <w:rPr>
          <w:spacing w:val="-2"/>
        </w:rPr>
        <w:t> </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1107" w:firstLine="420"/>
        <w:jc w:val="right"/>
      </w:pPr>
      <w:r>
        <w:rPr/>
        <w:t>②</w:t>
      </w:r>
      <w:r>
        <w:rPr>
          <w:spacing w:val="78"/>
        </w:rPr>
        <w:t> </w:t>
      </w:r>
      <w:r>
        <w:rPr/>
        <w:t>因转移而收到的对价，与原直接计入所有者权益的公允价值变动累计额（涉及转移的金融资产为</w:t>
      </w:r>
      <w:r>
        <w:rPr>
          <w:w w:val="100"/>
        </w:rPr>
        <w:t> </w:t>
      </w:r>
      <w:r>
        <w:rPr>
          <w:spacing w:val="-2"/>
        </w:rPr>
        <w:t>以公允价值计量且其变动计入其他综合收益的金融资产（债务工具）、可供出售金融资产的情形）之和。</w:t>
      </w:r>
      <w:r>
        <w:rPr>
          <w:spacing w:val="-46"/>
        </w:rPr>
        <w:t> </w:t>
      </w:r>
      <w:r>
        <w:rPr>
          <w:spacing w:val="-46"/>
        </w:rPr>
      </w:r>
      <w:r>
        <w:rPr>
          <w:spacing w:val="-2"/>
        </w:rPr>
        <w:t>金融资产部分转移满足终止确认条件的，将所转移金融资产整体的账面价值，在终止确认部分和未终</w:t>
      </w:r>
    </w:p>
    <w:p>
      <w:pPr>
        <w:pStyle w:val="BodyText"/>
        <w:spacing w:line="240" w:lineRule="auto"/>
        <w:ind w:right="1119"/>
        <w:jc w:val="left"/>
      </w:pPr>
      <w:r>
        <w:rPr/>
        <w:t>止确认部分之间，按照各自的相对公允价值进行分摊，并将下列两项金额的差额计入当期损益：</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①</w:t>
      </w:r>
      <w:r>
        <w:rPr>
          <w:spacing w:val="-3"/>
        </w:rPr>
        <w:t> </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②</w:t>
      </w:r>
      <w:r>
        <w:rPr>
          <w:spacing w:val="67"/>
        </w:rPr>
        <w:t> </w:t>
      </w:r>
      <w:r>
        <w:rPr/>
        <w:t>终止确认部分的对价，与原直接计入所有者权益的公允价值变动累计额中对应终止确认部分的金</w:t>
      </w:r>
      <w:r>
        <w:rPr>
          <w:w w:val="100"/>
        </w:rPr>
        <w:t> </w:t>
      </w:r>
      <w:r>
        <w:rPr>
          <w:spacing w:val="-2"/>
        </w:rPr>
        <w:t>额（涉及转移的金融资产为以公允价值计量且其变动计入其他综合收益的金融资产（债务工具）、可供出</w:t>
      </w:r>
      <w:r>
        <w:rPr>
          <w:spacing w:val="-44"/>
        </w:rPr>
        <w:t> </w:t>
      </w:r>
      <w:r>
        <w:rPr>
          <w:spacing w:val="-44"/>
        </w:rPr>
      </w:r>
      <w:r>
        <w:rPr/>
        <w:t>售金融资产的情形）之和。</w:t>
      </w:r>
    </w:p>
    <w:p>
      <w:pPr>
        <w:pStyle w:val="BodyText"/>
        <w:spacing w:line="240" w:lineRule="auto"/>
        <w:ind w:left="573" w:right="1119"/>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4"/>
          <w:szCs w:val="14"/>
        </w:rPr>
      </w:pPr>
    </w:p>
    <w:p>
      <w:pPr>
        <w:spacing w:line="408" w:lineRule="auto" w:before="0"/>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408" w:lineRule="auto"/>
        <w:ind w:right="1119"/>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ind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ind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112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BodyText"/>
        <w:spacing w:line="408" w:lineRule="auto"/>
        <w:ind w:right="1105"/>
        <w:jc w:val="both"/>
      </w:pPr>
      <w:r>
        <w:rPr>
          <w:spacing w:val="-2"/>
        </w:rPr>
        <w:t>估值技术确定其公允价值。在估值时，本公司采用在当前情况下适用并且有足够可利用数据和其他信息支</w:t>
      </w:r>
      <w:r>
        <w:rPr>
          <w:spacing w:val="-42"/>
        </w:rPr>
        <w:t> </w:t>
      </w:r>
      <w:r>
        <w:rPr>
          <w:spacing w:val="-42"/>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Heading5"/>
        <w:spacing w:line="408" w:lineRule="auto" w:before="46"/>
        <w:ind w:left="575" w:right="5691"/>
        <w:jc w:val="left"/>
        <w:rPr>
          <w:b w:val="0"/>
          <w:bCs w:val="0"/>
        </w:rPr>
      </w:pPr>
      <w:r>
        <w:rPr>
          <w:spacing w:val="-1"/>
        </w:rPr>
        <w:t>（</w:t>
      </w:r>
      <w:r>
        <w:rPr>
          <w:rFonts w:ascii="宋体" w:hAnsi="宋体" w:cs="宋体" w:eastAsia="宋体" w:hint="default"/>
          <w:spacing w:val="-1"/>
        </w:rPr>
        <w:t>7</w:t>
      </w:r>
      <w:r>
        <w:rPr>
          <w:spacing w:val="-1"/>
        </w:rPr>
        <w:t>）金融资产减值的测试方法及会计处理方法</w:t>
      </w:r>
      <w:r>
        <w:rPr>
          <w:spacing w:val="-85"/>
        </w:rPr>
        <w:t> </w:t>
      </w:r>
      <w:r>
        <w:rPr>
          <w:spacing w:val="-85"/>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r>
        <w:rPr>
          <w:b w:val="0"/>
          <w:bCs w:val="0"/>
        </w:rPr>
      </w:r>
    </w:p>
    <w:p>
      <w:pPr>
        <w:pStyle w:val="BodyText"/>
        <w:spacing w:line="408" w:lineRule="auto"/>
        <w:ind w:right="1105" w:firstLine="420"/>
        <w:jc w:val="both"/>
      </w:pPr>
      <w:r>
        <w:rPr>
          <w:spacing w:val="-2"/>
        </w:rPr>
        <w:t>本公司考虑所有合理且有依据的信息，包括前瞻性信息，以单项或组合的方式对以摊余成本计量的金</w:t>
      </w:r>
      <w:r>
        <w:rPr>
          <w:w w:val="100"/>
        </w:rPr>
        <w:t> </w:t>
      </w:r>
      <w:r>
        <w:rPr>
          <w:spacing w:val="-2"/>
        </w:rPr>
        <w:t>融资产和以公允价值计量且其变动计入其他综合收益的金融资产（债务工具）的预期信用损失进行估计。</w:t>
      </w:r>
      <w:r>
        <w:rPr>
          <w:spacing w:val="-21"/>
        </w:rPr>
        <w:t> </w:t>
      </w:r>
      <w:r>
        <w:rPr>
          <w:spacing w:val="-21"/>
        </w:rPr>
      </w:r>
      <w:r>
        <w:rPr/>
        <w:t>预期信用损失的计量取决于金融资产自初始确认后是否发生信用风险显著增加。</w:t>
      </w:r>
    </w:p>
    <w:p>
      <w:pPr>
        <w:pStyle w:val="BodyText"/>
        <w:spacing w:line="408" w:lineRule="auto"/>
        <w:ind w:right="1126" w:firstLine="420"/>
        <w:jc w:val="both"/>
      </w:pPr>
      <w:r>
        <w:rPr>
          <w:spacing w:val="-2"/>
        </w:rPr>
        <w:t>如果该金融工具的信用风险自初始确认后已显著增加，本公司按照相当于该金融工具整个存续期内预</w:t>
      </w:r>
      <w:r>
        <w:rPr>
          <w:w w:val="100"/>
        </w:rPr>
        <w:t> </w:t>
      </w:r>
      <w:r>
        <w:rPr>
          <w:spacing w:val="-2"/>
        </w:rPr>
        <w:t>期信用损失的金额计量其损失准备；如果该金融工具的信用风险自初始确认后并未显著增加，本公司按照</w:t>
      </w:r>
      <w:r>
        <w:rPr>
          <w:spacing w:val="-43"/>
        </w:rPr>
        <w:t> </w:t>
      </w:r>
      <w:r>
        <w:rPr>
          <w:spacing w:val="-43"/>
        </w:rPr>
      </w:r>
      <w:r>
        <w:rPr>
          <w:spacing w:val="-2"/>
        </w:rPr>
        <w:t>相当于该金融工具未来</w:t>
      </w:r>
      <w:r>
        <w:rPr>
          <w:rFonts w:ascii="宋体" w:hAnsi="宋体" w:cs="宋体" w:eastAsia="宋体" w:hint="default"/>
          <w:spacing w:val="-2"/>
        </w:rPr>
        <w:t>12</w:t>
      </w:r>
      <w:r>
        <w:rPr>
          <w:spacing w:val="-2"/>
        </w:rPr>
        <w:t>个月内预期信用损失的金额计量其损失准备。由此形成的损失准备的增加或转回</w:t>
      </w:r>
      <w:r>
        <w:rPr>
          <w:spacing w:val="-41"/>
        </w:rPr>
        <w:t> </w:t>
      </w:r>
      <w:r>
        <w:rPr>
          <w:spacing w:val="-41"/>
        </w:rPr>
      </w:r>
      <w:r>
        <w:rPr/>
        <w:t>金额，作为减值损失或利得计入当期损益。</w:t>
      </w:r>
    </w:p>
    <w:p>
      <w:pPr>
        <w:pStyle w:val="BodyText"/>
        <w:spacing w:line="408" w:lineRule="auto"/>
        <w:ind w:right="1126" w:firstLine="420"/>
        <w:jc w:val="both"/>
      </w:pP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w:t>
      </w:r>
      <w:r>
        <w:rPr>
          <w:w w:val="100"/>
        </w:rPr>
        <w:t> </w:t>
      </w:r>
      <w:r>
        <w:rPr/>
        <w:t>具的信用风险自初始确认后并未显著增加。</w:t>
      </w:r>
    </w:p>
    <w:p>
      <w:pPr>
        <w:pStyle w:val="BodyText"/>
        <w:spacing w:line="408" w:lineRule="auto"/>
        <w:ind w:right="1126" w:firstLine="420"/>
        <w:jc w:val="both"/>
      </w:pPr>
      <w:r>
        <w:rPr>
          <w:spacing w:val="-2"/>
        </w:rPr>
        <w:t>如果金融工具于资产负债表日的信用风险较低，本公司即认为该金融工具的信用风险自初始确认后并</w:t>
      </w:r>
      <w:r>
        <w:rPr>
          <w:w w:val="100"/>
        </w:rPr>
        <w:t> </w:t>
      </w:r>
      <w:r>
        <w:rPr/>
        <w:t>未显著增加。</w:t>
      </w:r>
    </w:p>
    <w:p>
      <w:pPr>
        <w:pStyle w:val="BodyText"/>
        <w:spacing w:line="408" w:lineRule="auto"/>
        <w:ind w:left="573" w:right="1119"/>
        <w:jc w:val="left"/>
      </w:pPr>
      <w:r>
        <w:rPr/>
        <w:t>单项金额重大应收款项坏账准备的计提方法：</w:t>
      </w:r>
      <w:r>
        <w:rPr>
          <w:w w:val="100"/>
        </w:rPr>
        <w:t> </w:t>
      </w:r>
      <w:r>
        <w:rPr>
          <w:spacing w:val="-2"/>
        </w:rPr>
        <w:t>如果有客观证据表明某项金融资产已经发生信用减值，则本公司在单项基础上对该金融资产计提减值</w:t>
      </w:r>
    </w:p>
    <w:p>
      <w:pPr>
        <w:pStyle w:val="BodyText"/>
        <w:spacing w:line="240" w:lineRule="auto"/>
        <w:ind w:right="0"/>
        <w:jc w:val="both"/>
      </w:pPr>
      <w:r>
        <w:rPr/>
        <w:t>准备。</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对于应收账款，无论是否包含重大融资成分，本公司始终按照相当于整个存续期内预期信用损失的金</w:t>
      </w:r>
      <w:r>
        <w:rPr>
          <w:w w:val="100"/>
        </w:rPr>
        <w:t> </w:t>
      </w:r>
      <w:r>
        <w:rPr/>
        <w:t>额计量其损失准备。</w:t>
      </w:r>
    </w:p>
    <w:p>
      <w:pPr>
        <w:pStyle w:val="BodyText"/>
        <w:spacing w:line="410" w:lineRule="auto"/>
        <w:ind w:right="1126" w:firstLine="420"/>
        <w:jc w:val="both"/>
      </w:pPr>
      <w:r>
        <w:rPr>
          <w:spacing w:val="-2"/>
        </w:rPr>
        <w:t>对于租赁应收款、公司通过销售商品或提供劳务形成的长期应收款，本公司选择始终按照相当于整个</w:t>
      </w:r>
      <w:r>
        <w:rPr>
          <w:w w:val="100"/>
        </w:rPr>
        <w:t> </w:t>
      </w:r>
      <w:r>
        <w:rPr/>
        <w:t>存续期内预期信用损失的金额计量其损失准备。</w:t>
      </w:r>
    </w:p>
    <w:p>
      <w:pPr>
        <w:pStyle w:val="BodyText"/>
        <w:spacing w:line="408" w:lineRule="auto" w:before="44"/>
        <w:ind w:right="1126" w:firstLine="420"/>
        <w:jc w:val="both"/>
      </w:pPr>
      <w:r>
        <w:rPr>
          <w:spacing w:val="-2"/>
        </w:rPr>
        <w:t>对于包含重大融资成分的应收账款、租赁应收款和通过销售商品提供劳务形成的长期应收款，企业也</w:t>
      </w:r>
      <w:r>
        <w:rPr>
          <w:w w:val="100"/>
        </w:rPr>
        <w:t> </w:t>
      </w:r>
      <w:r>
        <w:rPr>
          <w:spacing w:val="-2"/>
        </w:rPr>
        <w:t>可以选择采用一般金融资产的减值方法，即按照自初始确认后信用风险是否已显著增加分别按照相当于未</w:t>
      </w:r>
      <w:r>
        <w:rPr>
          <w:spacing w:val="-43"/>
        </w:rPr>
        <w:t> </w:t>
      </w:r>
      <w:r>
        <w:rPr>
          <w:spacing w:val="-43"/>
        </w:rPr>
      </w:r>
      <w:r>
        <w:rPr/>
        <w:t>来</w:t>
      </w:r>
      <w:r>
        <w:rPr>
          <w:rFonts w:ascii="宋体" w:hAnsi="宋体" w:cs="宋体" w:eastAsia="宋体" w:hint="default"/>
        </w:rPr>
        <w:t>12</w:t>
      </w:r>
      <w:r>
        <w:rPr/>
        <w:t>个月的预期信用损失（阶段一）或整个存续期的预期信用损失（阶段二和阶段三）计量损失准备。</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sz w:val="21"/>
          <w:szCs w:val="21"/>
        </w:rPr>
        <w:t>1</w:t>
      </w:r>
      <w:r>
        <w:rPr>
          <w:rFonts w:ascii="宋体" w:hAnsi="宋体" w:cs="宋体" w:eastAsia="宋体" w:hint="default"/>
          <w:b/>
          <w:bCs/>
          <w:sz w:val="21"/>
          <w:szCs w:val="21"/>
        </w:rPr>
        <w:t>月</w:t>
      </w:r>
      <w:r>
        <w:rPr>
          <w:rFonts w:ascii="宋体" w:hAnsi="宋体" w:cs="宋体" w:eastAsia="宋体" w:hint="default"/>
          <w:b/>
          <w:bCs/>
          <w:sz w:val="21"/>
          <w:szCs w:val="21"/>
        </w:rPr>
        <w:t>1</w:t>
      </w:r>
      <w:r>
        <w:rPr>
          <w:rFonts w:ascii="宋体" w:hAnsi="宋体" w:cs="宋体" w:eastAsia="宋体" w:hint="default"/>
          <w:b/>
          <w:bCs/>
          <w:sz w:val="21"/>
          <w:szCs w:val="21"/>
        </w:rPr>
        <w:t>日前适用的会计政策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BodyText"/>
        <w:spacing w:line="240" w:lineRule="auto"/>
        <w:ind w:right="1119"/>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①</w:t>
      </w:r>
      <w:r>
        <w:rPr>
          <w:spacing w:val="-1"/>
        </w:rPr>
        <w:t> </w:t>
      </w:r>
      <w:r>
        <w:rPr/>
        <w:t>可供出售金融资产的减值准备：</w:t>
      </w:r>
      <w:r>
        <w:rPr>
          <w:w w:val="100"/>
        </w:rPr>
        <w:t> </w:t>
      </w:r>
      <w:r>
        <w:rPr>
          <w:spacing w:val="-2"/>
        </w:rPr>
        <w:t>期末如果可供出售权益工具投资的公允价值发生严重下降，或在综合考虑各种相关因素后，预期这种</w:t>
      </w:r>
    </w:p>
    <w:p>
      <w:pPr>
        <w:pStyle w:val="BodyText"/>
        <w:spacing w:line="408" w:lineRule="auto"/>
        <w:ind w:right="1119"/>
        <w:jc w:val="left"/>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408" w:lineRule="auto"/>
        <w:ind w:right="1119" w:firstLine="420"/>
        <w:jc w:val="left"/>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ind w:left="573" w:right="1119"/>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BodyText"/>
        <w:spacing w:line="408" w:lineRule="auto" w:before="0"/>
        <w:ind w:left="573" w:right="5691"/>
        <w:jc w:val="left"/>
      </w:pPr>
      <w:r>
        <w:rPr/>
        <w:t>② 应收款项坏账准备：</w:t>
      </w:r>
      <w:r>
        <w:rPr>
          <w:w w:val="100"/>
        </w:rPr>
        <w:t> </w:t>
      </w:r>
      <w:r>
        <w:rPr>
          <w:spacing w:val="-2"/>
        </w:rPr>
        <w:t>单项金额重大并单独计提坏账准备的应收款项：</w:t>
      </w:r>
    </w:p>
    <w:tbl>
      <w:tblPr>
        <w:tblW w:w="0" w:type="auto"/>
        <w:jc w:val="left"/>
        <w:tblInd w:w="580" w:type="dxa"/>
        <w:tblLayout w:type="fixed"/>
        <w:tblCellMar>
          <w:top w:w="0" w:type="dxa"/>
          <w:left w:w="0" w:type="dxa"/>
          <w:bottom w:w="0" w:type="dxa"/>
          <w:right w:w="0" w:type="dxa"/>
        </w:tblCellMar>
        <w:tblLook w:val="01E0"/>
      </w:tblPr>
      <w:tblGrid>
        <w:gridCol w:w="4165"/>
        <w:gridCol w:w="4611"/>
      </w:tblGrid>
      <w:tr>
        <w:trPr>
          <w:trHeight w:val="341"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18"/>
                <w:szCs w:val="18"/>
              </w:rPr>
            </w:pPr>
            <w:r>
              <w:rPr>
                <w:rFonts w:ascii="宋体" w:hAnsi="宋体" w:cs="宋体" w:eastAsia="宋体" w:hint="default"/>
                <w:sz w:val="18"/>
                <w:szCs w:val="18"/>
              </w:rPr>
              <w:t>占期末应收款项</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以上且账面余额</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万元以上的款项</w:t>
            </w:r>
          </w:p>
        </w:tc>
      </w:tr>
      <w:tr>
        <w:trPr>
          <w:trHeight w:val="343"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pStyle w:val="BodyText"/>
        <w:spacing w:line="408" w:lineRule="auto"/>
        <w:ind w:left="573" w:right="1119"/>
        <w:jc w:val="left"/>
      </w:pPr>
      <w:r>
        <w:rPr/>
        <w:t>单项金额重大应收款项坏账准备的计提方法：</w:t>
      </w:r>
      <w:r>
        <w:rPr>
          <w:w w:val="100"/>
        </w:rPr>
        <w:t> </w:t>
      </w:r>
      <w:r>
        <w:rPr>
          <w:spacing w:val="-2"/>
        </w:rPr>
        <w:t>单独进行减值测试，如有客观证据表明其已发生减值，按预计未来现金流量现值低于其账面价值的差</w:t>
      </w:r>
    </w:p>
    <w:p>
      <w:pPr>
        <w:pStyle w:val="BodyText"/>
        <w:spacing w:line="408" w:lineRule="auto"/>
        <w:ind w:left="573" w:right="1119" w:hanging="421"/>
        <w:jc w:val="left"/>
      </w:pPr>
      <w:r>
        <w:rPr>
          <w:spacing w:val="-2"/>
        </w:rPr>
        <w:t>额计提坏账准备，计入当期损益。单独测试未发生减值的应收款项，将其归入相应组合计提坏账准备。</w:t>
      </w:r>
      <w:r>
        <w:rPr>
          <w:spacing w:val="-21"/>
        </w:rPr>
        <w:t> </w:t>
      </w:r>
      <w:r>
        <w:rPr>
          <w:spacing w:val="-21"/>
        </w:rPr>
      </w:r>
      <w:r>
        <w:rPr/>
        <w:t>按信用风险特征组合计提坏账准备应收款项：</w:t>
      </w:r>
    </w:p>
    <w:tbl>
      <w:tblPr>
        <w:tblW w:w="0" w:type="auto"/>
        <w:jc w:val="left"/>
        <w:tblInd w:w="544" w:type="dxa"/>
        <w:tblLayout w:type="fixed"/>
        <w:tblCellMar>
          <w:top w:w="0" w:type="dxa"/>
          <w:left w:w="0" w:type="dxa"/>
          <w:bottom w:w="0" w:type="dxa"/>
          <w:right w:w="0" w:type="dxa"/>
        </w:tblCellMar>
        <w:tblLook w:val="01E0"/>
      </w:tblPr>
      <w:tblGrid>
        <w:gridCol w:w="2749"/>
        <w:gridCol w:w="6097"/>
      </w:tblGrid>
      <w:tr>
        <w:trPr>
          <w:trHeight w:val="343"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1"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r>
      <w:tr>
        <w:trPr>
          <w:trHeight w:val="343"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r>
      <w:tr>
        <w:trPr>
          <w:trHeight w:val="341"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3"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1"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除有确定依据表明无法收回全额计提坏账准备外，不确认坏账准备</w:t>
            </w:r>
          </w:p>
        </w:tc>
      </w:tr>
    </w:tbl>
    <w:p>
      <w:pPr>
        <w:spacing w:line="240" w:lineRule="auto" w:before="8"/>
        <w:rPr>
          <w:rFonts w:ascii="宋体" w:hAnsi="宋体" w:cs="宋体" w:eastAsia="宋体" w:hint="default"/>
          <w:sz w:val="24"/>
          <w:szCs w:val="24"/>
        </w:rPr>
      </w:pPr>
    </w:p>
    <w:p>
      <w:pPr>
        <w:pStyle w:val="BodyText"/>
        <w:spacing w:line="240" w:lineRule="auto" w:before="36"/>
        <w:ind w:left="573" w:right="1119"/>
        <w:jc w:val="left"/>
      </w:pPr>
      <w:r>
        <w:rPr/>
        <w:t>组合中，采用账龄分析法计提坏账准备的：</w:t>
      </w:r>
    </w:p>
    <w:p>
      <w:pPr>
        <w:spacing w:line="240" w:lineRule="auto" w:before="11"/>
        <w:rPr>
          <w:rFonts w:ascii="宋体" w:hAnsi="宋体" w:cs="宋体" w:eastAsia="宋体" w:hint="default"/>
          <w:sz w:val="9"/>
          <w:szCs w:val="9"/>
        </w:rPr>
      </w:pPr>
    </w:p>
    <w:tbl>
      <w:tblPr>
        <w:tblW w:w="0" w:type="auto"/>
        <w:jc w:val="left"/>
        <w:tblInd w:w="1086" w:type="dxa"/>
        <w:tblLayout w:type="fixed"/>
        <w:tblCellMar>
          <w:top w:w="0" w:type="dxa"/>
          <w:left w:w="0" w:type="dxa"/>
          <w:bottom w:w="0" w:type="dxa"/>
          <w:right w:w="0" w:type="dxa"/>
        </w:tblCellMar>
        <w:tblLook w:val="01E0"/>
      </w:tblPr>
      <w:tblGrid>
        <w:gridCol w:w="2794"/>
        <w:gridCol w:w="2511"/>
        <w:gridCol w:w="2458"/>
      </w:tblGrid>
      <w:tr>
        <w:trPr>
          <w:trHeight w:val="34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10.00</w:t>
            </w:r>
          </w:p>
        </w:tc>
      </w:tr>
      <w:tr>
        <w:trPr>
          <w:trHeight w:val="34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r>
      <w:tr>
        <w:trPr>
          <w:trHeight w:val="34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年及以上</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408" w:lineRule="auto" w:before="64"/>
        <w:ind w:left="573" w:right="1119"/>
        <w:jc w:val="left"/>
      </w:pPr>
      <w:r>
        <w:rPr/>
        <w:t>单项金额不重大但单独计提坏账准备的应收款项：</w:t>
      </w:r>
      <w:r>
        <w:rPr>
          <w:w w:val="100"/>
        </w:rPr>
        <w:t> </w:t>
      </w:r>
      <w:r>
        <w:rPr>
          <w:spacing w:val="-2"/>
        </w:rPr>
        <w:t>单独计提坏账准备的理由：涉及诉讼或对应收款项金额存在争议的应收款项。</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firstLine="420"/>
        <w:jc w:val="left"/>
      </w:pPr>
      <w:r>
        <w:rPr>
          <w:spacing w:val="-2"/>
        </w:rPr>
        <w:t>坏账准备的计提方法：单独进行减值测试，如果客观证据表明其发生了减值的，根据其未来现金流量</w:t>
      </w:r>
      <w:r>
        <w:rPr>
          <w:w w:val="100"/>
        </w:rPr>
        <w:t> </w:t>
      </w:r>
      <w:r>
        <w:rPr/>
        <w:t>低于其账面价值的差额确认减值损失。</w:t>
      </w:r>
    </w:p>
    <w:p>
      <w:pPr>
        <w:pStyle w:val="BodyText"/>
        <w:spacing w:line="240" w:lineRule="auto"/>
        <w:ind w:left="573" w:right="996"/>
        <w:jc w:val="left"/>
      </w:pPr>
      <w:r>
        <w:rPr/>
        <w:t>持有至到期投资的减值准备：持有至到期投资减值损失的计量比照应收款项减值损失计量方法处理。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Heading5"/>
        <w:spacing w:line="240" w:lineRule="auto" w:before="154"/>
        <w:ind w:right="1119"/>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1187" w:firstLine="0"/>
        <w:jc w:val="left"/>
        <w:rPr>
          <w:rFonts w:ascii="宋体" w:hAnsi="宋体" w:cs="宋体" w:eastAsia="宋体" w:hint="default"/>
          <w:sz w:val="18"/>
          <w:szCs w:val="18"/>
        </w:rPr>
      </w:pPr>
      <w:r>
        <w:rPr>
          <w:rFonts w:ascii="宋体" w:hAnsi="宋体" w:cs="宋体" w:eastAsia="宋体" w:hint="default"/>
          <w:sz w:val="18"/>
          <w:szCs w:val="18"/>
        </w:rPr>
        <w:t>本公司对应收票据的预期信用损失的确定方法及会计处理方法详见本附注十、金融工具</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金融资产减值的测试方法及会计 处理方法。</w:t>
      </w:r>
    </w:p>
    <w:p>
      <w:pPr>
        <w:spacing w:line="240" w:lineRule="auto" w:before="10"/>
        <w:rPr>
          <w:rFonts w:ascii="宋体" w:hAnsi="宋体" w:cs="宋体" w:eastAsia="宋体" w:hint="default"/>
          <w:sz w:val="23"/>
          <w:szCs w:val="23"/>
        </w:rPr>
      </w:pPr>
    </w:p>
    <w:p>
      <w:pPr>
        <w:pStyle w:val="Heading5"/>
        <w:spacing w:line="240" w:lineRule="auto"/>
        <w:ind w:right="1119"/>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1188" w:firstLine="0"/>
        <w:jc w:val="left"/>
        <w:rPr>
          <w:rFonts w:ascii="宋体" w:hAnsi="宋体" w:cs="宋体" w:eastAsia="宋体" w:hint="default"/>
          <w:sz w:val="18"/>
          <w:szCs w:val="18"/>
        </w:rPr>
      </w:pPr>
      <w:r>
        <w:rPr>
          <w:rFonts w:ascii="宋体" w:hAnsi="宋体" w:cs="宋体" w:eastAsia="宋体" w:hint="default"/>
          <w:sz w:val="18"/>
          <w:szCs w:val="18"/>
        </w:rPr>
        <w:t>本公司对应收账款的预期信用损失的确定方法及会计处理方法详见本附注十金融工具</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金融资产减值的测试方法及会计处 理方法。</w:t>
      </w:r>
    </w:p>
    <w:p>
      <w:pPr>
        <w:spacing w:line="240" w:lineRule="auto" w:before="10"/>
        <w:rPr>
          <w:rFonts w:ascii="宋体" w:hAnsi="宋体" w:cs="宋体" w:eastAsia="宋体" w:hint="default"/>
          <w:sz w:val="23"/>
          <w:szCs w:val="23"/>
        </w:rPr>
      </w:pPr>
    </w:p>
    <w:p>
      <w:pPr>
        <w:pStyle w:val="Heading5"/>
        <w:spacing w:line="240" w:lineRule="auto"/>
        <w:ind w:right="1119"/>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1188" w:firstLine="0"/>
        <w:jc w:val="left"/>
        <w:rPr>
          <w:rFonts w:ascii="宋体" w:hAnsi="宋体" w:cs="宋体" w:eastAsia="宋体" w:hint="default"/>
          <w:sz w:val="18"/>
          <w:szCs w:val="18"/>
        </w:rPr>
      </w:pPr>
      <w:r>
        <w:rPr>
          <w:rFonts w:ascii="宋体" w:hAnsi="宋体" w:cs="宋体" w:eastAsia="宋体" w:hint="default"/>
          <w:sz w:val="18"/>
          <w:szCs w:val="18"/>
        </w:rPr>
        <w:t>本公司对应收款项融资的预期信用损失的确定方法及会计处理方法详见本附注十金融工具</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金融资产减值的测试方法及会 计处理方法。</w:t>
      </w:r>
    </w:p>
    <w:p>
      <w:pPr>
        <w:spacing w:line="240" w:lineRule="auto" w:before="10"/>
        <w:rPr>
          <w:rFonts w:ascii="宋体" w:hAnsi="宋体" w:cs="宋体" w:eastAsia="宋体" w:hint="default"/>
          <w:sz w:val="23"/>
          <w:szCs w:val="23"/>
        </w:rPr>
      </w:pPr>
    </w:p>
    <w:p>
      <w:pPr>
        <w:pStyle w:val="Heading5"/>
        <w:spacing w:line="240" w:lineRule="auto"/>
        <w:ind w:right="1119"/>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300" w:lineRule="auto" w:before="117"/>
        <w:ind w:left="152" w:right="1187" w:firstLine="0"/>
        <w:jc w:val="left"/>
        <w:rPr>
          <w:rFonts w:ascii="宋体" w:hAnsi="宋体" w:cs="宋体" w:eastAsia="宋体" w:hint="default"/>
          <w:sz w:val="18"/>
          <w:szCs w:val="18"/>
        </w:rPr>
      </w:pPr>
      <w:r>
        <w:rPr>
          <w:rFonts w:ascii="宋体" w:hAnsi="宋体" w:cs="宋体" w:eastAsia="宋体" w:hint="default"/>
          <w:sz w:val="18"/>
          <w:szCs w:val="18"/>
        </w:rPr>
        <w:t>本公司对其他应收款的预期信用损失的确定方法及会计处理方法详见本附注十金融工具</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金融资产减值的测试方法及会计 处理方法。</w:t>
      </w:r>
    </w:p>
    <w:p>
      <w:pPr>
        <w:spacing w:line="240" w:lineRule="auto" w:before="10"/>
        <w:rPr>
          <w:rFonts w:ascii="宋体" w:hAnsi="宋体" w:cs="宋体" w:eastAsia="宋体" w:hint="default"/>
          <w:sz w:val="23"/>
          <w:szCs w:val="23"/>
        </w:rPr>
      </w:pPr>
    </w:p>
    <w:p>
      <w:pPr>
        <w:pStyle w:val="Heading5"/>
        <w:spacing w:line="240" w:lineRule="auto"/>
        <w:ind w:right="1119"/>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left="575" w:right="1119"/>
        <w:jc w:val="left"/>
        <w:rPr>
          <w:b w:val="0"/>
          <w:bCs w:val="0"/>
        </w:rPr>
      </w:pPr>
      <w:r>
        <w:rPr/>
        <w:t>存货的分类</w:t>
      </w:r>
      <w:r>
        <w:rPr>
          <w:b w:val="0"/>
          <w:bCs w:val="0"/>
        </w:rPr>
      </w:r>
    </w:p>
    <w:p>
      <w:pPr>
        <w:spacing w:line="240" w:lineRule="auto" w:before="10"/>
        <w:rPr>
          <w:rFonts w:ascii="宋体" w:hAnsi="宋体" w:cs="宋体" w:eastAsia="宋体" w:hint="default"/>
          <w:b/>
          <w:bCs/>
          <w:sz w:val="14"/>
          <w:szCs w:val="14"/>
        </w:rPr>
      </w:pPr>
    </w:p>
    <w:p>
      <w:pPr>
        <w:spacing w:line="408" w:lineRule="auto" w:before="0"/>
        <w:ind w:left="575" w:right="2444" w:firstLine="420"/>
        <w:jc w:val="left"/>
        <w:rPr>
          <w:rFonts w:ascii="宋体" w:hAnsi="宋体" w:cs="宋体" w:eastAsia="宋体" w:hint="default"/>
          <w:sz w:val="21"/>
          <w:szCs w:val="21"/>
        </w:rPr>
      </w:pPr>
      <w:r>
        <w:rPr>
          <w:rFonts w:ascii="宋体" w:hAnsi="宋体" w:cs="宋体" w:eastAsia="宋体" w:hint="default"/>
          <w:spacing w:val="-2"/>
          <w:sz w:val="21"/>
          <w:szCs w:val="21"/>
        </w:rPr>
        <w:t>存货分类为：原材料、库存商品、在产品、发出商品、委托加工物资等。</w:t>
      </w:r>
      <w:r>
        <w:rPr>
          <w:rFonts w:ascii="宋体" w:hAnsi="宋体" w:cs="宋体" w:eastAsia="宋体" w:hint="default"/>
          <w:w w:val="100"/>
          <w:sz w:val="21"/>
          <w:szCs w:val="21"/>
        </w:rPr>
        <w:t> </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408" w:lineRule="auto" w:before="46"/>
        <w:ind w:left="575" w:right="5691" w:firstLine="420"/>
        <w:jc w:val="left"/>
        <w:rPr>
          <w:rFonts w:ascii="宋体" w:hAnsi="宋体" w:cs="宋体" w:eastAsia="宋体" w:hint="default"/>
          <w:sz w:val="21"/>
          <w:szCs w:val="21"/>
        </w:rPr>
      </w:pPr>
      <w:r>
        <w:rPr>
          <w:rFonts w:ascii="宋体" w:hAnsi="宋体" w:cs="宋体" w:eastAsia="宋体" w:hint="default"/>
          <w:spacing w:val="-2"/>
          <w:sz w:val="21"/>
          <w:szCs w:val="21"/>
        </w:rPr>
        <w:t>存货发出时按加权平均法计价。</w:t>
      </w:r>
      <w:r>
        <w:rPr>
          <w:rFonts w:ascii="宋体" w:hAnsi="宋体" w:cs="宋体" w:eastAsia="宋体" w:hint="default"/>
          <w:w w:val="100"/>
          <w:sz w:val="21"/>
          <w:szCs w:val="21"/>
        </w:rPr>
        <w:t> </w:t>
      </w:r>
      <w:r>
        <w:rPr>
          <w:rFonts w:ascii="宋体" w:hAnsi="宋体" w:cs="宋体" w:eastAsia="宋体" w:hint="default"/>
          <w:b/>
          <w:bCs/>
          <w:spacing w:val="-1"/>
          <w:sz w:val="21"/>
          <w:szCs w:val="21"/>
        </w:rPr>
        <w:t>不同类别存货可变现净值的确定依据</w:t>
      </w:r>
      <w:r>
        <w:rPr>
          <w:rFonts w:ascii="宋体" w:hAnsi="宋体" w:cs="宋体" w:eastAsia="宋体" w:hint="default"/>
          <w:spacing w:val="-1"/>
          <w:sz w:val="21"/>
          <w:szCs w:val="21"/>
        </w:rPr>
      </w:r>
    </w:p>
    <w:p>
      <w:pPr>
        <w:pStyle w:val="BodyText"/>
        <w:spacing w:line="408" w:lineRule="auto"/>
        <w:ind w:right="996" w:firstLine="842"/>
        <w:jc w:val="left"/>
      </w:pPr>
      <w:r>
        <w:rPr/>
        <w:t>产成品、库存商品和用于出售的材料等直接用于出售的商品存货，在正常生产经营过程中，以该</w:t>
      </w:r>
      <w:r>
        <w:rPr>
          <w:w w:val="100"/>
        </w:rPr>
        <w:t> </w:t>
      </w:r>
      <w:r>
        <w:rPr>
          <w:spacing w:val="-5"/>
        </w:rPr>
        <w:t>存货的估计售价减去估计的销售费用和相关税费后的金额，确定其可变现净值；需要经过加工的材料存货，</w:t>
      </w:r>
      <w:r>
        <w:rPr>
          <w:spacing w:val="-4"/>
        </w:rPr>
        <w:t> </w:t>
      </w:r>
      <w:r>
        <w:rPr>
          <w:spacing w:val="-4"/>
        </w:rPr>
      </w:r>
      <w:r>
        <w:rPr>
          <w:spacing w:val="-2"/>
        </w:rPr>
        <w:t>在正常生产经营过程中，以所生产的产成品的估计售价减去至完工时估计将要发生的成本、估计的销售费</w:t>
      </w:r>
      <w:r>
        <w:rPr>
          <w:spacing w:val="-42"/>
        </w:rPr>
        <w:t> </w:t>
      </w:r>
      <w:r>
        <w:rPr>
          <w:spacing w:val="-42"/>
        </w:rPr>
      </w:r>
      <w:r>
        <w:rPr>
          <w:spacing w:val="-2"/>
        </w:rPr>
        <w:t>用和相关税费后的金额，确定其可变现净值；为执行销售合同或者劳务合同而持有的存货，其可变现净值</w:t>
      </w:r>
      <w:r>
        <w:rPr>
          <w:spacing w:val="-43"/>
        </w:rPr>
        <w:t> </w:t>
      </w:r>
      <w:r>
        <w:rPr>
          <w:spacing w:val="-43"/>
        </w:rPr>
      </w:r>
      <w:r>
        <w:rPr>
          <w:spacing w:val="-2"/>
        </w:rPr>
        <w:t>以合同价格为基础计算，若持有存货的数量多于销售合同订购数量的，超出部分的存货的可变现净值以一</w:t>
      </w:r>
      <w:r>
        <w:rPr>
          <w:spacing w:val="-42"/>
        </w:rPr>
        <w:t> </w:t>
      </w:r>
      <w:r>
        <w:rPr>
          <w:spacing w:val="-42"/>
        </w:rPr>
      </w:r>
      <w:r>
        <w:rPr/>
        <w:t>般销售价格为基础计算。</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1119" w:firstLine="420"/>
        <w:jc w:val="left"/>
      </w:pPr>
      <w:r>
        <w:rPr>
          <w:spacing w:val="-2"/>
        </w:rPr>
        <w:t>除有明确证据表明资产负债表日市场价格异常外，存货项目的可变现净值以资产负债表日市场价格为</w:t>
      </w:r>
      <w:r>
        <w:rPr>
          <w:w w:val="100"/>
        </w:rPr>
        <w:t> </w:t>
      </w:r>
      <w:r>
        <w:rPr/>
        <w:t>基础确定。</w:t>
      </w:r>
    </w:p>
    <w:p>
      <w:pPr>
        <w:pStyle w:val="BodyText"/>
        <w:spacing w:line="408" w:lineRule="auto"/>
        <w:ind w:left="575" w:right="2654" w:hanging="3"/>
        <w:jc w:val="left"/>
        <w:rPr>
          <w:rFonts w:ascii="宋体" w:hAnsi="宋体" w:cs="宋体" w:eastAsia="宋体" w:hint="default"/>
        </w:rPr>
      </w:pPr>
      <w:r>
        <w:rPr>
          <w:spacing w:val="-2"/>
        </w:rPr>
        <w:t>本期期末存货项目的可变现净值以资产负债表日市场价格为基础确定。</w:t>
      </w:r>
      <w:r>
        <w:rPr>
          <w:spacing w:val="-45"/>
        </w:rPr>
        <w:t> </w:t>
      </w:r>
      <w:r>
        <w:rPr>
          <w:spacing w:val="-45"/>
        </w:rPr>
      </w:r>
      <w:r>
        <w:rPr>
          <w:rFonts w:ascii="宋体" w:hAnsi="宋体" w:cs="宋体" w:eastAsia="宋体" w:hint="default"/>
          <w:b/>
          <w:bCs/>
        </w:rPr>
        <w:t>存货的盘存制度</w:t>
      </w:r>
      <w:r>
        <w:rPr>
          <w:rFonts w:ascii="宋体" w:hAnsi="宋体" w:cs="宋体" w:eastAsia="宋体" w:hint="default"/>
        </w:rPr>
      </w:r>
    </w:p>
    <w:p>
      <w:pPr>
        <w:spacing w:line="408" w:lineRule="auto" w:before="46"/>
        <w:ind w:left="575" w:right="7393" w:firstLine="103"/>
        <w:jc w:val="left"/>
        <w:rPr>
          <w:rFonts w:ascii="宋体" w:hAnsi="宋体" w:cs="宋体" w:eastAsia="宋体" w:hint="default"/>
          <w:sz w:val="21"/>
          <w:szCs w:val="21"/>
        </w:rPr>
      </w:pP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宋体" w:hAnsi="宋体" w:cs="宋体" w:eastAsia="宋体" w:hint="default"/>
          <w:b/>
          <w:bCs/>
          <w:spacing w:val="-1"/>
          <w:sz w:val="21"/>
          <w:szCs w:val="21"/>
        </w:rPr>
        <w:t>低值易耗品和包装物的摊销方法</w:t>
      </w:r>
      <w:r>
        <w:rPr>
          <w:rFonts w:ascii="宋体" w:hAnsi="宋体" w:cs="宋体" w:eastAsia="宋体" w:hint="default"/>
          <w:spacing w:val="-1"/>
          <w:sz w:val="21"/>
          <w:szCs w:val="21"/>
        </w:rPr>
      </w:r>
    </w:p>
    <w:p>
      <w:pPr>
        <w:pStyle w:val="BodyText"/>
        <w:spacing w:line="240" w:lineRule="auto"/>
        <w:ind w:left="573" w:right="1119"/>
        <w:jc w:val="left"/>
      </w:pPr>
      <w:r>
        <w:rPr/>
        <w:t>（</w:t>
      </w:r>
      <w:r>
        <w:rPr>
          <w:rFonts w:ascii="宋体" w:hAnsi="宋体" w:cs="宋体" w:eastAsia="宋体" w:hint="default"/>
        </w:rPr>
        <w:t>1</w:t>
      </w:r>
      <w:r>
        <w:rPr/>
        <w:t>）低值易耗品采用一次转销法；</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20"/>
          <w:szCs w:val="20"/>
        </w:rPr>
      </w:pPr>
    </w:p>
    <w:p>
      <w:pPr>
        <w:pStyle w:val="Heading5"/>
        <w:spacing w:line="240" w:lineRule="auto" w:before="154"/>
        <w:ind w:right="1119"/>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Heading5"/>
        <w:spacing w:line="600" w:lineRule="atLeast" w:before="46"/>
        <w:ind w:right="9068"/>
        <w:jc w:val="left"/>
        <w:rPr>
          <w:b w:val="0"/>
          <w:bCs w:val="0"/>
        </w:rPr>
      </w:pPr>
      <w:r>
        <w:rPr>
          <w:rFonts w:ascii="Times New Roman" w:hAnsi="Times New Roman" w:cs="Times New Roman" w:eastAsia="Times New Roman" w:hint="default"/>
        </w:rPr>
        <w:t>18</w:t>
      </w:r>
      <w:r>
        <w:rPr/>
        <w:t>、持有待售资产</w:t>
      </w:r>
      <w:r>
        <w:rPr>
          <w:w w:val="100"/>
        </w:rPr>
        <w:t> </w:t>
      </w:r>
      <w:r>
        <w:rPr/>
        <w:t>持有待售</w:t>
      </w:r>
      <w:r>
        <w:rPr>
          <w:b w:val="0"/>
          <w:bCs w:val="0"/>
        </w:rPr>
      </w:r>
    </w:p>
    <w:p>
      <w:pPr>
        <w:pStyle w:val="BodyText"/>
        <w:spacing w:line="240" w:lineRule="auto" w:before="114"/>
        <w:ind w:left="573" w:right="1119"/>
        <w:jc w:val="left"/>
      </w:pPr>
      <w:r>
        <w:rPr/>
        <w:t>本公司将同时满足下列条件的非流动资产或处置组划分为持有待售类别：</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14"/>
          <w:szCs w:val="14"/>
        </w:rPr>
      </w:pPr>
    </w:p>
    <w:p>
      <w:pPr>
        <w:pStyle w:val="BodyText"/>
        <w:spacing w:line="408" w:lineRule="auto" w:before="0"/>
        <w:ind w:right="1119" w:firstLine="420"/>
        <w:jc w:val="left"/>
      </w:pPr>
      <w:r>
        <w:rPr/>
        <w:t>（</w:t>
      </w:r>
      <w:r>
        <w:rPr>
          <w:rFonts w:ascii="宋体" w:hAnsi="宋体" w:cs="宋体" w:eastAsia="宋体"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8"/>
        <w:rPr>
          <w:rFonts w:ascii="宋体" w:hAnsi="宋体" w:cs="宋体" w:eastAsia="宋体" w:hint="default"/>
          <w:b/>
          <w:bCs/>
          <w:sz w:val="30"/>
          <w:szCs w:val="30"/>
        </w:rPr>
      </w:pPr>
    </w:p>
    <w:p>
      <w:pPr>
        <w:pStyle w:val="Heading5"/>
        <w:spacing w:line="408" w:lineRule="auto"/>
        <w:ind w:right="7816"/>
        <w:jc w:val="left"/>
        <w:rPr>
          <w:b w:val="0"/>
          <w:bCs w:val="0"/>
        </w:rPr>
      </w:pPr>
      <w:r>
        <w:rPr/>
        <w:t>长期股权投资</w:t>
      </w:r>
      <w:r>
        <w:rPr>
          <w:spacing w:val="-104"/>
        </w:rPr>
        <w:t> </w:t>
      </w:r>
      <w:r>
        <w:rPr>
          <w:spacing w:val="-1"/>
        </w:rPr>
        <w:t>共同控制、重大影响的判断标准</w:t>
      </w:r>
      <w:r>
        <w:rPr>
          <w:b w:val="0"/>
          <w:bCs w:val="0"/>
          <w:spacing w:val="-1"/>
        </w:rPr>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1126" w:firstLine="420"/>
        <w:jc w:val="both"/>
      </w:pPr>
      <w:r>
        <w:rPr>
          <w:spacing w:val="-2"/>
        </w:rPr>
        <w:t>共同控制，是指按照相关约定对某项安排所共有的控制，并且该安排的相关活动必须经过分享控制权</w:t>
      </w:r>
      <w:r>
        <w:rPr>
          <w:w w:val="100"/>
        </w:rPr>
        <w:t> </w:t>
      </w: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408" w:lineRule="auto"/>
        <w:ind w:right="1119" w:firstLine="420"/>
        <w:jc w:val="left"/>
        <w:rPr>
          <w:rFonts w:ascii="宋体" w:hAnsi="宋体" w:cs="宋体" w:eastAsia="宋体" w:hint="default"/>
        </w:rPr>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r>
        <w:rPr>
          <w:w w:val="100"/>
        </w:rPr>
        <w:t> </w:t>
      </w:r>
      <w:r>
        <w:rPr>
          <w:rFonts w:ascii="宋体" w:hAnsi="宋体" w:cs="宋体" w:eastAsia="宋体" w:hint="default"/>
          <w:b/>
          <w:bCs/>
        </w:rPr>
        <w:t>初始投资成本的确定</w:t>
      </w:r>
      <w:r>
        <w:rPr>
          <w:rFonts w:ascii="宋体" w:hAnsi="宋体" w:cs="宋体" w:eastAsia="宋体" w:hint="default"/>
        </w:rPr>
      </w:r>
    </w:p>
    <w:p>
      <w:pPr>
        <w:pStyle w:val="BodyText"/>
        <w:spacing w:line="408" w:lineRule="auto"/>
        <w:ind w:left="575" w:right="1119"/>
        <w:jc w:val="left"/>
      </w:pPr>
      <w:r>
        <w:rPr/>
        <w:t>（</w:t>
      </w:r>
      <w:r>
        <w:rPr>
          <w:rFonts w:ascii="宋体" w:hAnsi="宋体" w:cs="宋体" w:eastAsia="宋体" w:hint="default"/>
        </w:rPr>
        <w:t>1</w:t>
      </w:r>
      <w:r>
        <w:rPr/>
        <w:t>）企业合并形成的长期股权投资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408" w:lineRule="auto"/>
        <w:ind w:right="112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408" w:lineRule="auto"/>
        <w:ind w:right="1126" w:firstLine="422"/>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408" w:lineRule="auto"/>
        <w:ind w:right="1119" w:firstLine="422"/>
        <w:jc w:val="left"/>
      </w:pPr>
      <w:r>
        <w:rPr/>
        <w:t>（</w:t>
      </w:r>
      <w:r>
        <w:rPr>
          <w:rFonts w:ascii="宋体" w:hAnsi="宋体" w:cs="宋体" w:eastAsia="宋体" w:hint="default"/>
        </w:rPr>
        <w:t>2</w:t>
      </w:r>
      <w:r>
        <w:rPr/>
        <w:t>）其他方式取得的长期股权投资</w:t>
      </w:r>
      <w:r>
        <w:rPr>
          <w:w w:val="100"/>
        </w:rPr>
        <w:t> </w:t>
      </w:r>
      <w:r>
        <w:rPr/>
        <w:t>以支付现金方式取得的长期股权投资，按照实际支付的购买价款作为初始投资成本。</w:t>
      </w:r>
      <w:r>
        <w:rPr>
          <w:spacing w:val="-3"/>
          <w:w w:val="100"/>
        </w:rPr>
        <w:t> </w:t>
      </w:r>
      <w:r>
        <w:rPr/>
        <w:t>以发行权益性证券取得的长期股权投资，按照发行权益性证券的公允价值作为初始投资成本。</w:t>
      </w:r>
      <w:r>
        <w:rPr>
          <w:w w:val="100"/>
        </w:rPr>
        <w:t> </w:t>
      </w:r>
      <w:r>
        <w:rPr>
          <w:spacing w:val="-2"/>
        </w:rPr>
        <w:t>在非货币性资产交换具有商业实质，且换入资产或换出资产的公允价值能够可靠计量时，以公允价值为基</w:t>
      </w:r>
      <w:r>
        <w:rPr>
          <w:spacing w:val="-43"/>
        </w:rPr>
        <w:t> </w:t>
      </w:r>
      <w:r>
        <w:rPr>
          <w:spacing w:val="-43"/>
        </w:rPr>
      </w:r>
      <w:r>
        <w:rPr>
          <w:spacing w:val="-2"/>
        </w:rPr>
        <w:t>础计量。如换入资产和换出资产的公允价值均能可靠计量的，对于换入的长期股权投资，以换出资产的公</w:t>
      </w:r>
      <w:r>
        <w:rPr>
          <w:spacing w:val="-43"/>
        </w:rPr>
        <w:t> </w:t>
      </w:r>
      <w:r>
        <w:rPr>
          <w:spacing w:val="-43"/>
        </w:rPr>
      </w:r>
      <w:r>
        <w:rPr>
          <w:spacing w:val="-2"/>
        </w:rPr>
        <w:t>允价值和应支付的相关税费作为换入的长期股权投资的初始投资成本，除非有确凿证据表明换入资产的公</w:t>
      </w:r>
      <w:r>
        <w:rPr>
          <w:spacing w:val="-43"/>
        </w:rPr>
        <w:t> </w:t>
      </w:r>
      <w:r>
        <w:rPr>
          <w:spacing w:val="-43"/>
        </w:rPr>
      </w:r>
      <w:r>
        <w:rPr>
          <w:spacing w:val="-2"/>
        </w:rPr>
        <w:t>允价值更加可靠。非货币性资产交换不具有商业实质，或换入资产和换出资产的公允价值均不能可靠计量</w:t>
      </w:r>
      <w:r>
        <w:rPr>
          <w:spacing w:val="-44"/>
        </w:rPr>
        <w:t> </w:t>
      </w:r>
      <w:r>
        <w:rPr>
          <w:spacing w:val="-44"/>
        </w:rPr>
      </w:r>
      <w:r>
        <w:rPr>
          <w:spacing w:val="-2"/>
        </w:rPr>
        <w:t>的，对于换入的长期股权投资，以换出资产的账面价值和应支付的相关税费作为换入长期股权投资的初始</w:t>
      </w:r>
      <w:r>
        <w:rPr>
          <w:spacing w:val="-42"/>
        </w:rPr>
        <w:t> </w:t>
      </w:r>
      <w:r>
        <w:rPr>
          <w:spacing w:val="-42"/>
        </w:rPr>
      </w:r>
      <w:r>
        <w:rPr/>
        <w:t>投资成本。</w:t>
      </w:r>
    </w:p>
    <w:p>
      <w:pPr>
        <w:pStyle w:val="BodyText"/>
        <w:spacing w:line="408" w:lineRule="auto"/>
        <w:ind w:right="1119" w:firstLine="422"/>
        <w:jc w:val="left"/>
        <w:rPr>
          <w:rFonts w:ascii="宋体" w:hAnsi="宋体" w:cs="宋体" w:eastAsia="宋体" w:hint="default"/>
        </w:rPr>
      </w:pPr>
      <w:r>
        <w:rPr>
          <w:spacing w:val="-2"/>
        </w:rPr>
        <w:t>通过债务重组取得的长期股权投资，以所放弃债权的公允价值和可直接归属于该资产的税金等其他成</w:t>
      </w:r>
      <w:r>
        <w:rPr>
          <w:w w:val="100"/>
        </w:rPr>
        <w:t> </w:t>
      </w:r>
      <w:r>
        <w:rPr/>
        <w:t>本确定其入账价值，并将所放弃债权的公允价值与账面价值之间的差额，计入当期损益。</w:t>
      </w:r>
      <w:r>
        <w:rPr>
          <w:w w:val="100"/>
        </w:rPr>
        <w:t> </w:t>
      </w:r>
      <w:r>
        <w:rPr>
          <w:rFonts w:ascii="宋体" w:hAnsi="宋体" w:cs="宋体" w:eastAsia="宋体" w:hint="default"/>
          <w:b/>
          <w:bCs/>
        </w:rPr>
        <w:t>后续计量及损益确认方法</w:t>
      </w:r>
      <w:r>
        <w:rPr>
          <w:rFonts w:ascii="宋体" w:hAnsi="宋体" w:cs="宋体" w:eastAsia="宋体" w:hint="default"/>
        </w:rPr>
      </w:r>
    </w:p>
    <w:p>
      <w:pPr>
        <w:pStyle w:val="BodyText"/>
        <w:spacing w:line="240" w:lineRule="auto"/>
        <w:ind w:left="575" w:right="1119"/>
        <w:jc w:val="left"/>
      </w:pPr>
      <w:r>
        <w:rPr/>
        <w:t>（</w:t>
      </w:r>
      <w:r>
        <w:rPr>
          <w:rFonts w:ascii="宋体" w:hAnsi="宋体" w:cs="宋体" w:eastAsia="宋体" w:hint="default"/>
        </w:rPr>
        <w:t>1</w:t>
      </w:r>
      <w:r>
        <w:rPr/>
        <w:t>）成本法核算的长期股权投资</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2"/>
        <w:jc w:val="both"/>
      </w:pPr>
      <w:r>
        <w:rPr>
          <w:spacing w:val="-2"/>
        </w:rPr>
        <w:t>公司对子公司的长期股权投资，采用成本法核算。除取得投资时实际支付的价款或对价中包含的已宣</w:t>
      </w:r>
      <w:r>
        <w:rPr>
          <w:w w:val="100"/>
        </w:rPr>
        <w:t> </w:t>
      </w: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408" w:lineRule="auto"/>
        <w:ind w:left="575" w:right="1119"/>
        <w:jc w:val="left"/>
      </w:pPr>
      <w:r>
        <w:rPr/>
        <w:t>（</w:t>
      </w:r>
      <w:r>
        <w:rPr>
          <w:rFonts w:ascii="宋体" w:hAnsi="宋体" w:cs="宋体" w:eastAsia="宋体" w:hint="default"/>
        </w:rPr>
        <w:t>2</w:t>
      </w:r>
      <w:r>
        <w:rPr/>
        <w:t>）权益法核算的长期股权投资</w:t>
      </w:r>
      <w:r>
        <w:rPr>
          <w:w w:val="100"/>
        </w:rPr>
        <w:t> </w:t>
      </w:r>
      <w:r>
        <w:rPr>
          <w:spacing w:val="-2"/>
        </w:rPr>
        <w:t>对联营企业和合营企业的长期股权投资，采用权益法核算。初始投资成本大于投资时应享有被投资单</w:t>
      </w:r>
    </w:p>
    <w:p>
      <w:pPr>
        <w:pStyle w:val="BodyText"/>
        <w:spacing w:line="408" w:lineRule="auto"/>
        <w:ind w:right="1119"/>
        <w:jc w:val="left"/>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408" w:lineRule="auto"/>
        <w:ind w:right="1126" w:firstLine="422"/>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408" w:lineRule="auto"/>
        <w:ind w:right="1126"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408" w:lineRule="auto"/>
        <w:ind w:right="1127"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2"/>
        </w:rPr>
        <w:t>附注“五、</w:t>
      </w:r>
      <w:r>
        <w:rPr>
          <w:rFonts w:ascii="宋体" w:hAnsi="宋体" w:cs="宋体" w:eastAsia="宋体" w:hint="default"/>
          <w:spacing w:val="-2"/>
        </w:rPr>
        <w:t>5</w:t>
      </w:r>
      <w:r>
        <w:rPr>
          <w:spacing w:val="-2"/>
        </w:rPr>
        <w:t>、同一控制下和非同一控制下企业合并的会计处理方法”和“五、</w:t>
      </w:r>
      <w:r>
        <w:rPr>
          <w:rFonts w:ascii="宋体" w:hAnsi="宋体" w:cs="宋体" w:eastAsia="宋体" w:hint="default"/>
          <w:spacing w:val="-2"/>
        </w:rPr>
        <w:t>6</w:t>
      </w:r>
      <w:r>
        <w:rPr>
          <w:spacing w:val="-2"/>
        </w:rPr>
        <w:t>、合并财务报表的编制方</w:t>
      </w:r>
      <w:r>
        <w:rPr>
          <w:spacing w:val="-45"/>
        </w:rPr>
        <w:t> </w:t>
      </w:r>
      <w:r>
        <w:rPr>
          <w:spacing w:val="-45"/>
        </w:rPr>
      </w:r>
      <w:r>
        <w:rPr/>
        <w:t>法”。</w:t>
      </w:r>
    </w:p>
    <w:p>
      <w:pPr>
        <w:pStyle w:val="BodyText"/>
        <w:spacing w:line="408" w:lineRule="auto"/>
        <w:ind w:right="1126" w:firstLine="422"/>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10" w:lineRule="auto"/>
        <w:ind w:left="575" w:right="2444"/>
        <w:jc w:val="left"/>
      </w:pPr>
      <w:r>
        <w:rPr/>
        <w:t>（</w:t>
      </w:r>
      <w:r>
        <w:rPr>
          <w:rFonts w:ascii="宋体" w:hAnsi="宋体" w:cs="宋体" w:eastAsia="宋体" w:hint="default"/>
        </w:rPr>
        <w:t>3</w:t>
      </w:r>
      <w:r>
        <w:rPr/>
        <w:t>）长期股权投资的处置</w:t>
      </w:r>
      <w:r>
        <w:rPr>
          <w:w w:val="100"/>
        </w:rPr>
        <w:t> </w:t>
      </w:r>
      <w:r>
        <w:rPr>
          <w:spacing w:val="-2"/>
        </w:rPr>
        <w:t>处置长期股权投资，其账面价值与实际取得价款的差额，计入当期损益。</w:t>
      </w:r>
    </w:p>
    <w:p>
      <w:pPr>
        <w:pStyle w:val="BodyText"/>
        <w:spacing w:line="408" w:lineRule="auto" w:before="44"/>
        <w:ind w:right="1126" w:firstLine="422"/>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5"/>
        </w:rPr>
        <w:t> </w:t>
      </w:r>
      <w:r>
        <w:rPr>
          <w:spacing w:val="-45"/>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2"/>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408" w:lineRule="auto"/>
        <w:ind w:right="1126" w:firstLine="422"/>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1"/>
        </w:rPr>
        <w:t> </w:t>
      </w:r>
      <w:r>
        <w:rPr>
          <w:spacing w:val="-41"/>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BodyText"/>
        <w:spacing w:line="408" w:lineRule="auto"/>
        <w:ind w:right="1126" w:firstLine="422"/>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w:t>
      </w:r>
    </w:p>
    <w:p>
      <w:pPr>
        <w:pStyle w:val="BodyText"/>
        <w:spacing w:line="441" w:lineRule="auto" w:before="85"/>
        <w:ind w:left="573" w:right="1119"/>
        <w:jc w:val="left"/>
      </w:pPr>
      <w:r>
        <w:rPr/>
        <w:t>折旧或摊销方法</w:t>
      </w:r>
      <w:r>
        <w:rPr>
          <w:spacing w:val="-103"/>
        </w:rPr>
        <w:t> </w:t>
      </w:r>
      <w:r>
        <w:rPr>
          <w:spacing w:val="-103"/>
        </w:rPr>
      </w:r>
      <w:r>
        <w:rPr>
          <w:spacing w:val="-2"/>
        </w:rPr>
        <w:t>投资性房地产是指为赚取租金或资本增值，或两者兼有而持有的房地产，包括已出租的土地使用权、</w:t>
      </w:r>
    </w:p>
    <w:p>
      <w:pPr>
        <w:pStyle w:val="BodyText"/>
        <w:spacing w:line="408" w:lineRule="auto" w:before="16"/>
        <w:ind w:right="1119"/>
        <w:jc w:val="left"/>
      </w:pP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BodyText"/>
        <w:spacing w:line="408" w:lineRule="auto"/>
        <w:ind w:right="1126" w:firstLine="420"/>
        <w:jc w:val="both"/>
      </w:pPr>
      <w:r>
        <w:rPr>
          <w:spacing w:val="-2"/>
        </w:rPr>
        <w:t>本公司对现有投资性房地产采用成本模式计量。对按照成本模式计量的投资性房地产－出租用建筑物</w:t>
      </w:r>
      <w:r>
        <w:rPr>
          <w:w w:val="100"/>
        </w:rPr>
        <w:t> </w:t>
      </w:r>
      <w:r>
        <w:rPr/>
        <w:t>采用与本公司固定资产相同的折旧政策，出租用土地使用权按与无形资产相同的摊销政策执行。</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7" w:firstLine="420"/>
        <w:jc w:val="both"/>
      </w:pPr>
      <w:r>
        <w:rPr>
          <w:spacing w:val="-2"/>
        </w:rPr>
        <w:t>固定资产指为生产商品、提供劳务、出租或经营管理而持有，并且使用寿命超过一个会计年度的有形</w:t>
      </w:r>
      <w:r>
        <w:rPr>
          <w:w w:val="100"/>
        </w:rPr>
        <w:t> </w:t>
      </w:r>
      <w:r>
        <w:rPr/>
        <w:t>资产。固定资产在同时满足下列条件时予以确认：</w:t>
      </w:r>
      <w:r>
        <w:rPr>
          <w:spacing w:val="-10"/>
        </w:rPr>
        <w:t> </w:t>
      </w:r>
      <w:r>
        <w:rPr/>
        <w:t>（</w:t>
      </w:r>
      <w:r>
        <w:rPr>
          <w:rFonts w:ascii="宋体" w:hAnsi="宋体" w:cs="宋体" w:eastAsia="宋体" w:hint="default"/>
        </w:rPr>
        <w:t>1</w:t>
      </w:r>
      <w:r>
        <w:rPr/>
        <w:t>）与该固定资产有关的经济利益很可能流入企业；</w:t>
      </w:r>
    </w:p>
    <w:p>
      <w:pPr>
        <w:pStyle w:val="BodyText"/>
        <w:spacing w:line="240" w:lineRule="auto"/>
        <w:ind w:right="1119"/>
        <w:jc w:val="left"/>
      </w:pPr>
      <w:r>
        <w:rPr/>
        <w:t>（</w:t>
      </w:r>
      <w:r>
        <w:rPr>
          <w:rFonts w:ascii="宋体" w:hAnsi="宋体" w:cs="宋体" w:eastAsia="宋体" w:hint="default"/>
        </w:rPr>
        <w:t>2</w:t>
      </w:r>
      <w:r>
        <w:rPr/>
        <w:t>）该固定资产的成本能够可靠地计量。</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2.25-4.50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18.00-30.00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18.00-22.50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w:t>
            </w:r>
          </w:p>
        </w:tc>
      </w:tr>
    </w:tbl>
    <w:p>
      <w:pPr>
        <w:spacing w:line="240" w:lineRule="auto" w:before="13"/>
        <w:rPr>
          <w:rFonts w:ascii="宋体" w:hAnsi="宋体" w:cs="宋体" w:eastAsia="宋体" w:hint="default"/>
          <w:b/>
          <w:bCs/>
          <w:sz w:val="25"/>
          <w:szCs w:val="25"/>
        </w:rPr>
      </w:pPr>
    </w:p>
    <w:p>
      <w:pPr>
        <w:pStyle w:val="BodyText"/>
        <w:spacing w:line="408" w:lineRule="auto" w:before="36"/>
        <w:ind w:right="1126" w:firstLine="420"/>
        <w:jc w:val="both"/>
      </w:pP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408" w:lineRule="auto"/>
        <w:ind w:right="112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678" w:right="1119"/>
        <w:jc w:val="left"/>
      </w:pPr>
      <w:r>
        <w:rPr/>
        <w:t>公司与租赁方所签订的租赁协议条款中规定了下列条件之一的，确认为融资租入资产：</w:t>
      </w:r>
    </w:p>
    <w:p>
      <w:pPr>
        <w:spacing w:line="240" w:lineRule="auto" w:before="10"/>
        <w:rPr>
          <w:rFonts w:ascii="宋体" w:hAnsi="宋体" w:cs="宋体" w:eastAsia="宋体" w:hint="default"/>
          <w:sz w:val="14"/>
          <w:szCs w:val="14"/>
        </w:rPr>
      </w:pPr>
    </w:p>
    <w:p>
      <w:pPr>
        <w:pStyle w:val="BodyText"/>
        <w:spacing w:line="240" w:lineRule="auto" w:before="0"/>
        <w:ind w:left="678" w:right="1119"/>
        <w:jc w:val="left"/>
      </w:pPr>
      <w:r>
        <w:rPr/>
        <w:t>（</w:t>
      </w:r>
      <w:r>
        <w:rPr>
          <w:rFonts w:ascii="宋体" w:hAnsi="宋体" w:cs="宋体" w:eastAsia="宋体" w:hint="default"/>
        </w:rPr>
        <w:t>1</w:t>
      </w:r>
      <w:r>
        <w:rPr/>
        <w:t>）租赁期满后租赁资产的所有权归属于本公司；</w:t>
      </w:r>
    </w:p>
    <w:p>
      <w:pPr>
        <w:spacing w:line="240" w:lineRule="auto" w:before="10"/>
        <w:rPr>
          <w:rFonts w:ascii="宋体" w:hAnsi="宋体" w:cs="宋体" w:eastAsia="宋体" w:hint="default"/>
          <w:sz w:val="14"/>
          <w:szCs w:val="14"/>
        </w:rPr>
      </w:pPr>
    </w:p>
    <w:p>
      <w:pPr>
        <w:pStyle w:val="BodyText"/>
        <w:spacing w:line="240" w:lineRule="auto" w:before="0"/>
        <w:ind w:left="678" w:right="1119"/>
        <w:jc w:val="left"/>
      </w:pPr>
      <w:r>
        <w:rPr/>
        <w:t>（</w:t>
      </w:r>
      <w:r>
        <w:rPr>
          <w:rFonts w:ascii="宋体" w:hAnsi="宋体" w:cs="宋体" w:eastAsia="宋体" w:hint="default"/>
        </w:rPr>
        <w:t>2</w:t>
      </w:r>
      <w:r>
        <w:rPr/>
        <w:t>）公司具有购买资产的选择权，购买价款远低于行使选择权时该资产的公允价值；</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3</w:t>
      </w:r>
      <w:r>
        <w:rPr/>
        <w:t>）租赁期占所租赁资产使用寿命的大部分；</w:t>
      </w:r>
    </w:p>
    <w:p>
      <w:pPr>
        <w:spacing w:line="240" w:lineRule="auto" w:before="10"/>
        <w:rPr>
          <w:rFonts w:ascii="宋体" w:hAnsi="宋体" w:cs="宋体" w:eastAsia="宋体" w:hint="default"/>
          <w:sz w:val="14"/>
          <w:szCs w:val="14"/>
        </w:rPr>
      </w:pPr>
    </w:p>
    <w:p>
      <w:pPr>
        <w:pStyle w:val="BodyText"/>
        <w:spacing w:line="408" w:lineRule="auto" w:before="0"/>
        <w:ind w:right="1126" w:firstLine="526"/>
        <w:jc w:val="both"/>
      </w:pPr>
      <w:r>
        <w:rPr/>
        <w:t>（</w:t>
      </w:r>
      <w:r>
        <w:rPr>
          <w:rFonts w:ascii="宋体" w:hAnsi="宋体" w:cs="宋体" w:eastAsia="宋体" w:hint="default"/>
        </w:rPr>
        <w:t>4</w:t>
      </w:r>
      <w:r>
        <w:rPr/>
        <w:t>）租赁开始日的最低租赁付款额现值，与该资产的公允价值不存在较大的差异。</w:t>
      </w:r>
      <w:r>
        <w:rPr>
          <w:spacing w:val="73"/>
        </w:rPr>
        <w:t> </w:t>
      </w:r>
      <w:r>
        <w:rPr/>
        <w:t>公司在承租开</w:t>
      </w:r>
      <w:r>
        <w:rPr>
          <w:w w:val="100"/>
        </w:rPr>
        <w:t> </w:t>
      </w:r>
      <w:r>
        <w:rPr>
          <w:spacing w:val="-2"/>
        </w:rPr>
        <w:t>始日，将租赁资产公允价值与最低租赁付款额现值两者中较低者作为租入资产的入账价值，将最低租赁付</w:t>
      </w:r>
      <w:r>
        <w:rPr>
          <w:spacing w:val="-42"/>
        </w:rPr>
        <w:t> </w:t>
      </w:r>
      <w:r>
        <w:rPr>
          <w:spacing w:val="-42"/>
        </w:rPr>
      </w:r>
      <w:r>
        <w:rPr/>
        <w:t>款额作为长期应付款的入账价值，其差额作为未确认的融资费。</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96"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after="0" w:line="408"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408" w:lineRule="auto"/>
        <w:ind w:left="573" w:right="1119"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408" w:lineRule="auto"/>
        <w:ind w:left="573" w:right="244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408" w:lineRule="auto"/>
        <w:ind w:right="1119" w:firstLine="420"/>
        <w:jc w:val="left"/>
      </w:pPr>
      <w:r>
        <w:rPr/>
        <w:t>（</w:t>
      </w:r>
      <w:r>
        <w:rPr>
          <w:rFonts w:ascii="宋体" w:hAnsi="宋体" w:cs="宋体" w:eastAsia="宋体"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ind w:left="573" w:right="1119"/>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w:t>
      </w:r>
      <w:r>
        <w:rPr>
          <w:rFonts w:ascii="宋体" w:hAnsi="宋体" w:cs="宋体" w:eastAsia="宋体" w:hint="default"/>
        </w:rPr>
        <w:t>3</w:t>
      </w:r>
      <w:r>
        <w:rPr/>
        <w:t>）为使资产达到预定可使用或者可销售状态所必要的购建或者生产活动已经开始。</w:t>
      </w:r>
      <w:r>
        <w:rPr>
          <w:w w:val="100"/>
        </w:rPr>
        <w:t> </w:t>
      </w:r>
      <w:r>
        <w:rPr>
          <w:rFonts w:ascii="宋体" w:hAnsi="宋体" w:cs="宋体" w:eastAsia="宋体" w:hint="default"/>
          <w:b/>
          <w:bCs/>
        </w:rPr>
        <w:t>借款费用资本化期间</w:t>
      </w:r>
      <w:r>
        <w:rPr>
          <w:rFonts w:ascii="宋体" w:hAnsi="宋体" w:cs="宋体" w:eastAsia="宋体" w:hint="default"/>
          <w:b/>
          <w:bCs/>
          <w:spacing w:val="-103"/>
        </w:rPr>
        <w:t> </w:t>
      </w:r>
      <w:r>
        <w:rPr>
          <w:spacing w:val="-2"/>
        </w:rPr>
        <w:t>资本化期间，指从借款费用开始资本化时点到停止资本化时点的期间，借款费用暂停资本化的期间不</w:t>
      </w:r>
    </w:p>
    <w:p>
      <w:pPr>
        <w:pStyle w:val="BodyText"/>
        <w:spacing w:line="240" w:lineRule="auto"/>
        <w:ind w:right="1119"/>
        <w:jc w:val="left"/>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1119"/>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1119"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408" w:lineRule="auto"/>
        <w:ind w:left="573" w:right="1119" w:firstLine="2"/>
        <w:jc w:val="left"/>
      </w:pP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408" w:lineRule="auto"/>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w:t>
      </w:r>
    </w:p>
    <w:p>
      <w:pPr>
        <w:pStyle w:val="BodyText"/>
        <w:spacing w:line="408" w:lineRule="auto"/>
        <w:ind w:right="1126"/>
        <w:jc w:val="both"/>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05"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30</w:t>
      </w:r>
      <w:r>
        <w:rPr/>
        <w:t>、无形资产</w:t>
      </w:r>
      <w:r>
        <w:rPr>
          <w:b w:val="0"/>
          <w:bCs w:val="0"/>
        </w:rPr>
      </w:r>
    </w:p>
    <w:p>
      <w:pPr>
        <w:pStyle w:val="Heading5"/>
        <w:spacing w:line="692" w:lineRule="exact" w:before="13"/>
        <w:ind w:left="566" w:right="5691" w:hanging="414"/>
        <w:jc w:val="left"/>
        <w:rPr>
          <w:b w:val="0"/>
          <w:bCs w:val="0"/>
        </w:rPr>
      </w:pPr>
      <w:r>
        <w:rPr>
          <w:spacing w:val="-1"/>
        </w:rPr>
        <w:t>（</w:t>
      </w:r>
      <w:r>
        <w:rPr>
          <w:rFonts w:ascii="Times New Roman" w:hAnsi="Times New Roman" w:cs="Times New Roman" w:eastAsia="Times New Roman" w:hint="default"/>
          <w:spacing w:val="-1"/>
        </w:rPr>
        <w:t>1</w:t>
      </w:r>
      <w:r>
        <w:rPr>
          <w:spacing w:val="-1"/>
        </w:rPr>
        <w:t>）计价方法、使用寿命、减值测试</w:t>
      </w:r>
      <w:r>
        <w:rPr>
          <w:spacing w:val="-90"/>
        </w:rPr>
        <w:t> </w:t>
      </w:r>
      <w:r>
        <w:rPr>
          <w:spacing w:val="-90"/>
        </w:rPr>
      </w:r>
      <w:r>
        <w:rPr/>
        <w:t>无形资产的计价方法</w:t>
      </w:r>
      <w:r>
        <w:rPr>
          <w:b w:val="0"/>
          <w:bCs w:val="0"/>
        </w:rPr>
      </w:r>
    </w:p>
    <w:p>
      <w:pPr>
        <w:pStyle w:val="BodyText"/>
        <w:spacing w:line="386" w:lineRule="auto" w:before="84"/>
        <w:ind w:left="573" w:right="1119"/>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408" w:lineRule="auto" w:before="65"/>
        <w:ind w:right="1119"/>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1126" w:firstLine="420"/>
        <w:jc w:val="both"/>
      </w:pPr>
      <w:r>
        <w:rPr>
          <w:spacing w:val="-2"/>
        </w:rPr>
        <w:t>债务重组取得债务人用以抵债的无形资产，以所放弃债权的公允价值和可直接归属于使该资产达到预</w:t>
      </w:r>
      <w:r>
        <w:rPr>
          <w:w w:val="100"/>
        </w:rPr>
        <w:t> </w:t>
      </w:r>
      <w:r>
        <w:rPr>
          <w:spacing w:val="-2"/>
        </w:rPr>
        <w:t>定用途所发生的税金等其他成本确定其入账价值，并将所放弃债权的公允价值与账面价值之间的差额，计</w:t>
      </w:r>
      <w:r>
        <w:rPr>
          <w:spacing w:val="-43"/>
        </w:rPr>
        <w:t> </w:t>
      </w:r>
      <w:r>
        <w:rPr>
          <w:spacing w:val="-43"/>
        </w:rPr>
      </w:r>
      <w:r>
        <w:rPr/>
        <w:t>入当期损益。</w:t>
      </w:r>
    </w:p>
    <w:p>
      <w:pPr>
        <w:pStyle w:val="BodyText"/>
        <w:spacing w:line="408" w:lineRule="auto"/>
        <w:ind w:right="1105" w:firstLine="420"/>
        <w:jc w:val="both"/>
      </w:pPr>
      <w:r>
        <w:rPr>
          <w:spacing w:val="-2"/>
        </w:rPr>
        <w:t>在非货币性资产交换具有商业实质，且换入资产或换出资产的公允价值能够可靠计量时，以公允价值</w:t>
      </w:r>
      <w:r>
        <w:rPr>
          <w:w w:val="100"/>
        </w:rPr>
        <w:t> </w:t>
      </w:r>
      <w:r>
        <w:rPr>
          <w:spacing w:val="-2"/>
        </w:rPr>
        <w:t>为基础计量。如换入资产和换出资产的公允价值均能可靠计量的，对于换入的无形资产，以换出资产的公</w:t>
      </w:r>
      <w:r>
        <w:rPr>
          <w:spacing w:val="-43"/>
        </w:rPr>
        <w:t> </w:t>
      </w:r>
      <w:r>
        <w:rPr>
          <w:spacing w:val="-43"/>
        </w:rPr>
      </w:r>
      <w:r>
        <w:rPr>
          <w:spacing w:val="-2"/>
        </w:rPr>
        <w:t>允价值和应支付的相关税费作为换入的无形资产的初始投资成本，除非有确凿证据表明换入资产的公允价</w:t>
      </w:r>
      <w:r>
        <w:rPr>
          <w:spacing w:val="-43"/>
        </w:rPr>
        <w:t> </w:t>
      </w:r>
      <w:r>
        <w:rPr>
          <w:spacing w:val="-43"/>
        </w:rPr>
      </w:r>
      <w:r>
        <w:rPr>
          <w:spacing w:val="-2"/>
        </w:rPr>
        <w:t>值更加可靠。非货币性资产交换不具有商业实质，或换入资产和换出资产的公允价值均不能可靠计量的，</w:t>
      </w:r>
      <w:r>
        <w:rPr>
          <w:spacing w:val="-21"/>
        </w:rPr>
        <w:t> </w:t>
      </w:r>
      <w:r>
        <w:rPr>
          <w:spacing w:val="-21"/>
        </w:rPr>
      </w:r>
      <w:r>
        <w:rPr/>
        <w:t>对于换入的无形资产，以换出资产的账面价值和应支付的相关税费作为换入无形资产的初始投资成本。</w:t>
      </w:r>
    </w:p>
    <w:p>
      <w:pPr>
        <w:pStyle w:val="BodyText"/>
        <w:spacing w:line="386" w:lineRule="auto"/>
        <w:ind w:left="573" w:right="5691"/>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408" w:lineRule="auto" w:before="65"/>
        <w:ind w:right="112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Heading5"/>
        <w:spacing w:line="240" w:lineRule="auto" w:before="46"/>
        <w:ind w:left="575" w:right="1119"/>
        <w:jc w:val="left"/>
        <w:rPr>
          <w:b w:val="0"/>
          <w:bCs w:val="0"/>
        </w:rPr>
      </w:pPr>
      <w:r>
        <w:rPr/>
        <w:t>使用寿命有限的无形资产的使用寿命估计情况</w:t>
      </w:r>
      <w:r>
        <w:rPr>
          <w:b w:val="0"/>
          <w:bCs w:val="0"/>
        </w:rPr>
      </w:r>
    </w:p>
    <w:p>
      <w:pPr>
        <w:spacing w:line="240" w:lineRule="auto" w:before="11"/>
        <w:rPr>
          <w:rFonts w:ascii="宋体" w:hAnsi="宋体" w:cs="宋体" w:eastAsia="宋体" w:hint="default"/>
          <w:b/>
          <w:bCs/>
          <w:sz w:val="9"/>
          <w:szCs w:val="9"/>
        </w:rPr>
      </w:pPr>
    </w:p>
    <w:tbl>
      <w:tblPr>
        <w:tblW w:w="0" w:type="auto"/>
        <w:jc w:val="left"/>
        <w:tblInd w:w="755" w:type="dxa"/>
        <w:tblLayout w:type="fixed"/>
        <w:tblCellMar>
          <w:top w:w="0" w:type="dxa"/>
          <w:left w:w="0" w:type="dxa"/>
          <w:bottom w:w="0" w:type="dxa"/>
          <w:right w:w="0" w:type="dxa"/>
        </w:tblCellMar>
        <w:tblLook w:val="01E0"/>
      </w:tblPr>
      <w:tblGrid>
        <w:gridCol w:w="2153"/>
        <w:gridCol w:w="1657"/>
        <w:gridCol w:w="2002"/>
        <w:gridCol w:w="2002"/>
      </w:tblGrid>
      <w:tr>
        <w:trPr>
          <w:trHeight w:val="34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55" w:type="dxa"/>
        <w:tblLayout w:type="fixed"/>
        <w:tblCellMar>
          <w:top w:w="0" w:type="dxa"/>
          <w:left w:w="0" w:type="dxa"/>
          <w:bottom w:w="0" w:type="dxa"/>
          <w:right w:w="0" w:type="dxa"/>
        </w:tblCellMar>
        <w:tblLook w:val="01E0"/>
      </w:tblPr>
      <w:tblGrid>
        <w:gridCol w:w="2153"/>
        <w:gridCol w:w="1657"/>
        <w:gridCol w:w="2002"/>
        <w:gridCol w:w="2002"/>
      </w:tblGrid>
      <w:tr>
        <w:trPr>
          <w:trHeight w:val="34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3"/>
              <w:jc w:val="right"/>
              <w:rPr>
                <w:rFonts w:ascii="宋体" w:hAnsi="宋体" w:cs="宋体" w:eastAsia="宋体" w:hint="default"/>
                <w:sz w:val="18"/>
                <w:szCs w:val="18"/>
              </w:rPr>
            </w:pPr>
            <w:r>
              <w:rPr>
                <w:rFonts w:ascii="宋体" w:hAnsi="宋体" w:cs="宋体" w:eastAsia="宋体" w:hint="default"/>
                <w:sz w:val="18"/>
                <w:szCs w:val="18"/>
              </w:rPr>
              <w:t>直线法</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4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23"/>
              <w:jc w:val="right"/>
              <w:rPr>
                <w:rFonts w:ascii="宋体" w:hAnsi="宋体" w:cs="宋体" w:eastAsia="宋体" w:hint="default"/>
                <w:sz w:val="18"/>
                <w:szCs w:val="18"/>
              </w:rPr>
            </w:pPr>
            <w:r>
              <w:rPr>
                <w:rFonts w:ascii="宋体" w:hAnsi="宋体" w:cs="宋体" w:eastAsia="宋体" w:hint="default"/>
                <w:sz w:val="18"/>
                <w:szCs w:val="18"/>
              </w:rPr>
              <w:t>直线法</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13"/>
        <w:rPr>
          <w:rFonts w:ascii="宋体" w:hAnsi="宋体" w:cs="宋体" w:eastAsia="宋体" w:hint="default"/>
          <w:b/>
          <w:bCs/>
          <w:sz w:val="25"/>
          <w:szCs w:val="25"/>
        </w:rPr>
      </w:pPr>
    </w:p>
    <w:p>
      <w:pPr>
        <w:spacing w:line="408" w:lineRule="auto" w:before="3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公司将无法预见该资产为公司带来经济利益的期限，或使用期限不确定等无形资产确定为使用寿命不</w:t>
      </w:r>
    </w:p>
    <w:p>
      <w:pPr>
        <w:pStyle w:val="BodyText"/>
        <w:spacing w:line="240" w:lineRule="auto"/>
        <w:ind w:right="1119"/>
        <w:jc w:val="left"/>
      </w:pPr>
      <w:r>
        <w:rPr/>
        <w:t>确定的无形资产。</w:t>
      </w:r>
    </w:p>
    <w:p>
      <w:pPr>
        <w:pStyle w:val="Heading5"/>
        <w:spacing w:line="670" w:lineRule="atLeast" w:before="37"/>
        <w:ind w:left="575" w:right="5691" w:hanging="423"/>
        <w:jc w:val="left"/>
        <w:rPr>
          <w:b w:val="0"/>
          <w:bCs w:val="0"/>
        </w:rPr>
      </w:pPr>
      <w:r>
        <w:rPr/>
        <w:t>（</w:t>
      </w:r>
      <w:r>
        <w:rPr>
          <w:rFonts w:ascii="Times New Roman" w:hAnsi="Times New Roman" w:cs="Times New Roman" w:eastAsia="Times New Roman" w:hint="default"/>
        </w:rPr>
        <w:t>2</w:t>
      </w:r>
      <w:r>
        <w:rPr/>
        <w:t>）内部研究开发支出会计政策</w:t>
      </w:r>
      <w:r>
        <w:rPr>
          <w:w w:val="100"/>
        </w:rPr>
        <w:t> </w:t>
      </w:r>
      <w:r>
        <w:rPr>
          <w:spacing w:val="-1"/>
        </w:rPr>
        <w:t>划分研究阶段和开发阶段的具体标准</w:t>
      </w:r>
      <w:r>
        <w:rPr>
          <w:b w:val="0"/>
          <w:bCs w:val="0"/>
          <w:spacing w:val="-1"/>
        </w:rPr>
      </w:r>
    </w:p>
    <w:p>
      <w:pPr>
        <w:spacing w:line="240" w:lineRule="auto" w:before="11"/>
        <w:rPr>
          <w:rFonts w:ascii="宋体" w:hAnsi="宋体" w:cs="宋体" w:eastAsia="宋体" w:hint="default"/>
          <w:b/>
          <w:bCs/>
          <w:sz w:val="14"/>
          <w:szCs w:val="14"/>
        </w:rPr>
      </w:pPr>
    </w:p>
    <w:p>
      <w:pPr>
        <w:pStyle w:val="BodyText"/>
        <w:spacing w:line="408" w:lineRule="auto" w:before="0"/>
        <w:ind w:left="573" w:right="1119"/>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spacing w:line="408" w:lineRule="auto" w:before="46"/>
        <w:ind w:left="573" w:right="2654" w:hanging="421"/>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ind w:left="573" w:right="1119"/>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3" w:right="1119"/>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1119"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86" w:lineRule="auto" w:before="65"/>
        <w:ind w:right="1119"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386" w:lineRule="auto" w:before="65"/>
        <w:ind w:left="573" w:right="1119"/>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0" w:lineRule="auto" w:before="65"/>
        <w:ind w:right="1119"/>
        <w:jc w:val="left"/>
      </w:pPr>
      <w:r>
        <w:rPr/>
        <w:t>期损益。</w:t>
      </w:r>
    </w:p>
    <w:p>
      <w:pPr>
        <w:spacing w:before="178"/>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w:t>
      </w:r>
    </w:p>
    <w:p>
      <w:pPr>
        <w:pStyle w:val="BodyText"/>
        <w:spacing w:line="692" w:lineRule="exact" w:before="32"/>
        <w:ind w:left="573" w:right="1119" w:hanging="421"/>
        <w:jc w:val="left"/>
      </w:pP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长期股权投资、采用成本模式计量的投资性房地产、固定资产、在建工程、使用寿命有限的无形资产</w:t>
      </w:r>
    </w:p>
    <w:p>
      <w:pPr>
        <w:pStyle w:val="BodyText"/>
        <w:spacing w:line="408" w:lineRule="auto" w:before="84"/>
        <w:ind w:right="1126"/>
        <w:jc w:val="both"/>
      </w:pP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BodyText"/>
        <w:spacing w:line="408" w:lineRule="auto"/>
        <w:ind w:right="1126" w:firstLine="420"/>
        <w:jc w:val="both"/>
      </w:pPr>
      <w:r>
        <w:rPr>
          <w:spacing w:val="-2"/>
        </w:rPr>
        <w:t>商誉、使用寿命不确定的无形资产、尚未达到可使用状态的无形资产至少在每年年度终了进行减值测</w:t>
      </w:r>
      <w:r>
        <w:rPr>
          <w:w w:val="100"/>
        </w:rPr>
        <w:t> </w:t>
      </w:r>
      <w:r>
        <w:rPr/>
        <w:t>试。</w:t>
      </w:r>
    </w:p>
    <w:p>
      <w:pPr>
        <w:pStyle w:val="BodyText"/>
        <w:spacing w:line="408" w:lineRule="auto"/>
        <w:ind w:right="1126" w:firstLine="420"/>
        <w:jc w:val="both"/>
      </w:pPr>
      <w:r>
        <w:rPr>
          <w:spacing w:val="-2"/>
        </w:rPr>
        <w:t>本公司进行商誉减值测试，对于因企业合并形成的商誉的账面价值，自购买日起按照合理的方法分摊</w:t>
      </w:r>
      <w:r>
        <w:rPr>
          <w:w w:val="100"/>
        </w:rPr>
        <w:t> </w:t>
      </w:r>
      <w:r>
        <w:rPr>
          <w:spacing w:val="-2"/>
        </w:rPr>
        <w:t>至相关的资产组；难以分摊至相关的资产组的，将其分摊至相关的资产组组合。本公司在分摊商誉的账面</w:t>
      </w:r>
      <w:r>
        <w:rPr>
          <w:spacing w:val="-44"/>
        </w:rPr>
        <w:t> </w:t>
      </w:r>
      <w:r>
        <w:rPr>
          <w:spacing w:val="-44"/>
        </w:rPr>
      </w:r>
      <w:r>
        <w:rPr>
          <w:spacing w:val="-2"/>
        </w:rPr>
        <w:t>价值时，根据相关资产组或资产组组合能够从企业合并的协同效应中获得的相对受益情况进行分摊，在此</w:t>
      </w:r>
      <w:r>
        <w:rPr>
          <w:spacing w:val="-43"/>
        </w:rPr>
        <w:t> </w:t>
      </w:r>
      <w:r>
        <w:rPr>
          <w:spacing w:val="-43"/>
        </w:rPr>
      </w:r>
      <w:r>
        <w:rPr/>
        <w:t>基础上进行商誉减值测试。</w:t>
      </w:r>
    </w:p>
    <w:p>
      <w:pPr>
        <w:pStyle w:val="BodyText"/>
        <w:spacing w:line="408" w:lineRule="auto"/>
        <w:ind w:right="112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pStyle w:val="BodyText"/>
        <w:spacing w:line="240" w:lineRule="auto"/>
        <w:ind w:left="573" w:right="1119"/>
        <w:jc w:val="left"/>
      </w:pPr>
      <w:r>
        <w:rPr/>
        <w:t>上述资产减值损失一经确认，在以后会计期间不予转回。</w:t>
      </w:r>
    </w:p>
    <w:p>
      <w:pPr>
        <w:spacing w:line="670" w:lineRule="atLeast" w:before="37"/>
        <w:ind w:left="573" w:right="11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spacing w:line="240" w:lineRule="auto" w:before="8"/>
        <w:rPr>
          <w:rFonts w:ascii="宋体" w:hAnsi="宋体" w:cs="宋体" w:eastAsia="宋体" w:hint="default"/>
          <w:sz w:val="14"/>
          <w:szCs w:val="14"/>
        </w:rPr>
      </w:pPr>
    </w:p>
    <w:p>
      <w:pPr>
        <w:pStyle w:val="BodyText"/>
        <w:spacing w:line="408" w:lineRule="auto" w:before="0"/>
        <w:ind w:left="573" w:right="1119" w:hanging="8"/>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）摊销方法</w:t>
      </w:r>
      <w:r>
        <w:rPr>
          <w:rFonts w:ascii="宋体" w:hAnsi="宋体" w:cs="宋体" w:eastAsia="宋体" w:hint="default"/>
          <w:b/>
          <w:bCs/>
          <w:w w:val="100"/>
        </w:rPr>
        <w:t> </w:t>
      </w:r>
      <w:r>
        <w:rPr>
          <w:spacing w:val="-2"/>
        </w:rPr>
        <w:t>本公司发生的长期待摊费用按实际成本计价，并按预计受益期限平均摊销，对不能使以后会计期间受</w:t>
      </w:r>
    </w:p>
    <w:p>
      <w:pPr>
        <w:pStyle w:val="BodyText"/>
        <w:spacing w:line="240" w:lineRule="auto"/>
        <w:ind w:right="1119"/>
        <w:jc w:val="left"/>
      </w:pPr>
      <w:r>
        <w:rPr/>
        <w:t>益的长期待摊费用项目，在确定时将该项目的摊余价值全部计入当期损益。</w:t>
      </w:r>
    </w:p>
    <w:p>
      <w:pPr>
        <w:spacing w:line="240" w:lineRule="auto" w:before="10"/>
        <w:rPr>
          <w:rFonts w:ascii="宋体" w:hAnsi="宋体" w:cs="宋体" w:eastAsia="宋体" w:hint="default"/>
          <w:sz w:val="14"/>
          <w:szCs w:val="14"/>
        </w:rPr>
      </w:pPr>
    </w:p>
    <w:p>
      <w:pPr>
        <w:pStyle w:val="Heading5"/>
        <w:spacing w:line="240" w:lineRule="auto"/>
        <w:ind w:left="575" w:right="1119"/>
        <w:jc w:val="left"/>
        <w:rPr>
          <w:b w:val="0"/>
          <w:bCs w:val="0"/>
        </w:rPr>
      </w:pPr>
      <w:r>
        <w:rPr/>
        <w:t>（</w:t>
      </w:r>
      <w:r>
        <w:rPr>
          <w:rFonts w:ascii="宋体" w:hAnsi="宋体" w:cs="宋体" w:eastAsia="宋体" w:hint="default"/>
        </w:rPr>
        <w:t>2</w:t>
      </w:r>
      <w:r>
        <w:rPr/>
        <w:t>）摊销年限</w:t>
      </w:r>
      <w:r>
        <w:rPr>
          <w:b w:val="0"/>
          <w:bCs w:val="0"/>
        </w:rPr>
      </w:r>
    </w:p>
    <w:p>
      <w:pPr>
        <w:spacing w:line="240" w:lineRule="auto" w:before="11"/>
        <w:rPr>
          <w:rFonts w:ascii="宋体" w:hAnsi="宋体" w:cs="宋体" w:eastAsia="宋体" w:hint="default"/>
          <w:b/>
          <w:bCs/>
          <w:sz w:val="9"/>
          <w:szCs w:val="9"/>
        </w:rPr>
      </w:pPr>
    </w:p>
    <w:tbl>
      <w:tblPr>
        <w:tblW w:w="0" w:type="auto"/>
        <w:jc w:val="left"/>
        <w:tblInd w:w="755" w:type="dxa"/>
        <w:tblLayout w:type="fixed"/>
        <w:tblCellMar>
          <w:top w:w="0" w:type="dxa"/>
          <w:left w:w="0" w:type="dxa"/>
          <w:bottom w:w="0" w:type="dxa"/>
          <w:right w:w="0" w:type="dxa"/>
        </w:tblCellMar>
        <w:tblLook w:val="01E0"/>
      </w:tblPr>
      <w:tblGrid>
        <w:gridCol w:w="2153"/>
        <w:gridCol w:w="2912"/>
        <w:gridCol w:w="3260"/>
      </w:tblGrid>
      <w:tr>
        <w:trPr>
          <w:trHeight w:val="34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项目使用权</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b/>
          <w:bCs/>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34</w:t>
      </w:r>
      <w:r>
        <w:rPr/>
        <w:t>、职工薪酬</w:t>
      </w:r>
      <w:r>
        <w:rPr>
          <w:b w:val="0"/>
          <w:bCs w:val="0"/>
        </w:rPr>
      </w:r>
    </w:p>
    <w:p>
      <w:pPr>
        <w:spacing w:line="692" w:lineRule="exact" w:before="13"/>
        <w:ind w:left="573" w:right="11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240" w:lineRule="auto" w:before="84"/>
        <w:ind w:right="1119"/>
        <w:jc w:val="left"/>
      </w:pPr>
      <w:r>
        <w:rPr/>
        <w:t>相关资产成本。</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本公司为职工缴纳的社会保险费和住房公积金，以及按规定提取的工会经费和职工教育经费，在职工</w:t>
      </w:r>
      <w:r>
        <w:rPr>
          <w:w w:val="100"/>
        </w:rPr>
        <w:t> </w:t>
      </w:r>
      <w:r>
        <w:rPr/>
        <w:t>为本公司提供服务的会计期间，根据规定的计提基础和计提比例计算确定相应的职工薪酬金额。</w:t>
      </w:r>
    </w:p>
    <w:p>
      <w:pPr>
        <w:pStyle w:val="BodyText"/>
        <w:spacing w:line="240" w:lineRule="auto"/>
        <w:ind w:left="573" w:right="1119"/>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pStyle w:val="Heading5"/>
        <w:spacing w:line="240" w:lineRule="auto" w:before="154"/>
        <w:ind w:right="1119"/>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jc w:val="left"/>
      </w:pPr>
      <w:r>
        <w:rPr/>
        <w:t>① 设定提存计划</w:t>
      </w:r>
      <w:r>
        <w:rPr>
          <w:w w:val="100"/>
        </w:rPr>
        <w:t> </w:t>
      </w:r>
      <w:r>
        <w:rPr>
          <w:spacing w:val="-2"/>
        </w:rPr>
        <w:t>本公司按当地政府的相关规定为职工缴纳基本养老保险和失业保险，在职工为本公司提供服务的会计</w:t>
      </w:r>
    </w:p>
    <w:p>
      <w:pPr>
        <w:pStyle w:val="BodyText"/>
        <w:spacing w:line="408" w:lineRule="auto"/>
        <w:ind w:left="0" w:right="1107"/>
        <w:jc w:val="right"/>
      </w:pPr>
      <w:r>
        <w:rPr>
          <w:spacing w:val="-2"/>
        </w:rPr>
        <w:t>期间，按以当地规定的缴纳基数和比例计算应缴纳金额，确认为负债，并计入当期损益或相关资产成本。</w:t>
      </w:r>
      <w:r>
        <w:rPr>
          <w:spacing w:val="-46"/>
        </w:rPr>
        <w:t> </w:t>
      </w:r>
      <w:r>
        <w:rPr>
          <w:spacing w:val="-46"/>
        </w:rPr>
      </w:r>
      <w:r>
        <w:rPr>
          <w:spacing w:val="-2"/>
        </w:rPr>
        <w:t>除基本养老保险外，本公司还依据国家企业年金制度的相关政策建立了企业年金缴费制度（补充养老</w:t>
      </w:r>
      <w:r>
        <w:rPr>
          <w:w w:val="100"/>
        </w:rPr>
        <w:t> </w:t>
      </w:r>
      <w:r>
        <w:rPr/>
        <w:t>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w:t>
      </w:r>
    </w:p>
    <w:p>
      <w:pPr>
        <w:pStyle w:val="BodyText"/>
        <w:spacing w:line="240" w:lineRule="auto" w:before="14"/>
        <w:ind w:right="1119"/>
        <w:jc w:val="left"/>
      </w:pPr>
      <w:r>
        <w:rPr/>
        <w:t>支出计入当期损益或相关资产成本。</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② 设定受益计划</w:t>
      </w:r>
      <w:r>
        <w:rPr>
          <w:w w:val="100"/>
        </w:rPr>
        <w:t> </w:t>
      </w:r>
      <w:r>
        <w:rPr>
          <w:spacing w:val="2"/>
        </w:rPr>
        <w:t>本公司根据预期累计福利单位法确定的公式将设定受益计划产生的福利义务归属于职工提供服务的</w:t>
      </w:r>
    </w:p>
    <w:p>
      <w:pPr>
        <w:pStyle w:val="BodyText"/>
        <w:spacing w:line="408" w:lineRule="auto"/>
        <w:ind w:left="573" w:right="1119"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408" w:lineRule="auto"/>
        <w:ind w:right="1119"/>
        <w:jc w:val="left"/>
      </w:pPr>
      <w:r>
        <w:rPr>
          <w:spacing w:val="-2"/>
        </w:rPr>
        <w:t>划净负债或净资产。设定受益计划存在盈余的，本公司以设定受益计划的盈余和资产上限两项的孰低者计</w:t>
      </w:r>
      <w:r>
        <w:rPr>
          <w:spacing w:val="-43"/>
        </w:rPr>
        <w:t> </w:t>
      </w:r>
      <w:r>
        <w:rPr>
          <w:spacing w:val="-43"/>
        </w:rPr>
      </w:r>
      <w:r>
        <w:rPr/>
        <w:t>量设定受益计划净资产。</w:t>
      </w:r>
    </w:p>
    <w:p>
      <w:pPr>
        <w:pStyle w:val="BodyText"/>
        <w:spacing w:line="408" w:lineRule="auto" w:before="44"/>
        <w:ind w:right="1104" w:firstLine="420"/>
        <w:jc w:val="both"/>
      </w:pPr>
      <w:r>
        <w:rPr>
          <w:spacing w:val="-2"/>
        </w:rPr>
        <w:t>所有设定受益计划义务，包括预期在职工提供服务的年度报告期间结束后的十二个月内支付的义务，</w:t>
      </w:r>
      <w:r>
        <w:rPr>
          <w:w w:val="100"/>
        </w:rPr>
        <w:t> </w:t>
      </w:r>
      <w:r>
        <w:rPr>
          <w:spacing w:val="2"/>
        </w:rPr>
        <w:t>根据资产负债表日与设定受益计划义务期限和币种相匹配的国债或活跃市场上的高质量公司债券的市场</w:t>
      </w:r>
      <w:r>
        <w:rPr>
          <w:spacing w:val="-30"/>
        </w:rPr>
        <w:t> </w:t>
      </w:r>
      <w:r>
        <w:rPr>
          <w:spacing w:val="-30"/>
        </w:rPr>
      </w:r>
      <w:r>
        <w:rPr/>
        <w:t>收益率予以折现。</w:t>
      </w:r>
    </w:p>
    <w:p>
      <w:pPr>
        <w:pStyle w:val="BodyText"/>
        <w:spacing w:line="408" w:lineRule="auto"/>
        <w:ind w:right="1107" w:firstLine="420"/>
        <w:jc w:val="right"/>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84"/>
        </w:rPr>
        <w:t> </w:t>
      </w:r>
      <w:r>
        <w:rPr>
          <w:spacing w:val="-84"/>
        </w:rPr>
      </w:r>
      <w:r>
        <w:rPr>
          <w:spacing w:val="-2"/>
        </w:rPr>
        <w:t>回至损益，在原设定受益计划终止时在权益范围内将原计入其他综合收益的部分全部结转至未分配利润。</w:t>
      </w:r>
      <w:r>
        <w:rPr>
          <w:spacing w:val="-44"/>
        </w:rPr>
        <w:t> </w:t>
      </w:r>
      <w:r>
        <w:rPr>
          <w:spacing w:val="-44"/>
        </w:rPr>
      </w:r>
      <w:r>
        <w:rPr>
          <w:spacing w:val="-2"/>
        </w:rPr>
        <w:t>在设定受益计划结算时，按在结算日确定的设定受益计划义务现值和结算价格两者的差额，确认结算</w:t>
      </w:r>
    </w:p>
    <w:p>
      <w:pPr>
        <w:pStyle w:val="BodyText"/>
        <w:spacing w:line="240" w:lineRule="auto"/>
        <w:ind w:right="1119"/>
        <w:jc w:val="left"/>
      </w:pPr>
      <w:r>
        <w:rPr/>
        <w:t>利得或损失。</w:t>
      </w:r>
    </w:p>
    <w:p>
      <w:pPr>
        <w:spacing w:line="670" w:lineRule="atLeast" w:before="37"/>
        <w:ind w:left="573" w:right="11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spacing w:line="240" w:lineRule="auto" w:before="10"/>
        <w:rPr>
          <w:rFonts w:ascii="宋体" w:hAnsi="宋体" w:cs="宋体" w:eastAsia="宋体" w:hint="default"/>
          <w:sz w:val="14"/>
          <w:szCs w:val="14"/>
        </w:rPr>
      </w:pPr>
    </w:p>
    <w:p>
      <w:pPr>
        <w:pStyle w:val="BodyText"/>
        <w:spacing w:line="240" w:lineRule="auto" w:before="0"/>
        <w:ind w:right="996"/>
        <w:jc w:val="left"/>
      </w:pPr>
      <w:r>
        <w:rPr/>
        <w:t>退福利的重组相关的成本或费用时（两者孰早），确认辞退福利产生的职工薪酬负债，并计入当期损益。</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预计负债的确认标准</w:t>
      </w:r>
      <w:r>
        <w:rPr>
          <w:rFonts w:ascii="宋体" w:hAnsi="宋体" w:cs="宋体" w:eastAsia="宋体" w:hint="default"/>
          <w:b/>
          <w:bCs/>
          <w:w w:val="100"/>
        </w:rPr>
        <w:t> </w:t>
      </w:r>
      <w:r>
        <w:rPr>
          <w:spacing w:val="-2"/>
        </w:rPr>
        <w:t>与诉讼、债务担保、亏损合同、重组事项等或有事项相关的义务同时满足下列条件时，本公司确认为</w:t>
      </w:r>
    </w:p>
    <w:p>
      <w:pPr>
        <w:pStyle w:val="BodyText"/>
        <w:spacing w:line="240" w:lineRule="auto"/>
        <w:ind w:right="1119"/>
        <w:jc w:val="left"/>
      </w:pPr>
      <w:r>
        <w:rPr/>
        <w:t>预计负债：</w:t>
      </w:r>
    </w:p>
    <w:p>
      <w:pPr>
        <w:spacing w:line="240" w:lineRule="auto" w:before="11"/>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1</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4"/>
          <w:szCs w:val="14"/>
        </w:rPr>
      </w:pPr>
    </w:p>
    <w:p>
      <w:pPr>
        <w:spacing w:line="408" w:lineRule="auto" w:before="0"/>
        <w:ind w:left="566" w:right="5691"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）该义务的金额能够可靠地计量。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b/>
          <w:bCs/>
          <w:sz w:val="21"/>
          <w:szCs w:val="21"/>
        </w:rPr>
        <w:t>各类预计负债的计量方法</w:t>
      </w:r>
      <w:r>
        <w:rPr>
          <w:rFonts w:ascii="宋体" w:hAnsi="宋体" w:cs="宋体" w:eastAsia="宋体" w:hint="default"/>
          <w:sz w:val="21"/>
          <w:szCs w:val="21"/>
        </w:rPr>
      </w:r>
    </w:p>
    <w:p>
      <w:pPr>
        <w:pStyle w:val="BodyText"/>
        <w:spacing w:line="408" w:lineRule="auto"/>
        <w:ind w:left="573" w:right="1119"/>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408" w:lineRule="auto"/>
        <w:ind w:left="573" w:right="1119"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3" w:right="1119"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ind w:right="1119"/>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ind w:right="1119"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）股份支付</w:t>
      </w:r>
      <w:r>
        <w:rPr>
          <w:rFonts w:ascii="宋体" w:hAnsi="宋体" w:cs="宋体" w:eastAsia="宋体" w:hint="default"/>
          <w:b/>
          <w:bCs/>
          <w:w w:val="100"/>
        </w:rPr>
        <w:t> </w:t>
      </w:r>
      <w:r>
        <w:rPr>
          <w:spacing w:val="2"/>
        </w:rPr>
        <w:t>本公司的股份支付是为了获取职工或其他方提供服务而授予权益工具或者承担以权益工具为基础确</w:t>
      </w:r>
    </w:p>
    <w:p>
      <w:pPr>
        <w:pStyle w:val="BodyText"/>
        <w:spacing w:line="240" w:lineRule="auto"/>
        <w:ind w:right="1119"/>
        <w:jc w:val="left"/>
      </w:pPr>
      <w:r>
        <w:rPr/>
        <w:t>定的负债的交易。本公司的股份支付分为以权益结算的股份支付和以现金结算的股份支付。</w:t>
      </w:r>
    </w:p>
    <w:p>
      <w:pPr>
        <w:spacing w:line="240" w:lineRule="auto" w:before="10"/>
        <w:rPr>
          <w:rFonts w:ascii="宋体" w:hAnsi="宋体" w:cs="宋体" w:eastAsia="宋体" w:hint="default"/>
          <w:sz w:val="14"/>
          <w:szCs w:val="14"/>
        </w:rPr>
      </w:pPr>
    </w:p>
    <w:p>
      <w:pPr>
        <w:pStyle w:val="Heading5"/>
        <w:spacing w:line="240" w:lineRule="auto"/>
        <w:ind w:left="566" w:right="1119"/>
        <w:jc w:val="left"/>
        <w:rPr>
          <w:b w:val="0"/>
          <w:bCs w:val="0"/>
        </w:rPr>
      </w:pPr>
      <w:r>
        <w:rPr/>
        <w:t>（</w:t>
      </w:r>
      <w:r>
        <w:rPr>
          <w:rFonts w:ascii="宋体" w:hAnsi="宋体" w:cs="宋体" w:eastAsia="宋体" w:hint="default"/>
        </w:rPr>
        <w:t>2</w:t>
      </w:r>
      <w:r>
        <w:rPr/>
        <w:t>）以权益结算的股份支付及权益工具</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5"/>
        <w:ind w:right="996" w:firstLine="420"/>
        <w:jc w:val="left"/>
      </w:pPr>
      <w:r>
        <w:rPr/>
        <w:t>以权益结算的股份支付换取职工提供服务的，以授予职工权益工具的公允价值计量。本公司以限制性</w:t>
      </w:r>
      <w:r>
        <w:rPr>
          <w:w w:val="100"/>
        </w:rPr>
        <w:t> </w:t>
      </w:r>
      <w:r>
        <w:rPr>
          <w:spacing w:val="-2"/>
        </w:rPr>
        <w:t>股票进行股份支付的，职工出资认购股票，股票在达到解锁条件并解锁前不得上市流通或转让；如果最终</w:t>
      </w:r>
      <w:r>
        <w:rPr>
          <w:spacing w:val="-44"/>
        </w:rPr>
        <w:t> </w:t>
      </w:r>
      <w:r>
        <w:rPr>
          <w:spacing w:val="-44"/>
        </w:rPr>
      </w:r>
      <w:r>
        <w:rPr>
          <w:spacing w:val="-2"/>
        </w:rPr>
        <w:t>股权激励计划规定的解锁条件未能达到，则本公司按照事先约定的价格回购股票。本公司取得职工认购限</w:t>
      </w:r>
      <w:r>
        <w:rPr>
          <w:spacing w:val="-42"/>
        </w:rPr>
        <w:t> </w:t>
      </w:r>
      <w:r>
        <w:rPr>
          <w:spacing w:val="-42"/>
        </w:rPr>
      </w:r>
      <w:r>
        <w:rPr>
          <w:spacing w:val="-2"/>
        </w:rPr>
        <w:t>制性股票支付的款项时，按照取得的认股款确认股本和资本公积（股本溢价），同时就回购义务全额确认</w:t>
      </w:r>
      <w:r>
        <w:rPr>
          <w:spacing w:val="-47"/>
        </w:rPr>
        <w:t> </w:t>
      </w:r>
      <w:r>
        <w:rPr>
          <w:spacing w:val="-47"/>
        </w:rPr>
      </w:r>
      <w:r>
        <w:rPr>
          <w:spacing w:val="-2"/>
        </w:rPr>
        <w:t>一项负债并确认库存股。在等待期内每个资产负债表日，本公司根据最新取得的</w:t>
      </w:r>
      <w:r>
        <w:rPr>
          <w:rFonts w:ascii="宋体" w:hAnsi="宋体" w:cs="宋体" w:eastAsia="宋体" w:hint="default"/>
          <w:spacing w:val="-2"/>
        </w:rPr>
        <w:t>[</w:t>
      </w:r>
      <w:r>
        <w:rPr>
          <w:spacing w:val="-2"/>
        </w:rPr>
        <w:t>可行权职工人数变动</w:t>
      </w:r>
      <w:r>
        <w:rPr>
          <w:rFonts w:ascii="宋体" w:hAnsi="宋体" w:cs="宋体" w:eastAsia="宋体" w:hint="default"/>
          <w:spacing w:val="-2"/>
        </w:rPr>
        <w:t>]</w:t>
      </w:r>
      <w:r>
        <w:rPr>
          <w:rFonts w:ascii="宋体" w:hAnsi="宋体" w:cs="宋体" w:eastAsia="宋体" w:hint="default"/>
          <w:spacing w:val="50"/>
        </w:rPr>
        <w:t> </w:t>
      </w:r>
      <w:r>
        <w:rPr/>
        <w:t>、</w:t>
      </w:r>
      <w:r>
        <w:rPr>
          <w:spacing w:val="-95"/>
        </w:rPr>
        <w:t> </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等后续信息对可行权权益工具数量作出最佳估计，以此为基础，按照授予日的公</w:t>
      </w:r>
      <w:r>
        <w:rPr>
          <w:spacing w:val="-41"/>
        </w:rPr>
        <w:t> </w:t>
      </w:r>
      <w:r>
        <w:rPr>
          <w:spacing w:val="-41"/>
        </w:rPr>
      </w:r>
      <w:r>
        <w:rPr>
          <w:spacing w:val="-2"/>
        </w:rPr>
        <w:t>允价值，将当期取得的服务计入相关成本或费用，相应增加资本公积。在可行权日之后不再对已确认的相</w:t>
      </w:r>
      <w:r>
        <w:rPr>
          <w:spacing w:val="-42"/>
        </w:rPr>
        <w:t> </w:t>
      </w:r>
      <w:r>
        <w:rPr>
          <w:spacing w:val="-42"/>
        </w:rPr>
      </w:r>
      <w:r>
        <w:rPr>
          <w:spacing w:val="-2"/>
        </w:rPr>
        <w:t>关成本或费用和所有者权益总额进行调整。但授予后立即可行权的，在授予日按照公允价值计入相关成本</w:t>
      </w:r>
      <w:r>
        <w:rPr>
          <w:spacing w:val="-44"/>
        </w:rPr>
        <w:t> </w:t>
      </w:r>
      <w:r>
        <w:rPr>
          <w:spacing w:val="-44"/>
        </w:rPr>
      </w:r>
      <w:r>
        <w:rPr/>
        <w:t>或费用，相应增加资本公积。</w:t>
      </w:r>
    </w:p>
    <w:p>
      <w:pPr>
        <w:pStyle w:val="BodyText"/>
        <w:spacing w:line="408" w:lineRule="auto"/>
        <w:ind w:right="1119"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408" w:lineRule="auto"/>
        <w:ind w:right="1119"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408" w:lineRule="auto"/>
        <w:ind w:right="996"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spacing w:val="2"/>
        </w:rPr>
        <w:t>如果授予新的权益工具，并在新权益工具授予日认定所授予的新权益工具是用于替代被取消的权益工具</w:t>
      </w:r>
      <w:r>
        <w:rPr>
          <w:spacing w:val="-27"/>
        </w:rPr>
        <w:t> </w:t>
      </w:r>
      <w:r>
        <w:rPr>
          <w:spacing w:val="-27"/>
        </w:rPr>
      </w:r>
      <w:r>
        <w:rPr/>
        <w:t>的，则以与处理原权益工具条款和条件修改相同的方式，对所授予的替代权益工具进行处理。</w:t>
      </w:r>
    </w:p>
    <w:p>
      <w:pPr>
        <w:spacing w:line="408" w:lineRule="auto" w:before="46"/>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）以现金结算的股份支付及权益工具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以现金结算的股份支付，按照本公司承担的以股份或其他权益工具为基础计算确定的负债的公允价值</w:t>
      </w:r>
    </w:p>
    <w:p>
      <w:pPr>
        <w:pStyle w:val="BodyText"/>
        <w:spacing w:line="408" w:lineRule="auto"/>
        <w:ind w:right="996"/>
        <w:jc w:val="left"/>
      </w:pPr>
      <w:r>
        <w:rPr>
          <w:spacing w:val="-2"/>
        </w:rPr>
        <w:t>计量。初始采用</w:t>
      </w:r>
      <w:r>
        <w:rPr>
          <w:rFonts w:ascii="宋体" w:hAnsi="宋体" w:cs="宋体" w:eastAsia="宋体" w:hint="default"/>
          <w:spacing w:val="-2"/>
        </w:rPr>
        <w:t>Black-Scholes</w:t>
      </w:r>
      <w:r>
        <w:rPr>
          <w:spacing w:val="-2"/>
        </w:rPr>
        <w:t>期权定价模型确认授予日的公允价值，并考虑授予权益工具的条款和条件。</w:t>
      </w:r>
      <w:r>
        <w:rPr>
          <w:spacing w:val="-28"/>
        </w:rPr>
        <w:t> </w:t>
      </w:r>
      <w:r>
        <w:rPr>
          <w:spacing w:val="-28"/>
        </w:rPr>
      </w:r>
      <w:r>
        <w:rPr>
          <w:spacing w:val="-2"/>
        </w:rPr>
        <w:t>授予后立即可行权的，在授予日以承担负债的公允价值计入成本或费用，相应增加负债；完成等待期内的</w:t>
      </w:r>
      <w:r>
        <w:rPr>
          <w:spacing w:val="-44"/>
        </w:rPr>
        <w:t> </w:t>
      </w:r>
      <w:r>
        <w:rPr>
          <w:spacing w:val="-44"/>
        </w:rPr>
      </w:r>
      <w:r>
        <w:rPr/>
        <w:t>服务或达到规定业绩条件才可行权的，在等待期内以对可行权情况的最佳估计为基础，按照承担负债的公</w:t>
      </w:r>
      <w:r>
        <w:rPr>
          <w:w w:val="100"/>
        </w:rPr>
        <w:t> </w:t>
      </w:r>
      <w:r>
        <w:rPr/>
        <w:t>允价值，将当期取得的服务计入相关成本或费用，增加相应负债。在相关负债结算前的每个资产负债表日</w:t>
      </w:r>
      <w:r>
        <w:rPr>
          <w:w w:val="100"/>
        </w:rPr>
        <w:t> </w:t>
      </w:r>
      <w:r>
        <w:rPr/>
        <w:t>以及结算日，对负债的公允价值重新计量，其变动计入当期损益。</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19" w:firstLine="420"/>
        <w:jc w:val="left"/>
      </w:pPr>
      <w:r>
        <w:rPr>
          <w:spacing w:val="-2"/>
        </w:rPr>
        <w:t>本公司根据所发行优先股</w:t>
      </w:r>
      <w:r>
        <w:rPr>
          <w:rFonts w:ascii="宋体" w:hAnsi="宋体" w:cs="宋体" w:eastAsia="宋体" w:hint="default"/>
          <w:spacing w:val="-2"/>
        </w:rPr>
        <w:t>/</w:t>
      </w:r>
      <w:r>
        <w:rPr>
          <w:spacing w:val="-2"/>
        </w:rPr>
        <w:t>永续债的合同条款及其所反映的经济实质而非仅以法律形式，在初始确认</w:t>
      </w:r>
      <w:r>
        <w:rPr>
          <w:w w:val="100"/>
        </w:rPr>
        <w:t> </w:t>
      </w:r>
      <w:r>
        <w:rPr/>
        <w:t>时将其分类为金融资产、金融负债或权益工具。</w:t>
      </w:r>
    </w:p>
    <w:p>
      <w:pPr>
        <w:pStyle w:val="BodyText"/>
        <w:spacing w:line="408" w:lineRule="auto"/>
        <w:ind w:right="1119" w:firstLine="420"/>
        <w:jc w:val="left"/>
      </w:pPr>
      <w:r>
        <w:rPr>
          <w:spacing w:val="-2"/>
        </w:rPr>
        <w:t>本公司发行的永续债</w:t>
      </w:r>
      <w:r>
        <w:rPr>
          <w:rFonts w:ascii="宋体" w:hAnsi="宋体" w:cs="宋体" w:eastAsia="宋体" w:hint="default"/>
          <w:spacing w:val="-2"/>
        </w:rPr>
        <w:t>/</w:t>
      </w:r>
      <w:r>
        <w:rPr>
          <w:spacing w:val="-2"/>
        </w:rPr>
        <w:t>优先股等金融工具满足以下条件之一，在初始确认时将该金融工具整体或其组</w:t>
      </w:r>
      <w:r>
        <w:rPr>
          <w:w w:val="100"/>
        </w:rPr>
        <w:t> </w:t>
      </w:r>
      <w:r>
        <w:rPr/>
        <w:t>成部分分类为金融负债：</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19"/>
        <w:jc w:val="left"/>
      </w:pPr>
      <w:r>
        <w:rPr/>
        <w:t>（</w:t>
      </w:r>
      <w:r>
        <w:rPr>
          <w:rFonts w:ascii="宋体" w:hAnsi="宋体" w:cs="宋体" w:eastAsia="宋体" w:hint="default"/>
        </w:rPr>
        <w:t>1</w:t>
      </w:r>
      <w:r>
        <w:rPr/>
        <w:t>）存在本公司不能无条件地避免以交付现金或其他金融资产履行的合同义务；</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2</w:t>
      </w:r>
      <w:r>
        <w:rPr/>
        <w:t>）包含交付可变数量的自身权益工具进行结算的合同义务；</w:t>
      </w:r>
    </w:p>
    <w:p>
      <w:pPr>
        <w:spacing w:line="240" w:lineRule="auto" w:before="10"/>
        <w:rPr>
          <w:rFonts w:ascii="宋体" w:hAnsi="宋体" w:cs="宋体" w:eastAsia="宋体" w:hint="default"/>
          <w:sz w:val="14"/>
          <w:szCs w:val="14"/>
        </w:rPr>
      </w:pPr>
    </w:p>
    <w:p>
      <w:pPr>
        <w:pStyle w:val="BodyText"/>
        <w:spacing w:line="408" w:lineRule="auto" w:before="0"/>
        <w:ind w:right="1119" w:firstLine="420"/>
        <w:jc w:val="left"/>
      </w:pPr>
      <w:r>
        <w:rPr>
          <w:spacing w:val="-2"/>
        </w:rPr>
        <w:t>（</w:t>
      </w:r>
      <w:r>
        <w:rPr>
          <w:rFonts w:ascii="宋体" w:hAnsi="宋体" w:cs="宋体" w:eastAsia="宋体" w:hint="default"/>
          <w:spacing w:val="-2"/>
        </w:rPr>
        <w:t>3</w:t>
      </w:r>
      <w:r>
        <w:rPr>
          <w:spacing w:val="-2"/>
        </w:rPr>
        <w:t>）包含以自身权益进行结算的衍生工具（例如转股权等），且该衍生工具不以固定数量的自身权</w:t>
      </w:r>
      <w:r>
        <w:rPr>
          <w:w w:val="100"/>
        </w:rPr>
        <w:t> </w:t>
      </w:r>
      <w:r>
        <w:rPr/>
        <w:t>益工具交换固定金额的现金或其他金融资产进行结算；</w:t>
      </w:r>
    </w:p>
    <w:p>
      <w:pPr>
        <w:pStyle w:val="BodyText"/>
        <w:spacing w:line="240" w:lineRule="auto"/>
        <w:ind w:left="573" w:right="1119"/>
        <w:jc w:val="left"/>
      </w:pPr>
      <w:r>
        <w:rPr/>
        <w:t>（</w:t>
      </w:r>
      <w:r>
        <w:rPr>
          <w:rFonts w:ascii="宋体" w:hAnsi="宋体" w:cs="宋体" w:eastAsia="宋体" w:hint="default"/>
        </w:rPr>
        <w:t>4</w:t>
      </w:r>
      <w:r>
        <w:rPr/>
        <w:t>）存在间接地形成合同义务的合同条款；</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w:t>
      </w:r>
      <w:r>
        <w:rPr>
          <w:rFonts w:ascii="宋体" w:hAnsi="宋体" w:cs="宋体" w:eastAsia="宋体" w:hint="default"/>
        </w:rPr>
        <w:t>5</w:t>
      </w:r>
      <w:r>
        <w:rPr/>
        <w:t>）发行方清算时永续债与发行方发行的普通债券和其他债务处于相同清偿顺序的。</w:t>
      </w:r>
      <w:r>
        <w:rPr>
          <w:w w:val="100"/>
        </w:rPr>
        <w:t> </w:t>
      </w:r>
      <w:r>
        <w:rPr>
          <w:spacing w:val="-2"/>
        </w:rPr>
        <w:t>不满足上述任何一项条件的永续债</w:t>
      </w:r>
      <w:r>
        <w:rPr>
          <w:rFonts w:ascii="宋体" w:hAnsi="宋体" w:cs="宋体" w:eastAsia="宋体" w:hint="default"/>
          <w:spacing w:val="-2"/>
        </w:rPr>
        <w:t>/</w:t>
      </w:r>
      <w:r>
        <w:rPr>
          <w:spacing w:val="-2"/>
        </w:rPr>
        <w:t>优先股等金融工具，在初始确认时将该金融工具整体或其组成部</w:t>
      </w:r>
    </w:p>
    <w:p>
      <w:pPr>
        <w:pStyle w:val="BodyText"/>
        <w:spacing w:line="240" w:lineRule="auto"/>
        <w:ind w:right="1119"/>
        <w:jc w:val="left"/>
      </w:pPr>
      <w:r>
        <w:rPr/>
        <w:t>分分类为权益工具。</w:t>
      </w:r>
    </w:p>
    <w:p>
      <w:pPr>
        <w:spacing w:line="240" w:lineRule="auto" w:before="0"/>
        <w:rPr>
          <w:rFonts w:ascii="宋体" w:hAnsi="宋体" w:cs="宋体" w:eastAsia="宋体" w:hint="default"/>
          <w:sz w:val="20"/>
          <w:szCs w:val="20"/>
        </w:rPr>
      </w:pPr>
    </w:p>
    <w:p>
      <w:pPr>
        <w:pStyle w:val="Heading5"/>
        <w:spacing w:line="240" w:lineRule="auto" w:before="155"/>
        <w:ind w:right="1119"/>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408" w:lineRule="auto" w:before="159"/>
        <w:ind w:left="573" w:right="1119" w:hanging="8"/>
        <w:jc w:val="left"/>
        <w:rPr>
          <w:rFonts w:ascii="宋体" w:hAnsi="宋体" w:cs="宋体" w:eastAsia="宋体" w:hint="default"/>
          <w:sz w:val="21"/>
          <w:szCs w:val="21"/>
        </w:rPr>
      </w:pPr>
      <w:r>
        <w:rPr>
          <w:rFonts w:ascii="宋体" w:hAnsi="宋体" w:cs="宋体" w:eastAsia="宋体" w:hint="default"/>
          <w:b/>
          <w:bCs/>
          <w:sz w:val="21"/>
          <w:szCs w:val="21"/>
        </w:rPr>
        <w:t>销售商品收入确认的一般原则：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408" w:lineRule="auto"/>
        <w:ind w:right="996"/>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40" w:lineRule="auto"/>
        <w:ind w:left="573" w:right="1119"/>
        <w:jc w:val="left"/>
      </w:pPr>
      <w:r>
        <w:rPr/>
        <w:t>根据上述商品销售收入确认原则，公司产品销售收入确认的具体方法如下：</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w:t>
      </w:r>
      <w:r>
        <w:rPr>
          <w:rFonts w:ascii="宋体" w:hAnsi="宋体" w:cs="宋体" w:eastAsia="宋体" w:hint="default"/>
        </w:rPr>
        <w:t>1</w:t>
      </w:r>
      <w:r>
        <w:rPr/>
        <w:t>）外销</w:t>
      </w:r>
      <w:r>
        <w:rPr>
          <w:spacing w:val="-103"/>
        </w:rPr>
        <w:t> </w:t>
      </w:r>
      <w:r>
        <w:rPr>
          <w:spacing w:val="-103"/>
        </w:rPr>
      </w:r>
      <w:r>
        <w:rPr>
          <w:spacing w:val="-2"/>
        </w:rPr>
        <w:t>公司外销主要采用</w:t>
      </w:r>
      <w:r>
        <w:rPr>
          <w:rFonts w:ascii="宋体" w:hAnsi="宋体" w:cs="宋体" w:eastAsia="宋体" w:hint="default"/>
          <w:spacing w:val="-2"/>
        </w:rPr>
        <w:t>FOB</w:t>
      </w:r>
      <w:r>
        <w:rPr>
          <w:spacing w:val="-2"/>
        </w:rPr>
        <w:t>（出口离岸价）方式结算，收到国外客户订单后产品出库并办理报关出口手续</w:t>
      </w:r>
    </w:p>
    <w:p>
      <w:pPr>
        <w:pStyle w:val="BodyText"/>
        <w:spacing w:line="240" w:lineRule="auto"/>
        <w:ind w:right="1119"/>
        <w:jc w:val="left"/>
      </w:pPr>
      <w:r>
        <w:rPr/>
        <w:t>后确认销售收入的实现，根据出口货物报关单上注明的日期作为主要风险和报酬转移给购买方的时点。</w:t>
      </w:r>
    </w:p>
    <w:p>
      <w:pPr>
        <w:spacing w:line="240" w:lineRule="auto" w:before="10"/>
        <w:rPr>
          <w:rFonts w:ascii="宋体" w:hAnsi="宋体" w:cs="宋体" w:eastAsia="宋体" w:hint="default"/>
          <w:sz w:val="14"/>
          <w:szCs w:val="14"/>
        </w:rPr>
      </w:pPr>
    </w:p>
    <w:p>
      <w:pPr>
        <w:pStyle w:val="BodyText"/>
        <w:spacing w:line="408" w:lineRule="auto" w:before="0"/>
        <w:ind w:left="573" w:right="4994"/>
        <w:jc w:val="left"/>
      </w:pPr>
      <w:r>
        <w:rPr/>
        <w:t>（</w:t>
      </w:r>
      <w:r>
        <w:rPr>
          <w:rFonts w:ascii="宋体" w:hAnsi="宋体" w:cs="宋体" w:eastAsia="宋体" w:hint="default"/>
        </w:rPr>
        <w:t>2</w:t>
      </w:r>
      <w:r>
        <w:rPr/>
        <w:t>）内销</w:t>
      </w:r>
      <w:r>
        <w:rPr>
          <w:spacing w:val="-103"/>
        </w:rPr>
        <w:t> </w:t>
      </w:r>
      <w:r>
        <w:rPr>
          <w:spacing w:val="-103"/>
        </w:rPr>
      </w:r>
      <w:r>
        <w:rPr>
          <w:spacing w:val="-2"/>
        </w:rPr>
        <w:t>公司内销主要分为直销、买断式经销和代销三种模式。</w:t>
      </w:r>
    </w:p>
    <w:p>
      <w:pPr>
        <w:pStyle w:val="BodyText"/>
        <w:spacing w:line="408" w:lineRule="auto"/>
        <w:ind w:right="1119" w:firstLine="420"/>
        <w:jc w:val="left"/>
      </w:pPr>
      <w:r>
        <w:rPr>
          <w:spacing w:val="-2"/>
        </w:rPr>
        <w:t>直销和买断式经销，销售收入确认的方法一致，公司依据客户订单约定发货并开具相应的送货单，待</w:t>
      </w:r>
      <w:r>
        <w:rPr>
          <w:w w:val="100"/>
        </w:rPr>
        <w:t> </w:t>
      </w:r>
      <w:r>
        <w:rPr/>
        <w:t>货物送达后，与客户进行对账，核实无误后确认收入。</w:t>
      </w:r>
    </w:p>
    <w:p>
      <w:pPr>
        <w:pStyle w:val="BodyText"/>
        <w:spacing w:line="410" w:lineRule="auto"/>
        <w:ind w:right="1119" w:firstLine="420"/>
        <w:jc w:val="left"/>
      </w:pPr>
      <w:r>
        <w:rPr>
          <w:spacing w:val="-2"/>
        </w:rPr>
        <w:t>代销模式，受托代销商每月定期提供代销清单，财务部每月定期与代销商进行对账，核实无误后确认</w:t>
      </w:r>
      <w:r>
        <w:rPr>
          <w:w w:val="100"/>
        </w:rPr>
        <w:t> </w:t>
      </w:r>
      <w:r>
        <w:rPr/>
        <w:t>收入。</w:t>
      </w:r>
    </w:p>
    <w:p>
      <w:pPr>
        <w:spacing w:line="408" w:lineRule="auto" w:before="44"/>
        <w:ind w:left="573" w:right="1119" w:firstLine="2"/>
        <w:jc w:val="left"/>
        <w:rPr>
          <w:rFonts w:ascii="宋体" w:hAnsi="宋体" w:cs="宋体" w:eastAsia="宋体" w:hint="default"/>
          <w:sz w:val="21"/>
          <w:szCs w:val="21"/>
        </w:rPr>
      </w:pPr>
      <w:r>
        <w:rPr>
          <w:rFonts w:ascii="宋体" w:hAnsi="宋体" w:cs="宋体" w:eastAsia="宋体" w:hint="default"/>
          <w:b/>
          <w:bCs/>
          <w:sz w:val="21"/>
          <w:szCs w:val="21"/>
        </w:rPr>
        <w:t>让渡资产使用权收入的确认和计量原则</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ind w:right="1119"/>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1</w:t>
      </w:r>
      <w:r>
        <w:rPr/>
        <w:t>）利息收入金额，按照他人使用本企业货币资金的时间和实际利率计算确定。</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1119"/>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119"/>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w:t>
      </w:r>
    </w:p>
    <w:p>
      <w:pPr>
        <w:pStyle w:val="BodyText"/>
        <w:spacing w:line="408" w:lineRule="auto"/>
        <w:ind w:left="573" w:right="1119" w:hanging="421"/>
        <w:jc w:val="left"/>
      </w:pPr>
      <w:r>
        <w:rPr/>
        <w:t>收益相关的政府补助。</w:t>
      </w:r>
      <w:r>
        <w:rPr>
          <w:w w:val="100"/>
        </w:rPr>
        <w:t> </w:t>
      </w:r>
      <w:r>
        <w:rPr>
          <w:spacing w:val="-2"/>
        </w:rPr>
        <w:t>与资产相关的政府补助，是指本公司取得的、用于购建或以其他方式形成长期资产的政府补助。与收</w:t>
      </w:r>
    </w:p>
    <w:p>
      <w:pPr>
        <w:pStyle w:val="BodyText"/>
        <w:spacing w:line="240" w:lineRule="auto"/>
        <w:ind w:right="1119"/>
        <w:jc w:val="left"/>
      </w:pPr>
      <w:r>
        <w:rPr/>
        <w:t>益相关的政府补助，是指除与资产相关的政府补助之外的政府补助。</w:t>
      </w:r>
    </w:p>
    <w:p>
      <w:pPr>
        <w:spacing w:line="240" w:lineRule="auto" w:before="11"/>
        <w:rPr>
          <w:rFonts w:ascii="宋体" w:hAnsi="宋体" w:cs="宋体" w:eastAsia="宋体" w:hint="default"/>
          <w:sz w:val="14"/>
          <w:szCs w:val="14"/>
        </w:rPr>
      </w:pPr>
    </w:p>
    <w:p>
      <w:pPr>
        <w:spacing w:line="408" w:lineRule="auto" w:before="0"/>
        <w:ind w:left="573" w:right="5691"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政府补助在同时满足下列条件的，才能予以确认：</w:t>
      </w:r>
    </w:p>
    <w:p>
      <w:pPr>
        <w:pStyle w:val="BodyText"/>
        <w:spacing w:line="240" w:lineRule="auto"/>
        <w:ind w:left="573" w:right="1119"/>
        <w:jc w:val="left"/>
      </w:pPr>
      <w:r>
        <w:rPr/>
        <w:t>①</w:t>
      </w:r>
      <w:r>
        <w:rPr>
          <w:spacing w:val="-2"/>
        </w:rPr>
        <w:t> </w:t>
      </w:r>
      <w:r>
        <w:rPr/>
        <w:t>企业能够满足政府补助所附条件；</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②</w:t>
      </w:r>
      <w:r>
        <w:rPr>
          <w:spacing w:val="-4"/>
        </w:rPr>
        <w:t> </w:t>
      </w:r>
      <w:r>
        <w:rPr/>
        <w:t>企业能够收到政府补助。</w:t>
      </w:r>
    </w:p>
    <w:p>
      <w:pPr>
        <w:spacing w:line="240" w:lineRule="auto" w:before="10"/>
        <w:rPr>
          <w:rFonts w:ascii="宋体" w:hAnsi="宋体" w:cs="宋体" w:eastAsia="宋体" w:hint="default"/>
          <w:sz w:val="14"/>
          <w:szCs w:val="14"/>
        </w:rPr>
      </w:pPr>
    </w:p>
    <w:p>
      <w:pPr>
        <w:pStyle w:val="BodyText"/>
        <w:spacing w:line="408" w:lineRule="auto" w:before="0"/>
        <w:ind w:left="573" w:right="1119" w:hanging="8"/>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与资产相关的政府补助，冲减相关资产账面价值或确认为递延收益。确认为递延收益的，在相关资产</w:t>
      </w:r>
    </w:p>
    <w:p>
      <w:pPr>
        <w:pStyle w:val="BodyText"/>
        <w:spacing w:line="408" w:lineRule="auto"/>
        <w:ind w:right="1119"/>
        <w:jc w:val="left"/>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BodyText"/>
        <w:spacing w:line="408" w:lineRule="auto" w:before="44"/>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ind w:left="573" w:right="1119"/>
        <w:jc w:val="left"/>
      </w:pPr>
      <w:r>
        <w:rPr/>
        <w:t>本公司取得的政策性优惠贷款贴息，区分以下两种情况，分别进行会计处理：</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left"/>
      </w:pPr>
      <w:r>
        <w:rPr/>
        <w:t>①</w:t>
      </w:r>
      <w:r>
        <w:rPr>
          <w:spacing w:val="73"/>
        </w:rPr>
        <w:t> </w:t>
      </w:r>
      <w:r>
        <w:rPr/>
        <w:t>财政将贴息资金拨付给贷款银行，由贷款银行以政策性优惠利率向本公司提供贷款的，本公司以</w:t>
      </w:r>
      <w:r>
        <w:rPr>
          <w:w w:val="100"/>
        </w:rPr>
        <w:t> </w:t>
      </w:r>
      <w:r>
        <w:rPr/>
        <w:t>实际收到的借款金额作为借款的入账价值，按照借款本金和该政策性优惠利率计算相关借款费用。</w:t>
      </w:r>
    </w:p>
    <w:p>
      <w:pPr>
        <w:pStyle w:val="BodyText"/>
        <w:spacing w:line="240" w:lineRule="auto"/>
        <w:ind w:left="573" w:right="1119"/>
        <w:jc w:val="left"/>
      </w:pPr>
      <w:r>
        <w:rPr/>
        <w:t>②</w:t>
      </w:r>
      <w:r>
        <w:rPr>
          <w:spacing w:val="-5"/>
        </w:rPr>
        <w:t> </w:t>
      </w:r>
      <w:r>
        <w:rPr/>
        <w:t>财政将贴息资金直接拨付给本公司的，本公司将对应的贴息冲减相关借款费用。</w:t>
      </w:r>
    </w:p>
    <w:p>
      <w:pPr>
        <w:spacing w:line="670" w:lineRule="atLeast" w:before="37"/>
        <w:ind w:left="573" w:right="11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spacing w:line="240" w:lineRule="auto" w:before="10"/>
        <w:rPr>
          <w:rFonts w:ascii="宋体" w:hAnsi="宋体" w:cs="宋体" w:eastAsia="宋体" w:hint="default"/>
          <w:sz w:val="14"/>
          <w:szCs w:val="14"/>
        </w:rPr>
      </w:pPr>
    </w:p>
    <w:p>
      <w:pPr>
        <w:pStyle w:val="BodyText"/>
        <w:spacing w:line="240" w:lineRule="auto" w:before="0"/>
        <w:ind w:right="996"/>
        <w:jc w:val="left"/>
      </w:pPr>
      <w:r>
        <w:rPr/>
        <w:t>应纳税所得额为限。对于能够结转以后年度的可抵扣亏损和税款抵减，以很可能获得用来抵扣可抵扣亏损</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19" w:hanging="421"/>
        <w:jc w:val="left"/>
      </w:pPr>
      <w:r>
        <w:rPr/>
        <w:t>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408" w:lineRule="auto"/>
        <w:ind w:left="573" w:right="1119"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408" w:lineRule="auto"/>
        <w:ind w:left="573" w:right="1119"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408" w:lineRule="auto"/>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42</w:t>
      </w:r>
      <w:r>
        <w:rPr/>
        <w:t>、租赁</w:t>
      </w:r>
      <w:r>
        <w:rPr>
          <w:b w:val="0"/>
          <w:bCs w:val="0"/>
        </w:rPr>
      </w:r>
    </w:p>
    <w:p>
      <w:pPr>
        <w:pStyle w:val="Heading5"/>
        <w:spacing w:line="590" w:lineRule="atLeast" w:before="24"/>
        <w:ind w:left="566" w:right="7922" w:hanging="414"/>
        <w:jc w:val="left"/>
        <w:rPr>
          <w:b w:val="0"/>
          <w:bCs w:val="0"/>
        </w:rPr>
      </w:pPr>
      <w:r>
        <w:rPr>
          <w:spacing w:val="-1"/>
        </w:rPr>
        <w:t>（</w:t>
      </w:r>
      <w:r>
        <w:rPr>
          <w:rFonts w:ascii="Times New Roman" w:hAnsi="Times New Roman" w:cs="Times New Roman" w:eastAsia="Times New Roman" w:hint="default"/>
          <w:spacing w:val="-1"/>
        </w:rPr>
        <w:t>1</w:t>
      </w:r>
      <w:r>
        <w:rPr>
          <w:spacing w:val="-1"/>
        </w:rPr>
        <w:t>）经营租赁的会计处理方法</w:t>
      </w:r>
      <w:r>
        <w:rPr>
          <w:spacing w:val="-94"/>
        </w:rPr>
        <w:t> </w:t>
      </w:r>
      <w:r>
        <w:rPr>
          <w:spacing w:val="-94"/>
        </w:rPr>
      </w:r>
      <w:r>
        <w:rPr/>
        <w:t>经营租赁会计处理</w:t>
      </w:r>
      <w:r>
        <w:rPr>
          <w:b w:val="0"/>
          <w:bCs w:val="0"/>
        </w:rPr>
      </w:r>
    </w:p>
    <w:p>
      <w:pPr>
        <w:pStyle w:val="BodyText"/>
        <w:spacing w:line="408" w:lineRule="auto" w:before="114"/>
        <w:ind w:right="1127" w:firstLine="420"/>
        <w:jc w:val="left"/>
      </w:pPr>
      <w:r>
        <w:rPr/>
        <w:t>①</w:t>
      </w:r>
      <w:r>
        <w:rPr>
          <w:spacing w:val="72"/>
        </w:rPr>
        <w:t> </w:t>
      </w:r>
      <w:r>
        <w:rPr/>
        <w:t>公司租入资产所支付的租赁费，在不扣除免租期的整个租赁期内，按直线法进行分摊，计入当期</w:t>
      </w:r>
      <w:r>
        <w:rPr>
          <w:w w:val="100"/>
        </w:rPr>
        <w:t> </w:t>
      </w:r>
      <w:r>
        <w:rPr/>
        <w:t>费用。公司支付的与租赁交易相关的初始直接费用，计入当期费用。</w:t>
      </w:r>
    </w:p>
    <w:p>
      <w:pPr>
        <w:pStyle w:val="BodyText"/>
        <w:spacing w:line="408" w:lineRule="auto"/>
        <w:ind w:right="1119" w:firstLine="420"/>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408" w:lineRule="auto"/>
        <w:ind w:right="996" w:firstLine="420"/>
        <w:jc w:val="left"/>
      </w:pPr>
      <w:r>
        <w:rPr/>
        <w:t>②</w:t>
      </w:r>
      <w:r>
        <w:rPr>
          <w:spacing w:val="38"/>
        </w:rPr>
        <w:t> </w:t>
      </w:r>
      <w:r>
        <w:rPr/>
        <w:t>公司出租资产所收取的租赁费，在不扣除免租期的整个租赁期内，按直线法进行分摊，确认为租</w:t>
      </w:r>
      <w:r>
        <w:rPr>
          <w:w w:val="100"/>
        </w:rPr>
        <w:t> </w:t>
      </w:r>
      <w:r>
        <w:rPr>
          <w:spacing w:val="-5"/>
        </w:rPr>
        <w:t>赁相关收入。公司支付的与租赁交易相关的初始直接费用，计入当期费用；如金额较大的，则予以资本化，</w:t>
      </w:r>
      <w:r>
        <w:rPr>
          <w:spacing w:val="-8"/>
        </w:rPr>
        <w:t> </w:t>
      </w:r>
      <w:r>
        <w:rPr>
          <w:spacing w:val="-8"/>
        </w:rPr>
      </w:r>
      <w:r>
        <w:rPr/>
        <w:t>在整个租赁期间内按照与租赁相关收入确认相同的基础分期计入当期收益。</w:t>
      </w:r>
    </w:p>
    <w:p>
      <w:pPr>
        <w:pStyle w:val="BodyText"/>
        <w:spacing w:line="408" w:lineRule="auto"/>
        <w:ind w:right="1119"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105" w:firstLine="420"/>
        <w:jc w:val="both"/>
      </w:pPr>
      <w:r>
        <w:rPr/>
        <w:t>①</w:t>
      </w:r>
      <w:r>
        <w:rPr>
          <w:spacing w:val="62"/>
        </w:rPr>
        <w:t> </w:t>
      </w:r>
      <w:r>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r>
        <w:rPr>
          <w:spacing w:val="-21"/>
        </w:rPr>
        <w:t> </w:t>
      </w:r>
      <w:r>
        <w:rPr>
          <w:spacing w:val="-21"/>
        </w:rPr>
      </w:r>
      <w:r>
        <w:rPr>
          <w:spacing w:val="-2"/>
        </w:rPr>
        <w:t>公司采用实际利率法对未确认的融资费用，在资产租赁期间内摊销，计入财务费用。公司发生的初始直接</w:t>
      </w:r>
      <w:r>
        <w:rPr>
          <w:spacing w:val="-44"/>
        </w:rPr>
        <w:t> </w:t>
      </w:r>
      <w:r>
        <w:rPr>
          <w:spacing w:val="-44"/>
        </w:rPr>
      </w:r>
      <w:r>
        <w:rPr/>
        <w:t>费用，计入租入资产价值。</w:t>
      </w:r>
    </w:p>
    <w:p>
      <w:pPr>
        <w:pStyle w:val="BodyText"/>
        <w:spacing w:line="240" w:lineRule="auto"/>
        <w:ind w:left="573" w:right="996"/>
        <w:jc w:val="left"/>
      </w:pPr>
      <w:r>
        <w:rPr/>
        <w:t>②</w:t>
      </w:r>
      <w:r>
        <w:rPr>
          <w:spacing w:val="78"/>
        </w:rPr>
        <w:t> </w:t>
      </w:r>
      <w:r>
        <w:rPr/>
        <w:t>融资租出资产：公司在租赁开始日，将应收融资租赁款，未担保余值之和与其现值的差额确认为</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10" w:lineRule="auto" w:before="157"/>
        <w:ind w:right="1119" w:firstLine="420"/>
        <w:jc w:val="left"/>
      </w:pPr>
      <w:r>
        <w:rPr>
          <w:spacing w:val="-2"/>
        </w:rPr>
        <w:t>执行《财政部关于修订印发</w:t>
      </w:r>
      <w:r>
        <w:rPr>
          <w:rFonts w:ascii="宋体" w:hAnsi="宋体" w:cs="宋体" w:eastAsia="宋体" w:hint="default"/>
          <w:spacing w:val="-2"/>
        </w:rPr>
        <w:t>2019</w:t>
      </w:r>
      <w:r>
        <w:rPr>
          <w:spacing w:val="-2"/>
        </w:rPr>
        <w:t>年度一般企业财务报表格式的通知》和《关于修订印发合并财务报表</w:t>
      </w:r>
      <w:r>
        <w:rPr>
          <w:w w:val="100"/>
        </w:rPr>
        <w:t> </w:t>
      </w:r>
      <w:r>
        <w:rPr/>
        <w:t>格式（</w:t>
      </w:r>
      <w:r>
        <w:rPr>
          <w:rFonts w:ascii="宋体" w:hAnsi="宋体" w:cs="宋体" w:eastAsia="宋体" w:hint="default"/>
        </w:rPr>
        <w:t>2019</w:t>
      </w:r>
      <w:r>
        <w:rPr/>
        <w:t>版）的通知》</w:t>
      </w:r>
    </w:p>
    <w:p>
      <w:pPr>
        <w:pStyle w:val="BodyText"/>
        <w:spacing w:line="408" w:lineRule="auto" w:before="44"/>
        <w:ind w:right="996" w:firstLine="420"/>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38"/>
        </w:rPr>
        <w:t> </w:t>
      </w:r>
      <w:r>
        <w:rPr/>
        <w:t>发布了《关于修订印发</w:t>
      </w:r>
      <w:r>
        <w:rPr>
          <w:rFonts w:ascii="宋体" w:hAnsi="宋体" w:cs="宋体" w:eastAsia="宋体" w:hint="default"/>
        </w:rPr>
        <w:t>2019</w:t>
      </w:r>
      <w:r>
        <w:rPr/>
        <w:t>年度一般企业财务报表格</w:t>
      </w:r>
      <w:r>
        <w:rPr>
          <w:w w:val="100"/>
        </w:rPr>
        <w:t> </w:t>
      </w:r>
      <w:r>
        <w:rPr>
          <w:spacing w:val="-2"/>
        </w:rPr>
        <w:t>式的通知》（财会（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spacing w:val="-2"/>
        </w:rPr>
        <w:t>号）和《关于修订印发合并财务报表格式（</w:t>
      </w:r>
      <w:r>
        <w:rPr>
          <w:rFonts w:ascii="宋体" w:hAnsi="宋体" w:cs="宋体" w:eastAsia="宋体" w:hint="default"/>
          <w:spacing w:val="-2"/>
        </w:rPr>
        <w:t>2019</w:t>
      </w:r>
      <w:r>
        <w:rPr>
          <w:spacing w:val="-2"/>
        </w:rPr>
        <w:t>版）的通知》（财会（</w:t>
      </w:r>
      <w:r>
        <w:rPr>
          <w:rFonts w:ascii="宋体" w:hAnsi="宋体" w:cs="宋体" w:eastAsia="宋体" w:hint="default"/>
          <w:spacing w:val="-2"/>
        </w:rPr>
        <w:t>2019</w:t>
      </w:r>
      <w:r>
        <w:rPr>
          <w:spacing w:val="-2"/>
        </w:rPr>
        <w:t>）</w:t>
      </w:r>
      <w:r>
        <w:rPr>
          <w:spacing w:val="-34"/>
        </w:rPr>
        <w:t> </w:t>
      </w:r>
      <w:r>
        <w:rPr>
          <w:rFonts w:ascii="宋体" w:hAnsi="宋体" w:cs="宋体" w:eastAsia="宋体" w:hint="default"/>
        </w:rPr>
        <w:t>16</w:t>
      </w:r>
      <w:r>
        <w:rPr/>
        <w:t>号），对一般企业财务报表格式进行了修订。</w:t>
      </w:r>
      <w:r>
        <w:rPr>
          <w:spacing w:val="-5"/>
        </w:rPr>
        <w:t> </w:t>
      </w:r>
      <w:r>
        <w:rPr/>
        <w:t>本公司执行上述规定的主要影响如下：</w:t>
      </w:r>
    </w:p>
    <w:tbl>
      <w:tblPr>
        <w:tblW w:w="0" w:type="auto"/>
        <w:jc w:val="left"/>
        <w:tblInd w:w="145" w:type="dxa"/>
        <w:tblLayout w:type="fixed"/>
        <w:tblCellMar>
          <w:top w:w="0" w:type="dxa"/>
          <w:left w:w="0" w:type="dxa"/>
          <w:bottom w:w="0" w:type="dxa"/>
          <w:right w:w="0" w:type="dxa"/>
        </w:tblCellMar>
        <w:tblLook w:val="01E0"/>
      </w:tblPr>
      <w:tblGrid>
        <w:gridCol w:w="2660"/>
        <w:gridCol w:w="1033"/>
        <w:gridCol w:w="2972"/>
        <w:gridCol w:w="2977"/>
      </w:tblGrid>
      <w:tr>
        <w:trPr>
          <w:trHeight w:val="348" w:hRule="exact"/>
        </w:trPr>
        <w:tc>
          <w:tcPr>
            <w:tcW w:w="266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9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9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660"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18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 w:right="-1"/>
              <w:jc w:val="both"/>
              <w:rPr>
                <w:rFonts w:ascii="宋体" w:hAnsi="宋体" w:cs="宋体" w:eastAsia="宋体" w:hint="default"/>
                <w:sz w:val="18"/>
                <w:szCs w:val="18"/>
              </w:rPr>
            </w:pPr>
            <w:r>
              <w:rPr>
                <w:rFonts w:ascii="宋体" w:hAnsi="宋体" w:cs="宋体" w:eastAsia="宋体" w:hint="default"/>
                <w:spacing w:val="8"/>
                <w:sz w:val="18"/>
                <w:szCs w:val="18"/>
              </w:rPr>
              <w:t>资产负债表中“应收票据及应收</w:t>
            </w:r>
            <w:r>
              <w:rPr>
                <w:rFonts w:ascii="宋体" w:hAnsi="宋体" w:cs="宋体" w:eastAsia="宋体" w:hint="default"/>
                <w:sz w:val="18"/>
                <w:szCs w:val="18"/>
              </w:rPr>
              <w:t> </w:t>
            </w:r>
            <w:r>
              <w:rPr>
                <w:rFonts w:ascii="宋体" w:hAnsi="宋体" w:cs="宋体" w:eastAsia="宋体" w:hint="default"/>
                <w:spacing w:val="12"/>
                <w:sz w:val="18"/>
                <w:szCs w:val="18"/>
              </w:rPr>
              <w:t>账款</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拆</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pacing w:val="-64"/>
                <w:sz w:val="18"/>
                <w:szCs w:val="18"/>
              </w:rPr>
              <w:t> </w:t>
            </w:r>
            <w:r>
              <w:rPr>
                <w:rFonts w:ascii="宋体" w:hAnsi="宋体" w:cs="宋体" w:eastAsia="宋体" w:hint="default"/>
                <w:sz w:val="18"/>
                <w:szCs w:val="18"/>
              </w:rPr>
              <w:t>为</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应</w:t>
            </w:r>
            <w:r>
              <w:rPr>
                <w:rFonts w:ascii="宋体" w:hAnsi="宋体" w:cs="宋体" w:eastAsia="宋体" w:hint="default"/>
                <w:spacing w:val="-64"/>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4"/>
                <w:sz w:val="18"/>
                <w:szCs w:val="18"/>
              </w:rPr>
              <w:t> </w:t>
            </w:r>
            <w:r>
              <w:rPr>
                <w:rFonts w:ascii="宋体" w:hAnsi="宋体" w:cs="宋体" w:eastAsia="宋体" w:hint="default"/>
                <w:sz w:val="18"/>
                <w:szCs w:val="18"/>
              </w:rPr>
              <w:t>据</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和</w:t>
            </w:r>
            <w:r>
              <w:rPr>
                <w:rFonts w:ascii="宋体" w:hAnsi="宋体" w:cs="宋体" w:eastAsia="宋体" w:hint="default"/>
                <w:sz w:val="18"/>
                <w:szCs w:val="18"/>
              </w:rPr>
              <w:t> </w:t>
            </w:r>
            <w:r>
              <w:rPr>
                <w:rFonts w:ascii="宋体" w:hAnsi="宋体" w:cs="宋体" w:eastAsia="宋体" w:hint="default"/>
                <w:spacing w:val="-5"/>
                <w:sz w:val="18"/>
                <w:szCs w:val="18"/>
              </w:rPr>
              <w:t>“应收账款”列示；“应付票据及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应付账款”拆分为“应付票据”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和“应付账款”列示；比较数据相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应调整。</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“应收票据及应收账款”拆分为“应 收票据”和“应收账款”，“应收票 据”上年年末余额</w:t>
            </w:r>
            <w:r>
              <w:rPr>
                <w:rFonts w:ascii="宋体" w:hAnsi="宋体" w:cs="宋体" w:eastAsia="宋体" w:hint="default"/>
                <w:sz w:val="18"/>
                <w:szCs w:val="18"/>
              </w:rPr>
              <w:t>4,175,615.59</w:t>
            </w:r>
            <w:r>
              <w:rPr>
                <w:rFonts w:ascii="宋体" w:hAnsi="宋体" w:cs="宋体" w:eastAsia="宋体" w:hint="default"/>
                <w:sz w:val="18"/>
                <w:szCs w:val="18"/>
              </w:rPr>
              <w:t>元， “应收账款”上年年末余额 </w:t>
            </w:r>
            <w:r>
              <w:rPr>
                <w:rFonts w:ascii="宋体" w:hAnsi="宋体" w:cs="宋体" w:eastAsia="宋体" w:hint="default"/>
                <w:sz w:val="18"/>
                <w:szCs w:val="18"/>
              </w:rPr>
              <w:t>171,708,408.00</w:t>
            </w:r>
            <w:r>
              <w:rPr>
                <w:rFonts w:ascii="宋体" w:hAnsi="宋体" w:cs="宋体" w:eastAsia="宋体" w:hint="default"/>
                <w:sz w:val="18"/>
                <w:szCs w:val="18"/>
              </w:rPr>
              <w:t>元；“应付票据及应 付账款”拆分为“应付票据”和“应 付账款”，“应付票据”上年年末余 额</w:t>
            </w:r>
            <w:r>
              <w:rPr>
                <w:rFonts w:ascii="宋体" w:hAnsi="宋体" w:cs="宋体" w:eastAsia="宋体" w:hint="default"/>
                <w:sz w:val="18"/>
                <w:szCs w:val="18"/>
              </w:rPr>
              <w:t>210,516,593.99</w:t>
            </w:r>
            <w:r>
              <w:rPr>
                <w:rFonts w:ascii="宋体" w:hAnsi="宋体" w:cs="宋体" w:eastAsia="宋体" w:hint="default"/>
                <w:sz w:val="18"/>
                <w:szCs w:val="18"/>
              </w:rPr>
              <w:t>元，</w:t>
            </w:r>
            <w:r>
              <w:rPr>
                <w:rFonts w:ascii="宋体" w:hAnsi="宋体" w:cs="宋体" w:eastAsia="宋体" w:hint="default"/>
                <w:spacing w:val="-24"/>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上年年末余额</w:t>
            </w:r>
            <w:r>
              <w:rPr>
                <w:rFonts w:ascii="宋体" w:hAnsi="宋体" w:cs="宋体" w:eastAsia="宋体" w:hint="default"/>
                <w:sz w:val="18"/>
                <w:szCs w:val="18"/>
              </w:rPr>
              <w:t>55,010,454.54</w:t>
            </w:r>
            <w:r>
              <w:rPr>
                <w:rFonts w:ascii="宋体" w:hAnsi="宋体" w:cs="宋体" w:eastAsia="宋体" w:hint="default"/>
                <w:sz w:val="18"/>
                <w:szCs w:val="18"/>
              </w:rPr>
              <w:t>元。</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
              <w:ind w:left="4" w:right="-1"/>
              <w:jc w:val="left"/>
              <w:rPr>
                <w:rFonts w:ascii="宋体" w:hAnsi="宋体" w:cs="宋体" w:eastAsia="宋体" w:hint="default"/>
                <w:sz w:val="18"/>
                <w:szCs w:val="18"/>
              </w:rPr>
            </w:pPr>
            <w:r>
              <w:rPr>
                <w:rFonts w:ascii="宋体" w:hAnsi="宋体" w:cs="宋体" w:eastAsia="宋体" w:hint="default"/>
                <w:sz w:val="18"/>
                <w:szCs w:val="18"/>
              </w:rPr>
              <w:t>“应收票据及应收账款”拆分为“应 收票据”和“应收账款”，“应收票 据”上年年末余额</w:t>
            </w:r>
            <w:r>
              <w:rPr>
                <w:rFonts w:ascii="宋体" w:hAnsi="宋体" w:cs="宋体" w:eastAsia="宋体" w:hint="default"/>
                <w:sz w:val="18"/>
                <w:szCs w:val="18"/>
              </w:rPr>
              <w:t>0.00</w:t>
            </w:r>
            <w:r>
              <w:rPr>
                <w:rFonts w:ascii="宋体" w:hAnsi="宋体" w:cs="宋体" w:eastAsia="宋体" w:hint="default"/>
                <w:sz w:val="18"/>
                <w:szCs w:val="18"/>
              </w:rPr>
              <w:t>元，</w:t>
            </w:r>
            <w:r>
              <w:rPr>
                <w:rFonts w:ascii="宋体" w:hAnsi="宋体" w:cs="宋体" w:eastAsia="宋体" w:hint="default"/>
                <w:spacing w:val="-15"/>
                <w:sz w:val="18"/>
                <w:szCs w:val="18"/>
              </w:rPr>
              <w:t> </w:t>
            </w:r>
            <w:r>
              <w:rPr>
                <w:rFonts w:ascii="宋体" w:hAnsi="宋体" w:cs="宋体" w:eastAsia="宋体" w:hint="default"/>
                <w:sz w:val="18"/>
                <w:szCs w:val="18"/>
              </w:rPr>
              <w:t>“应收账</w:t>
            </w:r>
            <w:r>
              <w:rPr>
                <w:rFonts w:ascii="宋体" w:hAnsi="宋体" w:cs="宋体" w:eastAsia="宋体" w:hint="default"/>
                <w:sz w:val="18"/>
                <w:szCs w:val="18"/>
              </w:rPr>
              <w:t> 款”上年年末余额</w:t>
            </w:r>
            <w:r>
              <w:rPr>
                <w:rFonts w:ascii="宋体" w:hAnsi="宋体" w:cs="宋体" w:eastAsia="宋体" w:hint="default"/>
                <w:sz w:val="18"/>
                <w:szCs w:val="18"/>
              </w:rPr>
              <w:t>188,783,905.13 </w:t>
            </w:r>
            <w:r>
              <w:rPr>
                <w:rFonts w:ascii="宋体" w:hAnsi="宋体" w:cs="宋体" w:eastAsia="宋体" w:hint="default"/>
                <w:sz w:val="18"/>
                <w:szCs w:val="18"/>
              </w:rPr>
              <w:t>元；“应付票据及应付账款”拆分为 “应付票据”和“应付账款”，“应 付票据”上年年末余额 </w:t>
            </w:r>
            <w:r>
              <w:rPr>
                <w:rFonts w:ascii="宋体" w:hAnsi="宋体" w:cs="宋体" w:eastAsia="宋体" w:hint="default"/>
                <w:sz w:val="18"/>
                <w:szCs w:val="18"/>
              </w:rPr>
              <w:t>96,724,801.33</w:t>
            </w:r>
            <w:r>
              <w:rPr>
                <w:rFonts w:ascii="宋体" w:hAnsi="宋体" w:cs="宋体" w:eastAsia="宋体" w:hint="default"/>
                <w:sz w:val="18"/>
                <w:szCs w:val="18"/>
              </w:rPr>
              <w:t>元，</w:t>
            </w:r>
            <w:r>
              <w:rPr>
                <w:rFonts w:ascii="宋体" w:hAnsi="宋体" w:cs="宋体" w:eastAsia="宋体" w:hint="default"/>
                <w:spacing w:val="-4"/>
                <w:sz w:val="18"/>
                <w:szCs w:val="18"/>
              </w:rPr>
              <w:t> </w:t>
            </w:r>
            <w:r>
              <w:rPr>
                <w:rFonts w:ascii="宋体" w:hAnsi="宋体" w:cs="宋体" w:eastAsia="宋体" w:hint="default"/>
                <w:sz w:val="18"/>
                <w:szCs w:val="18"/>
              </w:rPr>
              <w:t>“应付账款”上</w:t>
            </w:r>
            <w:r>
              <w:rPr>
                <w:rFonts w:ascii="宋体" w:hAnsi="宋体" w:cs="宋体" w:eastAsia="宋体" w:hint="default"/>
                <w:sz w:val="18"/>
                <w:szCs w:val="18"/>
              </w:rPr>
              <w:t> 年年末余额</w:t>
            </w:r>
            <w:r>
              <w:rPr>
                <w:rFonts w:ascii="宋体" w:hAnsi="宋体" w:cs="宋体" w:eastAsia="宋体" w:hint="default"/>
                <w:sz w:val="18"/>
                <w:szCs w:val="18"/>
              </w:rPr>
              <w:t>34,633,269.24</w:t>
            </w:r>
            <w:r>
              <w:rPr>
                <w:rFonts w:ascii="宋体" w:hAnsi="宋体" w:cs="宋体" w:eastAsia="宋体" w:hint="default"/>
                <w:sz w:val="18"/>
                <w:szCs w:val="18"/>
              </w:rPr>
              <w:t>元。</w:t>
            </w:r>
          </w:p>
        </w:tc>
      </w:tr>
    </w:tbl>
    <w:p>
      <w:pPr>
        <w:spacing w:line="240" w:lineRule="auto" w:before="8"/>
        <w:rPr>
          <w:rFonts w:ascii="宋体" w:hAnsi="宋体" w:cs="宋体" w:eastAsia="宋体" w:hint="default"/>
          <w:sz w:val="24"/>
          <w:szCs w:val="24"/>
        </w:rPr>
      </w:pPr>
    </w:p>
    <w:p>
      <w:pPr>
        <w:pStyle w:val="BodyText"/>
        <w:spacing w:line="240" w:lineRule="auto" w:before="36"/>
        <w:ind w:left="573" w:right="996"/>
        <w:jc w:val="left"/>
      </w:pPr>
      <w:r>
        <w:rPr>
          <w:spacing w:val="-5"/>
        </w:rPr>
        <w:t>执行《企业会计准则第</w:t>
      </w:r>
      <w:r>
        <w:rPr>
          <w:rFonts w:ascii="宋体" w:hAnsi="宋体" w:cs="宋体" w:eastAsia="宋体" w:hint="default"/>
          <w:spacing w:val="-5"/>
        </w:rPr>
        <w:t>22</w:t>
      </w:r>
      <w:r>
        <w:rPr>
          <w:spacing w:val="-5"/>
        </w:rPr>
        <w:t>号——金融工具确认和计量》、《企业会计准则第</w:t>
      </w:r>
      <w:r>
        <w:rPr>
          <w:rFonts w:ascii="宋体" w:hAnsi="宋体" w:cs="宋体" w:eastAsia="宋体" w:hint="default"/>
          <w:spacing w:val="-5"/>
        </w:rPr>
        <w:t>23</w:t>
      </w:r>
      <w:r>
        <w:rPr>
          <w:spacing w:val="-5"/>
        </w:rPr>
        <w:t>号——金融资产转移》、</w:t>
      </w:r>
    </w:p>
    <w:p>
      <w:pPr>
        <w:spacing w:line="240" w:lineRule="auto" w:before="10"/>
        <w:rPr>
          <w:rFonts w:ascii="宋体" w:hAnsi="宋体" w:cs="宋体" w:eastAsia="宋体" w:hint="default"/>
          <w:sz w:val="14"/>
          <w:szCs w:val="14"/>
        </w:rPr>
      </w:pPr>
    </w:p>
    <w:p>
      <w:pPr>
        <w:pStyle w:val="BodyText"/>
        <w:spacing w:line="408" w:lineRule="auto" w:before="0"/>
        <w:ind w:left="573" w:right="1119" w:hanging="421"/>
        <w:jc w:val="left"/>
      </w:pPr>
      <w:r>
        <w:rPr/>
        <w:t>《企业会计准则第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r>
        <w:rPr>
          <w:w w:val="100"/>
        </w:rPr>
        <w:t> </w:t>
      </w:r>
      <w:r>
        <w:rPr>
          <w:spacing w:val="-2"/>
        </w:rPr>
        <w:t>财政部于</w:t>
      </w:r>
      <w:r>
        <w:rPr>
          <w:rFonts w:ascii="宋体" w:hAnsi="宋体" w:cs="宋体" w:eastAsia="宋体" w:hint="default"/>
          <w:spacing w:val="-2"/>
        </w:rPr>
        <w:t>2017</w:t>
      </w:r>
      <w:r>
        <w:rPr>
          <w:spacing w:val="-2"/>
        </w:rPr>
        <w:t>年度修订了《企业会计准则第</w:t>
      </w:r>
      <w:r>
        <w:rPr>
          <w:rFonts w:ascii="宋体" w:hAnsi="宋体" w:cs="宋体" w:eastAsia="宋体" w:hint="default"/>
          <w:spacing w:val="-2"/>
        </w:rPr>
        <w:t>22</w:t>
      </w:r>
      <w:r>
        <w:rPr>
          <w:spacing w:val="-2"/>
        </w:rPr>
        <w:t>号——金融工具确认和计量》、《企业会计准则第</w:t>
      </w:r>
      <w:r>
        <w:rPr>
          <w:rFonts w:ascii="宋体" w:hAnsi="宋体" w:cs="宋体" w:eastAsia="宋体" w:hint="default"/>
          <w:spacing w:val="-2"/>
        </w:rPr>
        <w:t>23</w:t>
      </w:r>
      <w:r>
        <w:rPr>
          <w:spacing w:val="-2"/>
        </w:rPr>
        <w:t>号</w:t>
      </w:r>
    </w:p>
    <w:p>
      <w:pPr>
        <w:pStyle w:val="BodyText"/>
        <w:spacing w:line="408" w:lineRule="auto"/>
        <w:ind w:right="1016"/>
        <w:jc w:val="left"/>
      </w:pPr>
      <w:r>
        <w:rPr>
          <w:spacing w:val="-8"/>
          <w:w w:val="100"/>
        </w:rPr>
        <w:t>——金融资产转移》、《企业会计准则第</w:t>
      </w:r>
      <w:r>
        <w:rPr>
          <w:rFonts w:ascii="宋体" w:hAnsi="宋体" w:cs="宋体" w:eastAsia="宋体" w:hint="default"/>
          <w:spacing w:val="-8"/>
          <w:w w:val="100"/>
        </w:rPr>
        <w:t>24</w:t>
      </w:r>
      <w:r>
        <w:rPr>
          <w:spacing w:val="-8"/>
          <w:w w:val="100"/>
        </w:rPr>
        <w:t>号——套期会计》和《企业会计准则第</w:t>
      </w:r>
      <w:r>
        <w:rPr>
          <w:rFonts w:ascii="宋体" w:hAnsi="宋体" w:cs="宋体" w:eastAsia="宋体" w:hint="default"/>
          <w:spacing w:val="-8"/>
          <w:w w:val="100"/>
        </w:rPr>
        <w:t>37</w:t>
      </w:r>
      <w:r>
        <w:rPr>
          <w:spacing w:val="-8"/>
          <w:w w:val="100"/>
        </w:rPr>
        <w:t>号——金融工具列报》。</w:t>
      </w:r>
      <w:r>
        <w:rPr>
          <w:w w:val="100"/>
        </w:rPr>
        <w:t> </w:t>
      </w:r>
      <w:r>
        <w:rPr>
          <w:spacing w:val="-2"/>
        </w:rPr>
        <w:t>修订后的准则规定，对于首次执行日尚未终止确认的金融工具，之前的确认和计量与修订后的准则要求不</w:t>
      </w:r>
      <w:r>
        <w:rPr>
          <w:spacing w:val="-43"/>
        </w:rPr>
        <w:t> </w:t>
      </w:r>
      <w:r>
        <w:rPr>
          <w:spacing w:val="-43"/>
        </w:rPr>
      </w:r>
      <w:r>
        <w:rPr>
          <w:spacing w:val="-2"/>
        </w:rPr>
        <w:t>一致的，应当追溯调整。涉及前期比较财务报表数据与修订后的准则要求不一致的，无需调整。本公司将</w:t>
      </w:r>
      <w:r>
        <w:rPr>
          <w:spacing w:val="-44"/>
        </w:rPr>
        <w:t> </w:t>
      </w:r>
      <w:r>
        <w:rPr>
          <w:spacing w:val="-44"/>
        </w:rPr>
      </w:r>
      <w:r>
        <w:rPr/>
        <w:t>因追溯调整产生的累积影响数调整当年年初留存收益和其他综合收益。</w:t>
      </w:r>
    </w:p>
    <w:p>
      <w:pPr>
        <w:pStyle w:val="BodyText"/>
        <w:spacing w:line="240" w:lineRule="auto"/>
        <w:ind w:left="573" w:right="1119"/>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号的规定调整后的上年年末余额为基础，执行上述新金融</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332" w:right="0"/>
        <w:jc w:val="left"/>
      </w:pPr>
      <w:r>
        <w:rPr/>
        <w:t>工具准则的主要影响如下：</w:t>
      </w:r>
    </w:p>
    <w:p>
      <w:pPr>
        <w:spacing w:line="240" w:lineRule="auto" w:before="11"/>
        <w:rPr>
          <w:rFonts w:ascii="宋体" w:hAnsi="宋体" w:cs="宋体" w:eastAsia="宋体" w:hint="default"/>
          <w:sz w:val="9"/>
          <w:szCs w:val="9"/>
        </w:rPr>
      </w:pPr>
    </w:p>
    <w:tbl>
      <w:tblPr>
        <w:tblW w:w="0" w:type="auto"/>
        <w:jc w:val="left"/>
        <w:tblInd w:w="385" w:type="dxa"/>
        <w:tblLayout w:type="fixed"/>
        <w:tblCellMar>
          <w:top w:w="0" w:type="dxa"/>
          <w:left w:w="0" w:type="dxa"/>
          <w:bottom w:w="0" w:type="dxa"/>
          <w:right w:w="0" w:type="dxa"/>
        </w:tblCellMar>
        <w:tblLook w:val="01E0"/>
      </w:tblPr>
      <w:tblGrid>
        <w:gridCol w:w="2778"/>
        <w:gridCol w:w="1289"/>
        <w:gridCol w:w="3190"/>
        <w:gridCol w:w="2269"/>
      </w:tblGrid>
      <w:tr>
        <w:trPr>
          <w:trHeight w:val="341" w:hRule="exact"/>
        </w:trPr>
        <w:tc>
          <w:tcPr>
            <w:tcW w:w="27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5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3" w:hRule="exact"/>
        </w:trPr>
        <w:tc>
          <w:tcPr>
            <w:tcW w:w="2778"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589"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7" w:lineRule="auto"/>
              <w:ind w:left="4" w:right="3"/>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）因报表项目名称变更，将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78"/>
                <w:sz w:val="18"/>
                <w:szCs w:val="18"/>
              </w:rPr>
              <w:t> </w:t>
            </w:r>
            <w:r>
              <w:rPr>
                <w:rFonts w:ascii="宋体" w:hAnsi="宋体" w:cs="宋体" w:eastAsia="宋体" w:hint="default"/>
                <w:spacing w:val="3"/>
                <w:sz w:val="18"/>
                <w:szCs w:val="18"/>
              </w:rPr>
              <w:t>公允价值计量且其变动计入当期损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益的金融资产（负债）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重分类至</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交</w:t>
            </w:r>
            <w:r>
              <w:rPr>
                <w:rFonts w:ascii="宋体" w:hAnsi="宋体" w:cs="宋体" w:eastAsia="宋体" w:hint="default"/>
                <w:spacing w:val="-74"/>
                <w:sz w:val="18"/>
                <w:szCs w:val="18"/>
              </w:rPr>
              <w:t> </w:t>
            </w:r>
            <w:r>
              <w:rPr>
                <w:rFonts w:ascii="宋体" w:hAnsi="宋体" w:cs="宋体" w:eastAsia="宋体" w:hint="default"/>
                <w:sz w:val="18"/>
                <w:szCs w:val="18"/>
              </w:rPr>
              <w:t>易性金融资产（负债）</w:t>
            </w:r>
            <w:r>
              <w:rPr>
                <w:rFonts w:ascii="Times New Roman" w:hAnsi="Times New Roman" w:cs="Times New Roman" w:eastAsia="Times New Roman"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9" w:lineRule="auto"/>
              <w:ind w:left="7" w:right="-5"/>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的金融负债：减少</w:t>
            </w:r>
            <w:r>
              <w:rPr>
                <w:rFonts w:ascii="Times New Roman" w:hAnsi="Times New Roman" w:cs="Times New Roman" w:eastAsia="Times New Roman" w:hint="default"/>
                <w:sz w:val="18"/>
                <w:szCs w:val="18"/>
              </w:rPr>
              <w:t>2,035,900.00</w:t>
            </w:r>
            <w:r>
              <w:rPr>
                <w:rFonts w:ascii="宋体" w:hAnsi="宋体" w:cs="宋体" w:eastAsia="宋体" w:hint="default"/>
                <w:sz w:val="18"/>
                <w:szCs w:val="18"/>
              </w:rPr>
              <w:t>元 交易性金融负债：增加</w:t>
            </w:r>
            <w:r>
              <w:rPr>
                <w:rFonts w:ascii="Times New Roman" w:hAnsi="Times New Roman" w:cs="Times New Roman" w:eastAsia="Times New Roman" w:hint="default"/>
                <w:sz w:val="18"/>
                <w:szCs w:val="18"/>
              </w:rPr>
              <w:t>2,035,900.00</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both"/>
              <w:rPr>
                <w:rFonts w:ascii="宋体" w:hAnsi="宋体" w:cs="宋体" w:eastAsia="宋体" w:hint="default"/>
                <w:sz w:val="18"/>
                <w:szCs w:val="18"/>
              </w:rPr>
            </w:pPr>
            <w:r>
              <w:rPr>
                <w:rFonts w:ascii="宋体" w:hAnsi="宋体" w:cs="宋体" w:eastAsia="宋体" w:hint="default"/>
                <w:spacing w:val="6"/>
                <w:sz w:val="18"/>
                <w:szCs w:val="18"/>
              </w:rPr>
              <w:t>以公允价值计量且其变动计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入当期损益的金融负债：减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少</w:t>
            </w:r>
            <w:r>
              <w:rPr>
                <w:rFonts w:ascii="Times New Roman" w:hAnsi="Times New Roman" w:cs="Times New Roman" w:eastAsia="Times New Roman" w:hint="default"/>
                <w:sz w:val="18"/>
                <w:szCs w:val="18"/>
              </w:rPr>
              <w:t>1,131,600.00</w:t>
            </w:r>
            <w:r>
              <w:rPr>
                <w:rFonts w:ascii="宋体" w:hAnsi="宋体" w:cs="宋体" w:eastAsia="宋体" w:hint="default"/>
                <w:sz w:val="18"/>
                <w:szCs w:val="18"/>
              </w:rPr>
              <w:t>元</w:t>
            </w:r>
          </w:p>
          <w:p>
            <w:pPr>
              <w:pStyle w:val="TableParagraph"/>
              <w:spacing w:line="235" w:lineRule="exact"/>
              <w:ind w:left="7" w:right="0"/>
              <w:jc w:val="both"/>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40"/>
                <w:sz w:val="18"/>
                <w:szCs w:val="18"/>
              </w:rPr>
              <w:t> </w:t>
            </w:r>
            <w:r>
              <w:rPr>
                <w:rFonts w:ascii="宋体" w:hAnsi="宋体" w:cs="宋体" w:eastAsia="宋体" w:hint="default"/>
                <w:sz w:val="18"/>
                <w:szCs w:val="18"/>
              </w:rPr>
              <w:t>易</w:t>
            </w:r>
            <w:r>
              <w:rPr>
                <w:rFonts w:ascii="宋体" w:hAnsi="宋体" w:cs="宋体" w:eastAsia="宋体" w:hint="default"/>
                <w:spacing w:val="-40"/>
                <w:sz w:val="18"/>
                <w:szCs w:val="18"/>
              </w:rPr>
              <w:t> </w:t>
            </w:r>
            <w:r>
              <w:rPr>
                <w:rFonts w:ascii="宋体" w:hAnsi="宋体" w:cs="宋体" w:eastAsia="宋体" w:hint="default"/>
                <w:sz w:val="18"/>
                <w:szCs w:val="18"/>
              </w:rPr>
              <w:t>性</w:t>
            </w:r>
            <w:r>
              <w:rPr>
                <w:rFonts w:ascii="宋体" w:hAnsi="宋体" w:cs="宋体" w:eastAsia="宋体" w:hint="default"/>
                <w:spacing w:val="-40"/>
                <w:sz w:val="18"/>
                <w:szCs w:val="18"/>
              </w:rPr>
              <w:t> </w:t>
            </w:r>
            <w:r>
              <w:rPr>
                <w:rFonts w:ascii="宋体" w:hAnsi="宋体" w:cs="宋体" w:eastAsia="宋体" w:hint="default"/>
                <w:sz w:val="18"/>
                <w:szCs w:val="18"/>
              </w:rPr>
              <w:t>金</w:t>
            </w:r>
            <w:r>
              <w:rPr>
                <w:rFonts w:ascii="宋体" w:hAnsi="宋体" w:cs="宋体" w:eastAsia="宋体" w:hint="default"/>
                <w:spacing w:val="-40"/>
                <w:sz w:val="18"/>
                <w:szCs w:val="18"/>
              </w:rPr>
              <w:t> </w:t>
            </w:r>
            <w:r>
              <w:rPr>
                <w:rFonts w:ascii="宋体" w:hAnsi="宋体" w:cs="宋体" w:eastAsia="宋体" w:hint="default"/>
                <w:sz w:val="18"/>
                <w:szCs w:val="18"/>
              </w:rPr>
              <w:t>融</w:t>
            </w:r>
            <w:r>
              <w:rPr>
                <w:rFonts w:ascii="宋体" w:hAnsi="宋体" w:cs="宋体" w:eastAsia="宋体" w:hint="default"/>
                <w:spacing w:val="-43"/>
                <w:sz w:val="18"/>
                <w:szCs w:val="18"/>
              </w:rPr>
              <w:t> </w:t>
            </w:r>
            <w:r>
              <w:rPr>
                <w:rFonts w:ascii="宋体" w:hAnsi="宋体" w:cs="宋体" w:eastAsia="宋体" w:hint="default"/>
                <w:sz w:val="18"/>
                <w:szCs w:val="18"/>
              </w:rPr>
              <w:t>负</w:t>
            </w:r>
            <w:r>
              <w:rPr>
                <w:rFonts w:ascii="宋体" w:hAnsi="宋体" w:cs="宋体" w:eastAsia="宋体" w:hint="default"/>
                <w:spacing w:val="-40"/>
                <w:sz w:val="18"/>
                <w:szCs w:val="18"/>
              </w:rPr>
              <w:t> </w:t>
            </w:r>
            <w:r>
              <w:rPr>
                <w:rFonts w:ascii="宋体" w:hAnsi="宋体" w:cs="宋体" w:eastAsia="宋体" w:hint="default"/>
                <w:sz w:val="18"/>
                <w:szCs w:val="18"/>
              </w:rPr>
              <w:t>债</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增</w:t>
            </w:r>
            <w:r>
              <w:rPr>
                <w:rFonts w:ascii="宋体" w:hAnsi="宋体" w:cs="宋体" w:eastAsia="宋体" w:hint="default"/>
                <w:spacing w:val="-40"/>
                <w:sz w:val="18"/>
                <w:szCs w:val="18"/>
              </w:rPr>
              <w:t> </w:t>
            </w:r>
            <w:r>
              <w:rPr>
                <w:rFonts w:ascii="宋体" w:hAnsi="宋体" w:cs="宋体" w:eastAsia="宋体" w:hint="default"/>
                <w:sz w:val="18"/>
                <w:szCs w:val="18"/>
              </w:rPr>
              <w:t>加</w:t>
            </w:r>
          </w:p>
          <w:p>
            <w:pPr>
              <w:pStyle w:val="TableParagraph"/>
              <w:spacing w:line="240" w:lineRule="auto" w:before="76"/>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1,131,600.00</w:t>
            </w:r>
            <w:r>
              <w:rPr>
                <w:rFonts w:ascii="宋体" w:hAnsi="宋体" w:cs="宋体" w:eastAsia="宋体" w:hint="default"/>
                <w:sz w:val="18"/>
                <w:szCs w:val="18"/>
              </w:rPr>
              <w:t>元</w:t>
            </w:r>
          </w:p>
        </w:tc>
      </w:tr>
      <w:tr>
        <w:trPr>
          <w:trHeight w:val="1279"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0"/>
              <w:ind w:left="4" w:right="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）非交易性的可供出售权益工具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sz w:val="18"/>
                <w:szCs w:val="18"/>
              </w:rPr>
              <w:t>投资指定为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以公允价值计量且其</w:t>
            </w:r>
            <w:r>
              <w:rPr>
                <w:rFonts w:ascii="宋体" w:hAnsi="宋体" w:cs="宋体" w:eastAsia="宋体" w:hint="default"/>
                <w:sz w:val="18"/>
                <w:szCs w:val="18"/>
              </w:rPr>
              <w:t> </w:t>
            </w:r>
            <w:r>
              <w:rPr>
                <w:rFonts w:ascii="宋体" w:hAnsi="宋体" w:cs="宋体" w:eastAsia="宋体" w:hint="default"/>
                <w:spacing w:val="16"/>
                <w:sz w:val="18"/>
                <w:szCs w:val="18"/>
              </w:rPr>
              <w:t>变动计入其他综合收益的金融资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pacing w:val="-2"/>
                <w:sz w:val="18"/>
                <w:szCs w:val="18"/>
              </w:rPr>
              <w:t>可供出售金融资产：减少</w:t>
            </w:r>
            <w:r>
              <w:rPr>
                <w:rFonts w:ascii="Times New Roman" w:hAnsi="Times New Roman" w:cs="Times New Roman" w:eastAsia="Times New Roman" w:hint="default"/>
                <w:spacing w:val="-2"/>
                <w:sz w:val="18"/>
                <w:szCs w:val="18"/>
              </w:rPr>
              <w:t>53,792,124.20</w:t>
            </w:r>
            <w:r>
              <w:rPr>
                <w:rFonts w:ascii="宋体" w:hAnsi="宋体" w:cs="宋体" w:eastAsia="宋体" w:hint="default"/>
                <w:spacing w:val="-2"/>
                <w:sz w:val="18"/>
                <w:szCs w:val="18"/>
              </w:rPr>
              <w:t>元</w:t>
            </w:r>
            <w:r>
              <w:rPr>
                <w:rFonts w:ascii="宋体" w:hAnsi="宋体" w:cs="宋体" w:eastAsia="宋体" w:hint="default"/>
                <w:spacing w:val="-70"/>
                <w:sz w:val="18"/>
                <w:szCs w:val="18"/>
              </w:rPr>
              <w:t> </w:t>
            </w:r>
            <w:r>
              <w:rPr>
                <w:rFonts w:ascii="宋体" w:hAnsi="宋体" w:cs="宋体" w:eastAsia="宋体" w:hint="default"/>
                <w:spacing w:val="-2"/>
                <w:sz w:val="18"/>
                <w:szCs w:val="18"/>
              </w:rPr>
              <w:t>其他权益工具投资：增加</w:t>
            </w:r>
            <w:r>
              <w:rPr>
                <w:rFonts w:ascii="Times New Roman" w:hAnsi="Times New Roman" w:cs="Times New Roman" w:eastAsia="Times New Roman" w:hint="default"/>
                <w:spacing w:val="-2"/>
                <w:sz w:val="18"/>
                <w:szCs w:val="18"/>
              </w:rPr>
              <w:t>62,128,538.07</w:t>
            </w:r>
            <w:r>
              <w:rPr>
                <w:rFonts w:ascii="宋体" w:hAnsi="宋体" w:cs="宋体" w:eastAsia="宋体" w:hint="default"/>
                <w:spacing w:val="-2"/>
                <w:sz w:val="18"/>
                <w:szCs w:val="18"/>
              </w:rPr>
              <w:t>元</w:t>
            </w:r>
            <w:r>
              <w:rPr>
                <w:rFonts w:ascii="宋体" w:hAnsi="宋体" w:cs="宋体" w:eastAsia="宋体" w:hint="default"/>
                <w:spacing w:val="-70"/>
                <w:sz w:val="18"/>
                <w:szCs w:val="18"/>
              </w:rPr>
              <w:t> </w:t>
            </w:r>
            <w:r>
              <w:rPr>
                <w:rFonts w:ascii="宋体" w:hAnsi="宋体" w:cs="宋体" w:eastAsia="宋体" w:hint="default"/>
                <w:sz w:val="18"/>
                <w:szCs w:val="18"/>
              </w:rPr>
              <w:t>其他综合收益：增加</w:t>
            </w:r>
            <w:r>
              <w:rPr>
                <w:rFonts w:ascii="Times New Roman" w:hAnsi="Times New Roman" w:cs="Times New Roman" w:eastAsia="Times New Roman" w:hint="default"/>
                <w:sz w:val="18"/>
                <w:szCs w:val="18"/>
              </w:rPr>
              <w:t>5,848,827.97</w:t>
            </w:r>
            <w:r>
              <w:rPr>
                <w:rFonts w:ascii="宋体" w:hAnsi="宋体" w:cs="宋体" w:eastAsia="宋体" w:hint="default"/>
                <w:sz w:val="18"/>
                <w:szCs w:val="18"/>
              </w:rPr>
              <w:t>元 递延所得税负债：增加</w:t>
            </w:r>
            <w:r>
              <w:rPr>
                <w:rFonts w:ascii="Times New Roman" w:hAnsi="Times New Roman" w:cs="Times New Roman" w:eastAsia="Times New Roman" w:hint="default"/>
                <w:sz w:val="18"/>
                <w:szCs w:val="18"/>
              </w:rPr>
              <w:t>2,487,585.90</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1"/>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）将部分</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应收款项</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重分类至</w:t>
            </w:r>
            <w:r>
              <w:rPr>
                <w:rFonts w:ascii="宋体" w:hAnsi="宋体" w:cs="宋体" w:eastAsia="宋体" w:hint="default"/>
                <w:sz w:val="18"/>
                <w:szCs w:val="18"/>
              </w:rPr>
              <w:t> </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以公允价值计量且其变动计入其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他综合收益的金融资产</w:t>
            </w:r>
            <w:r>
              <w:rPr>
                <w:rFonts w:ascii="Times New Roman" w:hAnsi="Times New Roman" w:cs="Times New Roman" w:eastAsia="Times New Roman"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422"/>
              <w:jc w:val="left"/>
              <w:rPr>
                <w:rFonts w:ascii="宋体" w:hAnsi="宋体" w:cs="宋体" w:eastAsia="宋体" w:hint="default"/>
                <w:sz w:val="18"/>
                <w:szCs w:val="18"/>
              </w:rPr>
            </w:pPr>
            <w:r>
              <w:rPr>
                <w:rFonts w:ascii="宋体" w:hAnsi="宋体" w:cs="宋体" w:eastAsia="宋体" w:hint="default"/>
                <w:sz w:val="18"/>
                <w:szCs w:val="18"/>
              </w:rPr>
              <w:t>应收票据：减少</w:t>
            </w:r>
            <w:r>
              <w:rPr>
                <w:rFonts w:ascii="Times New Roman" w:hAnsi="Times New Roman" w:cs="Times New Roman" w:eastAsia="Times New Roman" w:hint="default"/>
                <w:sz w:val="18"/>
                <w:szCs w:val="18"/>
              </w:rPr>
              <w:t>4,175,615.59</w:t>
            </w:r>
            <w:r>
              <w:rPr>
                <w:rFonts w:ascii="宋体" w:hAnsi="宋体" w:cs="宋体" w:eastAsia="宋体" w:hint="default"/>
                <w:sz w:val="18"/>
                <w:szCs w:val="18"/>
              </w:rPr>
              <w:t>元 应收款项融资：增加</w:t>
            </w:r>
            <w:r>
              <w:rPr>
                <w:rFonts w:ascii="Times New Roman" w:hAnsi="Times New Roman" w:cs="Times New Roman" w:eastAsia="Times New Roman" w:hint="default"/>
                <w:sz w:val="18"/>
                <w:szCs w:val="18"/>
              </w:rPr>
              <w:t>4,175,615.59</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）将部分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其他流动资产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重分类</w:t>
            </w:r>
            <w:r>
              <w:rPr>
                <w:rFonts w:ascii="宋体" w:hAnsi="宋体" w:cs="宋体" w:eastAsia="宋体" w:hint="default"/>
                <w:spacing w:val="-88"/>
                <w:sz w:val="18"/>
                <w:szCs w:val="18"/>
              </w:rPr>
              <w:t> </w:t>
            </w:r>
            <w:r>
              <w:rPr>
                <w:rFonts w:ascii="宋体" w:hAnsi="宋体" w:cs="宋体" w:eastAsia="宋体" w:hint="default"/>
                <w:sz w:val="18"/>
                <w:szCs w:val="18"/>
              </w:rPr>
              <w:t>至</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242"/>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1,338,154.01</w:t>
            </w:r>
            <w:r>
              <w:rPr>
                <w:rFonts w:ascii="宋体" w:hAnsi="宋体" w:cs="宋体" w:eastAsia="宋体" w:hint="default"/>
                <w:sz w:val="18"/>
                <w:szCs w:val="18"/>
              </w:rPr>
              <w:t>元 交易性金融资产：增加</w:t>
            </w:r>
            <w:r>
              <w:rPr>
                <w:rFonts w:ascii="Times New Roman" w:hAnsi="Times New Roman" w:cs="Times New Roman" w:eastAsia="Times New Roman" w:hint="default"/>
                <w:sz w:val="18"/>
                <w:szCs w:val="18"/>
              </w:rPr>
              <w:t>1,338,154.01</w:t>
            </w:r>
            <w:r>
              <w:rPr>
                <w:rFonts w:ascii="宋体" w:hAnsi="宋体" w:cs="宋体" w:eastAsia="宋体" w:hint="default"/>
                <w:sz w:val="18"/>
                <w:szCs w:val="18"/>
              </w:rPr>
              <w:t>元</w:t>
            </w:r>
          </w:p>
        </w:tc>
        <w:tc>
          <w:tcPr>
            <w:tcW w:w="22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left="332" w:right="0" w:firstLine="420"/>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号的规定调整后的上年年末余额为基础，各项金融资产和</w:t>
      </w:r>
      <w:r>
        <w:rPr>
          <w:w w:val="100"/>
        </w:rPr>
        <w:t> </w:t>
      </w:r>
      <w:r>
        <w:rPr/>
        <w:t>金融负债按照修订前后金融工具确认计量准则的规定进行分类和计量结果对比如下：</w:t>
      </w:r>
    </w:p>
    <w:p>
      <w:pPr>
        <w:pStyle w:val="Heading5"/>
        <w:spacing w:line="240" w:lineRule="auto" w:before="46"/>
        <w:ind w:left="755" w:right="0"/>
        <w:jc w:val="left"/>
        <w:rPr>
          <w:b w:val="0"/>
          <w:bCs w:val="0"/>
        </w:rPr>
      </w:pPr>
      <w:r>
        <w:rPr/>
        <w:t>合并</w:t>
      </w:r>
      <w:r>
        <w:rPr>
          <w:b w:val="0"/>
          <w:bCs w:val="0"/>
        </w:rPr>
      </w:r>
    </w:p>
    <w:p>
      <w:pPr>
        <w:spacing w:line="240" w:lineRule="auto" w:before="11"/>
        <w:rPr>
          <w:rFonts w:ascii="宋体" w:hAnsi="宋体" w:cs="宋体" w:eastAsia="宋体"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2093"/>
        <w:gridCol w:w="1702"/>
        <w:gridCol w:w="1224"/>
        <w:gridCol w:w="1824"/>
        <w:gridCol w:w="1906"/>
        <w:gridCol w:w="1332"/>
      </w:tblGrid>
      <w:tr>
        <w:trPr>
          <w:trHeight w:val="343" w:hRule="exact"/>
        </w:trPr>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8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296,997,118.00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296,997,118.00</w:t>
            </w:r>
          </w:p>
        </w:tc>
      </w:tr>
      <w:tr>
        <w:trPr>
          <w:trHeight w:val="34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66" w:right="0"/>
              <w:jc w:val="left"/>
              <w:rPr>
                <w:rFonts w:ascii="Times New Roman" w:hAnsi="Times New Roman" w:cs="Times New Roman" w:eastAsia="Times New Roman" w:hint="default"/>
                <w:sz w:val="18"/>
                <w:szCs w:val="18"/>
              </w:rPr>
            </w:pPr>
            <w:r>
              <w:rPr>
                <w:rFonts w:ascii="Times New Roman"/>
                <w:sz w:val="18"/>
              </w:rPr>
              <w:t>4,175,615.59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09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动计入其他综合收益</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4,175,615.59</w:t>
            </w:r>
          </w:p>
        </w:tc>
      </w:tr>
      <w:tr>
        <w:trPr>
          <w:trHeight w:val="34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86" w:right="0"/>
              <w:jc w:val="left"/>
              <w:rPr>
                <w:rFonts w:ascii="Times New Roman" w:hAnsi="Times New Roman" w:cs="Times New Roman" w:eastAsia="Times New Roman" w:hint="default"/>
                <w:sz w:val="18"/>
                <w:szCs w:val="18"/>
              </w:rPr>
            </w:pPr>
            <w:r>
              <w:rPr>
                <w:rFonts w:ascii="Times New Roman"/>
                <w:sz w:val="18"/>
              </w:rPr>
              <w:t>171,708,408.00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171,708,408.00</w:t>
            </w:r>
          </w:p>
        </w:tc>
      </w:tr>
      <w:tr>
        <w:trPr>
          <w:trHeight w:val="655" w:hRule="exact"/>
        </w:trPr>
        <w:tc>
          <w:tcPr>
            <w:tcW w:w="209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动计入其他综合收益</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10,576,957.86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10,576,957.86</w:t>
            </w:r>
          </w:p>
        </w:tc>
      </w:tr>
      <w:tr>
        <w:trPr>
          <w:trHeight w:val="343"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67"/>
                <w:sz w:val="18"/>
                <w:szCs w:val="18"/>
              </w:rPr>
              <w:t> </w:t>
            </w: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pacing w:val="10"/>
                <w:sz w:val="18"/>
                <w:szCs w:val="18"/>
              </w:rPr>
              <w:t>本计</w:t>
            </w:r>
            <w:r>
              <w:rPr>
                <w:rFonts w:ascii="宋体" w:hAnsi="宋体" w:cs="宋体" w:eastAsia="宋体" w:hint="default"/>
                <w:spacing w:val="-67"/>
                <w:sz w:val="18"/>
                <w:szCs w:val="18"/>
              </w:rPr>
              <w:t> </w:t>
            </w:r>
            <w:r>
              <w:rPr>
                <w:rFonts w:ascii="宋体" w:hAnsi="宋体" w:cs="宋体" w:eastAsia="宋体" w:hint="default"/>
                <w:sz w:val="18"/>
                <w:szCs w:val="18"/>
              </w:rPr>
              <w:t>量</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pacing w:val="10"/>
                <w:sz w:val="18"/>
                <w:szCs w:val="18"/>
              </w:rPr>
              <w:t>权益</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z w:val="18"/>
                <w:szCs w:val="18"/>
              </w:rPr>
              <w:t> 具</w:t>
            </w:r>
            <w:r>
              <w:rPr>
                <w:rFonts w:ascii="Times New Roman" w:hAnsi="Times New Roman" w:cs="Times New Roman" w:eastAsia="Times New Roman" w:hint="default"/>
                <w:sz w:val="18"/>
                <w:szCs w:val="18"/>
              </w:rPr>
              <w:t>)</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53,792,124.20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906" w:type="dxa"/>
            <w:vMerge w:val="restart"/>
            <w:tcBorders>
              <w:top w:val="single" w:sz="4" w:space="0" w:color="000000"/>
              <w:left w:val="single" w:sz="4" w:space="0" w:color="000000"/>
              <w:right w:val="single" w:sz="4" w:space="0" w:color="000000"/>
            </w:tcBorders>
          </w:tcPr>
          <w:p>
            <w:pPr>
              <w:pStyle w:val="TableParagraph"/>
              <w:spacing w:line="316" w:lineRule="auto" w:before="34"/>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动计入当期损益</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9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06" w:type="dxa"/>
            <w:vMerge/>
            <w:tcBorders>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209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动计入其他综合收益</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62,128,538.07</w:t>
            </w:r>
          </w:p>
        </w:tc>
      </w:tr>
      <w:tr>
        <w:trPr>
          <w:trHeight w:val="65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1,338,154.01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动计入当期损益</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1,338,154.01</w:t>
            </w:r>
          </w:p>
        </w:tc>
      </w:tr>
      <w:tr>
        <w:trPr>
          <w:trHeight w:val="6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计入当期损益的金融负债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变动计入当期损益</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2,035,900.00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 </w:t>
            </w:r>
            <w:r>
              <w:rPr>
                <w:rFonts w:ascii="宋体" w:hAnsi="宋体" w:cs="宋体" w:eastAsia="宋体" w:hint="default"/>
                <w:sz w:val="18"/>
                <w:szCs w:val="18"/>
              </w:rPr>
              <w:t>动计入当期损益</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2,035,900.00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5"/>
        <w:spacing w:line="240" w:lineRule="auto" w:before="36"/>
        <w:ind w:left="755" w:right="0"/>
        <w:jc w:val="left"/>
        <w:rPr>
          <w:b w:val="0"/>
          <w:bCs w:val="0"/>
        </w:rPr>
      </w:pPr>
      <w:r>
        <w:rPr/>
        <w:t>母公司</w:t>
      </w:r>
      <w:r>
        <w:rPr>
          <w:b w:val="0"/>
          <w:bCs w:val="0"/>
        </w:rPr>
      </w:r>
    </w:p>
    <w:p>
      <w:pPr>
        <w:spacing w:after="0" w:line="240" w:lineRule="auto"/>
        <w:jc w:val="left"/>
        <w:sectPr>
          <w:pgSz w:w="11910" w:h="16840"/>
          <w:pgMar w:header="877" w:footer="980" w:top="1060" w:bottom="1160" w:left="8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088"/>
        <w:gridCol w:w="1700"/>
        <w:gridCol w:w="1418"/>
        <w:gridCol w:w="1380"/>
        <w:gridCol w:w="1942"/>
        <w:gridCol w:w="1342"/>
      </w:tblGrid>
      <w:tr>
        <w:trPr>
          <w:trHeight w:val="341" w:hRule="exact"/>
        </w:trPr>
        <w:tc>
          <w:tcPr>
            <w:tcW w:w="5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214,634,869.52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214,634,869.52</w:t>
            </w:r>
          </w:p>
        </w:tc>
      </w:tr>
      <w:tr>
        <w:trPr>
          <w:trHeight w:val="343"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278" w:right="0"/>
              <w:jc w:val="left"/>
              <w:rPr>
                <w:rFonts w:ascii="Times New Roman" w:hAnsi="Times New Roman" w:cs="Times New Roman" w:eastAsia="Times New Roman" w:hint="default"/>
                <w:sz w:val="18"/>
                <w:szCs w:val="18"/>
              </w:rPr>
            </w:pPr>
            <w:r>
              <w:rPr>
                <w:rFonts w:ascii="Times New Roman"/>
                <w:sz w:val="18"/>
              </w:rPr>
              <w:t>188,783,905.13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188,783,905.13</w:t>
            </w:r>
          </w:p>
        </w:tc>
      </w:tr>
      <w:tr>
        <w:trPr>
          <w:trHeight w:val="653" w:hRule="exact"/>
        </w:trPr>
        <w:tc>
          <w:tcPr>
            <w:tcW w:w="208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z w:val="18"/>
                <w:szCs w:val="18"/>
              </w:rPr>
              <w:t> 动计入其他综合收益</w:t>
            </w: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14,431,952.70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14,431,952.70</w:t>
            </w:r>
          </w:p>
        </w:tc>
      </w:tr>
      <w:tr>
        <w:trPr>
          <w:trHeight w:val="65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计入当期损益的金融负债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 </w:t>
            </w:r>
            <w:r>
              <w:rPr>
                <w:rFonts w:ascii="宋体" w:hAnsi="宋体" w:cs="宋体" w:eastAsia="宋体" w:hint="default"/>
                <w:sz w:val="18"/>
                <w:szCs w:val="18"/>
              </w:rPr>
              <w:t>变动计入当期损益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1,131,600.00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z w:val="18"/>
                <w:szCs w:val="18"/>
              </w:rPr>
              <w:t> 动计入当期损益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1,131,600.00</w:t>
            </w:r>
          </w:p>
        </w:tc>
      </w:tr>
    </w:tbl>
    <w:p>
      <w:pPr>
        <w:spacing w:line="240" w:lineRule="auto" w:before="13"/>
        <w:rPr>
          <w:rFonts w:ascii="宋体" w:hAnsi="宋体" w:cs="宋体" w:eastAsia="宋体" w:hint="default"/>
          <w:b/>
          <w:bCs/>
          <w:sz w:val="25"/>
          <w:szCs w:val="25"/>
        </w:rPr>
      </w:pPr>
    </w:p>
    <w:p>
      <w:pPr>
        <w:pStyle w:val="BodyText"/>
        <w:spacing w:line="410" w:lineRule="auto" w:before="36"/>
        <w:ind w:left="653" w:right="0"/>
        <w:jc w:val="left"/>
      </w:pP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r>
        <w:rPr>
          <w:w w:val="100"/>
        </w:rPr>
        <w:t> </w:t>
      </w:r>
      <w:r>
        <w:rPr>
          <w:spacing w:val="-10"/>
          <w:w w:val="100"/>
        </w:rPr>
        <w:t>财政部于</w:t>
      </w:r>
      <w:r>
        <w:rPr>
          <w:rFonts w:ascii="宋体" w:hAnsi="宋体" w:cs="宋体" w:eastAsia="宋体" w:hint="default"/>
          <w:spacing w:val="-10"/>
          <w:w w:val="100"/>
        </w:rPr>
        <w:t>2019</w:t>
      </w:r>
      <w:r>
        <w:rPr>
          <w:spacing w:val="-10"/>
          <w:w w:val="100"/>
        </w:rPr>
        <w:t>年</w:t>
      </w:r>
      <w:r>
        <w:rPr>
          <w:rFonts w:ascii="宋体" w:hAnsi="宋体" w:cs="宋体" w:eastAsia="宋体" w:hint="default"/>
          <w:spacing w:val="-10"/>
          <w:w w:val="100"/>
        </w:rPr>
        <w:t>5</w:t>
      </w:r>
      <w:r>
        <w:rPr>
          <w:spacing w:val="-10"/>
          <w:w w:val="100"/>
        </w:rPr>
        <w:t>月</w:t>
      </w:r>
      <w:r>
        <w:rPr>
          <w:rFonts w:ascii="宋体" w:hAnsi="宋体" w:cs="宋体" w:eastAsia="宋体" w:hint="default"/>
          <w:spacing w:val="-10"/>
          <w:w w:val="100"/>
        </w:rPr>
        <w:t>9</w:t>
      </w:r>
      <w:r>
        <w:rPr>
          <w:spacing w:val="-10"/>
          <w:w w:val="100"/>
        </w:rPr>
        <w:t>日发布了《企业会计准则第</w:t>
      </w:r>
      <w:r>
        <w:rPr>
          <w:rFonts w:ascii="宋体" w:hAnsi="宋体" w:cs="宋体" w:eastAsia="宋体" w:hint="default"/>
          <w:spacing w:val="-10"/>
          <w:w w:val="100"/>
        </w:rPr>
        <w:t>7</w:t>
      </w:r>
      <w:r>
        <w:rPr>
          <w:spacing w:val="-10"/>
          <w:w w:val="100"/>
        </w:rPr>
        <w:t>号——非货币性资产交换》（</w:t>
      </w:r>
      <w:r>
        <w:rPr>
          <w:rFonts w:ascii="宋体" w:hAnsi="宋体" w:cs="宋体" w:eastAsia="宋体" w:hint="default"/>
          <w:spacing w:val="-10"/>
          <w:w w:val="100"/>
        </w:rPr>
        <w:t>2019</w:t>
      </w:r>
      <w:r>
        <w:rPr>
          <w:spacing w:val="-10"/>
          <w:w w:val="100"/>
        </w:rPr>
        <w:t>修订）（财会〔</w:t>
      </w:r>
      <w:r>
        <w:rPr>
          <w:rFonts w:ascii="宋体" w:hAnsi="宋体" w:cs="宋体" w:eastAsia="宋体" w:hint="default"/>
          <w:spacing w:val="-10"/>
          <w:w w:val="100"/>
        </w:rPr>
        <w:t>2019</w:t>
      </w:r>
      <w:r>
        <w:rPr>
          <w:spacing w:val="-10"/>
          <w:w w:val="100"/>
        </w:rPr>
        <w:t>〕</w:t>
      </w:r>
    </w:p>
    <w:p>
      <w:pPr>
        <w:pStyle w:val="BodyText"/>
        <w:spacing w:line="408" w:lineRule="auto" w:before="44"/>
        <w:ind w:left="232" w:right="1126"/>
        <w:jc w:val="both"/>
      </w:pPr>
      <w:r>
        <w:rPr>
          <w:rFonts w:ascii="宋体" w:hAnsi="宋体" w:cs="宋体" w:eastAsia="宋体" w:hint="default"/>
          <w:spacing w:val="-2"/>
        </w:rPr>
        <w:t>8</w:t>
      </w:r>
      <w:r>
        <w:rPr>
          <w:spacing w:val="-2"/>
        </w:rPr>
        <w:t>号），修订后的准则自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日起施行，对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日至本准则施行日之间发生的非货币性资产</w:t>
      </w:r>
      <w:r>
        <w:rPr>
          <w:spacing w:val="-36"/>
        </w:rPr>
        <w:t> </w:t>
      </w:r>
      <w:r>
        <w:rPr>
          <w:spacing w:val="-36"/>
        </w:rPr>
      </w:r>
      <w:r>
        <w:rPr>
          <w:spacing w:val="-2"/>
        </w:rPr>
        <w:t>交换，应根据本准则进行调整。对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日之前发生的非货币性资产交换，不需要按照本准则的规定</w:t>
      </w:r>
      <w:r>
        <w:rPr>
          <w:spacing w:val="-38"/>
        </w:rPr>
        <w:t> </w:t>
      </w:r>
      <w:r>
        <w:rPr>
          <w:spacing w:val="-38"/>
        </w:rPr>
      </w:r>
      <w:r>
        <w:rPr/>
        <w:t>进行追溯调整。本公司执行上述准则在本报告期内无重大影响。</w:t>
      </w:r>
    </w:p>
    <w:p>
      <w:pPr>
        <w:spacing w:line="240" w:lineRule="auto" w:before="8"/>
        <w:rPr>
          <w:rFonts w:ascii="宋体" w:hAnsi="宋体" w:cs="宋体" w:eastAsia="宋体" w:hint="default"/>
          <w:sz w:val="20"/>
          <w:szCs w:val="20"/>
        </w:rPr>
      </w:pPr>
    </w:p>
    <w:p>
      <w:pPr>
        <w:pStyle w:val="Heading5"/>
        <w:spacing w:line="240" w:lineRule="auto"/>
        <w:ind w:left="232"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23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left="232"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00" w:right="0"/>
        </w:sectPr>
      </w:pPr>
    </w:p>
    <w:p>
      <w:pPr>
        <w:spacing w:line="338" w:lineRule="auto" w:before="44"/>
        <w:ind w:left="2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00" w:right="0"/>
          <w:cols w:num="2" w:equalWidth="0">
            <w:col w:w="1614" w:space="7307"/>
            <w:col w:w="2089"/>
          </w:cols>
        </w:sectPr>
      </w:pP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387"/>
        <w:gridCol w:w="2260"/>
        <w:gridCol w:w="2456"/>
        <w:gridCol w:w="245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296,997,118.00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296,997,118.00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1,338,154.01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1,338,154.01</w:t>
            </w: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171,708,408.00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171,708,408.00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4,175,615.59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87"/>
        <w:gridCol w:w="2260"/>
        <w:gridCol w:w="2456"/>
        <w:gridCol w:w="245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7,581,986.73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7,581,986.73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10,576,957.86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10,576,957.86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1,146.87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1,146.87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87,366,384.41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87,366,384.41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14,006,362.57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12,668,208.56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-1,338,154.01</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592,412,833.16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592,412,833.16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53,792,124.20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-53,792,124.20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62,128,538.07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62,128,538.07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142,243,575.37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142,243,575.37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7,491,643.82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45,251,639.90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45,251,639.90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20,681,165.45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20,681,165.45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10,674,457.30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10,674,457.30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87"/>
        <w:gridCol w:w="2260"/>
        <w:gridCol w:w="2456"/>
        <w:gridCol w:w="245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5,958,616.14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5,958,616.14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286,093,222.18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294,429,636.05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8,336,413.87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878,506,055.34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886,842,469.21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8,336,413.87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21,962,240.00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21,962,240.00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2,035,900.00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210,516,593.99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210,516,593.99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55,010,454.54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55,010,454.54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22,743,321.35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22,743,321.35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15,396,962.65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15,396,962.65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5,280,547.59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5,280,547.59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12,816,495.02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12,816,495.02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345,762,515.14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345,762,515.14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87"/>
        <w:gridCol w:w="2260"/>
        <w:gridCol w:w="2456"/>
        <w:gridCol w:w="245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2,487,585.90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2,487,585.90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3,265,919.23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2,487,585.90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346,540,848.47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349,028,434.37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2,487,585.90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121,931,134.96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121,931,134.96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-215,577.87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5,633,250.10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5,848,827.97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32,197,649.21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32,197,649.21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60"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188,210,351.19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188,210,351.19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530,923,557.49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536,772,385.46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5,848,827.97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1,041,649.38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1,041,649.38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531,965,206.87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537,814,034.84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5,848,827.97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878,506,055.34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886,842,469.21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8,336,413.87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95"/>
        <w:gridCol w:w="2453"/>
        <w:gridCol w:w="2454"/>
        <w:gridCol w:w="2443"/>
      </w:tblGrid>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88" w:right="0"/>
              <w:jc w:val="left"/>
              <w:rPr>
                <w:rFonts w:ascii="Times New Roman" w:hAnsi="Times New Roman" w:cs="Times New Roman" w:eastAsia="Times New Roman" w:hint="default"/>
                <w:sz w:val="18"/>
                <w:szCs w:val="18"/>
              </w:rPr>
            </w:pPr>
            <w:r>
              <w:rPr>
                <w:rFonts w:ascii="Times New Roman"/>
                <w:sz w:val="18"/>
              </w:rPr>
              <w:t>214,634,869.52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214,634,869.52</w:t>
            </w:r>
          </w:p>
        </w:tc>
        <w:tc>
          <w:tcPr>
            <w:tcW w:w="24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188,783,905.13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188,783,905.13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60,020,927.87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60,020,927.87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14,431,952.70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14,431,952.70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123,572.18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123,572.18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36,529,636.73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36,529,636.73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124,770.81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514,526,062.76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514,526,062.76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71,078,854.32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71,078,854.32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116,710,150.42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116,710,150.42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4,973,557.91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4,973,557.91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39,789,089.81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39,789,089.81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9,211,978.26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9,211,978.26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365,861.76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365,861.76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242,129,492.48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242,129,492.48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756,655,555.24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756,655,555.24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21,962,240.00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1,131,600.00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1,131,600.00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96,724,801.33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96,724,801.33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34,633,269.24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34,633,269.24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5,466,758.07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5,466,758.07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5,203,961.06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5,203,961.06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2,174,961.21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2,174,961.21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8,321,105.37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8,321,105.37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175,618,696.28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175,618,696.28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176,397,029.61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176,397,029.61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118,058,507.61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118,058,507.61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31,947,649.21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31,947,649.21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241,452,368.81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241,452,368.81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580,258,525.63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580,258,525.63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756,655,555.24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756,655,555.24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29.84%</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00002pt;margin-top:-181.718262pt;width:479.3pt;height:241.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29.84%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Lifesense SingaporePte</w:t>
                        </w:r>
                        <w:r>
                          <w:rPr>
                            <w:rFonts w:ascii="Times New Roman"/>
                            <w:spacing w:val="-7"/>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年税前利润在</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美元以内免税</w:t>
                        </w:r>
                        <w:r>
                          <w:rPr>
                            <w:rFonts w:ascii="宋体" w:hAnsi="宋体" w:cs="宋体" w:eastAsia="宋体" w:hint="default"/>
                            <w:spacing w:val="-92"/>
                            <w:sz w:val="18"/>
                            <w:szCs w:val="18"/>
                          </w:rPr>
                          <w:t>，</w:t>
                        </w:r>
                        <w:r>
                          <w:rPr>
                            <w:rFonts w:ascii="宋体" w:hAnsi="宋体" w:cs="宋体" w:eastAsia="宋体" w:hint="default"/>
                            <w:sz w:val="18"/>
                            <w:szCs w:val="18"/>
                          </w:rPr>
                          <w:t>基本税率</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hanging="8"/>
        <w:jc w:val="left"/>
      </w:pPr>
      <w:r>
        <w:rPr>
          <w:rFonts w:ascii="宋体" w:hAnsi="宋体" w:cs="宋体" w:eastAsia="宋体" w:hint="default"/>
          <w:b/>
          <w:bCs/>
        </w:rPr>
        <w:t>企业所得税</w:t>
      </w:r>
      <w:r>
        <w:rPr>
          <w:rFonts w:ascii="宋体" w:hAnsi="宋体" w:cs="宋体" w:eastAsia="宋体" w:hint="default"/>
          <w:b/>
          <w:bCs/>
          <w:w w:val="100"/>
        </w:rPr>
        <w:t> </w:t>
      </w:r>
      <w:r>
        <w:rPr/>
        <w:t>根据《企业所得税法》的有关规定，国家重点扶持的高新技术企业减按</w:t>
      </w:r>
      <w:r>
        <w:rPr>
          <w:rFonts w:ascii="宋体" w:hAnsi="宋体" w:cs="宋体" w:eastAsia="宋体" w:hint="default"/>
        </w:rPr>
        <w:t>15%</w:t>
      </w:r>
      <w:r>
        <w:rPr/>
        <w:t>的税率征收企业所得税。</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日，公司通过了广东省科学技术厅、广东省财政厅、广东省国家税务局及广东省地方税</w:t>
      </w:r>
    </w:p>
    <w:p>
      <w:pPr>
        <w:pStyle w:val="BodyText"/>
        <w:spacing w:line="408" w:lineRule="auto"/>
        <w:ind w:right="996"/>
        <w:jc w:val="left"/>
      </w:pPr>
      <w:r>
        <w:rPr/>
        <w:t>务局组织的高新技术企业复审，自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日止按照</w:t>
      </w:r>
      <w:r>
        <w:rPr>
          <w:rFonts w:ascii="宋体" w:hAnsi="宋体" w:cs="宋体" w:eastAsia="宋体" w:hint="default"/>
        </w:rPr>
        <w:t>15%</w:t>
      </w:r>
      <w:r>
        <w:rPr/>
        <w:t>的税率征收企业所得税。</w:t>
      </w:r>
      <w:r>
        <w:rPr>
          <w:spacing w:val="-33"/>
        </w:rPr>
        <w:t> </w:t>
      </w:r>
      <w:r>
        <w:rPr>
          <w:spacing w:val="-33"/>
        </w:rPr>
      </w:r>
      <w:r>
        <w:rPr>
          <w:spacing w:val="-4"/>
        </w:rPr>
        <w:t>高新技术企业证书编号</w:t>
      </w:r>
      <w:r>
        <w:rPr>
          <w:rFonts w:ascii="宋体" w:hAnsi="宋体" w:cs="宋体" w:eastAsia="宋体" w:hint="default"/>
          <w:spacing w:val="-4"/>
        </w:rPr>
        <w:t>GF201244000581</w:t>
      </w:r>
      <w:r>
        <w:rPr>
          <w:spacing w:val="-4"/>
        </w:rPr>
        <w:t>，有效期三年。</w:t>
      </w:r>
      <w:r>
        <w:rPr>
          <w:rFonts w:ascii="宋体" w:hAnsi="宋体" w:cs="宋体" w:eastAsia="宋体" w:hint="default"/>
          <w:spacing w:val="-4"/>
        </w:rPr>
        <w:t>2015</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10</w:t>
      </w:r>
      <w:r>
        <w:rPr>
          <w:spacing w:val="-4"/>
        </w:rPr>
        <w:t>日，公司继续获得高新技术企业认定，</w:t>
      </w:r>
      <w:r>
        <w:rPr>
          <w:spacing w:val="-12"/>
        </w:rPr>
        <w:t> </w:t>
      </w:r>
      <w:r>
        <w:rPr>
          <w:spacing w:val="-12"/>
        </w:rPr>
      </w:r>
      <w:r>
        <w:rPr>
          <w:spacing w:val="-2"/>
        </w:rPr>
        <w:t>并获得编号为</w:t>
      </w:r>
      <w:r>
        <w:rPr>
          <w:rFonts w:ascii="宋体" w:hAnsi="宋体" w:cs="宋体" w:eastAsia="宋体" w:hint="default"/>
          <w:spacing w:val="-2"/>
        </w:rPr>
        <w:t>GR201544000728</w:t>
      </w:r>
      <w:r>
        <w:rPr>
          <w:spacing w:val="-2"/>
        </w:rPr>
        <w:t>的高新技术企业证书，有效期三年。</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日，公司续申请高新技术</w:t>
      </w:r>
      <w:r>
        <w:rPr>
          <w:spacing w:val="-28"/>
        </w:rPr>
        <w:t> </w:t>
      </w:r>
      <w:r>
        <w:rPr>
          <w:spacing w:val="-28"/>
        </w:rPr>
      </w:r>
      <w:r>
        <w:rPr/>
        <w:t>企业认定，获得批复，高新技术企业证书编号</w:t>
      </w:r>
      <w:r>
        <w:rPr>
          <w:rFonts w:ascii="宋体" w:hAnsi="宋体" w:cs="宋体" w:eastAsia="宋体" w:hint="default"/>
        </w:rPr>
        <w:t>GR201844008626</w:t>
      </w:r>
      <w:r>
        <w:rPr/>
        <w:t>，有效期三年。</w:t>
      </w:r>
    </w:p>
    <w:p>
      <w:pPr>
        <w:pStyle w:val="BodyText"/>
        <w:spacing w:line="408" w:lineRule="auto"/>
        <w:ind w:right="1133" w:firstLine="420"/>
        <w:jc w:val="both"/>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9</w:t>
      </w:r>
      <w:r>
        <w:rPr/>
        <w:t>日，子公司广州动心信息科技有限公司通过了广东省科学技术厅、广东省财政厅、广东</w:t>
      </w:r>
      <w:r>
        <w:rPr>
          <w:w w:val="100"/>
        </w:rPr>
        <w:t> </w:t>
      </w:r>
      <w:r>
        <w:rPr/>
        <w:t>省国家税务局及广东省地方税务局组织的高新技术企业认证，自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的税率征收企业所得税，</w:t>
      </w:r>
      <w:r>
        <w:rPr>
          <w:spacing w:val="-28"/>
        </w:rPr>
        <w:t> </w:t>
      </w:r>
      <w:r>
        <w:rPr>
          <w:spacing w:val="-28"/>
        </w:rPr>
      </w:r>
      <w:r>
        <w:rPr/>
        <w:t>高新证书编号：</w:t>
      </w:r>
      <w:r>
        <w:rPr>
          <w:rFonts w:ascii="宋体" w:hAnsi="宋体" w:cs="宋体" w:eastAsia="宋体" w:hint="default"/>
        </w:rPr>
        <w:t>GR201744002179</w:t>
      </w:r>
      <w:r>
        <w:rPr/>
        <w:t>，有效期三年。</w:t>
      </w:r>
    </w:p>
    <w:p>
      <w:pPr>
        <w:pStyle w:val="BodyText"/>
        <w:spacing w:line="408" w:lineRule="auto"/>
        <w:ind w:right="112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日，子公司中山乐心电子有限公司通过了广东省科学技术厅、广东省财政厅、广东省国</w:t>
      </w:r>
      <w:r>
        <w:rPr>
          <w:w w:val="100"/>
        </w:rPr>
        <w:t> </w:t>
      </w:r>
      <w:r>
        <w:rPr/>
        <w:t>家税务局及广东省地方税务局组织的高新技术企业认证，自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的税率征收企业所得税。高新</w:t>
      </w:r>
      <w:r>
        <w:rPr>
          <w:spacing w:val="-30"/>
        </w:rPr>
        <w:t> </w:t>
      </w:r>
      <w:r>
        <w:rPr>
          <w:spacing w:val="-30"/>
        </w:rPr>
      </w:r>
      <w:r>
        <w:rPr/>
        <w:t>证书编号</w:t>
      </w:r>
      <w:r>
        <w:rPr>
          <w:rFonts w:ascii="宋体" w:hAnsi="宋体" w:cs="宋体" w:eastAsia="宋体" w:hint="default"/>
        </w:rPr>
        <w:t>GR201744011452</w:t>
      </w:r>
      <w:r>
        <w:rPr/>
        <w:t>，有效期三年。</w:t>
      </w:r>
    </w:p>
    <w:p>
      <w:pPr>
        <w:pStyle w:val="BodyText"/>
        <w:spacing w:line="408" w:lineRule="auto"/>
        <w:ind w:right="112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日，子公司深圳市瑞康宏业科技开发有限公司通过了深圳市科技创新委员会、深圳市财</w:t>
      </w:r>
      <w:r>
        <w:rPr>
          <w:w w:val="100"/>
        </w:rPr>
        <w:t> </w:t>
      </w:r>
      <w:r>
        <w:rPr/>
        <w:t>政委员会、深圳市国家税务局及深圳市地方税务局组织的高新技术企业认证，自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w:t>
      </w:r>
      <w:r>
        <w:rPr>
          <w:spacing w:val="-26"/>
        </w:rPr>
        <w:t> </w:t>
      </w:r>
      <w:r>
        <w:rPr/>
        <w:t>收企业所得税，高新证书编号</w:t>
      </w:r>
      <w:r>
        <w:rPr>
          <w:rFonts w:ascii="宋体" w:hAnsi="宋体" w:cs="宋体" w:eastAsia="宋体" w:hint="default"/>
        </w:rPr>
        <w:t>GR201744203771</w:t>
      </w:r>
      <w:r>
        <w:rPr/>
        <w:t>，有效期三年。</w:t>
      </w:r>
    </w:p>
    <w:p>
      <w:pPr>
        <w:spacing w:after="0" w:line="408"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17,645.70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162,250,393.22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233,409,291.64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61,944,388.76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63,570,180.66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224,218,906.86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296,997,118.00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17,708,556.21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4,521,137.22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2"/>
          <w:szCs w:val="22"/>
        </w:rPr>
      </w:pPr>
    </w:p>
    <w:p>
      <w:pPr>
        <w:pStyle w:val="BodyText"/>
        <w:spacing w:line="240" w:lineRule="auto" w:before="0"/>
        <w:ind w:left="573" w:right="996"/>
        <w:jc w:val="left"/>
      </w:pPr>
      <w:r>
        <w:rPr/>
        <w:t>其中因抵押、质押或冻结等对使用有限制，以及放在境外且资金汇回受到限制的货币资金明细如下：</w:t>
      </w:r>
    </w:p>
    <w:p>
      <w:pPr>
        <w:spacing w:line="240" w:lineRule="auto" w:before="8"/>
        <w:rPr>
          <w:rFonts w:ascii="宋体" w:hAnsi="宋体" w:cs="宋体" w:eastAsia="宋体" w:hint="default"/>
          <w:sz w:val="21"/>
          <w:szCs w:val="21"/>
        </w:rPr>
      </w:pPr>
    </w:p>
    <w:tbl>
      <w:tblPr>
        <w:tblW w:w="0" w:type="auto"/>
        <w:jc w:val="left"/>
        <w:tblInd w:w="755" w:type="dxa"/>
        <w:tblLayout w:type="fixed"/>
        <w:tblCellMar>
          <w:top w:w="0" w:type="dxa"/>
          <w:left w:w="0" w:type="dxa"/>
          <w:bottom w:w="0" w:type="dxa"/>
          <w:right w:w="0" w:type="dxa"/>
        </w:tblCellMar>
        <w:tblLook w:val="01E0"/>
      </w:tblPr>
      <w:tblGrid>
        <w:gridCol w:w="3788"/>
        <w:gridCol w:w="2240"/>
        <w:gridCol w:w="2237"/>
      </w:tblGrid>
      <w:tr>
        <w:trPr>
          <w:trHeight w:val="34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61,944,388.76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63,570,180.66</w:t>
            </w:r>
          </w:p>
        </w:tc>
      </w:tr>
      <w:tr>
        <w:trPr>
          <w:trHeight w:val="34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61,944,388.76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63,570,180.66</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1,338,154.01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业绩补偿或有对价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91,535,194.87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1,338,154.01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1,338,154.01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3" w:right="996"/>
        <w:jc w:val="left"/>
      </w:pPr>
      <w:r>
        <w:rPr/>
        <w:t>根据本公司与深圳市瑞康宏业科技开发有限公司（以下简称“瑞康宏业”）、廖云朋、桑波、陆培科</w:t>
      </w:r>
    </w:p>
    <w:p>
      <w:pPr>
        <w:spacing w:line="240" w:lineRule="auto" w:before="10"/>
        <w:rPr>
          <w:rFonts w:ascii="宋体" w:hAnsi="宋体" w:cs="宋体" w:eastAsia="宋体" w:hint="default"/>
          <w:sz w:val="14"/>
          <w:szCs w:val="14"/>
        </w:rPr>
      </w:pPr>
    </w:p>
    <w:p>
      <w:pPr>
        <w:pStyle w:val="BodyText"/>
        <w:spacing w:line="408" w:lineRule="auto" w:before="0"/>
        <w:ind w:right="996"/>
        <w:jc w:val="left"/>
      </w:pPr>
      <w:r>
        <w:rPr>
          <w:spacing w:val="-2"/>
        </w:rPr>
        <w:t>（以下简称“原股东”）共同签订的《增资扩股协议》和《增资扩股协议的补充协议》、《广东乐心医疗</w:t>
      </w:r>
      <w:r>
        <w:rPr>
          <w:spacing w:val="-45"/>
        </w:rPr>
        <w:t> </w:t>
      </w:r>
      <w:r>
        <w:rPr>
          <w:spacing w:val="-45"/>
        </w:rPr>
      </w:r>
      <w:r>
        <w:rPr>
          <w:spacing w:val="2"/>
        </w:rPr>
        <w:t>电子股份有限公司与深圳市瑞康宏业科技开发有限公司管理层股东关于深圳市瑞康宏业科技开发有限公</w:t>
      </w:r>
      <w:r>
        <w:rPr>
          <w:spacing w:val="-30"/>
        </w:rPr>
        <w:t> </w:t>
      </w:r>
      <w:r>
        <w:rPr>
          <w:spacing w:val="-30"/>
        </w:rPr>
      </w:r>
      <w:r>
        <w:rPr>
          <w:spacing w:val="-4"/>
        </w:rPr>
        <w:t>司之增资扩股协议的补充协议之补充协议修订版》，原股东</w:t>
      </w:r>
      <w:r>
        <w:rPr>
          <w:rFonts w:ascii="宋体" w:hAnsi="宋体" w:cs="宋体" w:eastAsia="宋体" w:hint="default"/>
          <w:spacing w:val="-4"/>
        </w:rPr>
        <w:t>2019</w:t>
      </w:r>
      <w:r>
        <w:rPr>
          <w:spacing w:val="-4"/>
        </w:rPr>
        <w:t>年度业绩承诺主营业务收入</w:t>
      </w:r>
      <w:r>
        <w:rPr>
          <w:rFonts w:ascii="宋体" w:hAnsi="宋体" w:cs="宋体" w:eastAsia="宋体" w:hint="default"/>
          <w:spacing w:val="-4"/>
        </w:rPr>
        <w:t>2,500.00</w:t>
      </w:r>
      <w:r>
        <w:rPr>
          <w:spacing w:val="-4"/>
        </w:rPr>
        <w:t>万元，</w:t>
      </w:r>
      <w:r>
        <w:rPr>
          <w:spacing w:val="-27"/>
        </w:rPr>
        <w:t> </w:t>
      </w:r>
      <w:r>
        <w:rPr>
          <w:spacing w:val="-27"/>
        </w:rPr>
      </w:r>
      <w:r>
        <w:rPr/>
        <w:t>实现净利润</w:t>
      </w:r>
      <w:r>
        <w:rPr>
          <w:rFonts w:ascii="宋体" w:hAnsi="宋体" w:cs="宋体" w:eastAsia="宋体" w:hint="default"/>
        </w:rPr>
        <w:t>300.00</w:t>
      </w:r>
      <w:r>
        <w:rPr/>
        <w:t>万元</w:t>
      </w:r>
      <w:r>
        <w:rPr>
          <w:rFonts w:ascii="宋体" w:hAnsi="宋体" w:cs="宋体" w:eastAsia="宋体" w:hint="default"/>
        </w:rPr>
        <w:t>,</w:t>
      </w:r>
      <w:r>
        <w:rPr/>
        <w:t>如未达到业绩承诺，将由原股东以其持有的瑞康宏业股份对本公司进行补偿。鉴</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于瑞康宏业</w:t>
      </w:r>
      <w:r>
        <w:rPr>
          <w:rFonts w:ascii="宋体" w:hAnsi="宋体" w:cs="宋体" w:eastAsia="宋体" w:hint="default"/>
          <w:spacing w:val="-2"/>
        </w:rPr>
        <w:t>2019</w:t>
      </w:r>
      <w:r>
        <w:rPr>
          <w:spacing w:val="-2"/>
        </w:rPr>
        <w:t>年度实现的主营业务收入和净利润均未达到业绩承诺，双方协商由原股东以其持有的瑞康</w:t>
      </w:r>
      <w:r>
        <w:rPr>
          <w:spacing w:val="-39"/>
        </w:rPr>
        <w:t> </w:t>
      </w:r>
      <w:r>
        <w:rPr>
          <w:spacing w:val="-39"/>
        </w:rPr>
      </w:r>
      <w:r>
        <w:rPr>
          <w:spacing w:val="-2"/>
        </w:rPr>
        <w:t>宏业</w:t>
      </w:r>
      <w:r>
        <w:rPr>
          <w:rFonts w:ascii="宋体" w:hAnsi="宋体" w:cs="宋体" w:eastAsia="宋体" w:hint="default"/>
          <w:spacing w:val="-2"/>
        </w:rPr>
        <w:t>4%</w:t>
      </w:r>
      <w:r>
        <w:rPr>
          <w:spacing w:val="-2"/>
        </w:rPr>
        <w:t>股份对本公司进行补偿。截至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日，本公司按照瑞康宏业</w:t>
      </w:r>
      <w:r>
        <w:rPr>
          <w:rFonts w:ascii="宋体" w:hAnsi="宋体" w:cs="宋体" w:eastAsia="宋体" w:hint="default"/>
          <w:spacing w:val="-2"/>
        </w:rPr>
        <w:t>4%</w:t>
      </w:r>
      <w:r>
        <w:rPr>
          <w:spacing w:val="-2"/>
        </w:rPr>
        <w:t>股权的公允价值确认或有对</w:t>
      </w:r>
      <w:r>
        <w:rPr>
          <w:spacing w:val="-34"/>
        </w:rPr>
        <w:t> </w:t>
      </w:r>
      <w:r>
        <w:rPr>
          <w:spacing w:val="-34"/>
        </w:rPr>
      </w:r>
      <w:r>
        <w:rPr/>
        <w:t>价，计入以公允价值计量且其变动计入当期损益的金融资产。</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1"/>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799"/>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799"/>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2,536,89</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0.67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208,822,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613.59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11,374,1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90.65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197,448,4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181,843,2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10,134,81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171,708,40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按账龄分析法计提 坏账准备的应收账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208,822,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613.59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11,374,1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90.65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197,448,4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181,843,2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10,134,81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171,708,40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8.00</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211,359,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504.26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11,911,0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81.32</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199,448,4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181,843,2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10,134,81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171,708,40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536,890.67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合肥矩联贸易有限公司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1,938,130.48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410,184.47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上海耘耔贸易有限公司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416,107.69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88,050.07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合肥梵云电子商务有限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182,652.50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38,656.13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2,536,890.67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536,890.67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11,374,190.65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81"/>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201,533,921.08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10,076,696.06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3,964,260.05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396,426.01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2,895,019.68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579,003.93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214,696.27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107,348.14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214,716.51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208,822,613.59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11,374,190.65</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205,498,181.13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201,533,921.08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3,964,260.05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5,431,910.35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214,696.27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214,716.51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214,716.51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211,359,504.26</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536,890.67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536,890.67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10,134,815.58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1,267,365.05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27,989.98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11,374,190.65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10,134,815.58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1,804,255.72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11,911,081.32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27,989.98</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50,616,375.64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23.95%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2,530,818.78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16,499,826.43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827,142.44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16,191,153.84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810,568.58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10,545,949.76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527,297.49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9,172,535.22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458,706.06</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103,025,840.89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48.75%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2,389,010.07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4,175,615.59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2,389,010.07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99" w:type="dxa"/>
        <w:tblLayout w:type="fixed"/>
        <w:tblCellMar>
          <w:top w:w="0" w:type="dxa"/>
          <w:left w:w="0" w:type="dxa"/>
          <w:bottom w:w="0" w:type="dxa"/>
          <w:right w:w="0" w:type="dxa"/>
        </w:tblCellMar>
        <w:tblLook w:val="01E0"/>
      </w:tblPr>
      <w:tblGrid>
        <w:gridCol w:w="994"/>
        <w:gridCol w:w="1162"/>
        <w:gridCol w:w="1251"/>
        <w:gridCol w:w="1250"/>
        <w:gridCol w:w="999"/>
        <w:gridCol w:w="1162"/>
        <w:gridCol w:w="2521"/>
      </w:tblGrid>
      <w:tr>
        <w:trPr>
          <w:trHeight w:val="65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895" w:right="86" w:hanging="812"/>
              <w:jc w:val="left"/>
              <w:rPr>
                <w:rFonts w:ascii="宋体" w:hAnsi="宋体" w:cs="宋体" w:eastAsia="宋体" w:hint="default"/>
                <w:sz w:val="18"/>
                <w:szCs w:val="18"/>
              </w:rPr>
            </w:pPr>
            <w:r>
              <w:rPr>
                <w:rFonts w:ascii="宋体" w:hAnsi="宋体" w:cs="宋体" w:eastAsia="宋体" w:hint="default"/>
                <w:sz w:val="18"/>
                <w:szCs w:val="18"/>
              </w:rPr>
              <w:t>累计在其他综合收益中确认的 损失准备</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99" w:type="dxa"/>
        <w:tblLayout w:type="fixed"/>
        <w:tblCellMar>
          <w:top w:w="0" w:type="dxa"/>
          <w:left w:w="0" w:type="dxa"/>
          <w:bottom w:w="0" w:type="dxa"/>
          <w:right w:w="0" w:type="dxa"/>
        </w:tblCellMar>
        <w:tblLook w:val="01E0"/>
      </w:tblPr>
      <w:tblGrid>
        <w:gridCol w:w="994"/>
        <w:gridCol w:w="1162"/>
        <w:gridCol w:w="1251"/>
        <w:gridCol w:w="1250"/>
        <w:gridCol w:w="999"/>
        <w:gridCol w:w="1162"/>
        <w:gridCol w:w="2521"/>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4,175,615.59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14,286,949.87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16,073,555.39</w:t>
            </w:r>
          </w:p>
        </w:tc>
        <w:tc>
          <w:tcPr>
            <w:tcW w:w="9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2,389,010.07</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4,175,615.59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14,286,949.87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16,073,555.39</w:t>
            </w:r>
          </w:p>
        </w:tc>
        <w:tc>
          <w:tcPr>
            <w:tcW w:w="9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2,389,010.07</w:t>
            </w:r>
          </w:p>
        </w:tc>
        <w:tc>
          <w:tcPr>
            <w:tcW w:w="2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4"/>
          <w:szCs w:val="24"/>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如是按照预期信用损失一般模型计提应收款项融资减值准备，请参照其他应收款的披露方式披露减值准备的相关信息：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8,240,072.14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7,275,681.50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95.96%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303,137.36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232,909.50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8,543,209.50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7,581,986.73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309" w:type="dxa"/>
        <w:tblLayout w:type="fixed"/>
        <w:tblCellMar>
          <w:top w:w="0" w:type="dxa"/>
          <w:left w:w="0" w:type="dxa"/>
          <w:bottom w:w="0" w:type="dxa"/>
          <w:right w:w="0" w:type="dxa"/>
        </w:tblCellMar>
        <w:tblLook w:val="01E0"/>
      </w:tblPr>
      <w:tblGrid>
        <w:gridCol w:w="3505"/>
        <w:gridCol w:w="2127"/>
        <w:gridCol w:w="3687"/>
      </w:tblGrid>
      <w:tr>
        <w:trPr>
          <w:trHeight w:val="34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871,086.05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10.20</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668,740.50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7.83</w:t>
            </w:r>
          </w:p>
        </w:tc>
      </w:tr>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603,243.88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7.06</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415,469.15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4.86</w:t>
            </w:r>
          </w:p>
        </w:tc>
      </w:tr>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322,677.62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3.78</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2,881,217.20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33.73</w:t>
            </w:r>
          </w:p>
        </w:tc>
      </w:tr>
    </w:tbl>
    <w:p>
      <w:pPr>
        <w:spacing w:line="240" w:lineRule="auto" w:before="2"/>
        <w:rPr>
          <w:rFonts w:ascii="宋体" w:hAnsi="宋体" w:cs="宋体" w:eastAsia="宋体" w:hint="default"/>
          <w:b/>
          <w:bCs/>
          <w:sz w:val="24"/>
          <w:szCs w:val="24"/>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1,146.87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6,598,881.17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10,575,810.99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6,598,881.17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10,576,957.86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理财产品持有期间收益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1,146.87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1,146.87</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315,374.90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2,731,004.85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2,534,597.91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37,338.76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1,394,462.42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982,355.65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即征即退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3,465,181.39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1,570,763.46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644,200.72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7,129,484.74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11,979,049.33</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1,403,238.34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1,403,238.34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-869,470.66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-869,470.66</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-3,164.11</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530,603.57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530,603.57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7"/>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3,478,650.70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2,814,501.76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664,148.94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2,521,998.91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497,613.07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631,222.06</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0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438,509.78</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9,676.00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0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183,036.28</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7,129,484.74</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1,403,238.34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-872,634.77</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530,603.57</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1,403,238.34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-872,634.77</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530,603.57</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699"/>
        <w:gridCol w:w="1133"/>
        <w:gridCol w:w="1594"/>
        <w:gridCol w:w="1597"/>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深圳市众成健康科技有限公司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员工个人社会保险费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905,643.69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北京联瑞联丰知识产权代理事 务所（普通合伙）广州分所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23,584.91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699"/>
        <w:gridCol w:w="1133"/>
        <w:gridCol w:w="1594"/>
        <w:gridCol w:w="1597"/>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员工个人住房公积金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418,636.25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中国科技开发院有限公司中科 大厦管理中心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414,657.00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3,210,635.04</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223,584.91</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34,363,228.54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34,157,425.81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26,098,507.56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414,106.28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25,684,401.28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11,137,544.79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11,137,544.79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4,582,124.69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4,582,124.69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35,533,436.40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1,474,500.75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34,058,935.65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44,412,328.67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2,276,384.59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42,135,944.08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6,265,449.88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6,265,449.88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7,061,415.03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7,061,415.03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7,600,126.57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7,600,126.57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7,902,499.33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7,902,499.33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94,899,786.18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1,680,303.48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93,219,482.70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90,056,875.28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2,690,490.87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87,366,384.41</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80"/>
        <w:gridCol w:w="1357"/>
        <w:gridCol w:w="1367"/>
        <w:gridCol w:w="1367"/>
        <w:gridCol w:w="1355"/>
        <w:gridCol w:w="137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4" w:type="dxa"/>
            <w:gridSpan w:val="2"/>
            <w:vMerge/>
            <w:tcBorders>
              <w:left w:val="single" w:sz="4" w:space="0" w:color="000000"/>
              <w:bottom w:val="single" w:sz="4" w:space="0" w:color="000000"/>
              <w:right w:val="single" w:sz="4" w:space="0" w:color="000000"/>
            </w:tcBorders>
            <w:shd w:val="clear" w:color="auto" w:fill="D2D2D2"/>
          </w:tcPr>
          <w:p>
            <w:pP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14" w:right="0"/>
              <w:jc w:val="left"/>
              <w:rPr>
                <w:rFonts w:ascii="Times New Roman" w:hAnsi="Times New Roman" w:cs="Times New Roman" w:eastAsia="Times New Roman" w:hint="default"/>
                <w:sz w:val="18"/>
                <w:szCs w:val="18"/>
              </w:rPr>
            </w:pPr>
            <w:r>
              <w:rPr>
                <w:rFonts w:ascii="Times New Roman"/>
                <w:sz w:val="18"/>
              </w:rPr>
              <w:t>414,106.28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2" w:right="0"/>
              <w:jc w:val="left"/>
              <w:rPr>
                <w:rFonts w:ascii="Times New Roman" w:hAnsi="Times New Roman" w:cs="Times New Roman" w:eastAsia="Times New Roman" w:hint="default"/>
                <w:sz w:val="18"/>
                <w:szCs w:val="18"/>
              </w:rPr>
            </w:pPr>
            <w:r>
              <w:rPr>
                <w:rFonts w:ascii="Times New Roman"/>
                <w:sz w:val="18"/>
              </w:rPr>
              <w:t>20,650.17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2" w:right="0"/>
              <w:jc w:val="left"/>
              <w:rPr>
                <w:rFonts w:ascii="Times New Roman" w:hAnsi="Times New Roman" w:cs="Times New Roman" w:eastAsia="Times New Roman" w:hint="default"/>
                <w:sz w:val="18"/>
                <w:szCs w:val="18"/>
              </w:rPr>
            </w:pPr>
            <w:r>
              <w:rPr>
                <w:rFonts w:ascii="Times New Roman"/>
                <w:sz w:val="18"/>
              </w:rPr>
              <w:t>228,953.72</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205,802.73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2,276,384.59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170,127.22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972,011.06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1,474,500.75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2,690,490.87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190,777.39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1,200,964.78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1,680,303.48</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38" w:lineRule="auto" w:before="117"/>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7"/>
        <w:gridCol w:w="1367"/>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3829"/>
        <w:gridCol w:w="3816"/>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9,342,053.34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12,668,208.56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9,342,053.34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12,668,208.56</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4"/>
        <w:gridCol w:w="1035"/>
        <w:gridCol w:w="1032"/>
        <w:gridCol w:w="1035"/>
        <w:gridCol w:w="1037"/>
      </w:tblGrid>
      <w:tr>
        <w:trPr>
          <w:trHeight w:val="674"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本期公允价</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累计公允价</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left"/>
              <w:rPr>
                <w:rFonts w:ascii="宋体" w:hAnsi="宋体" w:cs="宋体" w:eastAsia="宋体" w:hint="default"/>
                <w:sz w:val="18"/>
                <w:szCs w:val="18"/>
              </w:rPr>
            </w:pPr>
            <w:r>
              <w:rPr>
                <w:rFonts w:ascii="宋体" w:hAnsi="宋体" w:cs="宋体" w:eastAsia="宋体" w:hint="default"/>
                <w:sz w:val="18"/>
                <w:szCs w:val="18"/>
              </w:rPr>
              <w:t>累计在其他 综合收益中</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4"/>
        <w:gridCol w:w="1035"/>
        <w:gridCol w:w="1032"/>
        <w:gridCol w:w="1035"/>
        <w:gridCol w:w="1037"/>
      </w:tblGrid>
      <w:tr>
        <w:trPr>
          <w:trHeight w:val="67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33" w:right="58" w:hanging="269"/>
              <w:jc w:val="left"/>
              <w:rPr>
                <w:rFonts w:ascii="宋体" w:hAnsi="宋体" w:cs="宋体" w:eastAsia="宋体" w:hint="default"/>
                <w:sz w:val="18"/>
                <w:szCs w:val="18"/>
              </w:rPr>
            </w:pPr>
            <w:r>
              <w:rPr>
                <w:rFonts w:ascii="宋体" w:hAnsi="宋体" w:cs="宋体" w:eastAsia="宋体" w:hint="default"/>
                <w:sz w:val="18"/>
                <w:szCs w:val="18"/>
              </w:rPr>
              <w:t>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8"/>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声源科技</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7,114,470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7,114,470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7,114,470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spacing w:val="2"/>
        </w:rPr>
        <w:t>报告期内，公司通过中山市乐恒电子有限公司现金出资</w:t>
      </w:r>
      <w:r>
        <w:rPr>
          <w:rFonts w:ascii="宋体" w:hAnsi="宋体" w:cs="宋体" w:eastAsia="宋体" w:hint="default"/>
          <w:spacing w:val="2"/>
        </w:rPr>
        <w:t>800.00</w:t>
      </w:r>
      <w:r>
        <w:rPr>
          <w:spacing w:val="2"/>
        </w:rPr>
        <w:t>万元持有声源科技（深圳）有限公司</w:t>
      </w:r>
      <w:r>
        <w:rPr>
          <w:w w:val="100"/>
        </w:rPr>
        <w:t> </w:t>
      </w:r>
      <w:r>
        <w:rPr>
          <w:rFonts w:ascii="宋体" w:hAnsi="宋体" w:cs="宋体" w:eastAsia="宋体" w:hint="default"/>
        </w:rPr>
        <w:t>41.60%</w:t>
      </w:r>
      <w:r>
        <w:rPr/>
        <w:t>股份。款项已于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8</w:t>
      </w:r>
      <w:r>
        <w:rPr/>
        <w:t>日支付完成。</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贵州强盛信安企业管理咨询服务中心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上海新跳信息科技有限公司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Heuristic CapitalPartnersI,</w:t>
            </w:r>
            <w:r>
              <w:rPr>
                <w:rFonts w:ascii="Times New Roman"/>
                <w:spacing w:val="-4"/>
                <w:sz w:val="18"/>
              </w:rPr>
              <w:t> </w:t>
            </w:r>
            <w:r>
              <w:rPr>
                <w:rFonts w:ascii="Times New Roman"/>
                <w:spacing w:val="-3"/>
                <w:sz w:val="18"/>
              </w:rPr>
              <w:t>LP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6,284,865.56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4,787,258.40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AmbiqMicro</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43,038,412.88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42,341,279.67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乐时光信息科技（深圳）有限责任公司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北京瑰柏科技有限公司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93,123,278.44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62,128,538.07</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994"/>
        <w:gridCol w:w="1274"/>
        <w:gridCol w:w="708"/>
        <w:gridCol w:w="1277"/>
        <w:gridCol w:w="1985"/>
        <w:gridCol w:w="1066"/>
      </w:tblGrid>
      <w:tr>
        <w:trPr>
          <w:trHeight w:val="1025"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11" w:right="41" w:hanging="272"/>
              <w:jc w:val="left"/>
              <w:rPr>
                <w:rFonts w:ascii="宋体" w:hAnsi="宋体" w:cs="宋体" w:eastAsia="宋体" w:hint="default"/>
                <w:sz w:val="18"/>
                <w:szCs w:val="18"/>
              </w:rPr>
            </w:pPr>
            <w:r>
              <w:rPr>
                <w:rFonts w:ascii="宋体" w:hAnsi="宋体" w:cs="宋体" w:eastAsia="宋体" w:hint="default"/>
                <w:sz w:val="18"/>
                <w:szCs w:val="18"/>
              </w:rPr>
              <w:t>确认的股利 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累计损 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89"/>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7"/>
              <w:jc w:val="center"/>
              <w:rPr>
                <w:rFonts w:ascii="宋体" w:hAnsi="宋体" w:cs="宋体" w:eastAsia="宋体" w:hint="default"/>
                <w:sz w:val="18"/>
                <w:szCs w:val="18"/>
              </w:rPr>
            </w:pPr>
            <w:r>
              <w:rPr>
                <w:rFonts w:ascii="宋体" w:hAnsi="宋体" w:cs="宋体" w:eastAsia="宋体" w:hint="default"/>
                <w:sz w:val="18"/>
                <w:szCs w:val="18"/>
              </w:rPr>
              <w:t>指定为以公允价值计量 且其变动计入其他综合 收益的原因</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4"/>
              <w:jc w:val="both"/>
              <w:rPr>
                <w:rFonts w:ascii="宋体" w:hAnsi="宋体" w:cs="宋体" w:eastAsia="宋体" w:hint="default"/>
                <w:sz w:val="18"/>
                <w:szCs w:val="18"/>
              </w:rPr>
            </w:pPr>
            <w:r>
              <w:rPr>
                <w:rFonts w:ascii="宋体" w:hAnsi="宋体" w:cs="宋体" w:eastAsia="宋体" w:hint="default"/>
                <w:sz w:val="18"/>
                <w:szCs w:val="18"/>
              </w:rPr>
              <w:t>其他综合收 益转入留存 收益的原因</w:t>
            </w:r>
          </w:p>
        </w:tc>
      </w:tr>
    </w:tbl>
    <w:p>
      <w:pPr>
        <w:spacing w:after="0" w:line="316" w:lineRule="auto"/>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994"/>
        <w:gridCol w:w="1274"/>
        <w:gridCol w:w="708"/>
        <w:gridCol w:w="1277"/>
        <w:gridCol w:w="1985"/>
        <w:gridCol w:w="106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贵州强盛信安企业管理咨询 服务中心（有限合伙）</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上海新跳信息科技有限公司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Heuristic CapitalPartnersI</w:t>
            </w:r>
            <w:r>
              <w:rPr>
                <w:rFonts w:ascii="Times New Roman"/>
                <w:spacing w:val="-4"/>
                <w:sz w:val="18"/>
              </w:rPr>
              <w:t> </w:t>
            </w:r>
            <w:r>
              <w:rPr>
                <w:rFonts w:ascii="Times New Roman"/>
                <w:spacing w:val="-3"/>
                <w:sz w:val="18"/>
              </w:rPr>
              <w:t>LP</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1,032,300.95</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AmbiqMicro</w:t>
            </w:r>
            <w:r>
              <w:rPr>
                <w:rFonts w:ascii="Times New Roman"/>
                <w:spacing w:val="-1"/>
                <w:sz w:val="18"/>
              </w:rPr>
              <w:t> </w:t>
            </w:r>
            <w:r>
              <w:rPr>
                <w:rFonts w:ascii="Times New Roman"/>
                <w:sz w:val="18"/>
              </w:rPr>
              <w:t>Inc</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8,025,279.68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乐时光信息科技（深圳）有 限责任公司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北京瑰柏科技有限公司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业务模式以收取合同现 金流和出售金融资产</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98" w:lineRule="auto" w:before="0"/>
        <w:ind w:right="996" w:firstLine="42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日，公司与李强签订《贵州强盛信安企业管理咨询服务中心（有限合伙）增资协议》</w:t>
      </w:r>
      <w:r>
        <w:rPr>
          <w:w w:val="100"/>
        </w:rPr>
        <w:t> </w:t>
      </w:r>
      <w:r>
        <w:rPr/>
        <w:t>出资</w:t>
      </w:r>
      <w:r>
        <w:rPr>
          <w:rFonts w:ascii="Times New Roman" w:hAnsi="Times New Roman" w:cs="Times New Roman" w:eastAsia="Times New Roman" w:hint="default"/>
        </w:rPr>
        <w:t>680</w:t>
      </w:r>
      <w:r>
        <w:rPr/>
        <w:t>万元持有贵州强盛信安企业管理咨询服务中心（有限合伙）</w:t>
      </w:r>
      <w:r>
        <w:rPr>
          <w:rFonts w:ascii="Times New Roman" w:hAnsi="Times New Roman" w:cs="Times New Roman" w:eastAsia="Times New Roman" w:hint="default"/>
        </w:rPr>
        <w:t>30%</w:t>
      </w:r>
      <w:r>
        <w:rPr/>
        <w:t>财产份额，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月公司完成出</w:t>
      </w:r>
      <w:r>
        <w:rPr>
          <w:spacing w:val="-101"/>
        </w:rPr>
        <w:t> </w:t>
      </w:r>
      <w:r>
        <w:rPr>
          <w:spacing w:val="-101"/>
        </w:rPr>
      </w:r>
      <w:r>
        <w:rPr/>
        <w:t>资 。因公司对贵州强盛信安企业管理咨询服务中心（有限合伙）不具有控制、重大影响或共同控制，管</w:t>
      </w:r>
      <w:r>
        <w:rPr>
          <w:spacing w:val="-30"/>
        </w:rPr>
        <w:t> </w:t>
      </w:r>
      <w:r>
        <w:rPr>
          <w:spacing w:val="-30"/>
        </w:rPr>
      </w:r>
      <w:r>
        <w:rPr>
          <w:spacing w:val="-2"/>
        </w:rPr>
        <w:t>理层持有上述股权的业务模式以收取合同现金流和出售金融资产为目的，将其指定为以公允价值计量且其</w:t>
      </w:r>
      <w:r>
        <w:rPr>
          <w:spacing w:val="-43"/>
        </w:rPr>
        <w:t> </w:t>
      </w:r>
      <w:r>
        <w:rPr>
          <w:spacing w:val="-43"/>
        </w:rPr>
      </w:r>
      <w:r>
        <w:rPr/>
        <w:t>变动计入其他综合收益其他权益工具投资。</w:t>
      </w:r>
    </w:p>
    <w:p>
      <w:pPr>
        <w:pStyle w:val="BodyText"/>
        <w:spacing w:line="240" w:lineRule="auto" w:before="54"/>
        <w:ind w:left="573" w:right="99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月公司与新果（上海）信息科技有限公司、王运杰、朱侃、上海心响信息科技合伙企业</w:t>
      </w:r>
    </w:p>
    <w:p>
      <w:pPr>
        <w:pStyle w:val="BodyText"/>
        <w:spacing w:line="393" w:lineRule="auto" w:before="177"/>
        <w:ind w:right="1126"/>
        <w:jc w:val="both"/>
      </w:pPr>
      <w:r>
        <w:rPr>
          <w:spacing w:val="-4"/>
        </w:rPr>
        <w:t>（有限合伙）签订《增资协议》出资</w:t>
      </w:r>
      <w:r>
        <w:rPr>
          <w:rFonts w:ascii="Times New Roman" w:hAnsi="Times New Roman" w:cs="Times New Roman" w:eastAsia="Times New Roman" w:hint="default"/>
          <w:spacing w:val="-4"/>
        </w:rPr>
        <w:t>600</w:t>
      </w:r>
      <w:r>
        <w:rPr>
          <w:spacing w:val="-4"/>
        </w:rPr>
        <w:t>万元持有上海新跳信息科技有限公司</w:t>
      </w:r>
      <w:r>
        <w:rPr>
          <w:rFonts w:ascii="Times New Roman" w:hAnsi="Times New Roman" w:cs="Times New Roman" w:eastAsia="Times New Roman" w:hint="default"/>
          <w:spacing w:val="-4"/>
        </w:rPr>
        <w:t>10%</w:t>
      </w:r>
      <w:r>
        <w:rPr>
          <w:spacing w:val="-4"/>
        </w:rPr>
        <w:t>股权，截至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4"/>
        </w:rPr>
        <w:t> </w:t>
      </w:r>
      <w:r>
        <w:rPr/>
        <w:t>日止，公司已出资</w:t>
      </w:r>
      <w:r>
        <w:rPr>
          <w:rFonts w:ascii="Times New Roman" w:hAnsi="Times New Roman" w:cs="Times New Roman" w:eastAsia="Times New Roman" w:hint="default"/>
        </w:rPr>
        <w:t>600</w:t>
      </w:r>
      <w:r>
        <w:rPr/>
        <w:t>万元。因公司对上海新跳信息科技有限公司不具有控制、重大影响或共同控制，管</w:t>
      </w:r>
      <w:r>
        <w:rPr>
          <w:spacing w:val="-27"/>
        </w:rPr>
        <w:t> </w:t>
      </w:r>
      <w:r>
        <w:rPr>
          <w:spacing w:val="-27"/>
        </w:rPr>
      </w:r>
      <w:r>
        <w:rPr>
          <w:spacing w:val="-2"/>
        </w:rPr>
        <w:t>理层持有上述股权的业务模式以收取合同现金流和出售金融资产为目的，将其指定为以公允价值计量且其</w:t>
      </w:r>
      <w:r>
        <w:rPr>
          <w:spacing w:val="-43"/>
        </w:rPr>
        <w:t> </w:t>
      </w:r>
      <w:r>
        <w:rPr>
          <w:spacing w:val="-43"/>
        </w:rPr>
      </w:r>
      <w:r>
        <w:rPr/>
        <w:t>变动计入其他综合收益其他权益工具投资。</w:t>
      </w:r>
    </w:p>
    <w:p>
      <w:pPr>
        <w:pStyle w:val="BodyText"/>
        <w:spacing w:line="391" w:lineRule="auto" w:before="58"/>
        <w:ind w:right="996" w:firstLine="420"/>
        <w:jc w:val="left"/>
      </w:pPr>
      <w:r>
        <w:rPr>
          <w:spacing w:val="-7"/>
        </w:rPr>
        <w:t>（</w:t>
      </w: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7</w:t>
      </w:r>
      <w:r>
        <w:rPr>
          <w:spacing w:val="-7"/>
        </w:rPr>
        <w:t>月，公司通过全资子公司中山市乐恒电子有限公司与乐蚁雄兵科技（深圳）合伙企业（有</w:t>
      </w:r>
      <w:r>
        <w:rPr>
          <w:w w:val="100"/>
        </w:rPr>
        <w:t> </w:t>
      </w:r>
      <w:r>
        <w:rPr>
          <w:spacing w:val="-11"/>
          <w:w w:val="100"/>
        </w:rPr>
        <w:t>限合伙）、沈杰签订《增资扩股协议》出资</w:t>
      </w:r>
      <w:r>
        <w:rPr>
          <w:rFonts w:ascii="Times New Roman" w:hAnsi="Times New Roman" w:cs="Times New Roman" w:eastAsia="Times New Roman" w:hint="default"/>
          <w:spacing w:val="-11"/>
          <w:w w:val="100"/>
        </w:rPr>
        <w:t>1,600</w:t>
      </w:r>
      <w:r>
        <w:rPr>
          <w:spacing w:val="-11"/>
          <w:w w:val="100"/>
        </w:rPr>
        <w:t>万元持有乐时光信息科技（深圳）有限责任公司</w:t>
      </w:r>
      <w:r>
        <w:rPr>
          <w:rFonts w:ascii="Times New Roman" w:hAnsi="Times New Roman" w:cs="Times New Roman" w:eastAsia="Times New Roman" w:hint="default"/>
          <w:spacing w:val="-11"/>
          <w:w w:val="100"/>
        </w:rPr>
        <w:t>18%</w:t>
      </w:r>
      <w:r>
        <w:rPr>
          <w:spacing w:val="-11"/>
          <w:w w:val="100"/>
        </w:rPr>
        <w:t>股权</w:t>
      </w:r>
      <w:r>
        <w:rPr>
          <w:rFonts w:ascii="Times New Roman" w:hAnsi="Times New Roman" w:cs="Times New Roman" w:eastAsia="Times New Roman" w:hint="default"/>
          <w:spacing w:val="-11"/>
          <w:w w:val="100"/>
        </w:rPr>
        <w:t>.2019</w:t>
      </w:r>
      <w:r>
        <w:rPr>
          <w:rFonts w:ascii="Times New Roman" w:hAnsi="Times New Roman" w:cs="Times New Roman" w:eastAsia="Times New Roman" w:hint="default"/>
          <w:spacing w:val="-30"/>
          <w:w w:val="100"/>
        </w:rPr>
        <w:t> </w:t>
      </w:r>
      <w:r>
        <w:rPr>
          <w:rFonts w:ascii="Times New Roman" w:hAnsi="Times New Roman" w:cs="Times New Roman" w:eastAsia="Times New Roman" w:hint="default"/>
          <w:spacing w:val="-30"/>
          <w:w w:val="100"/>
        </w:rPr>
      </w:r>
      <w:r>
        <w:rPr/>
        <w:t>年</w:t>
      </w:r>
      <w:r>
        <w:rPr>
          <w:rFonts w:ascii="Times New Roman" w:hAnsi="Times New Roman" w:cs="Times New Roman" w:eastAsia="Times New Roman" w:hint="default"/>
        </w:rPr>
        <w:t>7</w:t>
      </w:r>
      <w:r>
        <w:rPr/>
        <w:t>月公司完成出资 </w:t>
      </w:r>
      <w:r>
        <w:rPr>
          <w:spacing w:val="-5"/>
        </w:rPr>
        <w:t>。因公司对乐时光信息科技（深圳）有限责任公司不具有控制、重大影响或共同控制，</w:t>
      </w:r>
      <w:r>
        <w:rPr>
          <w:spacing w:val="-50"/>
        </w:rPr>
        <w:t> </w:t>
      </w:r>
      <w:r>
        <w:rPr>
          <w:spacing w:val="-50"/>
        </w:rPr>
      </w:r>
      <w:r>
        <w:rPr>
          <w:spacing w:val="-2"/>
        </w:rPr>
        <w:t>管理层持有上述股权的业务模式以收取合同现金流和出售金融资产为目的，将其指定为以公允价值计量且</w:t>
      </w:r>
      <w:r>
        <w:rPr>
          <w:spacing w:val="-43"/>
        </w:rPr>
        <w:t> </w:t>
      </w:r>
      <w:r>
        <w:rPr>
          <w:spacing w:val="-43"/>
        </w:rPr>
      </w:r>
      <w:r>
        <w:rPr/>
        <w:t>其变动计入其他综合收益其他权益工具投资。</w:t>
      </w:r>
    </w:p>
    <w:p>
      <w:pPr>
        <w:spacing w:line="240" w:lineRule="auto" w:before="10"/>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139,952,812.05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142,243,575.37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139,952,812.05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142,243,575.37</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326"/>
        <w:gridCol w:w="1369"/>
        <w:gridCol w:w="1366"/>
        <w:gridCol w:w="1368"/>
        <w:gridCol w:w="1369"/>
        <w:gridCol w:w="1366"/>
      </w:tblGrid>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98,073,567.07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55,803,626.17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11,626,023.37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4,951,266.22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4,574,290.53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175,028,773.36</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5,811,237.44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2,105,449.31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1,161,491.20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2,680.66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9,080,858.61</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5,811,237.44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2,105,449.31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1,161,491.20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9,078,177.95</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外币折算增加</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2,680.66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2,680.66</w:t>
            </w: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1,045,820.35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44,682.87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1,090,503.22</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tc>
        <w:tc>
          <w:tcPr>
            <w:tcW w:w="1326"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1,045,820.35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1,090,503.22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315"/>
        <w:gridCol w:w="1369"/>
        <w:gridCol w:w="1366"/>
        <w:gridCol w:w="1368"/>
        <w:gridCol w:w="1369"/>
        <w:gridCol w:w="1366"/>
      </w:tblGrid>
      <w:tr>
        <w:trPr>
          <w:trHeight w:val="3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98,073,567.07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61,614,863.61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12,685,652.33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6,068,074.55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4,576,971.19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183,019,128.75</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6,525,416.72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12,070,660.35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8,583,277.47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3,341,242.14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2,264,601.31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32,785,197.99</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2,485,120.26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5,265,990.45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1,579,164.36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693,449.68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907,270.37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10,930,995.12</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2,485,120.26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5,265,990.45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1,579,164.36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693,449.68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905,353.76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10,929,078.51</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）外币折算增 加</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1,916.61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1,916.61</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621,170.84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28,705.57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649,876.41</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621,170.84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28,705.57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649,876.41</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9,010,536.98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17,336,650.80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9,541,270.99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4,005,986.25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3,171,871.68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43,066,316.70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89,063,030.09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44,278,212.81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3,144,381.34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2,062,088.30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1,405,099.51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139,952,812.05</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91,548,150.35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43,732,965.82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3,042,745.90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1,610,024.08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2,309,689.22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142,243,575.37</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民众立体仓库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8,724,656.10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23,962,815.59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23,962,815.59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28"/>
        <w:gridCol w:w="1366"/>
        <w:gridCol w:w="1368"/>
        <w:gridCol w:w="1366"/>
        <w:gridCol w:w="1368"/>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894,152.51</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798,996.84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798,996.84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易恩科技自动化设备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28"/>
        <w:gridCol w:w="1366"/>
        <w:gridCol w:w="1368"/>
        <w:gridCol w:w="1366"/>
        <w:gridCol w:w="1368"/>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设备及其他长期资产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9,723,408.30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9,723,408.30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5,230,646.98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5,230,646.98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乐心产业园三期工程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12,775,254.78</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12,775,254.78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23,962,815.59</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23,962,815.59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7,491,643.82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7,491,643.82</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乐心产 业园三 期工程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124,000,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12,775,2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12,775,2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10.30%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124,000,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12,775,2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12,775,2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54.78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33,812,822.99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14,153,173.44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6,060,324.77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54,026,321.20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2,081,281.88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940,555.75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3,021,837.63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2,081,281.88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858,135.99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2,939,417.87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）外币折算增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82,419.76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82,419.76</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33,812,822.99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16,234,455.32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7,000,880.52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57,048,158.83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4,680,073.44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3,892,597.02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202,010.84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8,774,681.30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780,180.06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1,692,434.11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648,415.51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3,121,029.68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780,180.06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1,692,434.11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638,156.49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3,110,770.66</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）外币折算增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10,259.02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5,460,253.50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5,585,031.13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850,426.35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11,895,710.98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28,352,569.49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10,649,424.19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6,150,454.17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45,152,447.85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29,132,749.55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10,260,576.42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5,858,313.93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45,251,639.90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3"/>
        <w:gridCol w:w="1064"/>
        <w:gridCol w:w="1061"/>
        <w:gridCol w:w="1064"/>
        <w:gridCol w:w="1063"/>
      </w:tblGrid>
      <w:tr>
        <w:trPr>
          <w:trHeight w:val="40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8" w:right="75"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远程可穿戴 多导联心电 监测设备的</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86" w:right="0"/>
              <w:jc w:val="left"/>
              <w:rPr>
                <w:rFonts w:ascii="Times New Roman" w:hAnsi="Times New Roman" w:cs="Times New Roman" w:eastAsia="Times New Roman" w:hint="default"/>
                <w:sz w:val="18"/>
                <w:szCs w:val="18"/>
              </w:rPr>
            </w:pPr>
            <w:r>
              <w:rPr>
                <w:rFonts w:ascii="Times New Roman"/>
                <w:sz w:val="18"/>
              </w:rPr>
              <w:t>2,226,970.18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86" w:right="0"/>
              <w:jc w:val="left"/>
              <w:rPr>
                <w:rFonts w:ascii="Times New Roman" w:hAnsi="Times New Roman" w:cs="Times New Roman" w:eastAsia="Times New Roman" w:hint="default"/>
                <w:sz w:val="18"/>
                <w:szCs w:val="18"/>
              </w:rPr>
            </w:pPr>
            <w:r>
              <w:rPr>
                <w:rFonts w:ascii="Times New Roman"/>
                <w:sz w:val="18"/>
              </w:rPr>
              <w:t>2,226,970.18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05"/>
              <w:jc w:val="center"/>
              <w:rPr>
                <w:rFonts w:ascii="宋体" w:hAnsi="宋体" w:cs="宋体" w:eastAsia="宋体" w:hint="default"/>
                <w:sz w:val="18"/>
                <w:szCs w:val="18"/>
              </w:rPr>
            </w:pPr>
            <w:r>
              <w:rPr>
                <w:rFonts w:ascii="宋体" w:hAnsi="宋体" w:cs="宋体" w:eastAsia="宋体" w:hint="default"/>
                <w:sz w:val="18"/>
                <w:szCs w:val="18"/>
              </w:rPr>
              <w:t>研发及应用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2,226,970.18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2,226,970.18</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right="996" w:firstLine="420"/>
        <w:jc w:val="left"/>
      </w:pPr>
      <w:r>
        <w:rPr/>
        <w:t>本公司完成该无形资产以使其能够使用或出售在技术上已具有可行性；并具有完成该无形资产并使用</w:t>
      </w:r>
      <w:r>
        <w:rPr>
          <w:w w:val="100"/>
        </w:rPr>
        <w:t> </w:t>
      </w:r>
      <w:r>
        <w:rPr>
          <w:spacing w:val="-5"/>
        </w:rPr>
        <w:t>或出售的意图；能够运用该无形资产生产的产品存在市场或无形资产自身存在市场；后续具有足够的技术、 </w:t>
      </w:r>
      <w:r>
        <w:rPr>
          <w:spacing w:val="-5"/>
        </w:rPr>
      </w:r>
      <w:r>
        <w:rPr>
          <w:spacing w:val="-2"/>
        </w:rPr>
        <w:t>财务资源和其他资源支持，以完成该无形资产的开发，并有能力使用或出售该无形资产；归属于该无形资</w:t>
      </w:r>
      <w:r>
        <w:rPr>
          <w:spacing w:val="-43"/>
        </w:rPr>
        <w:t> </w:t>
      </w:r>
      <w:r>
        <w:rPr>
          <w:spacing w:val="-43"/>
        </w:rPr>
      </w:r>
      <w:r>
        <w:rPr/>
        <w:t>产开发阶段的支出能够可靠地计量。资本化开始时点</w:t>
      </w:r>
      <w:r>
        <w:rPr>
          <w:rFonts w:ascii="宋体" w:hAnsi="宋体" w:cs="宋体" w:eastAsia="宋体" w:hint="default"/>
        </w:rPr>
        <w:t>2019</w:t>
      </w:r>
      <w:r>
        <w:rPr/>
        <w:t>年</w:t>
      </w:r>
      <w:r>
        <w:rPr>
          <w:rFonts w:ascii="宋体" w:hAnsi="宋体" w:cs="宋体" w:eastAsia="宋体" w:hint="default"/>
        </w:rPr>
        <w:t>7</w:t>
      </w:r>
      <w:r>
        <w:rPr/>
        <w:t>月；期末研发进度：处于开发阶段。</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深圳市瑞康宏业 科技开发有限公 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20,681,165.45</w:t>
            </w: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20,681,165.45</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20,681,165.45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20,681,165.45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深圳市瑞康宏业 科技开发有限公 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2,052,569.98</w:t>
            </w: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2,052,569.98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2,052,569.98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2,052,569.98</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spacing w:val="-2"/>
        </w:rPr>
        <w:t>公司将深圳市瑞康宏业科技开发有限公司（以下简称“深圳瑞康”）作为资产组及资产组组合，把收</w:t>
      </w:r>
      <w:r>
        <w:rPr>
          <w:w w:val="100"/>
        </w:rPr>
        <w:t> </w:t>
      </w:r>
      <w:r>
        <w:rPr/>
        <w:t>购所形成的商誉分别分摊到相关资产组及资产组组合进行减值测试。</w:t>
      </w:r>
    </w:p>
    <w:p>
      <w:pPr>
        <w:spacing w:line="316" w:lineRule="auto" w:before="31"/>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40" w:lineRule="auto" w:before="115"/>
        <w:ind w:left="573" w:right="996"/>
        <w:jc w:val="left"/>
      </w:pPr>
      <w:r>
        <w:rPr/>
        <w:t>本公司管理层基于历史实际经营数据、医疗仪器设备制造业发展趋势，国际国内的经济形势等制定预</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996"/>
        <w:jc w:val="left"/>
      </w:pPr>
      <w:r>
        <w:rPr/>
        <w:t>算和未来业绩目标。根据过往表现确定预期收入增长率、预算毛利率和费用率，编制未来</w:t>
      </w:r>
      <w:r>
        <w:rPr>
          <w:rFonts w:ascii="宋体" w:hAnsi="宋体" w:cs="宋体" w:eastAsia="宋体" w:hint="default"/>
        </w:rPr>
        <w:t>5</w:t>
      </w:r>
      <w:r>
        <w:rPr/>
        <w:t>年的净利润及</w:t>
      </w:r>
      <w:r>
        <w:rPr>
          <w:spacing w:val="-20"/>
        </w:rPr>
        <w:t> </w:t>
      </w:r>
      <w:r>
        <w:rPr>
          <w:spacing w:val="-20"/>
        </w:rPr>
      </w:r>
      <w:r>
        <w:rPr>
          <w:spacing w:val="-2"/>
        </w:rPr>
        <w:t>现金流量预测，并假设</w:t>
      </w:r>
      <w:r>
        <w:rPr>
          <w:rFonts w:ascii="宋体" w:hAnsi="宋体" w:cs="宋体" w:eastAsia="宋体" w:hint="default"/>
          <w:spacing w:val="-2"/>
        </w:rPr>
        <w:t>5</w:t>
      </w:r>
      <w:r>
        <w:rPr>
          <w:spacing w:val="-2"/>
        </w:rPr>
        <w:t>年之后现金流量维持不变（其后年度采用的现金流量增长率预计为</w:t>
      </w:r>
      <w:r>
        <w:rPr>
          <w:rFonts w:ascii="宋体" w:hAnsi="宋体" w:cs="宋体" w:eastAsia="宋体" w:hint="default"/>
          <w:spacing w:val="-2"/>
        </w:rPr>
        <w:t>0%</w:t>
      </w:r>
      <w:r>
        <w:rPr>
          <w:spacing w:val="-2"/>
        </w:rPr>
        <w:t>，上期</w:t>
      </w:r>
      <w:r>
        <w:rPr>
          <w:rFonts w:ascii="宋体" w:hAnsi="宋体" w:cs="宋体" w:eastAsia="宋体" w:hint="default"/>
          <w:spacing w:val="-2"/>
        </w:rPr>
        <w:t>0%</w:t>
      </w:r>
      <w:r>
        <w:rPr>
          <w:spacing w:val="-2"/>
        </w:rPr>
        <w:t>），</w:t>
      </w:r>
      <w:r>
        <w:rPr>
          <w:spacing w:val="-45"/>
        </w:rPr>
        <w:t> </w:t>
      </w:r>
      <w:r>
        <w:rPr>
          <w:spacing w:val="-2"/>
        </w:rPr>
        <w:t>未超过资产组经营业务的长期平均增长率。计算未来现金流现值所采用的税前折现率为</w:t>
      </w:r>
      <w:r>
        <w:rPr>
          <w:rFonts w:ascii="宋体" w:hAnsi="宋体" w:cs="宋体" w:eastAsia="宋体" w:hint="default"/>
          <w:spacing w:val="-2"/>
        </w:rPr>
        <w:t>16.02%</w:t>
      </w:r>
      <w:r>
        <w:rPr>
          <w:spacing w:val="-2"/>
        </w:rPr>
        <w:t>，已反映了</w:t>
      </w:r>
      <w:r>
        <w:rPr>
          <w:spacing w:val="-37"/>
        </w:rPr>
        <w:t> </w:t>
      </w:r>
      <w:r>
        <w:rPr>
          <w:spacing w:val="-37"/>
        </w:rPr>
      </w:r>
      <w:r>
        <w:rPr/>
        <w:t>相对于有关分部的风险。</w:t>
      </w:r>
    </w:p>
    <w:p>
      <w:pPr>
        <w:pStyle w:val="BodyText"/>
        <w:spacing w:line="408" w:lineRule="auto"/>
        <w:ind w:right="1126" w:firstLine="420"/>
        <w:jc w:val="both"/>
      </w:pPr>
      <w:r>
        <w:rPr>
          <w:spacing w:val="-2"/>
        </w:rPr>
        <w:t>本公司在对包含商誉的瑞康宏业资产组组合进行减值测试时，将资产组组合的账面价值（包括所分摊</w:t>
      </w:r>
      <w:r>
        <w:rPr>
          <w:w w:val="100"/>
        </w:rPr>
        <w:t> </w:t>
      </w:r>
      <w:r>
        <w:rPr>
          <w:spacing w:val="-2"/>
        </w:rPr>
        <w:t>的商誉的账面价值部分）与其可收回金额进行比较，如资产组组合的可收回金额低于其账面价值的，确认</w:t>
      </w:r>
      <w:r>
        <w:rPr>
          <w:spacing w:val="-43"/>
        </w:rPr>
        <w:t> </w:t>
      </w:r>
      <w:r>
        <w:rPr>
          <w:spacing w:val="-43"/>
        </w:rPr>
      </w:r>
      <w:r>
        <w:rPr/>
        <w:t>商誉的价值损失。</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
        <w:rPr>
          <w:rFonts w:ascii="宋体" w:hAnsi="宋体" w:cs="宋体" w:eastAsia="宋体" w:hint="default"/>
          <w:sz w:val="13"/>
          <w:szCs w:val="13"/>
        </w:rPr>
      </w:pPr>
    </w:p>
    <w:p>
      <w:pPr>
        <w:pStyle w:val="BodyText"/>
        <w:spacing w:line="240" w:lineRule="auto" w:before="0"/>
        <w:ind w:left="573" w:right="996"/>
        <w:jc w:val="left"/>
      </w:pPr>
      <w:r>
        <w:rPr>
          <w:spacing w:val="-4"/>
        </w:rPr>
        <w:t>截至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日止，经减值测试，本公司收购瑞康宏业商誉发生减值，减值金额</w:t>
      </w:r>
      <w:r>
        <w:rPr>
          <w:rFonts w:ascii="宋体" w:hAnsi="宋体" w:cs="宋体" w:eastAsia="宋体" w:hint="default"/>
          <w:spacing w:val="-4"/>
        </w:rPr>
        <w:t>2,052,569.98</w:t>
      </w:r>
      <w:r>
        <w:rPr>
          <w:spacing w:val="-4"/>
        </w:rPr>
        <w:t>元。</w:t>
      </w:r>
      <w:r>
        <w:rPr/>
      </w:r>
    </w:p>
    <w:p>
      <w:pPr>
        <w:spacing w:before="178"/>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2,419,740.29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2,939,560.66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1,791,266.88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3,568,034.07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库珀有氧健康项目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8,254,717.01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7,311,320.81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科瓦斯运营权</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660,377.35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132,075.52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528,301.83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10,674,457.30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3,599,938.01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2,866,738.60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11,407,656.71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14,003,674.69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2,564,737.13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14,228,544.79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2,820,154.42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2,154,250.88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524,652.34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11,464,898.13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2,833,076.72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305,385.00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16,157,925.57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3,089,389.47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27,729,342.92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5,958,616.14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9,057,580.63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2,702,782.06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83,336,413.87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2,487,585.90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2,203,177.00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330,476.55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11,260,757.63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3,033,258.61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83,336,413.87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2,487,585.90</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3,089,389.47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5,958,616.14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3,033,258.61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2,487,585.90</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31,392,900.00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33,492,900.00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2,035,900.00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rFonts w:ascii="宋体" w:hAnsi="宋体" w:cs="宋体" w:eastAsia="宋体" w:hint="default"/>
          <w:spacing w:val="-2"/>
        </w:rPr>
        <w:t>2018</w:t>
      </w:r>
      <w:r>
        <w:rPr>
          <w:spacing w:val="-2"/>
        </w:rPr>
        <w:t>年度，公司为规避远期汇率波动可能导致的汇兑损失风险，签订了交割的远期外汇合约标的金额</w:t>
      </w:r>
      <w:r>
        <w:rPr>
          <w:w w:val="100"/>
        </w:rPr>
        <w:t> </w:t>
      </w:r>
      <w:r>
        <w:rPr/>
        <w:t>为</w:t>
      </w:r>
      <w:r>
        <w:rPr>
          <w:rFonts w:ascii="宋体" w:hAnsi="宋体" w:cs="宋体" w:eastAsia="宋体" w:hint="default"/>
        </w:rPr>
        <w:t>4,500,000.00</w:t>
      </w:r>
      <w:r>
        <w:rPr/>
        <w:t>美元。截至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日止，公司已完成交割上述远期外汇合约。</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204,930,282.34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210,516,593.99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204,930,282.34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210,516,593.99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116,542,081.79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55,010,454.54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116,542,081.79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55,010,454.54</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17,642,567.78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22,743,321.35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17,642,567.78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22,743,321.35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15,382,733.17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194,238,353.46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192,412,739.14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17,208,347.49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14,919,476.11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14,933,705.59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408,868.79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408,868.79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15,396,962.65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209,566,698.36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207,755,313.52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17,208,347.49</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15,373,269.00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180,800,463.29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179,133,866.70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17,039,865.59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2,426,851.76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2,258,369.86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168,481.90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6,468.17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3,948,757.57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3,955,225.74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3,119,522.77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3,125,281.06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287,815.03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288,002.85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541,419.77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541,941.83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4,943,613.31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4,946,609.31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2,118,667.53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2,118,667.53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15,382,733.17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194,238,353.46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192,412,739.14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17,208,347.49</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14,289,163.25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14,302,989.93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630,312.86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630,715.66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14,919,476.11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14,933,705.59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1,073,840.63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1,677,471.46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1,509,904.61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2,855,200.77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398,503.12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250,598.00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54,745.10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263,615.44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34,513.51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115,211.10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1,072.50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3,127,581.75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5,280,547.59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418,310.39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16,954.94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17,170,671.45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12,816,495.02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17,605,936.78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12,816,495.02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418,310.39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418,310.39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16,954.94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16,954.94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pStyle w:val="BodyText"/>
        <w:spacing w:line="408" w:lineRule="auto" w:before="157"/>
        <w:ind w:right="1104"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日，公司</w:t>
      </w:r>
      <w:r>
        <w:rPr>
          <w:rFonts w:ascii="宋体" w:hAnsi="宋体" w:cs="宋体" w:eastAsia="宋体" w:hint="default"/>
          <w:spacing w:val="-2"/>
        </w:rPr>
        <w:t>2018</w:t>
      </w:r>
      <w:r>
        <w:rPr>
          <w:spacing w:val="-2"/>
        </w:rPr>
        <w:t>年年年度股东大会审议通过了《关于公司</w:t>
      </w:r>
      <w:r>
        <w:rPr>
          <w:rFonts w:ascii="宋体" w:hAnsi="宋体" w:cs="宋体" w:eastAsia="宋体" w:hint="default"/>
          <w:spacing w:val="-2"/>
        </w:rPr>
        <w:t>2018</w:t>
      </w:r>
      <w:r>
        <w:rPr>
          <w:spacing w:val="-2"/>
        </w:rPr>
        <w:t>年度利润分配预案的议案》，</w:t>
      </w:r>
      <w:r>
        <w:rPr>
          <w:w w:val="100"/>
        </w:rPr>
        <w:t> </w:t>
      </w:r>
      <w:r>
        <w:rPr/>
        <w:t>以公司股本总数</w:t>
      </w:r>
      <w:r>
        <w:rPr>
          <w:rFonts w:ascii="宋体" w:hAnsi="宋体" w:cs="宋体" w:eastAsia="宋体" w:hint="default"/>
        </w:rPr>
        <w:t>189,797,349</w:t>
      </w:r>
      <w:r>
        <w:rPr/>
        <w:t>股为基数，向全体股东每</w:t>
      </w:r>
      <w:r>
        <w:rPr>
          <w:rFonts w:ascii="宋体" w:hAnsi="宋体" w:cs="宋体" w:eastAsia="宋体" w:hint="default"/>
        </w:rPr>
        <w:t>10</w:t>
      </w:r>
      <w:r>
        <w:rPr/>
        <w:t>股派发现金红利</w:t>
      </w:r>
      <w:r>
        <w:rPr>
          <w:rFonts w:ascii="宋体" w:hAnsi="宋体" w:cs="宋体" w:eastAsia="宋体" w:hint="default"/>
        </w:rPr>
        <w:t>0.17</w:t>
      </w:r>
      <w:r>
        <w:rPr/>
        <w:t>元（含税）。上述股利因限</w:t>
      </w:r>
      <w:r>
        <w:rPr>
          <w:spacing w:val="-29"/>
        </w:rPr>
        <w:t> </w:t>
      </w:r>
      <w:r>
        <w:rPr>
          <w:spacing w:val="-29"/>
        </w:rPr>
      </w:r>
      <w:r>
        <w:rPr/>
        <w:t>制性股票处于锁定期，暂未支付。</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8,331,283.27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5,313,206.34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限制性股票认购款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6,275,637.73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6,791,946.69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1,851,756.00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153,350.95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17,170,671.45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12,816,495.02</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800"/>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800"/>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0"/>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10"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853"/>
        <w:gridCol w:w="1274"/>
        <w:gridCol w:w="994"/>
        <w:gridCol w:w="991"/>
        <w:gridCol w:w="994"/>
        <w:gridCol w:w="903"/>
        <w:gridCol w:w="1010"/>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广东省产学研高价 值专利育成中心建 设项目（智能穿戴 设备）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320,000.00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广东省智能移动医 疗健康管理重点实 验室建设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458,333.33</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458,333.33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188,800,000.00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997,349.00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997,349.00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189,797,349.00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996" w:firstLine="420"/>
        <w:jc w:val="left"/>
      </w:pP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13</w:t>
      </w:r>
      <w:r>
        <w:rPr>
          <w:spacing w:val="-6"/>
        </w:rPr>
        <w:t>日，公司召开第二届董事会第二十一次会议、第二届监事会第十九次会议审议通过了《关</w:t>
      </w:r>
      <w:r>
        <w:rPr>
          <w:w w:val="100"/>
        </w:rPr>
        <w:t> </w:t>
      </w:r>
      <w:r>
        <w:rPr>
          <w:spacing w:val="-2"/>
        </w:rPr>
        <w:t>于向激励对象授予股票期权与限制性股票的议案》，公司独立董事对此发表了独立意见，认为激励对象主</w:t>
      </w:r>
      <w:r>
        <w:rPr>
          <w:spacing w:val="-43"/>
        </w:rPr>
        <w:t> </w:t>
      </w:r>
      <w:r>
        <w:rPr>
          <w:spacing w:val="-43"/>
        </w:rPr>
      </w:r>
      <w:r>
        <w:rPr>
          <w:spacing w:val="-5"/>
        </w:rPr>
        <w:t>体资格合法有效，确定的授予日符合相关规定。监事会发表了对限制性股票授予激励对象名单的核实意见。</w:t>
      </w:r>
      <w:r>
        <w:rPr>
          <w:spacing w:val="-4"/>
        </w:rPr>
        <w:t> </w:t>
      </w:r>
      <w:r>
        <w:rPr>
          <w:spacing w:val="-4"/>
        </w:rPr>
      </w:r>
      <w:r>
        <w:rPr/>
        <w:t>在资金缴纳、股份登记过程中，有</w:t>
      </w:r>
      <w:r>
        <w:rPr>
          <w:rFonts w:ascii="宋体" w:hAnsi="宋体" w:cs="宋体" w:eastAsia="宋体" w:hint="default"/>
        </w:rPr>
        <w:t>6</w:t>
      </w:r>
      <w:r>
        <w:rPr/>
        <w:t>名激励对象因个人原因放弃认购限制性股票，因此公司激励计划实际</w:t>
      </w:r>
    </w:p>
    <w:p>
      <w:pPr>
        <w:spacing w:after="0" w:line="40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授予</w:t>
      </w:r>
      <w:r>
        <w:rPr>
          <w:rFonts w:ascii="宋体" w:hAnsi="宋体" w:cs="宋体" w:eastAsia="宋体" w:hint="default"/>
          <w:spacing w:val="-2"/>
        </w:rPr>
        <w:t>42</w:t>
      </w:r>
      <w:r>
        <w:rPr>
          <w:spacing w:val="-2"/>
        </w:rPr>
        <w:t>名激励对象共计</w:t>
      </w:r>
      <w:r>
        <w:rPr>
          <w:rFonts w:ascii="宋体" w:hAnsi="宋体" w:cs="宋体" w:eastAsia="宋体" w:hint="default"/>
          <w:spacing w:val="-2"/>
        </w:rPr>
        <w:t>997,349.00</w:t>
      </w:r>
      <w:r>
        <w:rPr>
          <w:spacing w:val="-2"/>
        </w:rPr>
        <w:t>股限制性股票，每股面值</w:t>
      </w:r>
      <w:r>
        <w:rPr>
          <w:rFonts w:ascii="宋体" w:hAnsi="宋体" w:cs="宋体" w:eastAsia="宋体" w:hint="default"/>
          <w:spacing w:val="-2"/>
        </w:rPr>
        <w:t>1</w:t>
      </w:r>
      <w:r>
        <w:rPr>
          <w:spacing w:val="-2"/>
        </w:rPr>
        <w:t>元人民币，授予价格为人民币</w:t>
      </w:r>
      <w:r>
        <w:rPr>
          <w:rFonts w:ascii="宋体" w:hAnsi="宋体" w:cs="宋体" w:eastAsia="宋体" w:hint="default"/>
          <w:spacing w:val="-2"/>
        </w:rPr>
        <w:t>6.81</w:t>
      </w:r>
      <w:r>
        <w:rPr>
          <w:spacing w:val="-2"/>
        </w:rPr>
        <w:t>元</w:t>
      </w:r>
      <w:r>
        <w:rPr>
          <w:rFonts w:ascii="宋体" w:hAnsi="宋体" w:cs="宋体" w:eastAsia="宋体" w:hint="default"/>
          <w:spacing w:val="-2"/>
        </w:rPr>
        <w:t>/</w:t>
      </w:r>
      <w:r>
        <w:rPr>
          <w:spacing w:val="-2"/>
        </w:rPr>
        <w:t>股，首</w:t>
      </w:r>
      <w:r>
        <w:rPr>
          <w:spacing w:val="-31"/>
        </w:rPr>
        <w:t> </w:t>
      </w:r>
      <w:r>
        <w:rPr>
          <w:spacing w:val="-31"/>
        </w:rPr>
      </w:r>
      <w:r>
        <w:rPr>
          <w:spacing w:val="-2"/>
        </w:rPr>
        <w:t>次授予日为</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日。本次限制性股票激励计划，公司申请增加注册资本人民币</w:t>
      </w:r>
      <w:r>
        <w:rPr>
          <w:rFonts w:ascii="宋体" w:hAnsi="宋体" w:cs="宋体" w:eastAsia="宋体" w:hint="default"/>
          <w:spacing w:val="-2"/>
        </w:rPr>
        <w:t>997,349.00</w:t>
      </w:r>
      <w:r>
        <w:rPr>
          <w:spacing w:val="-2"/>
        </w:rPr>
        <w:t>元。增</w:t>
      </w:r>
      <w:r>
        <w:rPr>
          <w:spacing w:val="-25"/>
        </w:rPr>
        <w:t> </w:t>
      </w:r>
      <w:r>
        <w:rPr>
          <w:spacing w:val="-25"/>
        </w:rPr>
      </w:r>
      <w:r>
        <w:rPr>
          <w:spacing w:val="-2"/>
        </w:rPr>
        <w:t>资前的注册资本人民币</w:t>
      </w:r>
      <w:r>
        <w:rPr>
          <w:rFonts w:ascii="宋体" w:hAnsi="宋体" w:cs="宋体" w:eastAsia="宋体" w:hint="default"/>
          <w:spacing w:val="-2"/>
        </w:rPr>
        <w:t>188,800,000.00</w:t>
      </w:r>
      <w:r>
        <w:rPr>
          <w:spacing w:val="-2"/>
        </w:rPr>
        <w:t>元，实收资本（股本）为人民币</w:t>
      </w:r>
      <w:r>
        <w:rPr>
          <w:rFonts w:ascii="宋体" w:hAnsi="宋体" w:cs="宋体" w:eastAsia="宋体" w:hint="default"/>
          <w:spacing w:val="-2"/>
        </w:rPr>
        <w:t>188,800,000.00</w:t>
      </w:r>
      <w:r>
        <w:rPr>
          <w:spacing w:val="-2"/>
        </w:rPr>
        <w:t>元。变更后的注册</w:t>
      </w:r>
      <w:r>
        <w:rPr>
          <w:spacing w:val="-21"/>
        </w:rPr>
        <w:t> </w:t>
      </w:r>
      <w:r>
        <w:rPr>
          <w:spacing w:val="-21"/>
        </w:rPr>
      </w:r>
      <w:r>
        <w:rPr>
          <w:spacing w:val="-5"/>
        </w:rPr>
        <w:t>资本为</w:t>
      </w:r>
      <w:r>
        <w:rPr>
          <w:rFonts w:ascii="宋体" w:hAnsi="宋体" w:cs="宋体" w:eastAsia="宋体" w:hint="default"/>
          <w:spacing w:val="-5"/>
        </w:rPr>
        <w:t>189,797,349.00</w:t>
      </w:r>
      <w:r>
        <w:rPr>
          <w:spacing w:val="-5"/>
        </w:rPr>
        <w:t>元，业经立信会计师事务所（特殊普通合伙）于</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8</w:t>
      </w:r>
      <w:r>
        <w:rPr>
          <w:spacing w:val="-5"/>
        </w:rPr>
        <w:t>日出具信会师报字</w:t>
      </w:r>
      <w:r>
        <w:rPr>
          <w:rFonts w:ascii="宋体" w:hAnsi="宋体" w:cs="宋体" w:eastAsia="宋体" w:hint="default"/>
          <w:spacing w:val="-5"/>
        </w:rPr>
        <w:t>[2019]</w:t>
      </w:r>
      <w:r>
        <w:rPr>
          <w:rFonts w:ascii="宋体" w:hAnsi="宋体" w:cs="宋体" w:eastAsia="宋体" w:hint="default"/>
          <w:spacing w:val="-47"/>
        </w:rPr>
        <w:t> </w:t>
      </w:r>
      <w:r>
        <w:rPr>
          <w:rFonts w:ascii="宋体" w:hAnsi="宋体" w:cs="宋体" w:eastAsia="宋体" w:hint="default"/>
          <w:spacing w:val="-47"/>
        </w:rPr>
      </w:r>
      <w:r>
        <w:rPr/>
        <w:t>第</w:t>
      </w:r>
      <w:r>
        <w:rPr>
          <w:rFonts w:ascii="宋体" w:hAnsi="宋体" w:cs="宋体" w:eastAsia="宋体" w:hint="default"/>
        </w:rPr>
        <w:t>ZE10003</w:t>
      </w:r>
      <w:r>
        <w:rPr/>
        <w:t>号《验资报告》审验。</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121,637,607.48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5,794,597.69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127,432,205.17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3,054,232.09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3,347,759.57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121,931,134.96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8,848,829.78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130,779,964.74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both"/>
      </w:pPr>
      <w:r>
        <w:rPr/>
        <w:t>（</w:t>
      </w:r>
      <w:r>
        <w:rPr>
          <w:rFonts w:ascii="宋体" w:hAnsi="宋体" w:cs="宋体" w:eastAsia="宋体" w:hint="default"/>
        </w:rPr>
        <w:t>1</w:t>
      </w:r>
      <w:r>
        <w:rPr/>
        <w:t>）股本溢价本期增加</w:t>
      </w:r>
      <w:r>
        <w:rPr>
          <w:rFonts w:ascii="宋体" w:hAnsi="宋体" w:cs="宋体" w:eastAsia="宋体" w:hint="default"/>
        </w:rPr>
        <w:t>5,794,597.69</w:t>
      </w:r>
      <w:r>
        <w:rPr/>
        <w:t>元。如本附注“53、股本”所述，因本期实施股权激励，本公</w:t>
      </w:r>
      <w:r>
        <w:rPr>
          <w:w w:val="100"/>
        </w:rPr>
        <w:t> </w:t>
      </w:r>
      <w:r>
        <w:rPr>
          <w:spacing w:val="-2"/>
        </w:rPr>
        <w:t>司收到限制性股票认购款共计</w:t>
      </w:r>
      <w:r>
        <w:rPr>
          <w:rFonts w:ascii="宋体" w:hAnsi="宋体" w:cs="宋体" w:eastAsia="宋体" w:hint="default"/>
          <w:spacing w:val="-2"/>
        </w:rPr>
        <w:t>6,791,946.69</w:t>
      </w:r>
      <w:r>
        <w:rPr>
          <w:spacing w:val="-2"/>
        </w:rPr>
        <w:t>元，计入股本</w:t>
      </w:r>
      <w:r>
        <w:rPr>
          <w:rFonts w:ascii="宋体" w:hAnsi="宋体" w:cs="宋体" w:eastAsia="宋体" w:hint="default"/>
          <w:spacing w:val="-2"/>
        </w:rPr>
        <w:t>997,349.00</w:t>
      </w:r>
      <w:r>
        <w:rPr>
          <w:spacing w:val="-2"/>
        </w:rPr>
        <w:t>元，剩余部分</w:t>
      </w:r>
      <w:r>
        <w:rPr>
          <w:rFonts w:ascii="宋体" w:hAnsi="宋体" w:cs="宋体" w:eastAsia="宋体" w:hint="default"/>
          <w:spacing w:val="-2"/>
        </w:rPr>
        <w:t>5,794,597.69</w:t>
      </w:r>
      <w:r>
        <w:rPr>
          <w:spacing w:val="-2"/>
        </w:rPr>
        <w:t>元计入股</w:t>
      </w:r>
      <w:r>
        <w:rPr>
          <w:spacing w:val="-9"/>
        </w:rPr>
        <w:t> </w:t>
      </w:r>
      <w:r>
        <w:rPr>
          <w:spacing w:val="-9"/>
        </w:rPr>
      </w:r>
      <w:r>
        <w:rPr/>
        <w:t>本溢价。</w:t>
      </w:r>
    </w:p>
    <w:p>
      <w:pPr>
        <w:pStyle w:val="BodyText"/>
        <w:spacing w:line="410" w:lineRule="auto"/>
        <w:ind w:right="1131" w:firstLine="420"/>
        <w:jc w:val="both"/>
      </w:pPr>
      <w:r>
        <w:rPr/>
        <w:t>（</w:t>
      </w:r>
      <w:r>
        <w:rPr>
          <w:rFonts w:ascii="宋体" w:hAnsi="宋体" w:cs="宋体" w:eastAsia="宋体" w:hint="default"/>
        </w:rPr>
        <w:t>2</w:t>
      </w:r>
      <w:r>
        <w:rPr/>
        <w:t>）其他资本公积本期增加</w:t>
      </w:r>
      <w:r>
        <w:rPr>
          <w:rFonts w:ascii="宋体" w:hAnsi="宋体" w:cs="宋体" w:eastAsia="宋体" w:hint="default"/>
        </w:rPr>
        <w:t>3,054,232.09</w:t>
      </w:r>
      <w:r>
        <w:rPr/>
        <w:t>元，系确认</w:t>
      </w:r>
      <w:r>
        <w:rPr>
          <w:rFonts w:ascii="宋体" w:hAnsi="宋体" w:cs="宋体" w:eastAsia="宋体" w:hint="default"/>
        </w:rPr>
        <w:t>3,054,232.09</w:t>
      </w:r>
      <w:r>
        <w:rPr/>
        <w:t>元限制性股票激励和股权激励的</w:t>
      </w:r>
      <w:r>
        <w:rPr>
          <w:w w:val="100"/>
        </w:rPr>
        <w:t> </w:t>
      </w:r>
      <w:r>
        <w:rPr/>
        <w:t>费用。</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6,791,946.69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6,791,946.69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6,791,946.69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6,791,946.69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240" w:lineRule="auto" w:before="0"/>
        <w:ind w:left="573" w:right="1119"/>
        <w:jc w:val="left"/>
      </w:pPr>
      <w:r>
        <w:rPr/>
        <w:t>库存股本期增加系确认</w:t>
      </w:r>
      <w:r>
        <w:rPr>
          <w:rFonts w:ascii="宋体" w:hAnsi="宋体" w:cs="宋体" w:eastAsia="宋体" w:hint="default"/>
        </w:rPr>
        <w:t>6,791,946.69</w:t>
      </w:r>
      <w:r>
        <w:rPr/>
        <w:t>元限制性股票激励回购义务。</w:t>
      </w:r>
    </w:p>
    <w:p>
      <w:pPr>
        <w:spacing w:line="240" w:lineRule="auto" w:before="0"/>
        <w:rPr>
          <w:rFonts w:ascii="宋体" w:hAnsi="宋体" w:cs="宋体" w:eastAsia="宋体" w:hint="default"/>
          <w:sz w:val="20"/>
          <w:szCs w:val="20"/>
        </w:rPr>
      </w:pPr>
    </w:p>
    <w:p>
      <w:pPr>
        <w:pStyle w:val="Heading5"/>
        <w:spacing w:line="240" w:lineRule="auto" w:before="154"/>
        <w:ind w:right="1119"/>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121"/>
        <w:gridCol w:w="1006"/>
        <w:gridCol w:w="898"/>
        <w:gridCol w:w="852"/>
        <w:gridCol w:w="518"/>
        <w:gridCol w:w="994"/>
        <w:gridCol w:w="709"/>
        <w:gridCol w:w="1063"/>
      </w:tblGrid>
      <w:tr>
        <w:trPr>
          <w:trHeight w:val="396" w:hRule="exact"/>
        </w:trPr>
        <w:tc>
          <w:tcPr>
            <w:tcW w:w="2410" w:type="dxa"/>
            <w:vMerge w:val="restart"/>
            <w:tcBorders>
              <w:top w:val="single" w:sz="4" w:space="0" w:color="000000"/>
              <w:left w:val="single" w:sz="4" w:space="0" w:color="000000"/>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
        </w:tc>
        <w:tc>
          <w:tcPr>
            <w:tcW w:w="497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2410"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006"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21"/>
              <w:jc w:val="center"/>
              <w:rPr>
                <w:rFonts w:ascii="宋体" w:hAnsi="宋体" w:cs="宋体" w:eastAsia="宋体" w:hint="default"/>
                <w:sz w:val="18"/>
                <w:szCs w:val="18"/>
              </w:rPr>
            </w:pPr>
            <w:r>
              <w:rPr>
                <w:rFonts w:ascii="宋体" w:hAnsi="宋体" w:cs="宋体" w:eastAsia="宋体" w:hint="default"/>
                <w:spacing w:val="-12"/>
                <w:sz w:val="18"/>
                <w:szCs w:val="18"/>
              </w:rPr>
              <w:t>减：前期计</w:t>
            </w:r>
            <w:r>
              <w:rPr>
                <w:rFonts w:ascii="宋体" w:hAnsi="宋体" w:cs="宋体" w:eastAsia="宋体" w:hint="default"/>
                <w:sz w:val="18"/>
                <w:szCs w:val="18"/>
              </w:rPr>
              <w:t> 入其他综 合收益当 期转入损 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13" w:hRule="exact"/>
        </w:trPr>
        <w:tc>
          <w:tcPr>
            <w:tcW w:w="2410"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100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4" w:right="19" w:hanging="51"/>
              <w:jc w:val="both"/>
              <w:rPr>
                <w:rFonts w:ascii="宋体" w:hAnsi="宋体" w:cs="宋体" w:eastAsia="宋体" w:hint="default"/>
                <w:sz w:val="18"/>
                <w:szCs w:val="18"/>
              </w:rPr>
            </w:pPr>
            <w:r>
              <w:rPr>
                <w:rFonts w:ascii="宋体" w:hAnsi="宋体" w:cs="宋体" w:eastAsia="宋体" w:hint="default"/>
                <w:spacing w:val="-26"/>
                <w:sz w:val="18"/>
                <w:szCs w:val="18"/>
              </w:rPr>
              <w:t>减：所</w:t>
            </w:r>
            <w:r>
              <w:rPr>
                <w:rFonts w:ascii="宋体" w:hAnsi="宋体" w:cs="宋体" w:eastAsia="宋体" w:hint="default"/>
                <w:sz w:val="18"/>
                <w:szCs w:val="18"/>
              </w:rPr>
              <w:t> 得税 费用</w:t>
            </w:r>
          </w:p>
        </w:tc>
        <w:tc>
          <w:tcPr>
            <w:tcW w:w="99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2"/>
              <w:ind w:left="136" w:right="47"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89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220" w:right="4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09"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410" w:type="dxa"/>
            <w:vMerge w:val="restart"/>
            <w:tcBorders>
              <w:top w:val="nil" w:sz="6" w:space="0" w:color="auto"/>
              <w:left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
        </w:tc>
        <w:tc>
          <w:tcPr>
            <w:tcW w:w="100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410"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006"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317"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11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5,848,827.97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505,970.60</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505,970.60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6,354,798.57</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3"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1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5,848,827.97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505,970.60</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505,970.60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6,354,798.57</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11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-215,577.87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9,533.55</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9,533.55</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-206,044.32</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-215,577.87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9,533.55</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9,533.55</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-206,044.32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5,633,250.10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515,504.15</w:t>
            </w: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515,504.15</w:t>
            </w:r>
          </w:p>
        </w:tc>
        <w:tc>
          <w:tcPr>
            <w:tcW w:w="70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6,148,754.25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32,197,649.21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3,707,922.30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35,905,571.51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32,197,649.21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3,707,922.30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35,905,571.51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6"/>
        <w:ind w:left="573" w:right="1119"/>
        <w:jc w:val="left"/>
      </w:pPr>
      <w:r>
        <w:rPr/>
        <w:t>本期增加系计提</w:t>
      </w:r>
      <w:r>
        <w:rPr>
          <w:rFonts w:ascii="宋体" w:hAnsi="宋体" w:cs="宋体" w:eastAsia="宋体" w:hint="default"/>
        </w:rPr>
        <w:t>10%</w:t>
      </w:r>
      <w:r>
        <w:rPr/>
        <w:t>法定盈余公积。</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188,210,351.19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172,554,517.42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188,210,351.19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172,554,517.42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31,064,115.60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24,015,870.62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3,707,922.30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3,262,436.85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3,226,554.94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5,097,600.00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212,339,989.55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188,210,351.19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
        <w:rPr>
          <w:rFonts w:ascii="宋体" w:hAnsi="宋体" w:cs="宋体" w:eastAsia="宋体" w:hint="default"/>
          <w:sz w:val="13"/>
          <w:szCs w:val="13"/>
        </w:rPr>
      </w:pPr>
    </w:p>
    <w:p>
      <w:pPr>
        <w:pStyle w:val="BodyText"/>
        <w:spacing w:line="240" w:lineRule="auto" w:before="0"/>
        <w:ind w:left="573" w:right="1119"/>
        <w:jc w:val="left"/>
      </w:pPr>
      <w:r>
        <w:rPr/>
        <w:t>（</w:t>
      </w:r>
      <w:r>
        <w:rPr>
          <w:rFonts w:ascii="宋体" w:hAnsi="宋体" w:cs="宋体" w:eastAsia="宋体" w:hint="default"/>
        </w:rPr>
        <w:t>1</w:t>
      </w:r>
      <w:r>
        <w:rPr/>
        <w:t>）由于《企业会计准则》及其相关新规定进行追溯调整，影响期初未分配利润元。</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2</w:t>
      </w:r>
      <w:r>
        <w:rPr/>
        <w:t>）由于会计政策变更，影响期初未分配利润元。</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3</w:t>
      </w:r>
      <w:r>
        <w:rPr/>
        <w:t>）由于重大会计差错更正，影响期初未分配利润元。</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4</w:t>
      </w:r>
      <w:r>
        <w:rPr/>
        <w:t>）由于同一控制导致的合并范围变更，影响期初未分配利润元。</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t>（</w:t>
      </w:r>
      <w:r>
        <w:rPr>
          <w:rFonts w:ascii="宋体" w:hAnsi="宋体" w:cs="宋体" w:eastAsia="宋体" w:hint="default"/>
        </w:rPr>
        <w:t>5</w:t>
      </w:r>
      <w:r>
        <w:rPr/>
        <w:t>）其他调整合计影响期初未分配利润元。</w:t>
      </w:r>
    </w:p>
    <w:p>
      <w:pPr>
        <w:spacing w:line="240" w:lineRule="auto" w:before="0"/>
        <w:rPr>
          <w:rFonts w:ascii="宋体" w:hAnsi="宋体" w:cs="宋体" w:eastAsia="宋体" w:hint="default"/>
          <w:sz w:val="20"/>
          <w:szCs w:val="20"/>
        </w:rPr>
      </w:pPr>
    </w:p>
    <w:p>
      <w:pPr>
        <w:pStyle w:val="Heading5"/>
        <w:spacing w:line="240" w:lineRule="auto" w:before="154"/>
        <w:ind w:right="1119"/>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878,775,662.27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668,205,133.41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771,329,473.91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573,254,216.60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4,892,565.71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958,472.37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3,773,718.44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984,723.58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883,668,227.98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669,163,605.78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775,103,192.35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574,238,940.18</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5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2,266,987.83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2,414,193.96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1,134,357.50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1,199,565.64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1,010,585.83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1,323,673.48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99,549.94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705,942.80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703,438.65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799,710.47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5,973,662.05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6,540,132.14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13,883,679.51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29,506,566.83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运输及船务费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11,263,004.92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10,634,907.13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30,832,879.35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27,730,995.27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3,353,432.89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2,777,670.20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2,513,183.53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1,848,232.46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1,015,793.58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698,038.63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6,216,784.12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1,837,259.91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69,078,757.90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75,033,670.43</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22,473,147.94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21,303,695.51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7,394,493.73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7,279,923.50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3,939,637.85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4,075,580.77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867,979.13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1,166,695.96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747,775.58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900,948.83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450,728.12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363,026.24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3,168,283.67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3,474,402.38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4,695,918.56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4,197,394.18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3,054,232.09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293,527.48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46,792,196.67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43,055,194.85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15,391,458.33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14,700,131.70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44,029,194.52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32,077,792.43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折旧费及长期待摊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1,315,673.73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1,250,170.66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873,188.36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456,186.07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1,913,213.81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1,915,243.27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1,141,748.71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2,001,625.51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4,008,828.87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4,003,003.81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68,673,306.33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56,404,153.45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1,570,736.46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405,915.63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1,690,397.33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-2,709,474.83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-3,381,495.63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426,549.47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719,143.21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-2,048,160.38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-3,946,834.12</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2,784,748.51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4,008,294.45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4,447,556.81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4,393,962.98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150,849.96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9,383,155.28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8,402,257.43</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-885,529.25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3,889,070.87</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-2,293,550.00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-5,906,300.00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3,146,503.43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4,515,657.93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-32,575.82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2,498,428.80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4,239,077.00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-2,970,500.00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-2,970,500.00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both"/>
      </w:pPr>
      <w:r>
        <w:rPr/>
        <w:t>（</w:t>
      </w:r>
      <w:r>
        <w:rPr>
          <w:rFonts w:ascii="宋体" w:hAnsi="宋体" w:cs="宋体" w:eastAsia="宋体" w:hint="default"/>
        </w:rPr>
        <w:t>1</w:t>
      </w:r>
      <w:r>
        <w:rPr/>
        <w:t>）以公允价值计量且其变动计入当期损益的金融资产和金融负债系公司为规避汇率波动风险签订</w:t>
      </w:r>
      <w:r>
        <w:rPr>
          <w:w w:val="100"/>
        </w:rPr>
        <w:t> </w:t>
      </w:r>
      <w:r>
        <w:rPr>
          <w:spacing w:val="-2"/>
        </w:rPr>
        <w:t>的远期外汇结算合约，在资产负债表日根据资产负债表日汇率和远期外汇的公允价值计算公允价值变动收</w:t>
      </w:r>
      <w:r>
        <w:rPr>
          <w:spacing w:val="-43"/>
        </w:rPr>
        <w:t> </w:t>
      </w:r>
      <w:r>
        <w:rPr>
          <w:spacing w:val="-43"/>
        </w:rPr>
      </w:r>
      <w:r>
        <w:rPr/>
        <w:t>益。</w:t>
      </w:r>
    </w:p>
    <w:p>
      <w:pPr>
        <w:pStyle w:val="BodyText"/>
        <w:spacing w:line="408" w:lineRule="auto"/>
        <w:ind w:right="1126" w:firstLine="420"/>
        <w:jc w:val="both"/>
      </w:pPr>
      <w:r>
        <w:rPr/>
        <w:t>（</w:t>
      </w:r>
      <w:r>
        <w:rPr>
          <w:rFonts w:ascii="宋体" w:hAnsi="宋体" w:cs="宋体" w:eastAsia="宋体" w:hint="default"/>
        </w:rPr>
        <w:t>2</w:t>
      </w:r>
      <w:r>
        <w:rPr/>
        <w:t>）根据本公司与深圳市瑞康宏业科技开发有限公司（以下简称“瑞康宏业”）、廖云朋、桑波、</w:t>
      </w:r>
      <w:r>
        <w:rPr>
          <w:w w:val="100"/>
        </w:rPr>
        <w:t> </w:t>
      </w:r>
      <w:r>
        <w:rPr>
          <w:spacing w:val="-2"/>
        </w:rPr>
        <w:t>陆培科（以下简称“原股东”）共同签订的《增资扩股协议》和《增资扩股协议的补充协议》、《广东乐</w:t>
      </w:r>
      <w:r>
        <w:rPr>
          <w:spacing w:val="-49"/>
        </w:rPr>
        <w:t> </w:t>
      </w:r>
      <w:r>
        <w:rPr>
          <w:spacing w:val="-49"/>
        </w:rPr>
      </w:r>
      <w:r>
        <w:rPr>
          <w:spacing w:val="2"/>
        </w:rPr>
        <w:t>心医疗电子股份有限公司与深圳市瑞康宏业科技开发有限公司管理层股东关于深圳市瑞康宏业科技开发</w:t>
      </w:r>
      <w:r>
        <w:rPr>
          <w:spacing w:val="-30"/>
        </w:rPr>
        <w:t> </w:t>
      </w:r>
      <w:r>
        <w:rPr>
          <w:spacing w:val="-30"/>
        </w:rPr>
      </w:r>
      <w:r>
        <w:rPr>
          <w:spacing w:val="11"/>
        </w:rPr>
        <w:t>有限公司之增资扩股协议的补充协议之补充协议修订版》，原股东 </w:t>
      </w:r>
      <w:r>
        <w:rPr>
          <w:rFonts w:ascii="宋体" w:hAnsi="宋体" w:cs="宋体" w:eastAsia="宋体" w:hint="default"/>
          <w:spacing w:val="8"/>
        </w:rPr>
        <w:t>2019</w:t>
      </w:r>
      <w:r>
        <w:rPr>
          <w:spacing w:val="8"/>
        </w:rPr>
        <w:t>年度业绩承诺主营业务收入</w:t>
      </w:r>
      <w:r>
        <w:rPr>
          <w:spacing w:val="-74"/>
        </w:rPr>
        <w:t> </w:t>
      </w:r>
      <w:r>
        <w:rPr>
          <w:spacing w:val="-74"/>
        </w:rPr>
      </w:r>
      <w:r>
        <w:rPr>
          <w:rFonts w:ascii="宋体" w:hAnsi="宋体" w:cs="宋体" w:eastAsia="宋体" w:hint="default"/>
        </w:rPr>
        <w:t>2,500.00</w:t>
      </w:r>
      <w:r>
        <w:rPr/>
        <w:t>万元，实现净利润</w:t>
      </w:r>
      <w:r>
        <w:rPr>
          <w:rFonts w:ascii="宋体" w:hAnsi="宋体" w:cs="宋体" w:eastAsia="宋体" w:hint="default"/>
        </w:rPr>
        <w:t>300.00</w:t>
      </w:r>
      <w:r>
        <w:rPr/>
        <w:t>万元</w:t>
      </w:r>
      <w:r>
        <w:rPr>
          <w:rFonts w:ascii="宋体" w:hAnsi="宋体" w:cs="宋体" w:eastAsia="宋体" w:hint="default"/>
        </w:rPr>
        <w:t>,</w:t>
      </w:r>
      <w:r>
        <w:rPr/>
        <w:t>如未达到业绩承诺，将由原股东以其持有的瑞康宏业股份对本公</w:t>
      </w:r>
      <w:r>
        <w:rPr>
          <w:spacing w:val="-29"/>
        </w:rPr>
        <w:t> </w:t>
      </w:r>
      <w:r>
        <w:rPr>
          <w:spacing w:val="-29"/>
        </w:rPr>
      </w:r>
      <w:r>
        <w:rPr>
          <w:spacing w:val="-2"/>
        </w:rPr>
        <w:t>司进行补偿。鉴于瑞康宏业</w:t>
      </w:r>
      <w:r>
        <w:rPr>
          <w:rFonts w:ascii="宋体" w:hAnsi="宋体" w:cs="宋体" w:eastAsia="宋体" w:hint="default"/>
          <w:spacing w:val="-2"/>
        </w:rPr>
        <w:t>2019</w:t>
      </w:r>
      <w:r>
        <w:rPr>
          <w:spacing w:val="-2"/>
        </w:rPr>
        <w:t>年度实现的主营业务收入和净利润均未达到业绩承诺，双方协商由原股东</w:t>
      </w:r>
      <w:r>
        <w:rPr>
          <w:spacing w:val="-38"/>
        </w:rPr>
        <w:t> </w:t>
      </w:r>
      <w:r>
        <w:rPr>
          <w:spacing w:val="-38"/>
        </w:rPr>
      </w:r>
      <w:r>
        <w:rPr>
          <w:spacing w:val="-2"/>
        </w:rPr>
        <w:t>以其持有的瑞康宏业</w:t>
      </w:r>
      <w:r>
        <w:rPr>
          <w:rFonts w:ascii="宋体" w:hAnsi="宋体" w:cs="宋体" w:eastAsia="宋体" w:hint="default"/>
          <w:spacing w:val="-2"/>
        </w:rPr>
        <w:t>4%</w:t>
      </w:r>
      <w:r>
        <w:rPr>
          <w:spacing w:val="-2"/>
        </w:rPr>
        <w:t>股份对本公司进行补偿。截至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日，本公司按照瑞康宏业</w:t>
      </w:r>
      <w:r>
        <w:rPr>
          <w:rFonts w:ascii="宋体" w:hAnsi="宋体" w:cs="宋体" w:eastAsia="宋体" w:hint="default"/>
          <w:spacing w:val="-2"/>
        </w:rPr>
        <w:t>4%</w:t>
      </w:r>
      <w:r>
        <w:rPr>
          <w:spacing w:val="-2"/>
        </w:rPr>
        <w:t>股权的公允</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19"/>
        <w:jc w:val="left"/>
      </w:pPr>
      <w:r>
        <w:rPr/>
        <w:t>价值确认或有对价，计入以公允价值计量且其变动计入当期损益的金融资产。</w:t>
      </w:r>
    </w:p>
    <w:p>
      <w:pPr>
        <w:spacing w:line="240" w:lineRule="auto" w:before="0"/>
        <w:rPr>
          <w:rFonts w:ascii="宋体" w:hAnsi="宋体" w:cs="宋体" w:eastAsia="宋体" w:hint="default"/>
          <w:sz w:val="20"/>
          <w:szCs w:val="20"/>
        </w:rPr>
      </w:pPr>
    </w:p>
    <w:p>
      <w:pPr>
        <w:pStyle w:val="Heading5"/>
        <w:spacing w:line="240" w:lineRule="auto" w:before="155"/>
        <w:ind w:right="1119"/>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872,634.77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-1,804,255.72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-931,620.95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1"/>
        <w:ind w:right="1119"/>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-2,586,705.32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1,010,187.39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-2,690,490.87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-2,052,569.98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-5,277,196.19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固定资产的处置利得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76,047.22</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2,864,324.66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368,884.61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58,107.11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368,884.61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368,884.61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2,922,431.77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368,884.61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80" w:top="1060" w:bottom="1160" w:left="980" w:right="0"/>
        </w:sectPr>
      </w:pPr>
    </w:p>
    <w:p>
      <w:pPr>
        <w:spacing w:line="240" w:lineRule="auto" w:before="4"/>
        <w:rPr>
          <w:rFonts w:ascii="宋体" w:hAnsi="宋体" w:cs="宋体" w:eastAsia="宋体" w:hint="default"/>
          <w:sz w:val="15"/>
          <w:szCs w:val="15"/>
        </w:rPr>
      </w:pPr>
    </w:p>
    <w:p>
      <w:pPr>
        <w:tabs>
          <w:tab w:pos="1636" w:val="left" w:leader="none"/>
        </w:tabs>
        <w:spacing w:before="0"/>
        <w:ind w:left="503" w:right="-20" w:firstLine="0"/>
        <w:jc w:val="left"/>
        <w:rPr>
          <w:rFonts w:ascii="宋体" w:hAnsi="宋体" w:cs="宋体" w:eastAsia="宋体" w:hint="default"/>
          <w:sz w:val="18"/>
          <w:szCs w:val="18"/>
        </w:rPr>
      </w:pPr>
      <w:r>
        <w:rPr>
          <w:rFonts w:ascii="宋体" w:hAnsi="宋体" w:cs="宋体" w:eastAsia="宋体" w:hint="default"/>
          <w:sz w:val="18"/>
          <w:szCs w:val="18"/>
        </w:rPr>
        <w:t>补助项目</w:t>
        <w:tab/>
        <w:t>发放主体</w:t>
      </w:r>
    </w:p>
    <w:p>
      <w:pPr>
        <w:spacing w:line="314" w:lineRule="auto" w:before="44"/>
        <w:ind w:left="291"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发放原 因</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394" w:right="-19" w:firstLine="0"/>
        <w:jc w:val="left"/>
        <w:rPr>
          <w:rFonts w:ascii="宋体" w:hAnsi="宋体" w:cs="宋体" w:eastAsia="宋体" w:hint="default"/>
          <w:sz w:val="18"/>
          <w:szCs w:val="18"/>
        </w:rPr>
      </w:pPr>
      <w:r>
        <w:rPr>
          <w:rFonts w:ascii="宋体" w:hAnsi="宋体" w:cs="宋体" w:eastAsia="宋体" w:hint="default"/>
          <w:sz w:val="18"/>
          <w:szCs w:val="18"/>
        </w:rPr>
        <w:t>性质类型</w:t>
      </w:r>
    </w:p>
    <w:p>
      <w:pPr>
        <w:spacing w:line="314" w:lineRule="auto" w:before="44"/>
        <w:ind w:left="38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补贴是否影 响当年盈亏</w:t>
      </w:r>
    </w:p>
    <w:p>
      <w:pPr>
        <w:spacing w:line="314"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是否特殊补 贴</w:t>
      </w:r>
    </w:p>
    <w:p>
      <w:pPr>
        <w:spacing w:line="314" w:lineRule="auto" w:before="44"/>
        <w:ind w:left="286"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本期发生 金额</w:t>
      </w:r>
    </w:p>
    <w:p>
      <w:pPr>
        <w:spacing w:line="314" w:lineRule="auto" w:before="44"/>
        <w:ind w:left="466"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上期发生金 额</w:t>
      </w:r>
    </w:p>
    <w:p>
      <w:pPr>
        <w:spacing w:line="297" w:lineRule="auto" w:before="44"/>
        <w:ind w:left="123" w:right="1311" w:hanging="24"/>
        <w:jc w:val="left"/>
        <w:rPr>
          <w:rFonts w:ascii="宋体" w:hAnsi="宋体" w:cs="宋体" w:eastAsia="宋体" w:hint="default"/>
          <w:sz w:val="18"/>
          <w:szCs w:val="18"/>
        </w:rPr>
      </w:pPr>
      <w:r>
        <w:rPr/>
        <w:br w:type="column"/>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p>
      <w:pPr>
        <w:spacing w:after="0" w:line="297" w:lineRule="auto"/>
        <w:jc w:val="left"/>
        <w:rPr>
          <w:rFonts w:ascii="宋体" w:hAnsi="宋体" w:cs="宋体" w:eastAsia="宋体" w:hint="default"/>
          <w:sz w:val="18"/>
          <w:szCs w:val="18"/>
        </w:rPr>
        <w:sectPr>
          <w:type w:val="continuous"/>
          <w:pgSz w:w="11910" w:h="16840"/>
          <w:pgMar w:top="1060" w:bottom="1160" w:left="980" w:right="0"/>
          <w:cols w:num="8" w:equalWidth="0">
            <w:col w:w="2357" w:space="40"/>
            <w:col w:w="652" w:space="40"/>
            <w:col w:w="1116" w:space="40"/>
            <w:col w:w="1288" w:space="40"/>
            <w:col w:w="1024" w:space="40"/>
            <w:col w:w="827" w:space="40"/>
            <w:col w:w="1007" w:space="40"/>
            <w:col w:w="2379"/>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spacing w:line="21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中山市财</w:t>
      </w:r>
    </w:p>
    <w:p>
      <w:pPr>
        <w:spacing w:line="316" w:lineRule="auto" w:before="112"/>
        <w:ind w:left="800" w:right="630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因从事国家鼓励 和扶持特定行业、</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321" w:space="40"/>
            <w:col w:w="8569"/>
          </w:cols>
        </w:sectPr>
      </w:pPr>
    </w:p>
    <w:p>
      <w:pPr>
        <w:spacing w:line="14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出口信保补贴</w:t>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政局</w:t>
      </w:r>
    </w:p>
    <w:p>
      <w:pPr>
        <w:tabs>
          <w:tab w:pos="890" w:val="left" w:leader="none"/>
        </w:tabs>
        <w:spacing w:line="180" w:lineRule="exact" w:before="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补助</w:t>
        <w:tab/>
        <w:t>产业而获得的补</w:t>
      </w:r>
    </w:p>
    <w:p>
      <w:pPr>
        <w:spacing w:line="316" w:lineRule="auto" w:before="76"/>
        <w:ind w:left="890" w:right="-19" w:firstLine="0"/>
        <w:jc w:val="left"/>
        <w:rPr>
          <w:rFonts w:ascii="宋体" w:hAnsi="宋体" w:cs="宋体" w:eastAsia="宋体" w:hint="default"/>
          <w:sz w:val="18"/>
          <w:szCs w:val="18"/>
        </w:rPr>
      </w:pP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p>
      <w:pPr>
        <w:tabs>
          <w:tab w:pos="1078" w:val="left" w:leader="none"/>
          <w:tab w:pos="3188" w:val="left" w:leader="none"/>
        </w:tabs>
        <w:spacing w:line="194" w:lineRule="exact" w:before="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450,000.00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line="194" w:lineRule="exact"/>
        <w:jc w:val="left"/>
        <w:rPr>
          <w:rFonts w:ascii="宋体" w:hAnsi="宋体" w:cs="宋体" w:eastAsia="宋体" w:hint="default"/>
          <w:sz w:val="18"/>
          <w:szCs w:val="18"/>
        </w:rPr>
        <w:sectPr>
          <w:type w:val="continuous"/>
          <w:pgSz w:w="11910" w:h="16840"/>
          <w:pgMar w:top="1060" w:bottom="1160" w:left="980" w:right="0"/>
          <w:cols w:num="3" w:equalWidth="0">
            <w:col w:w="1961" w:space="310"/>
            <w:col w:w="2252" w:space="40"/>
            <w:col w:w="636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专利资助</w:t>
      </w:r>
    </w:p>
    <w:p>
      <w:pPr>
        <w:spacing w:line="314" w:lineRule="auto" w:before="110"/>
        <w:ind w:left="181" w:right="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中山火炬 高技术产</w:t>
      </w:r>
    </w:p>
    <w:p>
      <w:pPr>
        <w:spacing w:line="197" w:lineRule="exact" w:before="20"/>
        <w:ind w:left="181" w:right="-20" w:firstLine="0"/>
        <w:jc w:val="left"/>
        <w:rPr>
          <w:rFonts w:ascii="宋体" w:hAnsi="宋体" w:cs="宋体" w:eastAsia="宋体" w:hint="default"/>
          <w:sz w:val="18"/>
          <w:szCs w:val="18"/>
        </w:rPr>
      </w:pPr>
      <w:r>
        <w:rPr>
          <w:rFonts w:ascii="宋体" w:hAnsi="宋体" w:cs="宋体" w:eastAsia="宋体" w:hint="default"/>
          <w:sz w:val="18"/>
          <w:szCs w:val="18"/>
        </w:rPr>
        <w:t>业开发区</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经济发展</w:t>
      </w:r>
    </w:p>
    <w:p>
      <w:pPr>
        <w:spacing w:line="316" w:lineRule="auto" w:before="77"/>
        <w:ind w:left="181" w:right="472" w:firstLine="0"/>
        <w:jc w:val="left"/>
        <w:rPr>
          <w:rFonts w:ascii="宋体" w:hAnsi="宋体" w:cs="宋体" w:eastAsia="宋体" w:hint="default"/>
          <w:sz w:val="18"/>
          <w:szCs w:val="18"/>
        </w:rPr>
      </w:pPr>
      <w:r>
        <w:rPr>
          <w:rFonts w:ascii="宋体" w:hAnsi="宋体" w:cs="宋体" w:eastAsia="宋体" w:hint="default"/>
          <w:sz w:val="18"/>
          <w:szCs w:val="18"/>
        </w:rPr>
        <w:t>和科技信 息局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316" w:lineRule="auto" w:before="0"/>
        <w:ind w:left="181" w:right="-19" w:firstLine="0"/>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078" w:val="left" w:leader="none"/>
          <w:tab w:pos="3279"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70,000.00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902" w:space="517"/>
            <w:col w:w="1394" w:space="166"/>
            <w:col w:w="1543" w:space="40"/>
            <w:col w:w="636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总部企业经营贡</w:t>
      </w:r>
    </w:p>
    <w:p>
      <w:pPr>
        <w:spacing w:line="316" w:lineRule="auto" w:before="11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中山火炬 高技术产</w:t>
      </w:r>
    </w:p>
    <w:p>
      <w:pPr>
        <w:spacing w:line="316" w:lineRule="auto" w:before="110"/>
        <w:ind w:left="181" w:right="630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因从事国家鼓励 和扶持特定行业、</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3" w:equalWidth="0">
            <w:col w:w="1442" w:space="40"/>
            <w:col w:w="839" w:space="658"/>
            <w:col w:w="7951"/>
          </w:cols>
        </w:sectPr>
      </w:pPr>
    </w:p>
    <w:p>
      <w:pPr>
        <w:spacing w:line="316" w:lineRule="auto" w:before="19"/>
        <w:ind w:left="181" w:right="-20" w:firstLine="0"/>
        <w:jc w:val="left"/>
        <w:rPr>
          <w:rFonts w:ascii="宋体" w:hAnsi="宋体" w:cs="宋体" w:eastAsia="宋体" w:hint="default"/>
          <w:sz w:val="18"/>
          <w:szCs w:val="18"/>
        </w:rPr>
      </w:pPr>
      <w:r>
        <w:rPr>
          <w:rFonts w:ascii="宋体" w:hAnsi="宋体" w:cs="宋体" w:eastAsia="宋体" w:hint="default"/>
          <w:sz w:val="18"/>
          <w:szCs w:val="18"/>
        </w:rPr>
        <w:t>献奖配套资助资 金</w:t>
      </w:r>
    </w:p>
    <w:p>
      <w:pPr>
        <w:spacing w:line="316" w:lineRule="auto" w:before="19"/>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业开发区</w:t>
      </w:r>
      <w:r>
        <w:rPr>
          <w:rFonts w:ascii="宋体" w:hAnsi="宋体" w:cs="宋体" w:eastAsia="宋体" w:hint="default"/>
          <w:spacing w:val="42"/>
          <w:sz w:val="18"/>
          <w:szCs w:val="18"/>
        </w:rPr>
        <w:t> </w:t>
      </w:r>
      <w:r>
        <w:rPr>
          <w:rFonts w:ascii="宋体" w:hAnsi="宋体" w:cs="宋体" w:eastAsia="宋体" w:hint="default"/>
          <w:sz w:val="18"/>
          <w:szCs w:val="18"/>
        </w:rPr>
        <w:t>补助</w:t>
      </w:r>
      <w:r>
        <w:rPr>
          <w:rFonts w:ascii="宋体" w:hAnsi="宋体" w:cs="宋体" w:eastAsia="宋体" w:hint="default"/>
          <w:sz w:val="18"/>
          <w:szCs w:val="18"/>
        </w:rPr>
        <w:t> 财政结算</w:t>
      </w:r>
    </w:p>
    <w:p>
      <w:pPr>
        <w:spacing w:before="19"/>
        <w:ind w:left="118" w:right="-20" w:firstLine="0"/>
        <w:jc w:val="left"/>
        <w:rPr>
          <w:rFonts w:ascii="宋体" w:hAnsi="宋体" w:cs="宋体" w:eastAsia="宋体" w:hint="default"/>
          <w:sz w:val="18"/>
          <w:szCs w:val="18"/>
        </w:rPr>
      </w:pPr>
      <w:r>
        <w:rPr>
          <w:rFonts w:ascii="宋体" w:hAnsi="宋体" w:cs="宋体" w:eastAsia="宋体" w:hint="default"/>
          <w:sz w:val="18"/>
          <w:szCs w:val="18"/>
        </w:rPr>
        <w:t>中心</w:t>
      </w:r>
    </w:p>
    <w:p>
      <w:pPr>
        <w:spacing w:line="316" w:lineRule="auto" w:before="19"/>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产业而获得的补 </w:t>
      </w: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p>
      <w:pPr>
        <w:tabs>
          <w:tab w:pos="1078" w:val="left" w:leader="none"/>
          <w:tab w:pos="3188" w:val="left" w:leader="none"/>
        </w:tabs>
        <w:spacing w:before="19"/>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209,300.00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442" w:space="40"/>
            <w:col w:w="1331" w:space="166"/>
            <w:col w:w="1543" w:space="40"/>
            <w:col w:w="636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line="209"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扶持重点产业发</w:t>
      </w:r>
    </w:p>
    <w:p>
      <w:pPr>
        <w:spacing w:line="314" w:lineRule="auto" w:before="11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中山火炬 高技术产</w:t>
      </w:r>
    </w:p>
    <w:p>
      <w:pPr>
        <w:spacing w:line="314" w:lineRule="auto" w:before="110"/>
        <w:ind w:left="181" w:right="630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因从事国家鼓励 和扶持特定行业、</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3" w:equalWidth="0">
            <w:col w:w="1442" w:space="40"/>
            <w:col w:w="839" w:space="658"/>
            <w:col w:w="7951"/>
          </w:cols>
        </w:sectPr>
      </w:pPr>
    </w:p>
    <w:p>
      <w:pPr>
        <w:spacing w:before="100"/>
        <w:ind w:left="181" w:right="-20" w:firstLine="0"/>
        <w:jc w:val="left"/>
        <w:rPr>
          <w:rFonts w:ascii="宋体" w:hAnsi="宋体" w:cs="宋体" w:eastAsia="宋体" w:hint="default"/>
          <w:sz w:val="18"/>
          <w:szCs w:val="18"/>
        </w:rPr>
      </w:pPr>
      <w:r>
        <w:rPr>
          <w:rFonts w:ascii="宋体" w:hAnsi="宋体" w:cs="宋体" w:eastAsia="宋体" w:hint="default"/>
          <w:sz w:val="18"/>
          <w:szCs w:val="18"/>
        </w:rPr>
        <w:t>展专项资金</w:t>
      </w:r>
    </w:p>
    <w:p>
      <w:pPr>
        <w:spacing w:line="182"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业开发区</w:t>
      </w:r>
      <w:r>
        <w:rPr>
          <w:rFonts w:ascii="宋体" w:hAnsi="宋体" w:cs="宋体" w:eastAsia="宋体" w:hint="default"/>
          <w:spacing w:val="42"/>
          <w:sz w:val="18"/>
          <w:szCs w:val="18"/>
        </w:rPr>
        <w:t> </w:t>
      </w:r>
      <w:r>
        <w:rPr>
          <w:rFonts w:ascii="宋体" w:hAnsi="宋体" w:cs="宋体" w:eastAsia="宋体" w:hint="default"/>
          <w:sz w:val="18"/>
          <w:szCs w:val="18"/>
        </w:rPr>
        <w:t>补助</w:t>
      </w:r>
    </w:p>
    <w:p>
      <w:pPr>
        <w:spacing w:line="316" w:lineRule="auto" w:before="74"/>
        <w:ind w:left="181" w:right="472" w:firstLine="0"/>
        <w:jc w:val="left"/>
        <w:rPr>
          <w:rFonts w:ascii="宋体" w:hAnsi="宋体" w:cs="宋体" w:eastAsia="宋体" w:hint="default"/>
          <w:sz w:val="18"/>
          <w:szCs w:val="18"/>
        </w:rPr>
      </w:pPr>
      <w:r>
        <w:rPr>
          <w:rFonts w:ascii="宋体" w:hAnsi="宋体" w:cs="宋体" w:eastAsia="宋体" w:hint="default"/>
          <w:sz w:val="18"/>
          <w:szCs w:val="18"/>
        </w:rPr>
        <w:t>财政结算 中心</w:t>
      </w:r>
    </w:p>
    <w:p>
      <w:pPr>
        <w:spacing w:line="180" w:lineRule="exact" w:before="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产业而获得的补</w:t>
      </w:r>
    </w:p>
    <w:p>
      <w:pPr>
        <w:spacing w:line="316" w:lineRule="auto" w:before="76"/>
        <w:ind w:left="181" w:right="-19" w:firstLine="0"/>
        <w:jc w:val="left"/>
        <w:rPr>
          <w:rFonts w:ascii="宋体" w:hAnsi="宋体" w:cs="宋体" w:eastAsia="宋体" w:hint="default"/>
          <w:sz w:val="18"/>
          <w:szCs w:val="18"/>
        </w:rPr>
      </w:pP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p>
      <w:pPr>
        <w:tabs>
          <w:tab w:pos="1078" w:val="left" w:leader="none"/>
          <w:tab w:pos="3195" w:val="left" w:leader="none"/>
        </w:tabs>
        <w:spacing w:line="196" w:lineRule="exact" w:before="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511,600.00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与收益相关</w:t>
      </w:r>
    </w:p>
    <w:p>
      <w:pPr>
        <w:spacing w:after="0" w:line="196" w:lineRule="exact"/>
        <w:jc w:val="left"/>
        <w:rPr>
          <w:rFonts w:ascii="宋体" w:hAnsi="宋体" w:cs="宋体" w:eastAsia="宋体" w:hint="default"/>
          <w:sz w:val="18"/>
          <w:szCs w:val="18"/>
        </w:rPr>
        <w:sectPr>
          <w:type w:val="continuous"/>
          <w:pgSz w:w="11910" w:h="16840"/>
          <w:pgMar w:top="1060" w:bottom="1160" w:left="980" w:right="0"/>
          <w:cols w:num="4" w:equalWidth="0">
            <w:col w:w="1082" w:space="337"/>
            <w:col w:w="1394" w:space="166"/>
            <w:col w:w="1543" w:space="40"/>
            <w:col w:w="6368"/>
          </w:cols>
        </w:sectPr>
      </w:pPr>
    </w:p>
    <w:p>
      <w:pPr>
        <w:spacing w:line="316" w:lineRule="auto" w:before="110"/>
        <w:ind w:left="181" w:right="0" w:firstLine="0"/>
        <w:jc w:val="both"/>
        <w:rPr>
          <w:rFonts w:ascii="宋体" w:hAnsi="宋体" w:cs="宋体" w:eastAsia="宋体" w:hint="default"/>
          <w:sz w:val="18"/>
          <w:szCs w:val="18"/>
        </w:rPr>
      </w:pPr>
      <w:r>
        <w:rPr>
          <w:rFonts w:ascii="宋体" w:hAnsi="宋体" w:cs="宋体" w:eastAsia="宋体" w:hint="default"/>
          <w:sz w:val="18"/>
          <w:szCs w:val="18"/>
        </w:rPr>
        <w:t>技术改造专项资 金资助计划总部 企业经营贡献奖 励金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spacing w:line="196" w:lineRule="exact" w:before="0"/>
        <w:ind w:left="118" w:right="-20" w:firstLine="0"/>
        <w:jc w:val="left"/>
        <w:rPr>
          <w:rFonts w:ascii="宋体" w:hAnsi="宋体" w:cs="宋体" w:eastAsia="宋体" w:hint="default"/>
          <w:sz w:val="18"/>
          <w:szCs w:val="18"/>
        </w:rPr>
      </w:pPr>
      <w:r>
        <w:rPr>
          <w:rFonts w:ascii="宋体" w:hAnsi="宋体" w:cs="宋体" w:eastAsia="宋体" w:hint="default"/>
          <w:sz w:val="18"/>
          <w:szCs w:val="18"/>
        </w:rPr>
        <w:t>火炬开发</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18" w:right="-20" w:firstLine="0"/>
        <w:jc w:val="left"/>
        <w:rPr>
          <w:rFonts w:ascii="宋体" w:hAnsi="宋体" w:cs="宋体" w:eastAsia="宋体" w:hint="default"/>
          <w:sz w:val="18"/>
          <w:szCs w:val="18"/>
        </w:rPr>
      </w:pPr>
      <w:r>
        <w:rPr>
          <w:rFonts w:ascii="宋体" w:hAnsi="宋体" w:cs="宋体" w:eastAsia="宋体" w:hint="default"/>
          <w:sz w:val="18"/>
          <w:szCs w:val="18"/>
        </w:rPr>
        <w:t>区财政局</w:t>
      </w:r>
    </w:p>
    <w:p>
      <w:pPr>
        <w:spacing w:line="240" w:lineRule="auto" w:before="5"/>
        <w:rPr>
          <w:rFonts w:ascii="宋体" w:hAnsi="宋体" w:cs="宋体" w:eastAsia="宋体" w:hint="default"/>
          <w:sz w:val="20"/>
          <w:szCs w:val="20"/>
        </w:rPr>
      </w:pPr>
      <w:r>
        <w:rPr/>
        <w:br w:type="column"/>
      </w:r>
      <w:r>
        <w:rPr>
          <w:rFonts w:ascii="宋体"/>
          <w:sz w:val="20"/>
        </w:rPr>
      </w:r>
    </w:p>
    <w:p>
      <w:pPr>
        <w:spacing w:line="316" w:lineRule="auto" w:before="0"/>
        <w:ind w:left="181" w:right="-19" w:firstLine="0"/>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tabs>
          <w:tab w:pos="1078" w:val="left" w:leader="none"/>
          <w:tab w:pos="3188"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125,600.00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442" w:space="40"/>
            <w:col w:w="1331" w:space="166"/>
            <w:col w:w="1543" w:space="40"/>
            <w:col w:w="636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促进外贸稳定增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209" w:lineRule="exact" w:before="0"/>
        <w:ind w:left="118" w:right="-20" w:firstLine="0"/>
        <w:jc w:val="left"/>
        <w:rPr>
          <w:rFonts w:ascii="宋体" w:hAnsi="宋体" w:cs="宋体" w:eastAsia="宋体" w:hint="default"/>
          <w:sz w:val="18"/>
          <w:szCs w:val="18"/>
        </w:rPr>
      </w:pPr>
      <w:r>
        <w:rPr>
          <w:rFonts w:ascii="宋体" w:hAnsi="宋体" w:cs="宋体" w:eastAsia="宋体" w:hint="default"/>
          <w:sz w:val="18"/>
          <w:szCs w:val="18"/>
        </w:rPr>
        <w:t>中山市财</w:t>
      </w:r>
    </w:p>
    <w:p>
      <w:pPr>
        <w:spacing w:line="314" w:lineRule="auto" w:before="110"/>
        <w:ind w:left="181" w:right="630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因从事国家鼓励 和扶持特定行业、</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3" w:equalWidth="0">
            <w:col w:w="1442" w:space="40"/>
            <w:col w:w="839" w:space="658"/>
            <w:col w:w="7951"/>
          </w:cols>
        </w:sectPr>
      </w:pPr>
    </w:p>
    <w:p>
      <w:pPr>
        <w:spacing w:line="147"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长专项资金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进口</w:t>
      </w:r>
    </w:p>
    <w:p>
      <w:pPr>
        <w:spacing w:line="14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政局</w:t>
      </w:r>
    </w:p>
    <w:p>
      <w:pPr>
        <w:spacing w:line="196"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稳定增长</w:t>
      </w:r>
    </w:p>
    <w:p>
      <w:pPr>
        <w:tabs>
          <w:tab w:pos="890" w:val="left" w:leader="none"/>
        </w:tabs>
        <w:spacing w:line="182" w:lineRule="exact" w:before="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补助</w:t>
        <w:tab/>
        <w:t>产业而获得的补</w:t>
      </w:r>
    </w:p>
    <w:p>
      <w:pPr>
        <w:spacing w:line="316" w:lineRule="auto" w:before="74"/>
        <w:ind w:left="890" w:right="-19" w:firstLine="0"/>
        <w:jc w:val="left"/>
        <w:rPr>
          <w:rFonts w:ascii="宋体" w:hAnsi="宋体" w:cs="宋体" w:eastAsia="宋体" w:hint="default"/>
          <w:sz w:val="18"/>
          <w:szCs w:val="18"/>
        </w:rPr>
      </w:pP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p>
      <w:pPr>
        <w:tabs>
          <w:tab w:pos="1078" w:val="left" w:leader="none"/>
          <w:tab w:pos="3188" w:val="left" w:leader="none"/>
        </w:tabs>
        <w:spacing w:line="196" w:lineRule="exact" w:before="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132,824.66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line="196" w:lineRule="exact"/>
        <w:jc w:val="left"/>
        <w:rPr>
          <w:rFonts w:ascii="宋体" w:hAnsi="宋体" w:cs="宋体" w:eastAsia="宋体" w:hint="default"/>
          <w:sz w:val="18"/>
          <w:szCs w:val="18"/>
        </w:rPr>
        <w:sectPr>
          <w:type w:val="continuous"/>
          <w:pgSz w:w="11910" w:h="16840"/>
          <w:pgMar w:top="1060" w:bottom="1160" w:left="980" w:right="0"/>
          <w:cols w:num="3" w:equalWidth="0">
            <w:col w:w="1961" w:space="310"/>
            <w:col w:w="2252" w:space="40"/>
            <w:col w:w="6367"/>
          </w:cols>
        </w:sectPr>
      </w:pPr>
    </w:p>
    <w:p>
      <w:pPr>
        <w:spacing w:line="309" w:lineRule="auto" w:before="110"/>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年度中山市 科学技术奖获奖 项目</w:t>
      </w:r>
    </w:p>
    <w:p>
      <w:pPr>
        <w:spacing w:line="240" w:lineRule="auto" w:before="4"/>
        <w:rPr>
          <w:rFonts w:ascii="宋体" w:hAnsi="宋体" w:cs="宋体" w:eastAsia="宋体" w:hint="default"/>
          <w:sz w:val="20"/>
          <w:szCs w:val="20"/>
        </w:rPr>
      </w:pPr>
      <w:r>
        <w:rPr/>
        <w:br w:type="column"/>
      </w:r>
      <w:r>
        <w:rPr>
          <w:rFonts w:ascii="宋体"/>
          <w:sz w:val="20"/>
        </w:rPr>
      </w:r>
    </w:p>
    <w:p>
      <w:pPr>
        <w:spacing w:line="196" w:lineRule="exact" w:before="0"/>
        <w:ind w:left="70" w:right="0" w:firstLine="0"/>
        <w:jc w:val="left"/>
        <w:rPr>
          <w:rFonts w:ascii="宋体" w:hAnsi="宋体" w:cs="宋体" w:eastAsia="宋体" w:hint="default"/>
          <w:sz w:val="18"/>
          <w:szCs w:val="18"/>
        </w:rPr>
      </w:pPr>
      <w:r>
        <w:rPr>
          <w:rFonts w:ascii="宋体" w:hAnsi="宋体" w:cs="宋体" w:eastAsia="宋体" w:hint="default"/>
          <w:sz w:val="18"/>
          <w:szCs w:val="18"/>
        </w:rPr>
        <w:t>中山市财</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70" w:right="0" w:firstLine="0"/>
        <w:jc w:val="left"/>
        <w:rPr>
          <w:rFonts w:ascii="宋体" w:hAnsi="宋体" w:cs="宋体" w:eastAsia="宋体" w:hint="default"/>
          <w:sz w:val="18"/>
          <w:szCs w:val="18"/>
        </w:rPr>
      </w:pPr>
      <w:r>
        <w:rPr>
          <w:rFonts w:ascii="宋体" w:hAnsi="宋体" w:cs="宋体" w:eastAsia="宋体" w:hint="default"/>
          <w:sz w:val="18"/>
          <w:szCs w:val="18"/>
        </w:rPr>
        <w:t>政局</w:t>
      </w:r>
    </w:p>
    <w:p>
      <w:pPr>
        <w:spacing w:line="319" w:lineRule="auto" w:before="110"/>
        <w:ind w:left="181" w:right="-19"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tabs>
          <w:tab w:pos="1078" w:val="left" w:leader="none"/>
          <w:tab w:pos="3279"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491" w:space="40"/>
            <w:col w:w="1283" w:space="166"/>
            <w:col w:w="1543" w:space="40"/>
            <w:col w:w="6367"/>
          </w:cols>
        </w:sectPr>
      </w:pPr>
    </w:p>
    <w:p>
      <w:pPr>
        <w:spacing w:line="297" w:lineRule="auto" w:before="108"/>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年中山火炬 开发区质量管理</w:t>
      </w:r>
    </w:p>
    <w:p>
      <w:pPr>
        <w:spacing w:line="314" w:lineRule="auto" w:before="108"/>
        <w:ind w:left="7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中山市工 伤行程管</w:t>
      </w:r>
    </w:p>
    <w:p>
      <w:pPr>
        <w:spacing w:line="314" w:lineRule="auto" w:before="108"/>
        <w:ind w:left="181" w:right="6306"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因从事国家鼓励 和扶持特定行业、</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3" w:equalWidth="0">
            <w:col w:w="1491" w:space="40"/>
            <w:col w:w="791" w:space="658"/>
            <w:col w:w="7950"/>
          </w:cols>
        </w:sectPr>
      </w:pPr>
    </w:p>
    <w:p>
      <w:pPr>
        <w:spacing w:line="316" w:lineRule="auto" w:before="20"/>
        <w:ind w:left="181" w:right="0" w:firstLine="0"/>
        <w:jc w:val="both"/>
        <w:rPr>
          <w:rFonts w:ascii="宋体" w:hAnsi="宋体" w:cs="宋体" w:eastAsia="宋体" w:hint="default"/>
          <w:sz w:val="18"/>
          <w:szCs w:val="18"/>
        </w:rPr>
      </w:pPr>
      <w:r>
        <w:rPr/>
        <w:pict>
          <v:group style="position:absolute;margin-left:56.400002pt;margin-top:89.419975pt;width:475.45pt;height:665.5pt;mso-position-horizontal-relative:page;mso-position-vertical-relative:page;z-index:-1111240" coordorigin="1128,1788" coordsize="9509,13310">
            <v:group style="position:absolute;left:1140;top:1803;width:1407;height:156" coordorigin="1140,1803" coordsize="1407,156">
              <v:shape style="position:absolute;left:1140;top:1803;width:1407;height:156" coordorigin="1140,1803" coordsize="1407,156" path="m1140,1959l2547,1959,2547,1803,1140,1803,1140,1959xe" filled="true" fillcolor="#d2d2d2" stroked="false">
                <v:path arrowok="t"/>
                <v:fill type="solid"/>
              </v:shape>
            </v:group>
            <v:group style="position:absolute;left:1151;top:1959;width:2;height:392" coordorigin="1151,1959" coordsize="2,392">
              <v:shape style="position:absolute;left:1151;top:1959;width:2;height:392" coordorigin="1151,1959" coordsize="0,392" path="m1151,1959l1151,2350e" filled="false" stroked="true" strokeweight="1.08pt" strokecolor="#d2d2d2">
                <v:path arrowok="t"/>
              </v:shape>
            </v:group>
            <v:group style="position:absolute;left:2536;top:1959;width:2;height:392" coordorigin="2536,1959" coordsize="2,392">
              <v:shape style="position:absolute;left:2536;top:1959;width:2;height:392" coordorigin="2536,1959" coordsize="0,392" path="m2536,1959l2536,2350e" filled="false" stroked="true" strokeweight="1.08pt" strokecolor="#d2d2d2">
                <v:path arrowok="t"/>
              </v:shape>
            </v:group>
            <v:group style="position:absolute;left:1140;top:2350;width:1407;height:156" coordorigin="1140,2350" coordsize="1407,156">
              <v:shape style="position:absolute;left:1140;top:2350;width:1407;height:156" coordorigin="1140,2350" coordsize="1407,156" path="m1140,2506l2547,2506,2547,2350,1140,2350,1140,2506xe" filled="true" fillcolor="#d2d2d2" stroked="false">
                <v:path arrowok="t"/>
                <v:fill type="solid"/>
              </v:shape>
            </v:group>
            <v:group style="position:absolute;left:1162;top:1959;width:1364;height:392" coordorigin="1162,1959" coordsize="1364,392">
              <v:shape style="position:absolute;left:1162;top:1959;width:1364;height:392" coordorigin="1162,1959" coordsize="1364,392" path="m1162,2350l2525,2350,2525,1959,1162,1959,1162,2350xe" filled="true" fillcolor="#d2d2d2" stroked="false">
                <v:path arrowok="t"/>
                <v:fill type="solid"/>
              </v:shape>
            </v:group>
            <v:group style="position:absolute;left:2556;top:1803;width:843;height:156" coordorigin="2556,1803" coordsize="843,156">
              <v:shape style="position:absolute;left:2556;top:1803;width:843;height:156" coordorigin="2556,1803" coordsize="843,156" path="m2556,1959l3399,1959,3399,1803,2556,1803,2556,1959xe" filled="true" fillcolor="#d2d2d2" stroked="false">
                <v:path arrowok="t"/>
                <v:fill type="solid"/>
              </v:shape>
            </v:group>
            <v:group style="position:absolute;left:2568;top:1959;width:2;height:392" coordorigin="2568,1959" coordsize="2,392">
              <v:shape style="position:absolute;left:2568;top:1959;width:2;height:392" coordorigin="2568,1959" coordsize="0,392" path="m2568,1959l2568,2350e" filled="false" stroked="true" strokeweight="1.2pt" strokecolor="#d2d2d2">
                <v:path arrowok="t"/>
              </v:shape>
            </v:group>
            <v:group style="position:absolute;left:3387;top:1959;width:2;height:392" coordorigin="3387,1959" coordsize="2,392">
              <v:shape style="position:absolute;left:3387;top:1959;width:2;height:392" coordorigin="3387,1959" coordsize="0,392" path="m3387,1959l3387,2350e" filled="false" stroked="true" strokeweight="1.2pt" strokecolor="#d2d2d2">
                <v:path arrowok="t"/>
              </v:shape>
            </v:group>
            <v:group style="position:absolute;left:2556;top:2350;width:843;height:156" coordorigin="2556,2350" coordsize="843,156">
              <v:shape style="position:absolute;left:2556;top:2350;width:843;height:156" coordorigin="2556,2350" coordsize="843,156" path="m2556,2506l3399,2506,3399,2350,2556,2350,2556,2506xe" filled="true" fillcolor="#d2d2d2" stroked="false">
                <v:path arrowok="t"/>
                <v:fill type="solid"/>
              </v:shape>
            </v:group>
            <v:group style="position:absolute;left:2580;top:1959;width:795;height:392" coordorigin="2580,1959" coordsize="795,392">
              <v:shape style="position:absolute;left:2580;top:1959;width:795;height:392" coordorigin="2580,1959" coordsize="795,392" path="m2580,2350l3375,2350,3375,1959,2580,1959,2580,2350xe" filled="true" fillcolor="#d2d2d2" stroked="false">
                <v:path arrowok="t"/>
                <v:fill type="solid"/>
              </v:shape>
            </v:group>
            <v:group style="position:absolute;left:3420;top:1803;width:2;height:704" coordorigin="3420,1803" coordsize="2,704">
              <v:shape style="position:absolute;left:3420;top:1803;width:2;height:704" coordorigin="3420,1803" coordsize="0,704" path="m3420,1803l3420,2506e" filled="false" stroked="true" strokeweight="1.2pt" strokecolor="#d2d2d2">
                <v:path arrowok="t"/>
              </v:shape>
            </v:group>
            <v:group style="position:absolute;left:4095;top:1803;width:2;height:704" coordorigin="4095,1803" coordsize="2,704">
              <v:shape style="position:absolute;left:4095;top:1803;width:2;height:704" coordorigin="4095,1803" coordsize="0,704" path="m4095,1803l4095,2506e" filled="false" stroked="true" strokeweight="1.2pt" strokecolor="#d2d2d2">
                <v:path arrowok="t"/>
              </v:shape>
            </v:group>
            <v:group style="position:absolute;left:3432;top:1803;width:651;height:351" coordorigin="3432,1803" coordsize="651,351">
              <v:shape style="position:absolute;left:3432;top:1803;width:651;height:351" coordorigin="3432,1803" coordsize="651,351" path="m3432,2153l4083,2153,4083,1803,3432,1803,3432,2153xe" filled="true" fillcolor="#d2d2d2" stroked="false">
                <v:path arrowok="t"/>
                <v:fill type="solid"/>
              </v:shape>
            </v:group>
            <v:group style="position:absolute;left:3432;top:2153;width:651;height:353" coordorigin="3432,2153" coordsize="651,353">
              <v:shape style="position:absolute;left:3432;top:2153;width:651;height:353" coordorigin="3432,2153" coordsize="651,353" path="m3432,2506l4083,2506,4083,2153,3432,2153,3432,2506xe" filled="true" fillcolor="#d2d2d2" stroked="false">
                <v:path arrowok="t"/>
                <v:fill type="solid"/>
              </v:shape>
            </v:group>
            <v:group style="position:absolute;left:4117;top:1803;width:1409;height:156" coordorigin="4117,1803" coordsize="1409,156">
              <v:shape style="position:absolute;left:4117;top:1803;width:1409;height:156" coordorigin="4117,1803" coordsize="1409,156" path="m4117,1959l5526,1959,5526,1803,4117,1803,4117,1959xe" filled="true" fillcolor="#d2d2d2" stroked="false">
                <v:path arrowok="t"/>
                <v:fill type="solid"/>
              </v:shape>
            </v:group>
            <v:group style="position:absolute;left:4129;top:1959;width:2;height:392" coordorigin="4129,1959" coordsize="2,392">
              <v:shape style="position:absolute;left:4129;top:1959;width:2;height:392" coordorigin="4129,1959" coordsize="0,392" path="m4129,1959l4129,2350e" filled="false" stroked="true" strokeweight="1.2pt" strokecolor="#d2d2d2">
                <v:path arrowok="t"/>
              </v:shape>
            </v:group>
            <v:group style="position:absolute;left:5514;top:1959;width:2;height:392" coordorigin="5514,1959" coordsize="2,392">
              <v:shape style="position:absolute;left:5514;top:1959;width:2;height:392" coordorigin="5514,1959" coordsize="0,392" path="m5514,1959l5514,2350e" filled="false" stroked="true" strokeweight="1.2pt" strokecolor="#d2d2d2">
                <v:path arrowok="t"/>
              </v:shape>
            </v:group>
            <v:group style="position:absolute;left:4117;top:2350;width:1409;height:156" coordorigin="4117,2350" coordsize="1409,156">
              <v:shape style="position:absolute;left:4117;top:2350;width:1409;height:156" coordorigin="4117,2350" coordsize="1409,156" path="m4117,2506l5526,2506,5526,2350,4117,2350,4117,2506xe" filled="true" fillcolor="#d2d2d2" stroked="false">
                <v:path arrowok="t"/>
                <v:fill type="solid"/>
              </v:shape>
            </v:group>
            <v:group style="position:absolute;left:4141;top:1959;width:1361;height:392" coordorigin="4141,1959" coordsize="1361,392">
              <v:shape style="position:absolute;left:4141;top:1959;width:1361;height:392" coordorigin="4141,1959" coordsize="1361,392" path="m4141,2350l5502,2350,5502,1959,4141,1959,4141,2350xe" filled="true" fillcolor="#d2d2d2" stroked="false">
                <v:path arrowok="t"/>
                <v:fill type="solid"/>
              </v:shape>
            </v:group>
            <v:group style="position:absolute;left:5546;top:1803;width:2;height:704" coordorigin="5546,1803" coordsize="2,704">
              <v:shape style="position:absolute;left:5546;top:1803;width:2;height:704" coordorigin="5546,1803" coordsize="0,704" path="m5546,1803l5546,2506e" filled="false" stroked="true" strokeweight="1.08pt" strokecolor="#d2d2d2">
                <v:path arrowok="t"/>
              </v:shape>
            </v:group>
            <v:group style="position:absolute;left:6577;top:1803;width:2;height:704" coordorigin="6577,1803" coordsize="2,704">
              <v:shape style="position:absolute;left:6577;top:1803;width:2;height:704" coordorigin="6577,1803" coordsize="0,704" path="m6577,1803l6577,2506e" filled="false" stroked="true" strokeweight="1.2pt" strokecolor="#d2d2d2">
                <v:path arrowok="t"/>
              </v:shape>
            </v:group>
            <v:group style="position:absolute;left:5557;top:1803;width:1008;height:351" coordorigin="5557,1803" coordsize="1008,351">
              <v:shape style="position:absolute;left:5557;top:1803;width:1008;height:351" coordorigin="5557,1803" coordsize="1008,351" path="m5557,2153l6565,2153,6565,1803,5557,1803,5557,2153xe" filled="true" fillcolor="#d2d2d2" stroked="false">
                <v:path arrowok="t"/>
                <v:fill type="solid"/>
              </v:shape>
            </v:group>
            <v:group style="position:absolute;left:5557;top:2153;width:1008;height:353" coordorigin="5557,2153" coordsize="1008,353">
              <v:shape style="position:absolute;left:5557;top:2153;width:1008;height:353" coordorigin="5557,2153" coordsize="1008,353" path="m5557,2506l6565,2506,6565,2153,5557,2153,5557,2506xe" filled="true" fillcolor="#d2d2d2" stroked="false">
                <v:path arrowok="t"/>
                <v:fill type="solid"/>
              </v:shape>
            </v:group>
            <v:group style="position:absolute;left:6610;top:1803;width:2;height:704" coordorigin="6610,1803" coordsize="2,704">
              <v:shape style="position:absolute;left:6610;top:1803;width:2;height:704" coordorigin="6610,1803" coordsize="0,704" path="m6610,1803l6610,2506e" filled="false" stroked="true" strokeweight="1.08pt" strokecolor="#d2d2d2">
                <v:path arrowok="t"/>
              </v:shape>
            </v:group>
            <v:group style="position:absolute;left:7639;top:1803;width:2;height:704" coordorigin="7639,1803" coordsize="2,704">
              <v:shape style="position:absolute;left:7639;top:1803;width:2;height:704" coordorigin="7639,1803" coordsize="0,704" path="m7639,1803l7639,2506e" filled="false" stroked="true" strokeweight="1.08pt" strokecolor="#d2d2d2">
                <v:path arrowok="t"/>
              </v:shape>
            </v:group>
            <v:group style="position:absolute;left:6621;top:1803;width:1008;height:351" coordorigin="6621,1803" coordsize="1008,351">
              <v:shape style="position:absolute;left:6621;top:1803;width:1008;height:351" coordorigin="6621,1803" coordsize="1008,351" path="m6621,2153l7629,2153,7629,1803,6621,1803,6621,2153xe" filled="true" fillcolor="#d2d2d2" stroked="false">
                <v:path arrowok="t"/>
                <v:fill type="solid"/>
              </v:shape>
            </v:group>
            <v:group style="position:absolute;left:6621;top:2153;width:1008;height:353" coordorigin="6621,2153" coordsize="1008,353">
              <v:shape style="position:absolute;left:6621;top:2153;width:1008;height:353" coordorigin="6621,2153" coordsize="1008,353" path="m6621,2506l7629,2506,7629,2153,6621,2153,6621,2506xe" filled="true" fillcolor="#d2d2d2" stroked="false">
                <v:path arrowok="t"/>
                <v:fill type="solid"/>
              </v:shape>
            </v:group>
            <v:group style="position:absolute;left:7673;top:1803;width:2;height:704" coordorigin="7673,1803" coordsize="2,704">
              <v:shape style="position:absolute;left:7673;top:1803;width:2;height:704" coordorigin="7673,1803" coordsize="0,704" path="m7673,1803l7673,2506e" filled="false" stroked="true" strokeweight="1.08pt" strokecolor="#d2d2d2">
                <v:path arrowok="t"/>
              </v:shape>
            </v:group>
            <v:group style="position:absolute;left:8490;top:1803;width:2;height:704" coordorigin="8490,1803" coordsize="2,704">
              <v:shape style="position:absolute;left:8490;top:1803;width:2;height:704" coordorigin="8490,1803" coordsize="0,704" path="m8490,1803l8490,2506e" filled="false" stroked="true" strokeweight="1.2pt" strokecolor="#d2d2d2">
                <v:path arrowok="t"/>
              </v:shape>
            </v:group>
            <v:group style="position:absolute;left:7684;top:1803;width:795;height:351" coordorigin="7684,1803" coordsize="795,351">
              <v:shape style="position:absolute;left:7684;top:1803;width:795;height:351" coordorigin="7684,1803" coordsize="795,351" path="m7684,2153l8478,2153,8478,1803,7684,1803,7684,2153xe" filled="true" fillcolor="#d2d2d2" stroked="false">
                <v:path arrowok="t"/>
                <v:fill type="solid"/>
              </v:shape>
            </v:group>
            <v:group style="position:absolute;left:7684;top:2153;width:795;height:353" coordorigin="7684,2153" coordsize="795,353">
              <v:shape style="position:absolute;left:7684;top:2153;width:795;height:353" coordorigin="7684,2153" coordsize="795,353" path="m7684,2506l8478,2506,8478,2153,7684,2153,7684,2506xe" filled="true" fillcolor="#d2d2d2" stroked="false">
                <v:path arrowok="t"/>
                <v:fill type="solid"/>
              </v:shape>
            </v:group>
            <v:group style="position:absolute;left:8523;top:1803;width:2;height:704" coordorigin="8523,1803" coordsize="2,704">
              <v:shape style="position:absolute;left:8523;top:1803;width:2;height:704" coordorigin="8523,1803" coordsize="0,704" path="m8523,1803l8523,2506e" filled="false" stroked="true" strokeweight="1.08pt" strokecolor="#d2d2d2">
                <v:path arrowok="t"/>
              </v:shape>
            </v:group>
            <v:group style="position:absolute;left:9554;top:1803;width:2;height:704" coordorigin="9554,1803" coordsize="2,704">
              <v:shape style="position:absolute;left:9554;top:1803;width:2;height:704" coordorigin="9554,1803" coordsize="0,704" path="m9554,1803l9554,2506e" filled="false" stroked="true" strokeweight="1.2pt" strokecolor="#d2d2d2">
                <v:path arrowok="t"/>
              </v:shape>
            </v:group>
            <v:group style="position:absolute;left:8533;top:1803;width:1009;height:351" coordorigin="8533,1803" coordsize="1009,351">
              <v:shape style="position:absolute;left:8533;top:1803;width:1009;height:351" coordorigin="8533,1803" coordsize="1009,351" path="m8533,2153l9542,2153,9542,1803,8533,1803,8533,2153xe" filled="true" fillcolor="#d2d2d2" stroked="false">
                <v:path arrowok="t"/>
                <v:fill type="solid"/>
              </v:shape>
            </v:group>
            <v:group style="position:absolute;left:8533;top:2153;width:1009;height:353" coordorigin="8533,2153" coordsize="1009,353">
              <v:shape style="position:absolute;left:8533;top:2153;width:1009;height:353" coordorigin="8533,2153" coordsize="1009,353" path="m8533,2506l9542,2506,9542,2153,8533,2153,8533,2506xe" filled="true" fillcolor="#d2d2d2" stroked="false">
                <v:path arrowok="t"/>
                <v:fill type="solid"/>
              </v:shape>
            </v:group>
            <v:group style="position:absolute;left:9586;top:1803;width:2;height:704" coordorigin="9586,1803" coordsize="2,704">
              <v:shape style="position:absolute;left:9586;top:1803;width:2;height:704" coordorigin="9586,1803" coordsize="0,704" path="m9586,1803l9586,2506e" filled="false" stroked="true" strokeweight="1.08pt" strokecolor="#d2d2d2">
                <v:path arrowok="t"/>
              </v:shape>
            </v:group>
            <v:group style="position:absolute;left:10616;top:1803;width:2;height:704" coordorigin="10616,1803" coordsize="2,704">
              <v:shape style="position:absolute;left:10616;top:1803;width:2;height:704" coordorigin="10616,1803" coordsize="0,704" path="m10616,1803l10616,2506e" filled="false" stroked="true" strokeweight="1.08pt" strokecolor="#d2d2d2">
                <v:path arrowok="t"/>
              </v:shape>
            </v:group>
            <v:group style="position:absolute;left:9597;top:1803;width:1008;height:351" coordorigin="9597,1803" coordsize="1008,351">
              <v:shape style="position:absolute;left:9597;top:1803;width:1008;height:351" coordorigin="9597,1803" coordsize="1008,351" path="m9597,2153l10605,2153,10605,1803,9597,1803,9597,2153xe" filled="true" fillcolor="#d2d2d2" stroked="false">
                <v:path arrowok="t"/>
                <v:fill type="solid"/>
              </v:shape>
            </v:group>
            <v:group style="position:absolute;left:9597;top:2153;width:1008;height:353" coordorigin="9597,2153" coordsize="1008,353">
              <v:shape style="position:absolute;left:9597;top:2153;width:1008;height:353" coordorigin="9597,2153" coordsize="1008,353" path="m9597,2506l10605,2506,10605,2153,9597,2153,9597,2506xe" filled="true" fillcolor="#d2d2d2" stroked="false">
                <v:path arrowok="t"/>
                <v:fill type="solid"/>
              </v:shape>
            </v:group>
            <v:group style="position:absolute;left:1138;top:1798;width:1410;height:2" coordorigin="1138,1798" coordsize="1410,2">
              <v:shape style="position:absolute;left:1138;top:1798;width:1410;height:2" coordorigin="1138,1798" coordsize="1410,0" path="m1138,1798l2547,1798e" filled="false" stroked="true" strokeweight=".48pt" strokecolor="#000000">
                <v:path arrowok="t"/>
              </v:shape>
            </v:group>
            <v:group style="position:absolute;left:2556;top:1798;width:840;height:2" coordorigin="2556,1798" coordsize="840,2">
              <v:shape style="position:absolute;left:2556;top:1798;width:840;height:2" coordorigin="2556,1798" coordsize="840,0" path="m2556,1798l3396,1798e" filled="false" stroked="true" strokeweight=".48pt" strokecolor="#000000">
                <v:path arrowok="t"/>
              </v:shape>
            </v:group>
            <v:group style="position:absolute;left:3406;top:1798;width:699;height:2" coordorigin="3406,1798" coordsize="699,2">
              <v:shape style="position:absolute;left:3406;top:1798;width:699;height:2" coordorigin="3406,1798" coordsize="699,0" path="m3406,1798l4105,1798e" filled="false" stroked="true" strokeweight=".48pt" strokecolor="#000000">
                <v:path arrowok="t"/>
              </v:shape>
            </v:group>
            <v:group style="position:absolute;left:4115;top:1798;width:1409;height:2" coordorigin="4115,1798" coordsize="1409,2">
              <v:shape style="position:absolute;left:4115;top:1798;width:1409;height:2" coordorigin="4115,1798" coordsize="1409,0" path="m4115,1798l5523,1798e" filled="false" stroked="true" strokeweight=".48pt" strokecolor="#000000">
                <v:path arrowok="t"/>
              </v:shape>
            </v:group>
            <v:group style="position:absolute;left:5533;top:1798;width:1054;height:2" coordorigin="5533,1798" coordsize="1054,2">
              <v:shape style="position:absolute;left:5533;top:1798;width:1054;height:2" coordorigin="5533,1798" coordsize="1054,0" path="m5533,1798l6587,1798e" filled="false" stroked="true" strokeweight=".48pt" strokecolor="#000000">
                <v:path arrowok="t"/>
              </v:shape>
            </v:group>
            <v:group style="position:absolute;left:6596;top:1798;width:1055;height:2" coordorigin="6596,1798" coordsize="1055,2">
              <v:shape style="position:absolute;left:6596;top:1798;width:1055;height:2" coordorigin="6596,1798" coordsize="1055,0" path="m6596,1798l7650,1798e" filled="false" stroked="true" strokeweight=".48pt" strokecolor="#000000">
                <v:path arrowok="t"/>
              </v:shape>
            </v:group>
            <v:group style="position:absolute;left:7660;top:1798;width:840;height:2" coordorigin="7660,1798" coordsize="840,2">
              <v:shape style="position:absolute;left:7660;top:1798;width:840;height:2" coordorigin="7660,1798" coordsize="840,0" path="m7660,1798l8500,1798e" filled="false" stroked="true" strokeweight=".48pt" strokecolor="#000000">
                <v:path arrowok="t"/>
              </v:shape>
            </v:group>
            <v:group style="position:absolute;left:8509;top:1798;width:1055;height:2" coordorigin="8509,1798" coordsize="1055,2">
              <v:shape style="position:absolute;left:8509;top:1798;width:1055;height:2" coordorigin="8509,1798" coordsize="1055,0" path="m8509,1798l9563,1798e" filled="false" stroked="true" strokeweight=".48pt" strokecolor="#000000">
                <v:path arrowok="t"/>
              </v:shape>
            </v:group>
            <v:group style="position:absolute;left:9573;top:1798;width:1054;height:2" coordorigin="9573,1798" coordsize="1054,2">
              <v:shape style="position:absolute;left:9573;top:1798;width:1054;height:2" coordorigin="9573,1798" coordsize="1054,0" path="m9573,1798l10627,1798e" filled="false" stroked="true" strokeweight=".48pt" strokecolor="#000000">
                <v:path arrowok="t"/>
              </v:shape>
            </v:group>
            <v:group style="position:absolute;left:5535;top:2516;width:1054;height:624" coordorigin="5535,2516" coordsize="1054,624">
              <v:shape style="position:absolute;left:5535;top:2516;width:1054;height:624" coordorigin="5535,2516" coordsize="1054,624" path="m5535,3140l6589,3140,6589,2516,5535,2516,5535,3140xe" filled="true" fillcolor="#ffffff" stroked="false">
                <v:path arrowok="t"/>
                <v:fill type="solid"/>
              </v:shape>
            </v:group>
            <v:group style="position:absolute;left:1138;top:2511;width:1410;height:2" coordorigin="1138,2511" coordsize="1410,2">
              <v:shape style="position:absolute;left:1138;top:2511;width:1410;height:2" coordorigin="1138,2511" coordsize="1410,0" path="m1138,2511l2547,2511e" filled="false" stroked="true" strokeweight=".48pt" strokecolor="#000000">
                <v:path arrowok="t"/>
              </v:shape>
            </v:group>
            <v:group style="position:absolute;left:2556;top:2511;width:840;height:2" coordorigin="2556,2511" coordsize="840,2">
              <v:shape style="position:absolute;left:2556;top:2511;width:840;height:2" coordorigin="2556,2511" coordsize="840,0" path="m2556,2511l3396,2511e" filled="false" stroked="true" strokeweight=".48pt" strokecolor="#000000">
                <v:path arrowok="t"/>
              </v:shape>
            </v:group>
            <v:group style="position:absolute;left:3406;top:2511;width:699;height:2" coordorigin="3406,2511" coordsize="699,2">
              <v:shape style="position:absolute;left:3406;top:2511;width:699;height:2" coordorigin="3406,2511" coordsize="699,0" path="m3406,2511l4105,2511e" filled="false" stroked="true" strokeweight=".48pt" strokecolor="#000000">
                <v:path arrowok="t"/>
              </v:shape>
            </v:group>
            <v:group style="position:absolute;left:4115;top:2511;width:1409;height:2" coordorigin="4115,2511" coordsize="1409,2">
              <v:shape style="position:absolute;left:4115;top:2511;width:1409;height:2" coordorigin="4115,2511" coordsize="1409,0" path="m4115,2511l5523,2511e" filled="false" stroked="true" strokeweight=".48pt" strokecolor="#000000">
                <v:path arrowok="t"/>
              </v:shape>
            </v:group>
            <v:group style="position:absolute;left:5533;top:2511;width:1054;height:2" coordorigin="5533,2511" coordsize="1054,2">
              <v:shape style="position:absolute;left:5533;top:2511;width:1054;height:2" coordorigin="5533,2511" coordsize="1054,0" path="m5533,2511l6587,2511e" filled="false" stroked="true" strokeweight=".48pt" strokecolor="#000000">
                <v:path arrowok="t"/>
              </v:shape>
            </v:group>
            <v:group style="position:absolute;left:6596;top:2511;width:1055;height:2" coordorigin="6596,2511" coordsize="1055,2">
              <v:shape style="position:absolute;left:6596;top:2511;width:1055;height:2" coordorigin="6596,2511" coordsize="1055,0" path="m6596,2511l7650,2511e" filled="false" stroked="true" strokeweight=".48pt" strokecolor="#000000">
                <v:path arrowok="t"/>
              </v:shape>
            </v:group>
            <v:group style="position:absolute;left:7660;top:2511;width:840;height:2" coordorigin="7660,2511" coordsize="840,2">
              <v:shape style="position:absolute;left:7660;top:2511;width:840;height:2" coordorigin="7660,2511" coordsize="840,0" path="m7660,2511l8500,2511e" filled="false" stroked="true" strokeweight=".48pt" strokecolor="#000000">
                <v:path arrowok="t"/>
              </v:shape>
            </v:group>
            <v:group style="position:absolute;left:8509;top:2511;width:1055;height:2" coordorigin="8509,2511" coordsize="1055,2">
              <v:shape style="position:absolute;left:8509;top:2511;width:1055;height:2" coordorigin="8509,2511" coordsize="1055,0" path="m8509,2511l9563,2511e" filled="false" stroked="true" strokeweight=".48pt" strokecolor="#000000">
                <v:path arrowok="t"/>
              </v:shape>
            </v:group>
            <v:group style="position:absolute;left:9573;top:2511;width:1054;height:2" coordorigin="9573,2511" coordsize="1054,2">
              <v:shape style="position:absolute;left:9573;top:2511;width:1054;height:2" coordorigin="9573,2511" coordsize="1054,0" path="m9573,2511l10627,2511e" filled="false" stroked="true" strokeweight=".48pt" strokecolor="#000000">
                <v:path arrowok="t"/>
              </v:shape>
            </v:group>
            <v:group style="position:absolute;left:1138;top:4162;width:1410;height:2" coordorigin="1138,4162" coordsize="1410,2">
              <v:shape style="position:absolute;left:1138;top:4162;width:1410;height:2" coordorigin="1138,4162" coordsize="1410,0" path="m1138,4162l2547,4162e" filled="false" stroked="true" strokeweight=".48001pt" strokecolor="#000000">
                <v:path arrowok="t"/>
              </v:shape>
            </v:group>
            <v:group style="position:absolute;left:2556;top:4162;width:840;height:2" coordorigin="2556,4162" coordsize="840,2">
              <v:shape style="position:absolute;left:2556;top:4162;width:840;height:2" coordorigin="2556,4162" coordsize="840,0" path="m2556,4162l3396,4162e" filled="false" stroked="true" strokeweight=".48001pt" strokecolor="#000000">
                <v:path arrowok="t"/>
              </v:shape>
            </v:group>
            <v:group style="position:absolute;left:3406;top:4162;width:699;height:2" coordorigin="3406,4162" coordsize="699,2">
              <v:shape style="position:absolute;left:3406;top:4162;width:699;height:2" coordorigin="3406,4162" coordsize="699,0" path="m3406,4162l4105,4162e" filled="false" stroked="true" strokeweight=".48001pt" strokecolor="#000000">
                <v:path arrowok="t"/>
              </v:shape>
            </v:group>
            <v:group style="position:absolute;left:4115;top:4162;width:1409;height:2" coordorigin="4115,4162" coordsize="1409,2">
              <v:shape style="position:absolute;left:4115;top:4162;width:1409;height:2" coordorigin="4115,4162" coordsize="1409,0" path="m4115,4162l5523,4162e" filled="false" stroked="true" strokeweight=".48001pt" strokecolor="#000000">
                <v:path arrowok="t"/>
              </v:shape>
            </v:group>
            <v:group style="position:absolute;left:5533;top:4162;width:1054;height:2" coordorigin="5533,4162" coordsize="1054,2">
              <v:shape style="position:absolute;left:5533;top:4162;width:1054;height:2" coordorigin="5533,4162" coordsize="1054,0" path="m5533,4162l6587,4162e" filled="false" stroked="true" strokeweight=".48001pt" strokecolor="#000000">
                <v:path arrowok="t"/>
              </v:shape>
            </v:group>
            <v:group style="position:absolute;left:6596;top:4162;width:1055;height:2" coordorigin="6596,4162" coordsize="1055,2">
              <v:shape style="position:absolute;left:6596;top:4162;width:1055;height:2" coordorigin="6596,4162" coordsize="1055,0" path="m6596,4162l7650,4162e" filled="false" stroked="true" strokeweight=".48001pt" strokecolor="#000000">
                <v:path arrowok="t"/>
              </v:shape>
            </v:group>
            <v:group style="position:absolute;left:7660;top:4162;width:840;height:2" coordorigin="7660,4162" coordsize="840,2">
              <v:shape style="position:absolute;left:7660;top:4162;width:840;height:2" coordorigin="7660,4162" coordsize="840,0" path="m7660,4162l8500,4162e" filled="false" stroked="true" strokeweight=".48001pt" strokecolor="#000000">
                <v:path arrowok="t"/>
              </v:shape>
            </v:group>
            <v:group style="position:absolute;left:8509;top:4162;width:1055;height:2" coordorigin="8509,4162" coordsize="1055,2">
              <v:shape style="position:absolute;left:8509;top:4162;width:1055;height:2" coordorigin="8509,4162" coordsize="1055,0" path="m8509,4162l9563,4162e" filled="false" stroked="true" strokeweight=".48001pt" strokecolor="#000000">
                <v:path arrowok="t"/>
              </v:shape>
            </v:group>
            <v:group style="position:absolute;left:9573;top:4162;width:1054;height:2" coordorigin="9573,4162" coordsize="1054,2">
              <v:shape style="position:absolute;left:9573;top:4162;width:1054;height:2" coordorigin="9573,4162" coordsize="1054,0" path="m9573,4162l10627,4162e" filled="false" stroked="true" strokeweight=".48001pt" strokecolor="#000000">
                <v:path arrowok="t"/>
              </v:shape>
            </v:group>
            <v:group style="position:absolute;left:5535;top:6128;width:1054;height:624" coordorigin="5535,6128" coordsize="1054,624">
              <v:shape style="position:absolute;left:5535;top:6128;width:1054;height:624" coordorigin="5535,6128" coordsize="1054,624" path="m5535,6752l6589,6752,6589,6128,5535,6128,5535,6752xe" filled="true" fillcolor="#ffffff" stroked="false">
                <v:path arrowok="t"/>
                <v:fill type="solid"/>
              </v:shape>
            </v:group>
            <v:group style="position:absolute;left:1138;top:6123;width:1410;height:2" coordorigin="1138,6123" coordsize="1410,2">
              <v:shape style="position:absolute;left:1138;top:6123;width:1410;height:2" coordorigin="1138,6123" coordsize="1410,0" path="m1138,6123l2547,6123e" filled="false" stroked="true" strokeweight=".47998pt" strokecolor="#000000">
                <v:path arrowok="t"/>
              </v:shape>
            </v:group>
            <v:group style="position:absolute;left:2556;top:6123;width:840;height:2" coordorigin="2556,6123" coordsize="840,2">
              <v:shape style="position:absolute;left:2556;top:6123;width:840;height:2" coordorigin="2556,6123" coordsize="840,0" path="m2556,6123l3396,6123e" filled="false" stroked="true" strokeweight=".47998pt" strokecolor="#000000">
                <v:path arrowok="t"/>
              </v:shape>
            </v:group>
            <v:group style="position:absolute;left:3406;top:6123;width:699;height:2" coordorigin="3406,6123" coordsize="699,2">
              <v:shape style="position:absolute;left:3406;top:6123;width:699;height:2" coordorigin="3406,6123" coordsize="699,0" path="m3406,6123l4105,6123e" filled="false" stroked="true" strokeweight=".47998pt" strokecolor="#000000">
                <v:path arrowok="t"/>
              </v:shape>
            </v:group>
            <v:group style="position:absolute;left:4115;top:6123;width:1409;height:2" coordorigin="4115,6123" coordsize="1409,2">
              <v:shape style="position:absolute;left:4115;top:6123;width:1409;height:2" coordorigin="4115,6123" coordsize="1409,0" path="m4115,6123l5523,6123e" filled="false" stroked="true" strokeweight=".47998pt" strokecolor="#000000">
                <v:path arrowok="t"/>
              </v:shape>
            </v:group>
            <v:group style="position:absolute;left:5533;top:6123;width:1054;height:2" coordorigin="5533,6123" coordsize="1054,2">
              <v:shape style="position:absolute;left:5533;top:6123;width:1054;height:2" coordorigin="5533,6123" coordsize="1054,0" path="m5533,6123l6587,6123e" filled="false" stroked="true" strokeweight=".47998pt" strokecolor="#000000">
                <v:path arrowok="t"/>
              </v:shape>
            </v:group>
            <v:group style="position:absolute;left:6596;top:6123;width:1055;height:2" coordorigin="6596,6123" coordsize="1055,2">
              <v:shape style="position:absolute;left:6596;top:6123;width:1055;height:2" coordorigin="6596,6123" coordsize="1055,0" path="m6596,6123l7650,6123e" filled="false" stroked="true" strokeweight=".47998pt" strokecolor="#000000">
                <v:path arrowok="t"/>
              </v:shape>
            </v:group>
            <v:group style="position:absolute;left:7660;top:6123;width:840;height:2" coordorigin="7660,6123" coordsize="840,2">
              <v:shape style="position:absolute;left:7660;top:6123;width:840;height:2" coordorigin="7660,6123" coordsize="840,0" path="m7660,6123l8500,6123e" filled="false" stroked="true" strokeweight=".47998pt" strokecolor="#000000">
                <v:path arrowok="t"/>
              </v:shape>
            </v:group>
            <v:group style="position:absolute;left:8509;top:6123;width:1055;height:2" coordorigin="8509,6123" coordsize="1055,2">
              <v:shape style="position:absolute;left:8509;top:6123;width:1055;height:2" coordorigin="8509,6123" coordsize="1055,0" path="m8509,6123l9563,6123e" filled="false" stroked="true" strokeweight=".47998pt" strokecolor="#000000">
                <v:path arrowok="t"/>
              </v:shape>
            </v:group>
            <v:group style="position:absolute;left:9573;top:6123;width:1054;height:2" coordorigin="9573,6123" coordsize="1054,2">
              <v:shape style="position:absolute;left:9573;top:6123;width:1054;height:2" coordorigin="9573,6123" coordsize="1054,0" path="m9573,6123l10627,6123e" filled="false" stroked="true" strokeweight=".47998pt" strokecolor="#000000">
                <v:path arrowok="t"/>
              </v:shape>
            </v:group>
            <v:group style="position:absolute;left:5535;top:7779;width:1054;height:624" coordorigin="5535,7779" coordsize="1054,624">
              <v:shape style="position:absolute;left:5535;top:7779;width:1054;height:624" coordorigin="5535,7779" coordsize="1054,624" path="m5535,8403l6589,8403,6589,7779,5535,7779,5535,8403xe" filled="true" fillcolor="#ffffff" stroked="false">
                <v:path arrowok="t"/>
                <v:fill type="solid"/>
              </v:shape>
            </v:group>
            <v:group style="position:absolute;left:1138;top:7775;width:1410;height:2" coordorigin="1138,7775" coordsize="1410,2">
              <v:shape style="position:absolute;left:1138;top:7775;width:1410;height:2" coordorigin="1138,7775" coordsize="1410,0" path="m1138,7775l2547,7775e" filled="false" stroked="true" strokeweight=".48001pt" strokecolor="#000000">
                <v:path arrowok="t"/>
              </v:shape>
            </v:group>
            <v:group style="position:absolute;left:2556;top:7775;width:840;height:2" coordorigin="2556,7775" coordsize="840,2">
              <v:shape style="position:absolute;left:2556;top:7775;width:840;height:2" coordorigin="2556,7775" coordsize="840,0" path="m2556,7775l3396,7775e" filled="false" stroked="true" strokeweight=".48001pt" strokecolor="#000000">
                <v:path arrowok="t"/>
              </v:shape>
            </v:group>
            <v:group style="position:absolute;left:3406;top:7775;width:699;height:2" coordorigin="3406,7775" coordsize="699,2">
              <v:shape style="position:absolute;left:3406;top:7775;width:699;height:2" coordorigin="3406,7775" coordsize="699,0" path="m3406,7775l4105,7775e" filled="false" stroked="true" strokeweight=".48001pt" strokecolor="#000000">
                <v:path arrowok="t"/>
              </v:shape>
            </v:group>
            <v:group style="position:absolute;left:4115;top:7775;width:1409;height:2" coordorigin="4115,7775" coordsize="1409,2">
              <v:shape style="position:absolute;left:4115;top:7775;width:1409;height:2" coordorigin="4115,7775" coordsize="1409,0" path="m4115,7775l5523,7775e" filled="false" stroked="true" strokeweight=".48001pt" strokecolor="#000000">
                <v:path arrowok="t"/>
              </v:shape>
            </v:group>
            <v:group style="position:absolute;left:5533;top:7775;width:1054;height:2" coordorigin="5533,7775" coordsize="1054,2">
              <v:shape style="position:absolute;left:5533;top:7775;width:1054;height:2" coordorigin="5533,7775" coordsize="1054,0" path="m5533,7775l6587,7775e" filled="false" stroked="true" strokeweight=".48001pt" strokecolor="#000000">
                <v:path arrowok="t"/>
              </v:shape>
            </v:group>
            <v:group style="position:absolute;left:6596;top:7775;width:1055;height:2" coordorigin="6596,7775" coordsize="1055,2">
              <v:shape style="position:absolute;left:6596;top:7775;width:1055;height:2" coordorigin="6596,7775" coordsize="1055,0" path="m6596,7775l7650,7775e" filled="false" stroked="true" strokeweight=".48001pt" strokecolor="#000000">
                <v:path arrowok="t"/>
              </v:shape>
            </v:group>
            <v:group style="position:absolute;left:7660;top:7775;width:840;height:2" coordorigin="7660,7775" coordsize="840,2">
              <v:shape style="position:absolute;left:7660;top:7775;width:840;height:2" coordorigin="7660,7775" coordsize="840,0" path="m7660,7775l8500,7775e" filled="false" stroked="true" strokeweight=".48001pt" strokecolor="#000000">
                <v:path arrowok="t"/>
              </v:shape>
            </v:group>
            <v:group style="position:absolute;left:8509;top:7775;width:1055;height:2" coordorigin="8509,7775" coordsize="1055,2">
              <v:shape style="position:absolute;left:8509;top:7775;width:1055;height:2" coordorigin="8509,7775" coordsize="1055,0" path="m8509,7775l9563,7775e" filled="false" stroked="true" strokeweight=".48001pt" strokecolor="#000000">
                <v:path arrowok="t"/>
              </v:shape>
            </v:group>
            <v:group style="position:absolute;left:9573;top:7775;width:1054;height:2" coordorigin="9573,7775" coordsize="1054,2">
              <v:shape style="position:absolute;left:9573;top:7775;width:1054;height:2" coordorigin="9573,7775" coordsize="1054,0" path="m9573,7775l10627,7775e" filled="false" stroked="true" strokeweight=".48001pt" strokecolor="#000000">
                <v:path arrowok="t"/>
              </v:shape>
            </v:group>
            <v:group style="position:absolute;left:1138;top:9424;width:1410;height:2" coordorigin="1138,9424" coordsize="1410,2">
              <v:shape style="position:absolute;left:1138;top:9424;width:1410;height:2" coordorigin="1138,9424" coordsize="1410,0" path="m1138,9424l2547,9424e" filled="false" stroked="true" strokeweight=".48001pt" strokecolor="#000000">
                <v:path arrowok="t"/>
              </v:shape>
            </v:group>
            <v:group style="position:absolute;left:2556;top:9424;width:840;height:2" coordorigin="2556,9424" coordsize="840,2">
              <v:shape style="position:absolute;left:2556;top:9424;width:840;height:2" coordorigin="2556,9424" coordsize="840,0" path="m2556,9424l3396,9424e" filled="false" stroked="true" strokeweight=".48001pt" strokecolor="#000000">
                <v:path arrowok="t"/>
              </v:shape>
            </v:group>
            <v:group style="position:absolute;left:3406;top:9424;width:699;height:2" coordorigin="3406,9424" coordsize="699,2">
              <v:shape style="position:absolute;left:3406;top:9424;width:699;height:2" coordorigin="3406,9424" coordsize="699,0" path="m3406,9424l4105,9424e" filled="false" stroked="true" strokeweight=".48001pt" strokecolor="#000000">
                <v:path arrowok="t"/>
              </v:shape>
            </v:group>
            <v:group style="position:absolute;left:4115;top:9424;width:1409;height:2" coordorigin="4115,9424" coordsize="1409,2">
              <v:shape style="position:absolute;left:4115;top:9424;width:1409;height:2" coordorigin="4115,9424" coordsize="1409,0" path="m4115,9424l5523,9424e" filled="false" stroked="true" strokeweight=".48001pt" strokecolor="#000000">
                <v:path arrowok="t"/>
              </v:shape>
            </v:group>
            <v:group style="position:absolute;left:5533;top:9424;width:1054;height:2" coordorigin="5533,9424" coordsize="1054,2">
              <v:shape style="position:absolute;left:5533;top:9424;width:1054;height:2" coordorigin="5533,9424" coordsize="1054,0" path="m5533,9424l6587,9424e" filled="false" stroked="true" strokeweight=".48001pt" strokecolor="#000000">
                <v:path arrowok="t"/>
              </v:shape>
            </v:group>
            <v:group style="position:absolute;left:6596;top:9424;width:1055;height:2" coordorigin="6596,9424" coordsize="1055,2">
              <v:shape style="position:absolute;left:6596;top:9424;width:1055;height:2" coordorigin="6596,9424" coordsize="1055,0" path="m6596,9424l7650,9424e" filled="false" stroked="true" strokeweight=".48001pt" strokecolor="#000000">
                <v:path arrowok="t"/>
              </v:shape>
            </v:group>
            <v:group style="position:absolute;left:7660;top:9424;width:840;height:2" coordorigin="7660,9424" coordsize="840,2">
              <v:shape style="position:absolute;left:7660;top:9424;width:840;height:2" coordorigin="7660,9424" coordsize="840,0" path="m7660,9424l8500,9424e" filled="false" stroked="true" strokeweight=".48001pt" strokecolor="#000000">
                <v:path arrowok="t"/>
              </v:shape>
            </v:group>
            <v:group style="position:absolute;left:8509;top:9424;width:1055;height:2" coordorigin="8509,9424" coordsize="1055,2">
              <v:shape style="position:absolute;left:8509;top:9424;width:1055;height:2" coordorigin="8509,9424" coordsize="1055,0" path="m8509,9424l9563,9424e" filled="false" stroked="true" strokeweight=".48001pt" strokecolor="#000000">
                <v:path arrowok="t"/>
              </v:shape>
            </v:group>
            <v:group style="position:absolute;left:9573;top:9424;width:1054;height:2" coordorigin="9573,9424" coordsize="1054,2">
              <v:shape style="position:absolute;left:9573;top:9424;width:1054;height:2" coordorigin="9573,9424" coordsize="1054,0" path="m9573,9424l10627,9424e" filled="false" stroked="true" strokeweight=".48001pt" strokecolor="#000000">
                <v:path arrowok="t"/>
              </v:shape>
            </v:group>
            <v:group style="position:absolute;left:5535;top:10768;width:1054;height:624" coordorigin="5535,10768" coordsize="1054,624">
              <v:shape style="position:absolute;left:5535;top:10768;width:1054;height:624" coordorigin="5535,10768" coordsize="1054,624" path="m5535,11392l6589,11392,6589,10768,5535,10768,5535,11392xe" filled="true" fillcolor="#ffffff" stroked="false">
                <v:path arrowok="t"/>
                <v:fill type="solid"/>
              </v:shape>
            </v:group>
            <v:group style="position:absolute;left:1138;top:10763;width:1410;height:2" coordorigin="1138,10763" coordsize="1410,2">
              <v:shape style="position:absolute;left:1138;top:10763;width:1410;height:2" coordorigin="1138,10763" coordsize="1410,0" path="m1138,10763l2547,10763e" filled="false" stroked="true" strokeweight=".48004pt" strokecolor="#000000">
                <v:path arrowok="t"/>
              </v:shape>
            </v:group>
            <v:group style="position:absolute;left:2556;top:10763;width:840;height:2" coordorigin="2556,10763" coordsize="840,2">
              <v:shape style="position:absolute;left:2556;top:10763;width:840;height:2" coordorigin="2556,10763" coordsize="840,0" path="m2556,10763l3396,10763e" filled="false" stroked="true" strokeweight=".48004pt" strokecolor="#000000">
                <v:path arrowok="t"/>
              </v:shape>
            </v:group>
            <v:group style="position:absolute;left:3406;top:10763;width:699;height:2" coordorigin="3406,10763" coordsize="699,2">
              <v:shape style="position:absolute;left:3406;top:10763;width:699;height:2" coordorigin="3406,10763" coordsize="699,0" path="m3406,10763l4105,10763e" filled="false" stroked="true" strokeweight=".48004pt" strokecolor="#000000">
                <v:path arrowok="t"/>
              </v:shape>
            </v:group>
            <v:group style="position:absolute;left:4115;top:10763;width:1409;height:2" coordorigin="4115,10763" coordsize="1409,2">
              <v:shape style="position:absolute;left:4115;top:10763;width:1409;height:2" coordorigin="4115,10763" coordsize="1409,0" path="m4115,10763l5523,10763e" filled="false" stroked="true" strokeweight=".48004pt" strokecolor="#000000">
                <v:path arrowok="t"/>
              </v:shape>
            </v:group>
            <v:group style="position:absolute;left:5533;top:10763;width:1054;height:2" coordorigin="5533,10763" coordsize="1054,2">
              <v:shape style="position:absolute;left:5533;top:10763;width:1054;height:2" coordorigin="5533,10763" coordsize="1054,0" path="m5533,10763l6587,10763e" filled="false" stroked="true" strokeweight=".48004pt" strokecolor="#000000">
                <v:path arrowok="t"/>
              </v:shape>
            </v:group>
            <v:group style="position:absolute;left:6596;top:10763;width:1055;height:2" coordorigin="6596,10763" coordsize="1055,2">
              <v:shape style="position:absolute;left:6596;top:10763;width:1055;height:2" coordorigin="6596,10763" coordsize="1055,0" path="m6596,10763l7650,10763e" filled="false" stroked="true" strokeweight=".48004pt" strokecolor="#000000">
                <v:path arrowok="t"/>
              </v:shape>
            </v:group>
            <v:group style="position:absolute;left:7660;top:10763;width:840;height:2" coordorigin="7660,10763" coordsize="840,2">
              <v:shape style="position:absolute;left:7660;top:10763;width:840;height:2" coordorigin="7660,10763" coordsize="840,0" path="m7660,10763l8500,10763e" filled="false" stroked="true" strokeweight=".48004pt" strokecolor="#000000">
                <v:path arrowok="t"/>
              </v:shape>
            </v:group>
            <v:group style="position:absolute;left:8509;top:10763;width:1055;height:2" coordorigin="8509,10763" coordsize="1055,2">
              <v:shape style="position:absolute;left:8509;top:10763;width:1055;height:2" coordorigin="8509,10763" coordsize="1055,0" path="m8509,10763l9563,10763e" filled="false" stroked="true" strokeweight=".48004pt" strokecolor="#000000">
                <v:path arrowok="t"/>
              </v:shape>
            </v:group>
            <v:group style="position:absolute;left:9573;top:10763;width:1054;height:2" coordorigin="9573,10763" coordsize="1054,2">
              <v:shape style="position:absolute;left:9573;top:10763;width:1054;height:2" coordorigin="9573,10763" coordsize="1054,0" path="m9573,10763l10627,10763e" filled="false" stroked="true" strokeweight=".48004pt" strokecolor="#000000">
                <v:path arrowok="t"/>
              </v:shape>
            </v:group>
            <v:group style="position:absolute;left:1138;top:12412;width:1410;height:2" coordorigin="1138,12412" coordsize="1410,2">
              <v:shape style="position:absolute;left:1138;top:12412;width:1410;height:2" coordorigin="1138,12412" coordsize="1410,0" path="m1138,12412l2547,12412e" filled="false" stroked="true" strokeweight=".48004pt" strokecolor="#000000">
                <v:path arrowok="t"/>
              </v:shape>
            </v:group>
            <v:group style="position:absolute;left:2556;top:12412;width:840;height:2" coordorigin="2556,12412" coordsize="840,2">
              <v:shape style="position:absolute;left:2556;top:12412;width:840;height:2" coordorigin="2556,12412" coordsize="840,0" path="m2556,12412l3396,12412e" filled="false" stroked="true" strokeweight=".48004pt" strokecolor="#000000">
                <v:path arrowok="t"/>
              </v:shape>
            </v:group>
            <v:group style="position:absolute;left:3406;top:12412;width:699;height:2" coordorigin="3406,12412" coordsize="699,2">
              <v:shape style="position:absolute;left:3406;top:12412;width:699;height:2" coordorigin="3406,12412" coordsize="699,0" path="m3406,12412l4105,12412e" filled="false" stroked="true" strokeweight=".48004pt" strokecolor="#000000">
                <v:path arrowok="t"/>
              </v:shape>
            </v:group>
            <v:group style="position:absolute;left:4115;top:12412;width:1409;height:2" coordorigin="4115,12412" coordsize="1409,2">
              <v:shape style="position:absolute;left:4115;top:12412;width:1409;height:2" coordorigin="4115,12412" coordsize="1409,0" path="m4115,12412l5523,12412e" filled="false" stroked="true" strokeweight=".48004pt" strokecolor="#000000">
                <v:path arrowok="t"/>
              </v:shape>
            </v:group>
            <v:group style="position:absolute;left:5533;top:12412;width:1054;height:2" coordorigin="5533,12412" coordsize="1054,2">
              <v:shape style="position:absolute;left:5533;top:12412;width:1054;height:2" coordorigin="5533,12412" coordsize="1054,0" path="m5533,12412l6587,12412e" filled="false" stroked="true" strokeweight=".48004pt" strokecolor="#000000">
                <v:path arrowok="t"/>
              </v:shape>
            </v:group>
            <v:group style="position:absolute;left:6596;top:12412;width:1055;height:2" coordorigin="6596,12412" coordsize="1055,2">
              <v:shape style="position:absolute;left:6596;top:12412;width:1055;height:2" coordorigin="6596,12412" coordsize="1055,0" path="m6596,12412l7650,12412e" filled="false" stroked="true" strokeweight=".48004pt" strokecolor="#000000">
                <v:path arrowok="t"/>
              </v:shape>
            </v:group>
            <v:group style="position:absolute;left:7660;top:12412;width:840;height:2" coordorigin="7660,12412" coordsize="840,2">
              <v:shape style="position:absolute;left:7660;top:12412;width:840;height:2" coordorigin="7660,12412" coordsize="840,0" path="m7660,12412l8500,12412e" filled="false" stroked="true" strokeweight=".48004pt" strokecolor="#000000">
                <v:path arrowok="t"/>
              </v:shape>
            </v:group>
            <v:group style="position:absolute;left:8509;top:12412;width:1055;height:2" coordorigin="8509,12412" coordsize="1055,2">
              <v:shape style="position:absolute;left:8509;top:12412;width:1055;height:2" coordorigin="8509,12412" coordsize="1055,0" path="m8509,12412l9563,12412e" filled="false" stroked="true" strokeweight=".48004pt" strokecolor="#000000">
                <v:path arrowok="t"/>
              </v:shape>
            </v:group>
            <v:group style="position:absolute;left:9573;top:12412;width:1054;height:2" coordorigin="9573,12412" coordsize="1054,2">
              <v:shape style="position:absolute;left:9573;top:12412;width:1054;height:2" coordorigin="9573,12412" coordsize="1054,0" path="m9573,12412l10627,12412e" filled="false" stroked="true" strokeweight=".48004pt" strokecolor="#000000">
                <v:path arrowok="t"/>
              </v:shape>
            </v:group>
            <v:group style="position:absolute;left:5535;top:13444;width:1054;height:624" coordorigin="5535,13444" coordsize="1054,624">
              <v:shape style="position:absolute;left:5535;top:13444;width:1054;height:624" coordorigin="5535,13444" coordsize="1054,624" path="m5535,14068l6589,14068,6589,13444,5535,13444,5535,14068xe" filled="true" fillcolor="#ffffff" stroked="false">
                <v:path arrowok="t"/>
                <v:fill type="solid"/>
              </v:shape>
            </v:group>
            <v:group style="position:absolute;left:1138;top:13440;width:1410;height:2" coordorigin="1138,13440" coordsize="1410,2">
              <v:shape style="position:absolute;left:1138;top:13440;width:1410;height:2" coordorigin="1138,13440" coordsize="1410,0" path="m1138,13440l2547,13440e" filled="false" stroked="true" strokeweight=".47998pt" strokecolor="#000000">
                <v:path arrowok="t"/>
              </v:shape>
            </v:group>
            <v:group style="position:absolute;left:2556;top:13440;width:840;height:2" coordorigin="2556,13440" coordsize="840,2">
              <v:shape style="position:absolute;left:2556;top:13440;width:840;height:2" coordorigin="2556,13440" coordsize="840,0" path="m2556,13440l3396,13440e" filled="false" stroked="true" strokeweight=".47998pt" strokecolor="#000000">
                <v:path arrowok="t"/>
              </v:shape>
            </v:group>
            <v:group style="position:absolute;left:3406;top:13440;width:699;height:2" coordorigin="3406,13440" coordsize="699,2">
              <v:shape style="position:absolute;left:3406;top:13440;width:699;height:2" coordorigin="3406,13440" coordsize="699,0" path="m3406,13440l4105,13440e" filled="false" stroked="true" strokeweight=".47998pt" strokecolor="#000000">
                <v:path arrowok="t"/>
              </v:shape>
            </v:group>
            <v:group style="position:absolute;left:4115;top:13440;width:1409;height:2" coordorigin="4115,13440" coordsize="1409,2">
              <v:shape style="position:absolute;left:4115;top:13440;width:1409;height:2" coordorigin="4115,13440" coordsize="1409,0" path="m4115,13440l5523,13440e" filled="false" stroked="true" strokeweight=".47998pt" strokecolor="#000000">
                <v:path arrowok="t"/>
              </v:shape>
            </v:group>
            <v:group style="position:absolute;left:5533;top:13440;width:1054;height:2" coordorigin="5533,13440" coordsize="1054,2">
              <v:shape style="position:absolute;left:5533;top:13440;width:1054;height:2" coordorigin="5533,13440" coordsize="1054,0" path="m5533,13440l6587,13440e" filled="false" stroked="true" strokeweight=".47998pt" strokecolor="#000000">
                <v:path arrowok="t"/>
              </v:shape>
            </v:group>
            <v:group style="position:absolute;left:6596;top:13440;width:1055;height:2" coordorigin="6596,13440" coordsize="1055,2">
              <v:shape style="position:absolute;left:6596;top:13440;width:1055;height:2" coordorigin="6596,13440" coordsize="1055,0" path="m6596,13440l7650,13440e" filled="false" stroked="true" strokeweight=".47998pt" strokecolor="#000000">
                <v:path arrowok="t"/>
              </v:shape>
            </v:group>
            <v:group style="position:absolute;left:7660;top:13440;width:840;height:2" coordorigin="7660,13440" coordsize="840,2">
              <v:shape style="position:absolute;left:7660;top:13440;width:840;height:2" coordorigin="7660,13440" coordsize="840,0" path="m7660,13440l8500,13440e" filled="false" stroked="true" strokeweight=".47998pt" strokecolor="#000000">
                <v:path arrowok="t"/>
              </v:shape>
            </v:group>
            <v:group style="position:absolute;left:8509;top:13440;width:1055;height:2" coordorigin="8509,13440" coordsize="1055,2">
              <v:shape style="position:absolute;left:8509;top:13440;width:1055;height:2" coordorigin="8509,13440" coordsize="1055,0" path="m8509,13440l9563,13440e" filled="false" stroked="true" strokeweight=".47998pt" strokecolor="#000000">
                <v:path arrowok="t"/>
              </v:shape>
            </v:group>
            <v:group style="position:absolute;left:9573;top:13440;width:1054;height:2" coordorigin="9573,13440" coordsize="1054,2">
              <v:shape style="position:absolute;left:9573;top:13440;width:1054;height:2" coordorigin="9573,13440" coordsize="1054,0" path="m9573,13440l10627,13440e" filled="false" stroked="true" strokeweight=".47998pt" strokecolor="#000000">
                <v:path arrowok="t"/>
              </v:shape>
            </v:group>
            <v:group style="position:absolute;left:1133;top:1793;width:2;height:13300" coordorigin="1133,1793" coordsize="2,13300">
              <v:shape style="position:absolute;left:1133;top:1793;width:2;height:13300" coordorigin="1133,1793" coordsize="0,13300" path="m1133,1793l1133,15093e" filled="false" stroked="true" strokeweight=".48pt" strokecolor="#000000">
                <v:path arrowok="t"/>
              </v:shape>
            </v:group>
            <v:group style="position:absolute;left:1138;top:15088;width:1410;height:2" coordorigin="1138,15088" coordsize="1410,2">
              <v:shape style="position:absolute;left:1138;top:15088;width:1410;height:2" coordorigin="1138,15088" coordsize="1410,0" path="m1138,15088l2547,15088e" filled="false" stroked="true" strokeweight=".47998pt" strokecolor="#000000">
                <v:path arrowok="t"/>
              </v:shape>
            </v:group>
            <v:group style="position:absolute;left:2552;top:1793;width:2;height:13300" coordorigin="2552,1793" coordsize="2,13300">
              <v:shape style="position:absolute;left:2552;top:1793;width:2;height:13300" coordorigin="2552,1793" coordsize="0,13300" path="m2552,1793l2552,15093e" filled="false" stroked="true" strokeweight=".48pt" strokecolor="#000000">
                <v:path arrowok="t"/>
              </v:shape>
            </v:group>
            <v:group style="position:absolute;left:2556;top:15088;width:840;height:2" coordorigin="2556,15088" coordsize="840,2">
              <v:shape style="position:absolute;left:2556;top:15088;width:840;height:2" coordorigin="2556,15088" coordsize="840,0" path="m2556,15088l3396,15088e" filled="false" stroked="true" strokeweight=".47998pt" strokecolor="#000000">
                <v:path arrowok="t"/>
              </v:shape>
            </v:group>
            <v:group style="position:absolute;left:3401;top:1793;width:2;height:13300" coordorigin="3401,1793" coordsize="2,13300">
              <v:shape style="position:absolute;left:3401;top:1793;width:2;height:13300" coordorigin="3401,1793" coordsize="0,13300" path="m3401,1793l3401,15093e" filled="false" stroked="true" strokeweight=".48pt" strokecolor="#000000">
                <v:path arrowok="t"/>
              </v:shape>
            </v:group>
            <v:group style="position:absolute;left:3406;top:15088;width:699;height:2" coordorigin="3406,15088" coordsize="699,2">
              <v:shape style="position:absolute;left:3406;top:15088;width:699;height:2" coordorigin="3406,15088" coordsize="699,0" path="m3406,15088l4105,15088e" filled="false" stroked="true" strokeweight=".47998pt" strokecolor="#000000">
                <v:path arrowok="t"/>
              </v:shape>
            </v:group>
            <v:group style="position:absolute;left:4110;top:1793;width:2;height:13300" coordorigin="4110,1793" coordsize="2,13300">
              <v:shape style="position:absolute;left:4110;top:1793;width:2;height:13300" coordorigin="4110,1793" coordsize="0,13300" path="m4110,1793l4110,15093e" filled="false" stroked="true" strokeweight=".48pt" strokecolor="#000000">
                <v:path arrowok="t"/>
              </v:shape>
            </v:group>
            <v:group style="position:absolute;left:4115;top:15088;width:1409;height:2" coordorigin="4115,15088" coordsize="1409,2">
              <v:shape style="position:absolute;left:4115;top:15088;width:1409;height:2" coordorigin="4115,15088" coordsize="1409,0" path="m4115,15088l5523,15088e" filled="false" stroked="true" strokeweight=".47998pt" strokecolor="#000000">
                <v:path arrowok="t"/>
              </v:shape>
            </v:group>
            <v:group style="position:absolute;left:5528;top:1793;width:2;height:13300" coordorigin="5528,1793" coordsize="2,13300">
              <v:shape style="position:absolute;left:5528;top:1793;width:2;height:13300" coordorigin="5528,1793" coordsize="0,13300" path="m5528,1793l5528,15093e" filled="false" stroked="true" strokeweight=".48001pt" strokecolor="#000000">
                <v:path arrowok="t"/>
              </v:shape>
            </v:group>
            <v:group style="position:absolute;left:5533;top:15088;width:1054;height:2" coordorigin="5533,15088" coordsize="1054,2">
              <v:shape style="position:absolute;left:5533;top:15088;width:1054;height:2" coordorigin="5533,15088" coordsize="1054,0" path="m5533,15088l6587,15088e" filled="false" stroked="true" strokeweight=".47998pt" strokecolor="#000000">
                <v:path arrowok="t"/>
              </v:shape>
            </v:group>
            <v:group style="position:absolute;left:6591;top:1793;width:2;height:13300" coordorigin="6591,1793" coordsize="2,13300">
              <v:shape style="position:absolute;left:6591;top:1793;width:2;height:13300" coordorigin="6591,1793" coordsize="0,13300" path="m6591,1793l6591,15093e" filled="false" stroked="true" strokeweight=".48001pt" strokecolor="#000000">
                <v:path arrowok="t"/>
              </v:shape>
            </v:group>
            <v:group style="position:absolute;left:6596;top:15088;width:1055;height:2" coordorigin="6596,15088" coordsize="1055,2">
              <v:shape style="position:absolute;left:6596;top:15088;width:1055;height:2" coordorigin="6596,15088" coordsize="1055,0" path="m6596,15088l7650,15088e" filled="false" stroked="true" strokeweight=".47998pt" strokecolor="#000000">
                <v:path arrowok="t"/>
              </v:shape>
            </v:group>
            <v:group style="position:absolute;left:7655;top:1793;width:2;height:13300" coordorigin="7655,1793" coordsize="2,13300">
              <v:shape style="position:absolute;left:7655;top:1793;width:2;height:13300" coordorigin="7655,1793" coordsize="0,13300" path="m7655,1793l7655,15093e" filled="false" stroked="true" strokeweight=".48001pt" strokecolor="#000000">
                <v:path arrowok="t"/>
              </v:shape>
            </v:group>
            <v:group style="position:absolute;left:7660;top:15088;width:840;height:2" coordorigin="7660,15088" coordsize="840,2">
              <v:shape style="position:absolute;left:7660;top:15088;width:840;height:2" coordorigin="7660,15088" coordsize="840,0" path="m7660,15088l8500,15088e" filled="false" stroked="true" strokeweight=".47998pt" strokecolor="#000000">
                <v:path arrowok="t"/>
              </v:shape>
            </v:group>
            <v:group style="position:absolute;left:8505;top:1793;width:2;height:13300" coordorigin="8505,1793" coordsize="2,13300">
              <v:shape style="position:absolute;left:8505;top:1793;width:2;height:13300" coordorigin="8505,1793" coordsize="0,13300" path="m8505,1793l8505,15093e" filled="false" stroked="true" strokeweight=".48001pt" strokecolor="#000000">
                <v:path arrowok="t"/>
              </v:shape>
            </v:group>
            <v:group style="position:absolute;left:8509;top:15088;width:1055;height:2" coordorigin="8509,15088" coordsize="1055,2">
              <v:shape style="position:absolute;left:8509;top:15088;width:1055;height:2" coordorigin="8509,15088" coordsize="1055,0" path="m8509,15088l9563,15088e" filled="false" stroked="true" strokeweight=".47998pt" strokecolor="#000000">
                <v:path arrowok="t"/>
              </v:shape>
            </v:group>
            <v:group style="position:absolute;left:9568;top:1793;width:2;height:13300" coordorigin="9568,1793" coordsize="2,13300">
              <v:shape style="position:absolute;left:9568;top:1793;width:2;height:13300" coordorigin="9568,1793" coordsize="0,13300" path="m9568,1793l9568,15093e" filled="false" stroked="true" strokeweight=".48001pt" strokecolor="#000000">
                <v:path arrowok="t"/>
              </v:shape>
            </v:group>
            <v:group style="position:absolute;left:9573;top:15088;width:1054;height:2" coordorigin="9573,15088" coordsize="1054,2">
              <v:shape style="position:absolute;left:9573;top:15088;width:1054;height:2" coordorigin="9573,15088" coordsize="1054,0" path="m9573,15088l10627,15088e" filled="false" stroked="true" strokeweight=".47998pt" strokecolor="#000000">
                <v:path arrowok="t"/>
              </v:shape>
            </v:group>
            <v:group style="position:absolute;left:10632;top:1793;width:2;height:13300" coordorigin="10632,1793" coordsize="2,13300">
              <v:shape style="position:absolute;left:10632;top:1793;width:2;height:13300" coordorigin="10632,1793" coordsize="0,13300" path="m10632,1793l10632,15093e" filled="false" stroked="true" strokeweight=".47998pt" strokecolor="#000000">
                <v:path arrowok="t"/>
              </v:shape>
            </v:group>
            <w10:wrap type="none"/>
          </v:group>
        </w:pict>
      </w:r>
      <w:r>
        <w:rPr>
          <w:rFonts w:ascii="宋体" w:hAnsi="宋体" w:cs="宋体" w:eastAsia="宋体" w:hint="default"/>
          <w:sz w:val="18"/>
          <w:szCs w:val="18"/>
        </w:rPr>
        <w:t>品牌发展和标准 培育专项资金补 贴</w:t>
      </w:r>
    </w:p>
    <w:p>
      <w:pPr>
        <w:spacing w:line="314" w:lineRule="auto" w:before="23"/>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理局火炬</w:t>
      </w:r>
      <w:r>
        <w:rPr>
          <w:rFonts w:ascii="宋体" w:hAnsi="宋体" w:cs="宋体" w:eastAsia="宋体" w:hint="default"/>
          <w:spacing w:val="42"/>
          <w:sz w:val="18"/>
          <w:szCs w:val="18"/>
        </w:rPr>
        <w:t> </w:t>
      </w:r>
      <w:r>
        <w:rPr>
          <w:rFonts w:ascii="宋体" w:hAnsi="宋体" w:cs="宋体" w:eastAsia="宋体" w:hint="default"/>
          <w:sz w:val="18"/>
          <w:szCs w:val="18"/>
        </w:rPr>
        <w:t>补助</w:t>
      </w:r>
      <w:r>
        <w:rPr>
          <w:rFonts w:ascii="宋体" w:hAnsi="宋体" w:cs="宋体" w:eastAsia="宋体" w:hint="default"/>
          <w:sz w:val="18"/>
          <w:szCs w:val="18"/>
        </w:rPr>
        <w:t> 开发区分</w:t>
      </w:r>
    </w:p>
    <w:p>
      <w:pPr>
        <w:spacing w:before="20"/>
        <w:ind w:left="118" w:right="-20" w:firstLine="0"/>
        <w:jc w:val="left"/>
        <w:rPr>
          <w:rFonts w:ascii="宋体" w:hAnsi="宋体" w:cs="宋体" w:eastAsia="宋体" w:hint="default"/>
          <w:sz w:val="18"/>
          <w:szCs w:val="18"/>
        </w:rPr>
      </w:pPr>
      <w:r>
        <w:rPr>
          <w:rFonts w:ascii="宋体" w:hAnsi="宋体" w:cs="宋体" w:eastAsia="宋体" w:hint="default"/>
          <w:sz w:val="18"/>
          <w:szCs w:val="18"/>
        </w:rPr>
        <w:t>局</w:t>
      </w:r>
    </w:p>
    <w:p>
      <w:pPr>
        <w:spacing w:line="316" w:lineRule="auto" w:before="2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产业而获得的补 </w:t>
      </w: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p>
      <w:pPr>
        <w:tabs>
          <w:tab w:pos="1078" w:val="left" w:leader="none"/>
          <w:tab w:pos="3188" w:val="left" w:leader="none"/>
        </w:tabs>
        <w:spacing w:before="23"/>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221,000.00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0"/>
          <w:cols w:num="4" w:equalWidth="0">
            <w:col w:w="1442" w:space="40"/>
            <w:col w:w="1331" w:space="166"/>
            <w:col w:w="1543" w:space="40"/>
            <w:col w:w="6368"/>
          </w:cols>
        </w:sectPr>
      </w:pPr>
    </w:p>
    <w:p>
      <w:pPr>
        <w:spacing w:line="240" w:lineRule="auto" w:before="6"/>
        <w:rPr>
          <w:rFonts w:ascii="宋体" w:hAnsi="宋体" w:cs="宋体" w:eastAsia="宋体" w:hint="default"/>
          <w:sz w:val="28"/>
          <w:szCs w:val="28"/>
        </w:rPr>
      </w:pPr>
      <w:r>
        <w:rPr/>
        <w:pict>
          <v:group style="position:absolute;margin-left:276.769989pt;margin-top:72.475983pt;width:52.7pt;height:31.25pt;mso-position-horizontal-relative:page;mso-position-vertical-relative:page;z-index:-1111216" coordorigin="5535,1450" coordsize="1054,625">
            <v:shape style="position:absolute;left:5535;top:1450;width:1054;height:625" coordorigin="5535,1450" coordsize="1054,625" path="m5535,2074l6589,2074,6589,1450,5535,1450,5535,2074xe" filled="true" fillcolor="#ffffff" stroked="false">
              <v:path arrowok="t"/>
              <v:fill type="solid"/>
            </v:shape>
            <w10:wrap type="none"/>
          </v:group>
        </w:pict>
      </w:r>
      <w:r>
        <w:rPr/>
        <w:pict>
          <v:group style="position:absolute;margin-left:276.769989pt;margin-top:304.489990pt;width:52.7pt;height:31.2pt;mso-position-horizontal-relative:page;mso-position-vertical-relative:page;z-index:-1111192" coordorigin="5535,6090" coordsize="1054,624">
            <v:shape style="position:absolute;left:5535;top:6090;width:1054;height:624" coordorigin="5535,6090" coordsize="1054,624" path="m5535,6714l6589,6714,6589,6090,5535,6090,5535,671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419"/>
        <w:gridCol w:w="850"/>
        <w:gridCol w:w="709"/>
        <w:gridCol w:w="1418"/>
        <w:gridCol w:w="1063"/>
        <w:gridCol w:w="1064"/>
        <w:gridCol w:w="850"/>
        <w:gridCol w:w="1064"/>
        <w:gridCol w:w="1063"/>
      </w:tblGrid>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年促进经济 发展专项资金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中山市商 务局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中山火炬开发区 科技强企专项资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中山火炬 高技术产 业开发区 经济发展 和科技信 息局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23"/>
              <w:jc w:val="left"/>
              <w:rPr>
                <w:rFonts w:ascii="宋体" w:hAnsi="宋体" w:cs="宋体" w:eastAsia="宋体" w:hint="default"/>
                <w:sz w:val="18"/>
                <w:szCs w:val="18"/>
              </w:rPr>
            </w:pPr>
            <w:r>
              <w:rPr>
                <w:rFonts w:ascii="宋体" w:hAnsi="宋体" w:cs="宋体" w:eastAsia="宋体" w:hint="default"/>
                <w:sz w:val="18"/>
                <w:szCs w:val="18"/>
              </w:rPr>
              <w:t>高企培育入库市 级专项资金补助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9"/>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3"/>
              <w:jc w:val="both"/>
              <w:rPr>
                <w:rFonts w:ascii="宋体" w:hAnsi="宋体" w:cs="宋体" w:eastAsia="宋体" w:hint="default"/>
                <w:sz w:val="18"/>
                <w:szCs w:val="18"/>
              </w:rPr>
            </w:pPr>
            <w:r>
              <w:rPr>
                <w:rFonts w:ascii="宋体" w:hAnsi="宋体" w:cs="宋体" w:eastAsia="宋体" w:hint="default"/>
                <w:sz w:val="18"/>
                <w:szCs w:val="18"/>
              </w:rPr>
              <w:t>中山市经济和信 息化局高成长中 小企业补助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3"/>
              <w:jc w:val="left"/>
              <w:rPr>
                <w:rFonts w:ascii="宋体" w:hAnsi="宋体" w:cs="宋体" w:eastAsia="宋体" w:hint="default"/>
                <w:sz w:val="18"/>
                <w:szCs w:val="18"/>
              </w:rPr>
            </w:pPr>
            <w:r>
              <w:rPr>
                <w:rFonts w:ascii="宋体" w:hAnsi="宋体" w:cs="宋体" w:eastAsia="宋体" w:hint="default"/>
                <w:sz w:val="18"/>
                <w:szCs w:val="18"/>
              </w:rPr>
              <w:t>知识产权专项资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中山市知 识产权局</w:t>
            </w:r>
            <w:r>
              <w:rPr>
                <w:rFonts w:ascii="Times New Roman" w:hAnsi="Times New Roman" w:cs="Times New Roman" w:eastAsia="Times New Roman" w:hint="default"/>
                <w:sz w:val="18"/>
                <w:szCs w:val="18"/>
              </w:rPr>
              <w:t>/ </w:t>
            </w:r>
            <w:r>
              <w:rPr>
                <w:rFonts w:ascii="宋体" w:hAnsi="宋体" w:cs="宋体" w:eastAsia="宋体" w:hint="default"/>
                <w:sz w:val="18"/>
                <w:szCs w:val="18"/>
              </w:rPr>
              <w:t>中山市财 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科技创新补助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年度民众镇 鼓励科技创新专 项资金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中山市财 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年省促进 经济发展专项资 金中小企业提质 增效转型升级》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5"/>
              <w:jc w:val="both"/>
              <w:rPr>
                <w:rFonts w:ascii="宋体" w:hAnsi="宋体" w:cs="宋体" w:eastAsia="宋体" w:hint="default"/>
                <w:sz w:val="18"/>
                <w:szCs w:val="18"/>
              </w:rPr>
            </w:pPr>
            <w:r>
              <w:rPr>
                <w:rFonts w:ascii="宋体" w:hAnsi="宋体" w:cs="宋体" w:eastAsia="宋体" w:hint="default"/>
                <w:sz w:val="18"/>
                <w:szCs w:val="18"/>
              </w:rPr>
              <w:t>中山市经 济和信息 化局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10"/>
                <w:sz w:val="18"/>
                <w:szCs w:val="18"/>
              </w:rPr>
              <w:t>助（按国家级政策</w:t>
            </w:r>
            <w:r>
              <w:rPr>
                <w:rFonts w:ascii="宋体" w:hAnsi="宋体" w:cs="宋体" w:eastAsia="宋体" w:hint="default"/>
                <w:sz w:val="18"/>
                <w:szCs w:val="18"/>
              </w:rPr>
              <w:t> 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19" w:firstLine="0"/>
        <w:jc w:val="left"/>
        <w:rPr>
          <w:rFonts w:ascii="宋体" w:hAnsi="宋体" w:cs="宋体" w:eastAsia="宋体" w:hint="default"/>
          <w:sz w:val="18"/>
          <w:szCs w:val="18"/>
        </w:rPr>
      </w:pPr>
      <w:r>
        <w:rPr/>
        <w:pict>
          <v:group style="position:absolute;margin-left:276.769989pt;margin-top:-82.438286pt;width:52.7pt;height:31.2pt;mso-position-horizontal-relative:page;mso-position-vertical-relative:paragraph;z-index:-1111168" coordorigin="5535,-1649" coordsize="1054,624">
            <v:shape style="position:absolute;left:5535;top:-1649;width:1054;height:624" coordorigin="5535,-1649" coordsize="1054,624" path="m5535,-1025l6589,-1025,6589,-1649,5535,-1649,5535,-1025xe" filled="true" fillcolor="#ffffff" stroked="false">
              <v:path arrowok="t"/>
              <v:fill type="solid"/>
            </v:shape>
            <w10:wrap type="none"/>
          </v:group>
        </w:pict>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1,083,555.00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1,083,555.00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52,442.65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324,641.90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52,442.65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26,963.51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26,963.51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1,162,961.16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933,431.50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1,162,961.16</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3,755,440.97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8,210,320.45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3,199,703.22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-1,749,215.87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6,955,144.19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6,461,104.58</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36,848,569.47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5,527,285.42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-2,682,039.71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160,865.56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359,698.01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29,384.37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10,485,109.73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4,948.60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-6,930,078.54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6,955,144.19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、其他综合收益。</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1,690,397.33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3,820,073.44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8,036,620.97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2,155,262.68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834,587.01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9,311,307.60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10,561,605.31</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555,028.31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808,452.61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37,232,302.57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40,203,961.17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管理和研发支付的现金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37,197,330.51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38,324,835.36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894,880.48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1,045,271.84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75,879,541.87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80,382,520.98</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收回货币基金产品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1"/>
        <w:ind w:right="111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远期外汇合约到期结算损失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5,906,300.00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29,893,425.28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22,034,868.37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1,974,003.54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5,277,196.19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10,929,078.51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10,239,119.72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3,110,770.66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2,019,617.48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2,866,738.60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9,136,755.61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7,866.53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-76,047.22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52,442.65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324,641.90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-4,239,077.00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2,970,500.00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-325,120.05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1,095,030.85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32,575.82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-2,498,428.80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2,869,226.67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-1,609,025.87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-3,033,258.61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-140,190.00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71.935982pt;width:151.25pt;height:20.7pt;mso-position-horizontal-relative:page;mso-position-vertical-relative:page;z-index:-1111144" coordorigin="4467,1439" coordsize="3025,414">
            <v:group style="position:absolute;left:4478;top:1450;width:2;height:392" coordorigin="4478,1450" coordsize="2,392">
              <v:shape style="position:absolute;left:4478;top:1450;width:2;height:392" coordorigin="4478,1450" coordsize="0,392" path="m4478,1450l4478,1841e" filled="false" stroked="true" strokeweight="1.08pt" strokecolor="#ffffff">
                <v:path arrowok="t"/>
              </v:shape>
            </v:group>
            <v:group style="position:absolute;left:4489;top:1450;width:3003;height:392" coordorigin="4489,1450" coordsize="3003,392">
              <v:shape style="position:absolute;left:4489;top:1450;width:3003;height:392" coordorigin="4489,1450" coordsize="3003,392" path="m4489,1841l7492,1841,7492,1450,4489,1450,4489,184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-4,842,910.90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-8,623,670.05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-25,627,938.86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-33,906,123.12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61,289,975.75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78,911,935.71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74,957,798.59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85,156,180.77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162,274,518.10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233,426,937.34</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233,426,937.34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119,059,365.53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-71,152,419.24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114,367,571.81</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162,274,518.10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233,426,937.34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24,124.88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17,645.70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162,250,393.22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233,409,291.64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162,274,518.10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233,426,937.34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61,944,388.76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61,944,388.76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114,256,238.08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16,273,246.61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113,525,423.00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584,108.51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163,775.23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146,706.58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119,575,453.05</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17,140,206.53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119,573,508.79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1,406.79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537.47</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229,656.50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229,656.50</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980" w:header="877"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31,392,900.00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31,392,900.00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2,682,738.48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384,513.47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2,682,442.87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5,520,416.85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791,321.47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5,520,416.85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59" w:lineRule="auto" w:before="118"/>
        <w:ind w:right="1119"/>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16"/>
        <w:gridCol w:w="1369"/>
        <w:gridCol w:w="2040"/>
        <w:gridCol w:w="3632"/>
      </w:tblGrid>
      <w:tr>
        <w:trPr>
          <w:trHeight w:val="34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经营地所处的主要经济环境中的货币</w:t>
            </w:r>
          </w:p>
        </w:tc>
      </w:tr>
      <w:tr>
        <w:trPr>
          <w:trHeight w:val="34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经营地所处的主要经济环境中的货币</w:t>
            </w:r>
          </w:p>
        </w:tc>
      </w:tr>
      <w:tr>
        <w:trPr>
          <w:trHeight w:val="34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Lifesense Singapore</w:t>
            </w:r>
            <w:r>
              <w:rPr>
                <w:rFonts w:ascii="Times New Roman"/>
                <w:spacing w:val="-8"/>
                <w:sz w:val="18"/>
              </w:rPr>
              <w:t> </w:t>
            </w:r>
            <w:r>
              <w:rPr>
                <w:rFonts w:ascii="Times New Roman"/>
                <w:sz w:val="18"/>
              </w:rPr>
              <w:t>Pte.Ltd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经营地所处的主要经济环境中的货币</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1702"/>
        <w:gridCol w:w="1418"/>
        <w:gridCol w:w="1913"/>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广东省智能移动医疗健康管理重点实验室建设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458,333.33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458,333.33</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广东省商务发展专项资金促进投保出口信用保险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383,900.35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383,900.35</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年中山市促进外贸稳增长专项资金外贸新业态 跨境贸易电子商务项目资金分配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79,135.00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79,135.00</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年省工业企业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上云上平台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服务券奖补 资金计划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关于中央财政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年度外经贸发展专项资金（外贸中小 企业开拓市场、企业品牌培育项目）等项目计划的公示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100,338.00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100,338.00</w:t>
            </w:r>
          </w:p>
        </w:tc>
      </w:tr>
      <w:tr>
        <w:trPr>
          <w:trHeight w:val="102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广东省商务厅关于中央财政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年度外经贸发展专项资 </w:t>
            </w:r>
            <w:r>
              <w:rPr>
                <w:rFonts w:ascii="宋体" w:hAnsi="宋体" w:cs="宋体" w:eastAsia="宋体" w:hint="default"/>
                <w:spacing w:val="-1"/>
                <w:sz w:val="18"/>
                <w:szCs w:val="18"/>
              </w:rPr>
              <w:t>金（外贸中小企业开拓市场、企业品牌培育项目）等项目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9,800.00</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0" w:header="877"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702"/>
        <w:gridCol w:w="1418"/>
        <w:gridCol w:w="1913"/>
      </w:tblGrid>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年中山火炬开发区质量管理品牌发展和标准培育专 项资金补贴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关于下达中山市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年工业发展专项</w:t>
            </w:r>
            <w:r>
              <w:rPr>
                <w:rFonts w:ascii="宋体" w:hAnsi="宋体" w:cs="宋体" w:eastAsia="宋体" w:hint="default"/>
                <w:spacing w:val="-1"/>
                <w:sz w:val="18"/>
                <w:szCs w:val="18"/>
              </w:rPr>
              <w:t> </w:t>
            </w:r>
            <w:r>
              <w:rPr>
                <w:rFonts w:ascii="宋体" w:hAnsi="宋体" w:cs="宋体" w:eastAsia="宋体" w:hint="default"/>
                <w:sz w:val="18"/>
                <w:szCs w:val="18"/>
              </w:rPr>
              <w:t>资金</w:t>
            </w:r>
            <w:r>
              <w:rPr>
                <w:rFonts w:ascii="Times New Roman" w:hAnsi="Times New Roman" w:cs="Times New Roman" w:eastAsia="Times New Roman" w:hint="default"/>
                <w:sz w:val="18"/>
                <w:szCs w:val="18"/>
              </w:rPr>
              <w:t>——</w:t>
            </w:r>
            <w:r>
              <w:rPr>
                <w:rFonts w:ascii="宋体" w:hAnsi="宋体" w:cs="宋体" w:eastAsia="宋体" w:hint="default"/>
                <w:sz w:val="18"/>
                <w:szCs w:val="18"/>
              </w:rPr>
              <w:t>总部企 业经营贡献奖</w:t>
            </w:r>
            <w:r>
              <w:rPr>
                <w:rFonts w:ascii="宋体" w:hAnsi="宋体" w:cs="宋体" w:eastAsia="宋体" w:hint="default"/>
                <w:spacing w:val="1"/>
                <w:sz w:val="18"/>
                <w:szCs w:val="18"/>
              </w:rPr>
              <w:t> </w:t>
            </w:r>
            <w:r>
              <w:rPr>
                <w:rFonts w:ascii="宋体" w:hAnsi="宋体" w:cs="宋体" w:eastAsia="宋体" w:hint="default"/>
                <w:sz w:val="18"/>
                <w:szCs w:val="18"/>
              </w:rPr>
              <w:t>专题资助计划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127,800.00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关于下达高新技术企业认定补助资金经费</w:t>
            </w:r>
            <w:r>
              <w:rPr>
                <w:rFonts w:ascii="宋体" w:hAnsi="宋体" w:cs="宋体" w:eastAsia="宋体" w:hint="default"/>
                <w:spacing w:val="2"/>
                <w:sz w:val="18"/>
                <w:szCs w:val="18"/>
              </w:rPr>
              <w:t> </w:t>
            </w:r>
            <w:r>
              <w:rPr>
                <w:rFonts w:ascii="宋体" w:hAnsi="宋体" w:cs="宋体" w:eastAsia="宋体" w:hint="default"/>
                <w:sz w:val="18"/>
                <w:szCs w:val="18"/>
              </w:rPr>
              <w:t>（第一批）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《关于印发中山市知识产权专项资金使用办法的通知》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年度中山火炬开发区促进外贸发展专项资金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79,135.00</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年中山火炬开发区促进外贸发展专项资金（出口信用</w:t>
            </w:r>
            <w:r>
              <w:rPr>
                <w:rFonts w:ascii="宋体" w:hAnsi="宋体" w:cs="宋体" w:eastAsia="宋体" w:hint="default"/>
                <w:sz w:val="18"/>
                <w:szCs w:val="18"/>
              </w:rPr>
              <w:t> 保险专项）资金分配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188,515.00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188,515.00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中山市知识产权补助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中山科发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号关于下达高新技术企业认定补助资 金经费（第一批）的通知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广东省商务厅关于中央财政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年度外经贸发展专项资 金（开拓重点事项）项目计划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136,620.00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136,620.00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中山市知识产权补助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中山市知识产权补助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年中山市商务发展专项资金（促进对外贸易项目）支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持企业投保出口信用保险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年度中山市第二批科技发展专项资金项目（科技保 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中山市知识产权补助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广东省产学研高价值专利育成中心建设项目（智能穿戴设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年度民众镇鼓励科技创新专项资金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164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tabs>
                <w:tab w:pos="3584" w:val="left" w:leader="none"/>
              </w:tabs>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《广东省人力资源和社会保障厅</w:t>
            </w:r>
            <w:r>
              <w:rPr>
                <w:rFonts w:ascii="宋体" w:hAnsi="宋体" w:cs="宋体" w:eastAsia="宋体" w:hint="default"/>
                <w:spacing w:val="1"/>
                <w:sz w:val="18"/>
                <w:szCs w:val="18"/>
              </w:rPr>
              <w:t> </w:t>
            </w:r>
            <w:r>
              <w:rPr>
                <w:rFonts w:ascii="宋体" w:hAnsi="宋体" w:cs="宋体" w:eastAsia="宋体" w:hint="default"/>
                <w:sz w:val="18"/>
                <w:szCs w:val="18"/>
              </w:rPr>
              <w:t>国家税务总局广东省税</w:t>
            </w:r>
            <w:r>
              <w:rPr>
                <w:rFonts w:ascii="宋体" w:hAnsi="宋体" w:cs="宋体" w:eastAsia="宋体" w:hint="default"/>
                <w:sz w:val="18"/>
                <w:szCs w:val="18"/>
              </w:rPr>
              <w:t> 务局</w:t>
            </w:r>
            <w:r>
              <w:rPr>
                <w:rFonts w:ascii="宋体" w:hAnsi="宋体" w:cs="宋体" w:eastAsia="宋体" w:hint="default"/>
                <w:spacing w:val="1"/>
                <w:sz w:val="18"/>
                <w:szCs w:val="18"/>
              </w:rPr>
              <w:t> </w:t>
            </w:r>
            <w:r>
              <w:rPr>
                <w:rFonts w:ascii="宋体" w:hAnsi="宋体" w:cs="宋体" w:eastAsia="宋体" w:hint="default"/>
                <w:sz w:val="18"/>
                <w:szCs w:val="18"/>
              </w:rPr>
              <w:t>海关总署广东分署关于做好受影响企业和职工认定</w:t>
            </w:r>
            <w:r>
              <w:rPr>
                <w:rFonts w:ascii="宋体" w:hAnsi="宋体" w:cs="宋体" w:eastAsia="宋体" w:hint="default"/>
                <w:sz w:val="18"/>
                <w:szCs w:val="18"/>
              </w:rPr>
              <w:t> </w:t>
            </w:r>
            <w:r>
              <w:rPr>
                <w:rFonts w:ascii="宋体" w:hAnsi="宋体" w:cs="宋体" w:eastAsia="宋体" w:hint="default"/>
                <w:spacing w:val="-6"/>
                <w:sz w:val="18"/>
                <w:szCs w:val="18"/>
              </w:rPr>
              <w:t>工作的通知》（粤人社规〔</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tab/>
              <w:t>《广东省人 民政府关于印发广东省进一步促进就业若干政策措施的 </w:t>
            </w:r>
            <w:r>
              <w:rPr>
                <w:rFonts w:ascii="宋体" w:hAnsi="宋体" w:cs="宋体" w:eastAsia="宋体" w:hint="default"/>
                <w:spacing w:val="-7"/>
                <w:sz w:val="18"/>
                <w:szCs w:val="18"/>
              </w:rPr>
              <w:t>通知》（粤府〔</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141,841.47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141,841.47</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广东省商务厅关于中央财政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年度外经贸发展专项资 金（开拓重点事项）项目计划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31,050.00</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年中山市商务发展专项资金（促进对外贸易项目）支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持企业投保出口信用保险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中山市知识产权补助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1"/>
                <w:sz w:val="18"/>
                <w:szCs w:val="18"/>
              </w:rPr>
              <w:t> </w:t>
            </w:r>
            <w:r>
              <w:rPr>
                <w:rFonts w:ascii="宋体" w:hAnsi="宋体" w:cs="宋体" w:eastAsia="宋体" w:hint="default"/>
                <w:sz w:val="18"/>
                <w:szCs w:val="18"/>
              </w:rPr>
              <w:t>企业研发开发资助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273,000.00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深圳市社会保险基金管理局</w:t>
            </w:r>
            <w:r>
              <w:rPr>
                <w:rFonts w:ascii="宋体" w:hAnsi="宋体" w:cs="宋体" w:eastAsia="宋体" w:hint="default"/>
                <w:spacing w:val="1"/>
                <w:sz w:val="18"/>
                <w:szCs w:val="18"/>
              </w:rPr>
              <w:t> </w:t>
            </w:r>
            <w:r>
              <w:rPr>
                <w:rFonts w:ascii="宋体" w:hAnsi="宋体" w:cs="宋体" w:eastAsia="宋体" w:hint="default"/>
                <w:sz w:val="18"/>
                <w:szCs w:val="18"/>
              </w:rPr>
              <w:t>稳岗补贴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4,339.83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4,339.83</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深圳市科技创新委员会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年高新技术企业培育资助计 划资助资金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702"/>
        <w:gridCol w:w="1418"/>
        <w:gridCol w:w="1913"/>
      </w:tblGrid>
      <w:tr>
        <w:trPr>
          <w:trHeight w:val="4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394,248.83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394,248.83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2"/>
        <w:ind w:right="1119"/>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5" coordorigin="23,14" coordsize="2,395">
              <v:shape style="position:absolute;left:23;top:14;width:2;height:395" coordorigin="23,14" coordsize="0,395" path="m23,14l23,408e" filled="false" stroked="true" strokeweight="1.08pt" strokecolor="#d2d2d2">
                <v:path arrowok="t"/>
              </v:shape>
            </v:group>
            <v:group style="position:absolute;left:4775;top:14;width:2;height:395" coordorigin="4775,14" coordsize="2,395">
              <v:shape style="position:absolute;left:4775;top:14;width:2;height:395" coordorigin="4775,14" coordsize="0,395" path="m4775,14l4775,408e" filled="false" stroked="true" strokeweight="1.2pt" strokecolor="#d2d2d2">
                <v:path arrowok="t"/>
              </v:shape>
            </v:group>
            <v:group style="position:absolute;left:34;top:14;width:4729;height:395" coordorigin="34,14" coordsize="4729,395">
              <v:shape style="position:absolute;left:34;top:14;width:4729;height:395" coordorigin="34,14" coordsize="4729,395" path="m34,408l4763,408,4763,14,34,14,34,408xe" filled="true" fillcolor="#d2d2d2" stroked="false">
                <v:path arrowok="t"/>
                <v:fill type="solid"/>
              </v:shape>
            </v:group>
            <v:group style="position:absolute;left:4807;top:14;width:2;height:395" coordorigin="4807,14" coordsize="2,395">
              <v:shape style="position:absolute;left:4807;top:14;width:2;height:395" coordorigin="4807,14" coordsize="0,395" path="m4807,14l4807,408e" filled="false" stroked="true" strokeweight="1.08pt" strokecolor="#d2d2d2">
                <v:path arrowok="t"/>
              </v:shape>
            </v:group>
            <v:group style="position:absolute;left:9559;top:14;width:2;height:395" coordorigin="9559,14" coordsize="2,395">
              <v:shape style="position:absolute;left:9559;top:14;width:2;height:395" coordorigin="9559,14" coordsize="0,395" path="m9559,14l9559,408e" filled="false" stroked="true" strokeweight="1.2pt" strokecolor="#d2d2d2">
                <v:path arrowok="t"/>
              </v:shape>
            </v:group>
            <v:group style="position:absolute;left:4818;top:14;width:4729;height:395" coordorigin="4818,14" coordsize="4729,395">
              <v:shape style="position:absolute;left:4818;top:14;width:4729;height:395" coordorigin="4818,14" coordsize="4729,395"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783;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5"/>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9"/>
        <w:rPr>
          <w:rFonts w:ascii="宋体" w:hAnsi="宋体" w:cs="宋体" w:eastAsia="宋体" w:hint="default"/>
          <w:sz w:val="22"/>
          <w:szCs w:val="22"/>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006"/>
        <w:gridCol w:w="467"/>
        <w:gridCol w:w="737"/>
        <w:gridCol w:w="735"/>
        <w:gridCol w:w="736"/>
        <w:gridCol w:w="736"/>
        <w:gridCol w:w="734"/>
        <w:gridCol w:w="735"/>
        <w:gridCol w:w="737"/>
        <w:gridCol w:w="737"/>
        <w:gridCol w:w="736"/>
        <w:gridCol w:w="736"/>
        <w:gridCol w:w="725"/>
      </w:tblGrid>
      <w:tr>
        <w:trPr>
          <w:trHeight w:val="150"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4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43" w:right="53"/>
              <w:jc w:val="left"/>
              <w:rPr>
                <w:rFonts w:ascii="宋体" w:hAnsi="宋体" w:cs="宋体" w:eastAsia="宋体" w:hint="default"/>
                <w:sz w:val="18"/>
                <w:szCs w:val="18"/>
              </w:rPr>
            </w:pPr>
            <w:r>
              <w:rPr>
                <w:rFonts w:ascii="宋体" w:hAnsi="宋体" w:cs="宋体" w:eastAsia="宋体" w:hint="default"/>
                <w:sz w:val="18"/>
                <w:szCs w:val="18"/>
              </w:rPr>
              <w:t>股权 处置</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8"/>
              <w:ind w:left="92"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8"/>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3" w:right="90"/>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4"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92"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r>
        <w:trPr>
          <w:trHeight w:val="394"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67"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5"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0"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46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478"/>
        <w:gridCol w:w="737"/>
        <w:gridCol w:w="735"/>
        <w:gridCol w:w="737"/>
        <w:gridCol w:w="734"/>
        <w:gridCol w:w="734"/>
        <w:gridCol w:w="735"/>
        <w:gridCol w:w="737"/>
        <w:gridCol w:w="737"/>
        <w:gridCol w:w="737"/>
        <w:gridCol w:w="735"/>
        <w:gridCol w:w="737"/>
      </w:tblGrid>
      <w:tr>
        <w:trPr>
          <w:trHeight w:val="317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 w:right="0"/>
              <w:jc w:val="left"/>
              <w:rPr>
                <w:rFonts w:ascii="宋体" w:hAnsi="宋体" w:cs="宋体" w:eastAsia="宋体" w:hint="default"/>
                <w:sz w:val="18"/>
                <w:szCs w:val="18"/>
              </w:rPr>
            </w:pPr>
            <w:r>
              <w:rPr>
                <w:rFonts w:ascii="宋体" w:hAnsi="宋体" w:cs="宋体" w:eastAsia="宋体" w:hint="default"/>
                <w:sz w:val="18"/>
                <w:szCs w:val="18"/>
              </w:rPr>
              <w:t>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4" w:right="89"/>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025"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福州乐医成 信息技术服 务有限公司</w:t>
            </w:r>
          </w:p>
        </w:tc>
        <w:tc>
          <w:tcPr>
            <w:tcW w:w="47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公司注 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40" w:lineRule="auto" w:before="0"/>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日公司注销了福州乐医成信息技术服务有限公司。</w:t>
      </w:r>
    </w:p>
    <w:p>
      <w:pPr>
        <w:spacing w:before="178"/>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5"/>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BodyText"/>
        <w:spacing w:line="240" w:lineRule="auto" w:before="0"/>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日公司注销了福州乐医成信息技术服务有限公司。自注销之日起，不再纳入合并范围。</w:t>
      </w:r>
    </w:p>
    <w:p>
      <w:pPr>
        <w:spacing w:line="240" w:lineRule="auto" w:before="10"/>
        <w:rPr>
          <w:rFonts w:ascii="宋体" w:hAnsi="宋体" w:cs="宋体" w:eastAsia="宋体" w:hint="default"/>
          <w:sz w:val="14"/>
          <w:szCs w:val="14"/>
        </w:rPr>
      </w:pPr>
    </w:p>
    <w:p>
      <w:pPr>
        <w:pStyle w:val="BodyText"/>
        <w:spacing w:line="240" w:lineRule="auto" w:before="0"/>
        <w:ind w:left="573" w:right="1119"/>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26</w:t>
      </w:r>
      <w:r>
        <w:rPr/>
        <w:t>日公司完成注销子公司</w:t>
      </w:r>
      <w:r>
        <w:rPr>
          <w:rFonts w:ascii="宋体" w:hAnsi="宋体" w:cs="宋体" w:eastAsia="宋体" w:hint="default"/>
        </w:rPr>
        <w:t>FutureIOT Labs</w:t>
      </w:r>
      <w:r>
        <w:rPr>
          <w:rFonts w:ascii="宋体" w:hAnsi="宋体" w:cs="宋体" w:eastAsia="宋体" w:hint="default"/>
          <w:spacing w:val="-10"/>
        </w:rPr>
        <w:t> </w:t>
      </w:r>
      <w:r>
        <w:rPr>
          <w:rFonts w:ascii="宋体" w:hAnsi="宋体" w:cs="宋体" w:eastAsia="宋体" w:hint="default"/>
        </w:rPr>
        <w:t>LLC</w:t>
      </w:r>
      <w:r>
        <w:rPr/>
        <w:t>。自注销之日起，不再纳入合并范围。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1119"/>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中山市创源传感 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中山市创源贸易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深圳市乐心医疗 电子有限公司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广州动心信息科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中山乐心电子有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香港创源有限公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深圳市瑞康宏业 科技开发有限公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制造业、研发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非同一控下制合 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6"/>
              <w:jc w:val="left"/>
              <w:rPr>
                <w:rFonts w:ascii="Times New Roman" w:hAnsi="Times New Roman" w:cs="Times New Roman" w:eastAsia="Times New Roman" w:hint="default"/>
                <w:sz w:val="18"/>
                <w:szCs w:val="18"/>
              </w:rPr>
            </w:pPr>
            <w:r>
              <w:rPr>
                <w:rFonts w:ascii="Times New Roman"/>
                <w:sz w:val="18"/>
              </w:rPr>
              <w:t>Lifesense</w:t>
            </w:r>
            <w:r>
              <w:rPr>
                <w:rFonts w:ascii="Times New Roman"/>
                <w:w w:val="99"/>
                <w:sz w:val="18"/>
              </w:rPr>
              <w:t> </w:t>
            </w:r>
            <w:r>
              <w:rPr>
                <w:rFonts w:ascii="Times New Roman"/>
                <w:sz w:val="18"/>
              </w:rPr>
              <w:t>Singapore pte</w:t>
            </w:r>
            <w:r>
              <w:rPr>
                <w:rFonts w:ascii="Times New Roman"/>
                <w:spacing w:val="-4"/>
                <w:sz w:val="18"/>
              </w:rPr>
              <w:t> </w:t>
            </w:r>
            <w:r>
              <w:rPr>
                <w:rFonts w:ascii="Times New Roman"/>
                <w:sz w:val="18"/>
              </w:rPr>
              <w:t>Ltd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中山市乐恒电子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广州乐心瑜宏医 疗产业投资基金 合伙企业（有限 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240" w:lineRule="auto" w:before="6"/>
        <w:ind w:left="573" w:right="1119"/>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Lifesense Health Inc</w:t>
      </w:r>
      <w:r>
        <w:rPr/>
        <w:t>公司名称变更为</w:t>
      </w:r>
      <w:r>
        <w:rPr>
          <w:rFonts w:ascii="Times New Roman" w:hAnsi="Times New Roman" w:cs="Times New Roman" w:eastAsia="Times New Roman" w:hint="default"/>
        </w:rPr>
        <w:t>Mio Labs</w:t>
      </w:r>
      <w:r>
        <w:rPr>
          <w:rFonts w:ascii="Times New Roman" w:hAnsi="Times New Roman" w:cs="Times New Roman" w:eastAsia="Times New Roman" w:hint="default"/>
          <w:spacing w:val="-17"/>
        </w:rPr>
        <w:t> </w:t>
      </w:r>
      <w:r>
        <w:rPr>
          <w:rFonts w:ascii="Times New Roman" w:hAnsi="Times New Roman" w:cs="Times New Roman" w:eastAsia="Times New Roman" w:hint="default"/>
        </w:rPr>
        <w:t>Inc.</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Heading5"/>
        <w:spacing w:line="240" w:lineRule="auto" w:before="127"/>
        <w:ind w:right="1119"/>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5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54"/>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4"/>
        <w:gridCol w:w="4404"/>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6"/>
        <w:gridCol w:w="736"/>
        <w:gridCol w:w="737"/>
        <w:gridCol w:w="736"/>
        <w:gridCol w:w="725"/>
      </w:tblGrid>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5"/>
        <w:spacing w:line="240" w:lineRule="auto"/>
        <w:ind w:right="1119"/>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5"/>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1119"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3"/>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68"/>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1119"/>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险管理目标和政策的确定，并对风险管理目标和政策承担最终责任。本公司的内部审计师也会审计风险管</w:t>
      </w:r>
      <w:r>
        <w:rPr>
          <w:spacing w:val="-44"/>
        </w:rPr>
        <w:t> </w:t>
      </w:r>
      <w:r>
        <w:rPr>
          <w:spacing w:val="-44"/>
        </w:rPr>
      </w:r>
      <w:r>
        <w:rPr/>
        <w:t>理的政策和程序，并且将有关发现汇报给审计委员会。</w:t>
      </w:r>
    </w:p>
    <w:p>
      <w:pPr>
        <w:pStyle w:val="BodyText"/>
        <w:spacing w:line="408" w:lineRule="auto"/>
        <w:ind w:right="1126" w:firstLine="420"/>
        <w:jc w:val="both"/>
      </w:pPr>
      <w:r>
        <w:rPr>
          <w:spacing w:val="-2"/>
        </w:rPr>
        <w:t>本公司风险管理的总体目标是在不过度影响公司竞争力和应变力的情况下，制定尽可能降低风险的风</w:t>
      </w:r>
      <w:r>
        <w:rPr>
          <w:w w:val="100"/>
        </w:rPr>
        <w:t> </w:t>
      </w:r>
      <w:r>
        <w:rPr/>
        <w:t>险管理政策。</w:t>
      </w:r>
    </w:p>
    <w:p>
      <w:pPr>
        <w:pStyle w:val="BodyText"/>
        <w:spacing w:line="410" w:lineRule="auto"/>
        <w:ind w:left="573" w:right="2444" w:firstLine="2"/>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w:t>
      </w:r>
    </w:p>
    <w:p>
      <w:pPr>
        <w:pStyle w:val="BodyText"/>
        <w:spacing w:line="408" w:lineRule="auto" w:before="44"/>
        <w:ind w:right="1126" w:firstLine="420"/>
        <w:jc w:val="both"/>
      </w:pPr>
      <w:r>
        <w:rPr>
          <w:spacing w:val="-2"/>
        </w:rPr>
        <w:t>本公司主要面临赊销导致的客户信用风险。在签订新合同之前，本公司会对新客户的信用风险进行评</w:t>
      </w:r>
      <w:r>
        <w:rPr>
          <w:w w:val="100"/>
        </w:rPr>
        <w:t> </w:t>
      </w:r>
      <w:r>
        <w:rPr>
          <w:spacing w:val="-2"/>
        </w:rPr>
        <w:t>估，包括外部信用评级和在某些情况下的银行资信证明（当此信息可获取时）。公司对每一客户均设置了</w:t>
      </w:r>
      <w:r>
        <w:rPr>
          <w:spacing w:val="-47"/>
        </w:rPr>
        <w:t> </w:t>
      </w:r>
      <w:r>
        <w:rPr>
          <w:spacing w:val="-47"/>
        </w:rPr>
      </w:r>
      <w:r>
        <w:rPr/>
        <w:t>赊销限额，该限额为无需获得额外批准的最大额度。</w:t>
      </w:r>
    </w:p>
    <w:p>
      <w:pPr>
        <w:pStyle w:val="BodyText"/>
        <w:spacing w:line="408" w:lineRule="auto"/>
        <w:ind w:right="1126" w:firstLine="420"/>
        <w:jc w:val="both"/>
      </w:pPr>
      <w:r>
        <w:rPr>
          <w:spacing w:val="2"/>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风险在可控的范围内。在监控客户的信用风险时，按照客户的信用特征对其分组。被评为“高风险”级别</w:t>
      </w:r>
      <w:r>
        <w:rPr>
          <w:spacing w:val="-47"/>
        </w:rPr>
        <w:t> </w:t>
      </w:r>
      <w:r>
        <w:rPr>
          <w:spacing w:val="-47"/>
        </w:rPr>
      </w:r>
      <w:r>
        <w:rPr>
          <w:spacing w:val="-2"/>
        </w:rPr>
        <w:t>的客户会放在受限制客户名单里，并且只有在额外批准的前提下，公司才可在未来期间内对其赊销，否则</w:t>
      </w:r>
      <w:r>
        <w:rPr>
          <w:spacing w:val="-43"/>
        </w:rPr>
        <w:t> </w:t>
      </w:r>
      <w:r>
        <w:rPr>
          <w:spacing w:val="-43"/>
        </w:rPr>
      </w:r>
      <w:r>
        <w:rPr/>
        <w:t>必须要求其提前支付相应款项。</w:t>
      </w:r>
    </w:p>
    <w:p>
      <w:pPr>
        <w:pStyle w:val="BodyText"/>
        <w:spacing w:line="408" w:lineRule="auto"/>
        <w:ind w:right="1104" w:firstLine="420"/>
        <w:jc w:val="both"/>
      </w:pPr>
      <w:r>
        <w:rPr>
          <w:spacing w:val="-2"/>
        </w:rPr>
        <w:t>本公司应收账款的债务人为分布于不同地区的客户。本公司持续对应收账款财务状况实施信用评估，</w:t>
      </w:r>
      <w:r>
        <w:rPr>
          <w:w w:val="100"/>
        </w:rPr>
        <w:t> </w:t>
      </w:r>
      <w:r>
        <w:rPr/>
        <w:t>并在适当时购买信用担保保险。</w:t>
      </w:r>
    </w:p>
    <w:p>
      <w:pPr>
        <w:pStyle w:val="BodyText"/>
        <w:spacing w:line="408" w:lineRule="auto"/>
        <w:ind w:right="1126" w:firstLine="420"/>
        <w:jc w:val="both"/>
      </w:pPr>
      <w:r>
        <w:rPr>
          <w:spacing w:val="-2"/>
        </w:rPr>
        <w:t>本公司所承受的最大信用风险敞口为资产负债表中每项金融资产的账面金额。没有提供任何其他可能</w:t>
      </w:r>
      <w:r>
        <w:rPr>
          <w:w w:val="100"/>
        </w:rPr>
        <w:t> </w:t>
      </w:r>
      <w:r>
        <w:rPr/>
        <w:t>令本公司承受信用风险的担保。</w:t>
      </w:r>
    </w:p>
    <w:p>
      <w:pPr>
        <w:pStyle w:val="BodyText"/>
        <w:spacing w:line="408" w:lineRule="auto"/>
        <w:ind w:right="1126" w:firstLine="420"/>
        <w:jc w:val="both"/>
      </w:pPr>
      <w:r>
        <w:rPr>
          <w:spacing w:val="13"/>
        </w:rPr>
        <w:t>本公司应收账款中，欠款金额前五大客户的应收账款占本公司应收账款总额的</w:t>
      </w:r>
      <w:r>
        <w:rPr>
          <w:spacing w:val="-26"/>
        </w:rPr>
        <w:t> </w:t>
      </w:r>
      <w:r>
        <w:rPr>
          <w:rFonts w:ascii="宋体" w:hAnsi="宋体" w:cs="宋体" w:eastAsia="宋体" w:hint="default"/>
          <w:spacing w:val="2"/>
        </w:rPr>
        <w:t>48.75%</w:t>
      </w:r>
      <w:r>
        <w:rPr>
          <w:spacing w:val="2"/>
        </w:rPr>
        <w:t>（</w:t>
      </w:r>
      <w:r>
        <w:rPr>
          <w:rFonts w:ascii="宋体" w:hAnsi="宋体" w:cs="宋体" w:eastAsia="宋体" w:hint="default"/>
          <w:spacing w:val="2"/>
        </w:rPr>
        <w:t>2018</w:t>
      </w:r>
      <w:r>
        <w:rPr>
          <w:spacing w:val="2"/>
        </w:rPr>
        <w:t>年</w:t>
      </w:r>
      <w:r>
        <w:rPr>
          <w:w w:val="100"/>
        </w:rPr>
        <w:t> </w:t>
      </w:r>
      <w:r>
        <w:rPr>
          <w:rFonts w:ascii="宋体" w:hAnsi="宋体" w:cs="宋体" w:eastAsia="宋体" w:hint="default"/>
          <w:spacing w:val="-2"/>
        </w:rPr>
        <w:t>37.67%</w:t>
      </w:r>
      <w:r>
        <w:rPr>
          <w:spacing w:val="-2"/>
        </w:rPr>
        <w:t>）；本公司其他应收款中，欠款金额前五大客户的其他应收款占本公司其他应收款</w:t>
      </w:r>
      <w:r>
        <w:rPr>
          <w:rFonts w:ascii="宋体" w:hAnsi="宋体" w:cs="宋体" w:eastAsia="宋体" w:hint="default"/>
          <w:spacing w:val="-2"/>
        </w:rPr>
        <w:t>45.04%</w:t>
      </w:r>
      <w:r>
        <w:rPr>
          <w:spacing w:val="-2"/>
        </w:rPr>
        <w:t>（</w:t>
      </w:r>
      <w:r>
        <w:rPr>
          <w:rFonts w:ascii="宋体" w:hAnsi="宋体" w:cs="宋体" w:eastAsia="宋体" w:hint="default"/>
          <w:spacing w:val="-2"/>
        </w:rPr>
        <w:t>2018</w:t>
      </w:r>
      <w:r>
        <w:rPr>
          <w:spacing w:val="-2"/>
        </w:rPr>
        <w:t>年</w:t>
      </w:r>
    </w:p>
    <w:p>
      <w:pPr>
        <w:pStyle w:val="BodyText"/>
        <w:spacing w:line="240" w:lineRule="auto"/>
        <w:ind w:right="1119"/>
        <w:jc w:val="left"/>
      </w:pPr>
      <w:r>
        <w:rPr>
          <w:rFonts w:ascii="宋体" w:hAnsi="宋体" w:cs="宋体" w:eastAsia="宋体" w:hint="default"/>
        </w:rPr>
        <w:t>71.40%</w:t>
      </w:r>
      <w:r>
        <w:rPr/>
        <w:t>）</w:t>
      </w:r>
    </w:p>
    <w:p>
      <w:pPr>
        <w:spacing w:line="240" w:lineRule="auto" w:before="10"/>
        <w:rPr>
          <w:rFonts w:ascii="宋体" w:hAnsi="宋体" w:cs="宋体" w:eastAsia="宋体" w:hint="default"/>
          <w:sz w:val="14"/>
          <w:szCs w:val="14"/>
        </w:rPr>
      </w:pPr>
    </w:p>
    <w:p>
      <w:pPr>
        <w:pStyle w:val="Heading5"/>
        <w:spacing w:line="240" w:lineRule="auto"/>
        <w:ind w:left="575" w:right="1119"/>
        <w:jc w:val="left"/>
        <w:rPr>
          <w:b w:val="0"/>
          <w:bCs w:val="0"/>
        </w:rPr>
      </w:pPr>
      <w:r>
        <w:rPr>
          <w:rFonts w:ascii="宋体" w:hAnsi="宋体" w:cs="宋体" w:eastAsia="宋体" w:hint="default"/>
        </w:rPr>
        <w:t>2</w:t>
      </w:r>
      <w:r>
        <w:rPr/>
        <w:t>、市场风险</w:t>
      </w:r>
      <w:r>
        <w:rPr>
          <w:b w:val="0"/>
          <w:bCs w:val="0"/>
        </w:rPr>
      </w:r>
    </w:p>
    <w:p>
      <w:pPr>
        <w:spacing w:line="240" w:lineRule="auto" w:before="11"/>
        <w:rPr>
          <w:rFonts w:ascii="宋体" w:hAnsi="宋体" w:cs="宋体" w:eastAsia="宋体" w:hint="default"/>
          <w:b/>
          <w:bCs/>
          <w:sz w:val="14"/>
          <w:szCs w:val="14"/>
        </w:rPr>
      </w:pPr>
    </w:p>
    <w:p>
      <w:pPr>
        <w:pStyle w:val="BodyText"/>
        <w:spacing w:line="408" w:lineRule="auto" w:before="0"/>
        <w:ind w:left="573" w:right="1119"/>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利率风险，是指金融工具的公允价值或未来现金流量因市场利率变动而发生波动的风险。本公司面临</w:t>
      </w:r>
    </w:p>
    <w:p>
      <w:pPr>
        <w:pStyle w:val="BodyText"/>
        <w:spacing w:line="408" w:lineRule="auto"/>
        <w:ind w:right="996"/>
        <w:jc w:val="left"/>
      </w:pPr>
      <w:r>
        <w:rPr>
          <w:spacing w:val="-2"/>
        </w:rPr>
        <w:t>的利率风险主要来源于银行短期借款。本公司以同期同档次国家基准利率或上浮一定百分比的利率计息的</w:t>
      </w:r>
      <w:r>
        <w:rPr>
          <w:spacing w:val="-43"/>
        </w:rPr>
        <w:t> </w:t>
      </w:r>
      <w:r>
        <w:rPr>
          <w:spacing w:val="-43"/>
        </w:rPr>
      </w:r>
      <w:r>
        <w:rPr>
          <w:spacing w:val="-4"/>
        </w:rPr>
        <w:t>银行借款人民币</w:t>
      </w:r>
      <w:r>
        <w:rPr>
          <w:rFonts w:ascii="宋体" w:hAnsi="宋体" w:cs="宋体" w:eastAsia="宋体" w:hint="default"/>
          <w:spacing w:val="-4"/>
        </w:rPr>
        <w:t>33,492,900.00</w:t>
      </w:r>
      <w:r>
        <w:rPr>
          <w:spacing w:val="-4"/>
        </w:rPr>
        <w:t>元。在其他变量不变的假设下，利率发生合理、可能的</w:t>
      </w:r>
      <w:r>
        <w:rPr>
          <w:rFonts w:ascii="宋体" w:hAnsi="宋体" w:cs="宋体" w:eastAsia="宋体" w:hint="default"/>
          <w:spacing w:val="-4"/>
        </w:rPr>
        <w:t>100</w:t>
      </w:r>
      <w:r>
        <w:rPr>
          <w:spacing w:val="-4"/>
        </w:rPr>
        <w:t>基准点的变动时，</w:t>
      </w:r>
      <w:r>
        <w:rPr>
          <w:spacing w:val="-25"/>
        </w:rPr>
        <w:t> </w:t>
      </w:r>
      <w:r>
        <w:rPr>
          <w:spacing w:val="-25"/>
        </w:rPr>
      </w:r>
      <w:r>
        <w:rPr/>
        <w:t>将不会对本公司的利润总额和股东权益产生重大的影响。</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19"/>
        <w:jc w:val="left"/>
      </w:pPr>
      <w:r>
        <w:rPr/>
        <w:t>（</w:t>
      </w:r>
      <w:r>
        <w:rPr>
          <w:rFonts w:ascii="宋体" w:hAnsi="宋体" w:cs="宋体" w:eastAsia="宋体" w:hint="default"/>
        </w:rPr>
        <w:t>2</w:t>
      </w:r>
      <w:r>
        <w:rPr/>
        <w:t>）汇率风险</w:t>
      </w:r>
      <w:r>
        <w:rPr>
          <w:w w:val="100"/>
        </w:rPr>
        <w:t> </w:t>
      </w:r>
      <w:r>
        <w:rPr>
          <w:spacing w:val="-2"/>
        </w:rPr>
        <w:t>汇率风险，是指金融工具的公允价值或未来现金流量因外汇汇率变动而发生波动的风险。本公司尽可</w:t>
      </w:r>
    </w:p>
    <w:p>
      <w:pPr>
        <w:pStyle w:val="BodyText"/>
        <w:spacing w:line="408" w:lineRule="auto"/>
        <w:ind w:right="1119"/>
        <w:jc w:val="left"/>
      </w:pPr>
      <w:r>
        <w:rPr>
          <w:spacing w:val="-2"/>
        </w:rPr>
        <w:t>能将外币收入与外币支出相匹配以降低汇率风险。此外，公司还可能签署远期外汇合约或货币互换合约以</w:t>
      </w:r>
      <w:r>
        <w:rPr>
          <w:spacing w:val="-41"/>
        </w:rPr>
        <w:t> </w:t>
      </w:r>
      <w:r>
        <w:rPr>
          <w:spacing w:val="-41"/>
        </w:rPr>
      </w:r>
      <w:r>
        <w:rPr/>
        <w:t>达到规避汇率风险的目的。于本期及上期，本公司未签署任何远期外汇合约或货币互换合约。</w:t>
      </w:r>
    </w:p>
    <w:p>
      <w:pPr>
        <w:pStyle w:val="BodyText"/>
        <w:spacing w:line="408" w:lineRule="auto"/>
        <w:ind w:right="1119" w:firstLine="420"/>
        <w:jc w:val="left"/>
      </w:pPr>
      <w:r>
        <w:rPr>
          <w:spacing w:val="-2"/>
        </w:rPr>
        <w:t>本公司面临的汇率风险主要来源于以美元计价的金融资产和金融负债，外币金融资产和外币金融负债</w:t>
      </w:r>
      <w:r>
        <w:rPr>
          <w:w w:val="100"/>
        </w:rPr>
        <w:t> </w:t>
      </w:r>
      <w:r>
        <w:rPr/>
        <w:t>折算成人民币的金额列示如下：</w:t>
      </w:r>
    </w:p>
    <w:tbl>
      <w:tblPr>
        <w:tblW w:w="0" w:type="auto"/>
        <w:jc w:val="left"/>
        <w:tblInd w:w="179" w:type="dxa"/>
        <w:tblLayout w:type="fixed"/>
        <w:tblCellMar>
          <w:top w:w="0" w:type="dxa"/>
          <w:left w:w="0" w:type="dxa"/>
          <w:bottom w:w="0" w:type="dxa"/>
          <w:right w:w="0" w:type="dxa"/>
        </w:tblCellMar>
        <w:tblLook w:val="01E0"/>
      </w:tblPr>
      <w:tblGrid>
        <w:gridCol w:w="1066"/>
        <w:gridCol w:w="1709"/>
        <w:gridCol w:w="1046"/>
        <w:gridCol w:w="1591"/>
        <w:gridCol w:w="1558"/>
        <w:gridCol w:w="852"/>
        <w:gridCol w:w="1750"/>
      </w:tblGrid>
      <w:tr>
        <w:trPr>
          <w:trHeight w:val="348" w:hRule="exact"/>
        </w:trPr>
        <w:tc>
          <w:tcPr>
            <w:tcW w:w="1066" w:type="dxa"/>
            <w:vMerge w:val="restart"/>
            <w:tcBorders>
              <w:top w:val="single" w:sz="6" w:space="0" w:color="000000"/>
              <w:left w:val="single" w:sz="6" w:space="0" w:color="000000"/>
              <w:right w:val="single" w:sz="6" w:space="0" w:color="000000"/>
            </w:tcBorders>
          </w:tcPr>
          <w:p>
            <w:pPr>
              <w:pStyle w:val="TableParagraph"/>
              <w:spacing w:line="235" w:lineRule="exact"/>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6" w:hRule="exact"/>
        </w:trPr>
        <w:tc>
          <w:tcPr>
            <w:tcW w:w="1066" w:type="dxa"/>
            <w:vMerge/>
            <w:tcBorders>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17,140,206.53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right"/>
              <w:rPr>
                <w:rFonts w:ascii="宋体" w:hAnsi="宋体" w:cs="宋体" w:eastAsia="宋体" w:hint="default"/>
                <w:sz w:val="18"/>
                <w:szCs w:val="18"/>
              </w:rPr>
            </w:pPr>
            <w:r>
              <w:rPr>
                <w:rFonts w:ascii="宋体"/>
                <w:spacing w:val="-1"/>
                <w:sz w:val="18"/>
              </w:rPr>
              <w:t>780.00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119,575,453.05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16,639,605.05</w:t>
            </w:r>
          </w:p>
        </w:tc>
        <w:tc>
          <w:tcPr>
            <w:tcW w:w="852"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114,200,937.38</w:t>
            </w:r>
          </w:p>
        </w:tc>
      </w:tr>
      <w:tr>
        <w:trPr>
          <w:trHeight w:val="34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pacing w:val="-1"/>
                <w:sz w:val="18"/>
              </w:rPr>
              <w:t>384,513.47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pacing w:val="-1"/>
                <w:sz w:val="18"/>
              </w:rPr>
              <w:t>330.00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pacing w:val="-1"/>
                <w:sz w:val="18"/>
              </w:rPr>
              <w:t>2,682,738.48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pacing w:val="-1"/>
                <w:sz w:val="18"/>
              </w:rPr>
              <w:t>341,356.96</w:t>
            </w:r>
          </w:p>
        </w:tc>
        <w:tc>
          <w:tcPr>
            <w:tcW w:w="852"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pacing w:val="-1"/>
                <w:sz w:val="18"/>
              </w:rPr>
              <w:t>2,342,801.09</w:t>
            </w:r>
          </w:p>
        </w:tc>
      </w:tr>
      <w:tr>
        <w:trPr>
          <w:trHeight w:val="348"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4,500,000.00</w:t>
            </w:r>
          </w:p>
        </w:tc>
        <w:tc>
          <w:tcPr>
            <w:tcW w:w="1046"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31,392,900.00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3,200,000.00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right"/>
              <w:rPr>
                <w:rFonts w:ascii="宋体" w:hAnsi="宋体" w:cs="宋体" w:eastAsia="宋体" w:hint="default"/>
                <w:sz w:val="18"/>
                <w:szCs w:val="18"/>
              </w:rPr>
            </w:pPr>
            <w:r>
              <w:rPr>
                <w:rFonts w:ascii="宋体"/>
                <w:spacing w:val="-1"/>
                <w:sz w:val="18"/>
              </w:rPr>
              <w:t>21,962,240.00</w:t>
            </w:r>
          </w:p>
        </w:tc>
      </w:tr>
    </w:tbl>
    <w:p>
      <w:pPr>
        <w:pStyle w:val="BodyText"/>
        <w:spacing w:line="408" w:lineRule="auto"/>
        <w:ind w:right="1119" w:firstLine="420"/>
        <w:jc w:val="left"/>
      </w:pPr>
      <w:r>
        <w:rPr>
          <w:spacing w:val="-2"/>
        </w:rPr>
        <w:t>在所有其他变量保持不变的情况下，如果人民币对美元升值或贬值</w:t>
      </w:r>
      <w:r>
        <w:rPr>
          <w:rFonts w:ascii="宋体" w:hAnsi="宋体" w:cs="宋体" w:eastAsia="宋体" w:hint="default"/>
          <w:spacing w:val="-2"/>
        </w:rPr>
        <w:t>1%</w:t>
      </w:r>
      <w:r>
        <w:rPr>
          <w:spacing w:val="-2"/>
        </w:rPr>
        <w:t>，对本公司净利润的影响如下。</w:t>
      </w:r>
      <w:r>
        <w:rPr>
          <w:w w:val="100"/>
        </w:rPr>
        <w:t> </w:t>
      </w:r>
      <w:r>
        <w:rPr/>
        <w:t>管理层认为</w:t>
      </w:r>
      <w:r>
        <w:rPr>
          <w:rFonts w:ascii="宋体" w:hAnsi="宋体" w:cs="宋体" w:eastAsia="宋体" w:hint="default"/>
        </w:rPr>
        <w:t>1%</w:t>
      </w:r>
      <w:r>
        <w:rPr/>
        <w:t>合理反映了人民币对美元可能发生变动的合理范围。</w:t>
      </w:r>
    </w:p>
    <w:tbl>
      <w:tblPr>
        <w:tblW w:w="0" w:type="auto"/>
        <w:jc w:val="left"/>
        <w:tblInd w:w="148" w:type="dxa"/>
        <w:tblLayout w:type="fixed"/>
        <w:tblCellMar>
          <w:top w:w="0" w:type="dxa"/>
          <w:left w:w="0" w:type="dxa"/>
          <w:bottom w:w="0" w:type="dxa"/>
          <w:right w:w="0" w:type="dxa"/>
        </w:tblCellMar>
        <w:tblLook w:val="01E0"/>
      </w:tblPr>
      <w:tblGrid>
        <w:gridCol w:w="2343"/>
        <w:gridCol w:w="3690"/>
        <w:gridCol w:w="3461"/>
      </w:tblGrid>
      <w:tr>
        <w:trPr>
          <w:trHeight w:val="350" w:hRule="exact"/>
        </w:trPr>
        <w:tc>
          <w:tcPr>
            <w:tcW w:w="234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汇率变化</w:t>
            </w:r>
          </w:p>
        </w:tc>
        <w:tc>
          <w:tcPr>
            <w:tcW w:w="7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对净利润的影响</w:t>
            </w:r>
          </w:p>
        </w:tc>
      </w:tr>
      <w:tr>
        <w:trPr>
          <w:trHeight w:val="348" w:hRule="exact"/>
        </w:trPr>
        <w:tc>
          <w:tcPr>
            <w:tcW w:w="2343" w:type="dxa"/>
            <w:vMerge/>
            <w:tcBorders>
              <w:left w:val="single" w:sz="4" w:space="0" w:color="000000"/>
              <w:bottom w:val="single" w:sz="4" w:space="0" w:color="000000"/>
              <w:right w:val="single" w:sz="4" w:space="0" w:color="000000"/>
            </w:tcBorders>
          </w:tcPr>
          <w:p>
            <w:pP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8"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z w:val="18"/>
                <w:szCs w:val="18"/>
              </w:rPr>
              <w:t>1%</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宋体" w:hAnsi="宋体" w:cs="宋体" w:eastAsia="宋体" w:hint="default"/>
                <w:sz w:val="18"/>
                <w:szCs w:val="18"/>
              </w:rPr>
            </w:pPr>
            <w:r>
              <w:rPr>
                <w:rFonts w:ascii="宋体"/>
                <w:spacing w:val="-1"/>
                <w:sz w:val="18"/>
              </w:rPr>
              <w:t>-4,115,341.50</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pacing w:val="-1"/>
                <w:sz w:val="18"/>
              </w:rPr>
              <w:t>-3,441,444.69</w:t>
            </w:r>
          </w:p>
        </w:tc>
      </w:tr>
      <w:tr>
        <w:trPr>
          <w:trHeight w:val="350"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z w:val="18"/>
                <w:szCs w:val="18"/>
              </w:rPr>
              <w:t>1%</w:t>
            </w:r>
          </w:p>
        </w:tc>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宋体" w:hAnsi="宋体" w:cs="宋体" w:eastAsia="宋体" w:hint="default"/>
                <w:sz w:val="18"/>
                <w:szCs w:val="18"/>
              </w:rPr>
            </w:pPr>
            <w:r>
              <w:rPr>
                <w:rFonts w:ascii="宋体"/>
                <w:spacing w:val="-1"/>
                <w:sz w:val="18"/>
              </w:rPr>
              <w:t>4,056,877.59</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pacing w:val="-1"/>
                <w:sz w:val="18"/>
              </w:rPr>
              <w:t>3,393,739.73</w:t>
            </w:r>
          </w:p>
        </w:tc>
      </w:tr>
    </w:tbl>
    <w:p>
      <w:pPr>
        <w:spacing w:line="240" w:lineRule="auto" w:before="8"/>
        <w:rPr>
          <w:rFonts w:ascii="宋体" w:hAnsi="宋体" w:cs="宋体" w:eastAsia="宋体" w:hint="default"/>
          <w:sz w:val="24"/>
          <w:szCs w:val="24"/>
        </w:rPr>
      </w:pPr>
    </w:p>
    <w:p>
      <w:pPr>
        <w:pStyle w:val="BodyText"/>
        <w:spacing w:line="408" w:lineRule="auto" w:before="36"/>
        <w:ind w:left="573" w:right="1119" w:firstLine="2"/>
        <w:jc w:val="left"/>
      </w:pPr>
      <w:r>
        <w:rPr>
          <w:rFonts w:ascii="宋体" w:hAnsi="宋体" w:cs="宋体" w:eastAsia="宋体" w:hint="default"/>
          <w:b/>
          <w:bCs/>
        </w:rPr>
        <w:t>3</w:t>
      </w:r>
      <w:r>
        <w:rPr>
          <w:rFonts w:ascii="宋体" w:hAnsi="宋体" w:cs="宋体" w:eastAsia="宋体" w:hint="default"/>
          <w:b/>
          <w:bCs/>
        </w:rPr>
        <w:t>、流动性风险</w:t>
      </w:r>
      <w:r>
        <w:rPr>
          <w:rFonts w:ascii="宋体" w:hAnsi="宋体" w:cs="宋体" w:eastAsia="宋体" w:hint="default"/>
          <w:b/>
          <w:bCs/>
          <w:w w:val="100"/>
        </w:rPr>
        <w:t> </w:t>
      </w:r>
      <w:r>
        <w:rPr>
          <w:spacing w:val="-2"/>
        </w:rPr>
        <w:t>流动性风险，是指企业在履行以交付现金或其他金融资产的方式结算的义务时发生资金短缺的风险。</w:t>
      </w:r>
    </w:p>
    <w:p>
      <w:pPr>
        <w:pStyle w:val="BodyText"/>
        <w:spacing w:line="408" w:lineRule="auto"/>
        <w:ind w:right="1126"/>
        <w:jc w:val="both"/>
      </w:pPr>
      <w:r>
        <w:rPr>
          <w:spacing w:val="-2"/>
        </w:rPr>
        <w:t>本公司的政策是确保拥有充足的现金以偿还到期债务。流动性风险由本公司的财务部门集中控制。财务部</w:t>
      </w:r>
      <w:r>
        <w:rPr>
          <w:spacing w:val="-44"/>
        </w:rPr>
        <w:t> </w:t>
      </w:r>
      <w:r>
        <w:rPr>
          <w:spacing w:val="-44"/>
        </w:rPr>
      </w:r>
      <w:r>
        <w:rPr>
          <w:spacing w:val="-2"/>
        </w:rPr>
        <w:t>门通过监控现金余额、可随时变现的有价证券以及对未来</w:t>
      </w:r>
      <w:r>
        <w:rPr>
          <w:rFonts w:ascii="宋体" w:hAnsi="宋体" w:cs="宋体" w:eastAsia="宋体" w:hint="default"/>
          <w:spacing w:val="-2"/>
        </w:rPr>
        <w:t>12</w:t>
      </w:r>
      <w:r>
        <w:rPr>
          <w:spacing w:val="-2"/>
        </w:rPr>
        <w:t>个月现金流量的滚动预测，确保公司在所有合</w:t>
      </w:r>
      <w:r>
        <w:rPr>
          <w:spacing w:val="-41"/>
        </w:rPr>
        <w:t> </w:t>
      </w:r>
      <w:r>
        <w:rPr>
          <w:spacing w:val="-41"/>
        </w:rPr>
      </w:r>
      <w:r>
        <w:rPr/>
        <w:t>理预测的情况下拥有充足的资金偿还债务。</w:t>
      </w:r>
    </w:p>
    <w:p>
      <w:pPr>
        <w:pStyle w:val="BodyText"/>
        <w:spacing w:line="240" w:lineRule="auto"/>
        <w:ind w:left="573" w:right="996"/>
        <w:jc w:val="left"/>
      </w:pPr>
      <w:r>
        <w:rPr/>
        <w:t>期末本公司持有的金融资产、金融负债和表外担保项目按未折现剩余合同现金流量到期期限分析如下</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（单位：元）</w:t>
      </w:r>
    </w:p>
    <w:p>
      <w:pPr>
        <w:spacing w:line="240" w:lineRule="auto" w:before="11"/>
        <w:rPr>
          <w:rFonts w:ascii="宋体" w:hAnsi="宋体" w:cs="宋体" w:eastAsia="宋体" w:hint="default"/>
          <w:sz w:val="9"/>
          <w:szCs w:val="9"/>
        </w:rPr>
      </w:pPr>
    </w:p>
    <w:tbl>
      <w:tblPr>
        <w:tblW w:w="0" w:type="auto"/>
        <w:jc w:val="left"/>
        <w:tblInd w:w="714" w:type="dxa"/>
        <w:tblLayout w:type="fixed"/>
        <w:tblCellMar>
          <w:top w:w="0" w:type="dxa"/>
          <w:left w:w="0" w:type="dxa"/>
          <w:bottom w:w="0" w:type="dxa"/>
          <w:right w:w="0" w:type="dxa"/>
        </w:tblCellMar>
        <w:tblLook w:val="01E0"/>
      </w:tblPr>
      <w:tblGrid>
        <w:gridCol w:w="2269"/>
        <w:gridCol w:w="1843"/>
        <w:gridCol w:w="1277"/>
        <w:gridCol w:w="1274"/>
        <w:gridCol w:w="994"/>
        <w:gridCol w:w="1558"/>
      </w:tblGrid>
      <w:tr>
        <w:trPr>
          <w:trHeight w:val="341"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269"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年以内或实时偿还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33,492,900.00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33,492,900.00</w:t>
            </w:r>
          </w:p>
        </w:tc>
      </w:tr>
      <w:tr>
        <w:trPr>
          <w:trHeight w:val="34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204,930,282.34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204,930,282.34</w:t>
            </w:r>
          </w:p>
        </w:tc>
      </w:tr>
      <w:tr>
        <w:trPr>
          <w:trHeight w:val="34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116,542,081.79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116,542,081.79</w:t>
            </w:r>
          </w:p>
        </w:tc>
      </w:tr>
      <w:tr>
        <w:trPr>
          <w:trHeight w:val="34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418,310.39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418,310.39</w:t>
            </w:r>
          </w:p>
        </w:tc>
      </w:tr>
      <w:tr>
        <w:trPr>
          <w:trHeight w:val="34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16,954.94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16,954.94</w:t>
            </w:r>
          </w:p>
        </w:tc>
      </w:tr>
      <w:tr>
        <w:trPr>
          <w:trHeight w:val="34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17,170,671.45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17,170,671.45</w:t>
            </w:r>
          </w:p>
        </w:tc>
      </w:tr>
      <w:tr>
        <w:trPr>
          <w:trHeight w:val="34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372,571,200.91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372,571,200.91</w:t>
            </w:r>
          </w:p>
        </w:tc>
      </w:tr>
    </w:tbl>
    <w:p>
      <w:pPr>
        <w:spacing w:after="0" w:line="240" w:lineRule="auto"/>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firstLine="420"/>
        <w:jc w:val="left"/>
      </w:pPr>
      <w:r>
        <w:rPr>
          <w:spacing w:val="-2"/>
        </w:rPr>
        <w:t>上年末本公司持有的金融资产、金融负债和表外担保项目按未折现剩余合同现金流量到期期限分析如</w:t>
      </w:r>
      <w:r>
        <w:rPr>
          <w:w w:val="100"/>
        </w:rPr>
        <w:t> </w:t>
      </w:r>
      <w:r>
        <w:rPr/>
        <w:t>下（单位：元）</w:t>
      </w:r>
    </w:p>
    <w:tbl>
      <w:tblPr>
        <w:tblW w:w="0" w:type="auto"/>
        <w:jc w:val="left"/>
        <w:tblInd w:w="148" w:type="dxa"/>
        <w:tblLayout w:type="fixed"/>
        <w:tblCellMar>
          <w:top w:w="0" w:type="dxa"/>
          <w:left w:w="0" w:type="dxa"/>
          <w:bottom w:w="0" w:type="dxa"/>
          <w:right w:w="0" w:type="dxa"/>
        </w:tblCellMar>
        <w:tblLook w:val="01E0"/>
      </w:tblPr>
      <w:tblGrid>
        <w:gridCol w:w="2693"/>
        <w:gridCol w:w="1702"/>
        <w:gridCol w:w="1419"/>
        <w:gridCol w:w="1274"/>
        <w:gridCol w:w="994"/>
        <w:gridCol w:w="1558"/>
      </w:tblGrid>
      <w:tr>
        <w:trPr>
          <w:trHeight w:val="341" w:hRule="exact"/>
        </w:trPr>
        <w:tc>
          <w:tcPr>
            <w:tcW w:w="2693" w:type="dxa"/>
            <w:vMerge w:val="restart"/>
            <w:tcBorders>
              <w:top w:val="single" w:sz="4" w:space="0" w:color="000000"/>
              <w:left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上年末余额</w:t>
            </w:r>
          </w:p>
        </w:tc>
      </w:tr>
      <w:tr>
        <w:trPr>
          <w:trHeight w:val="343" w:hRule="exact"/>
        </w:trPr>
        <w:tc>
          <w:tcPr>
            <w:tcW w:w="269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年以内或实时偿还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21,962,240.00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21,962,240.00</w:t>
            </w:r>
          </w:p>
        </w:tc>
      </w:tr>
      <w:tr>
        <w:trPr>
          <w:trHeight w:val="65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4" w:right="15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宋体" w:hAnsi="宋体" w:cs="宋体" w:eastAsia="宋体" w:hint="default"/>
                <w:sz w:val="18"/>
                <w:szCs w:val="18"/>
              </w:rPr>
            </w:pPr>
            <w:r>
              <w:rPr>
                <w:rFonts w:ascii="宋体"/>
                <w:spacing w:val="-1"/>
                <w:sz w:val="18"/>
              </w:rPr>
              <w:t>2,035,900.00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宋体" w:hAnsi="宋体" w:cs="宋体" w:eastAsia="宋体" w:hint="default"/>
                <w:sz w:val="18"/>
                <w:szCs w:val="18"/>
              </w:rPr>
            </w:pPr>
            <w:r>
              <w:rPr>
                <w:rFonts w:ascii="宋体"/>
                <w:spacing w:val="-1"/>
                <w:sz w:val="18"/>
              </w:rPr>
              <w:t>2,035,900.00</w:t>
            </w:r>
          </w:p>
        </w:tc>
      </w:tr>
      <w:tr>
        <w:trPr>
          <w:trHeight w:val="34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210,516,593.99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210,516,593.99</w:t>
            </w:r>
          </w:p>
        </w:tc>
      </w:tr>
      <w:tr>
        <w:trPr>
          <w:trHeight w:val="34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宋体" w:hAnsi="宋体" w:cs="宋体" w:eastAsia="宋体" w:hint="default"/>
                <w:sz w:val="18"/>
                <w:szCs w:val="18"/>
              </w:rPr>
            </w:pPr>
            <w:r>
              <w:rPr>
                <w:rFonts w:ascii="宋体"/>
                <w:spacing w:val="-1"/>
                <w:sz w:val="18"/>
              </w:rPr>
              <w:t>55,010,454.54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宋体" w:hAnsi="宋体" w:cs="宋体" w:eastAsia="宋体" w:hint="default"/>
                <w:sz w:val="18"/>
                <w:szCs w:val="18"/>
              </w:rPr>
            </w:pPr>
            <w:r>
              <w:rPr>
                <w:rFonts w:ascii="宋体"/>
                <w:spacing w:val="-1"/>
                <w:sz w:val="18"/>
              </w:rPr>
              <w:t>55,010,454.54</w:t>
            </w:r>
          </w:p>
        </w:tc>
      </w:tr>
      <w:tr>
        <w:trPr>
          <w:trHeight w:val="34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12,816,495.02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18"/>
                <w:szCs w:val="18"/>
              </w:rPr>
            </w:pPr>
            <w:r>
              <w:rPr>
                <w:rFonts w:ascii="宋体"/>
                <w:spacing w:val="-1"/>
                <w:sz w:val="18"/>
              </w:rPr>
              <w:t>12,816,495.02</w:t>
            </w:r>
          </w:p>
        </w:tc>
      </w:tr>
      <w:tr>
        <w:trPr>
          <w:trHeight w:val="34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right"/>
              <w:rPr>
                <w:rFonts w:ascii="宋体" w:hAnsi="宋体" w:cs="宋体" w:eastAsia="宋体" w:hint="default"/>
                <w:sz w:val="18"/>
                <w:szCs w:val="18"/>
              </w:rPr>
            </w:pPr>
            <w:r>
              <w:rPr>
                <w:rFonts w:ascii="宋体"/>
                <w:spacing w:val="-1"/>
                <w:sz w:val="18"/>
              </w:rPr>
              <w:t>302,341,683.55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right"/>
              <w:rPr>
                <w:rFonts w:ascii="宋体" w:hAnsi="宋体" w:cs="宋体" w:eastAsia="宋体" w:hint="default"/>
                <w:sz w:val="18"/>
                <w:szCs w:val="18"/>
              </w:rPr>
            </w:pPr>
            <w:r>
              <w:rPr>
                <w:rFonts w:ascii="宋体"/>
                <w:spacing w:val="-1"/>
                <w:sz w:val="18"/>
              </w:rPr>
              <w:t>302,341,683.55</w:t>
            </w:r>
          </w:p>
        </w:tc>
      </w:tr>
    </w:tbl>
    <w:p>
      <w:pPr>
        <w:pStyle w:val="BodyText"/>
        <w:spacing w:line="408" w:lineRule="auto"/>
        <w:ind w:left="573" w:right="1119"/>
        <w:jc w:val="left"/>
      </w:pPr>
      <w:r>
        <w:rPr>
          <w:spacing w:val="-2"/>
        </w:rPr>
        <w:t>上表中披露的金融负债金额为未经折现的合同现金流量，因而可能与资产负债表账面金额有所不同。</w:t>
      </w:r>
      <w:r>
        <w:rPr>
          <w:spacing w:val="-27"/>
        </w:rPr>
        <w:t> </w:t>
      </w:r>
      <w:r>
        <w:rPr>
          <w:spacing w:val="-27"/>
        </w:rPr>
      </w:r>
      <w:r>
        <w:rPr/>
        <w:t>已签订的担保合同最大担保金额并不代表即将支付的金额。</w:t>
      </w:r>
    </w:p>
    <w:p>
      <w:pPr>
        <w:spacing w:line="240" w:lineRule="auto" w:before="8"/>
        <w:rPr>
          <w:rFonts w:ascii="宋体" w:hAnsi="宋体" w:cs="宋体" w:eastAsia="宋体" w:hint="default"/>
          <w:sz w:val="18"/>
          <w:szCs w:val="18"/>
        </w:rPr>
      </w:pPr>
    </w:p>
    <w:p>
      <w:pPr>
        <w:pStyle w:val="Heading3"/>
        <w:spacing w:line="240" w:lineRule="auto"/>
        <w:ind w:right="1119"/>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9"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93,215,194.87</w:t>
            </w:r>
          </w:p>
        </w:tc>
      </w:tr>
      <w:tr>
        <w:trPr>
          <w:trHeight w:val="1027"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93,215,194.87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49,323,278.44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43,800,000.00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93,123,278.44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2,389,010.07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2,389,010.07</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144,927,483.38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43,800,000.00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188,727,483.38</w:t>
            </w:r>
          </w:p>
        </w:tc>
      </w:tr>
      <w:tr>
        <w:trPr>
          <w:trHeight w:val="163"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2267"/>
        <w:gridCol w:w="1563"/>
        <w:gridCol w:w="1913"/>
        <w:gridCol w:w="1913"/>
        <w:gridCol w:w="1912"/>
      </w:tblGrid>
      <w:tr>
        <w:trPr>
          <w:trHeight w:val="403" w:hRule="exact"/>
        </w:trPr>
        <w:tc>
          <w:tcPr>
            <w:tcW w:w="2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1"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第一层次公允价值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527" w:type="dxa"/>
        <w:tblLayout w:type="fixed"/>
        <w:tblCellMar>
          <w:top w:w="0" w:type="dxa"/>
          <w:left w:w="0" w:type="dxa"/>
          <w:bottom w:w="0" w:type="dxa"/>
          <w:right w:w="0" w:type="dxa"/>
        </w:tblCellMar>
        <w:tblLook w:val="01E0"/>
      </w:tblPr>
      <w:tblGrid>
        <w:gridCol w:w="2268"/>
        <w:gridCol w:w="1563"/>
        <w:gridCol w:w="1913"/>
        <w:gridCol w:w="1913"/>
        <w:gridCol w:w="1916"/>
      </w:tblGrid>
      <w:tr>
        <w:trPr>
          <w:trHeight w:val="3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56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93,215,194.87</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tc>
        <w:tc>
          <w:tcPr>
            <w:tcW w:w="156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93,215,194.87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93,215,194.87</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6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2,389,010.07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2,389,010.07</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49,323,278.44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43,800,000.00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93,123,278.44</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56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144,927,483.38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43,800,000.00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188,727,483.38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left="532"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32"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35" w:type="dxa"/>
        <w:tblLayout w:type="fixed"/>
        <w:tblCellMar>
          <w:top w:w="0" w:type="dxa"/>
          <w:left w:w="0" w:type="dxa"/>
          <w:bottom w:w="0" w:type="dxa"/>
          <w:right w:w="0" w:type="dxa"/>
        </w:tblCellMar>
        <w:tblLook w:val="01E0"/>
      </w:tblPr>
      <w:tblGrid>
        <w:gridCol w:w="2329"/>
        <w:gridCol w:w="1450"/>
        <w:gridCol w:w="1460"/>
        <w:gridCol w:w="1308"/>
        <w:gridCol w:w="1268"/>
      </w:tblGrid>
      <w:tr>
        <w:trPr>
          <w:trHeight w:val="341" w:hRule="exact"/>
        </w:trPr>
        <w:tc>
          <w:tcPr>
            <w:tcW w:w="23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估值技术</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重要参数</w:t>
            </w:r>
          </w:p>
        </w:tc>
      </w:tr>
      <w:tr>
        <w:trPr>
          <w:trHeight w:val="343" w:hRule="exact"/>
        </w:trPr>
        <w:tc>
          <w:tcPr>
            <w:tcW w:w="232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7" w:right="0"/>
              <w:jc w:val="left"/>
              <w:rPr>
                <w:rFonts w:ascii="宋体" w:hAnsi="宋体" w:cs="宋体" w:eastAsia="宋体" w:hint="default"/>
                <w:sz w:val="18"/>
                <w:szCs w:val="18"/>
              </w:rPr>
            </w:pPr>
            <w:r>
              <w:rPr>
                <w:rFonts w:ascii="宋体" w:hAnsi="宋体" w:cs="宋体" w:eastAsia="宋体" w:hint="default"/>
                <w:sz w:val="18"/>
                <w:szCs w:val="18"/>
              </w:rPr>
              <w:t>定性信息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定量信息</w:t>
            </w:r>
          </w:p>
        </w:tc>
      </w:tr>
      <w:tr>
        <w:trPr>
          <w:trHeight w:val="341" w:hRule="exact"/>
        </w:trPr>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业绩补偿或有对价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1,680,000.00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收益法</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理财产品投资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91,535,194.87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2,389,010.07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49,323,278.44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130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left="532"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32"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450" w:right="0"/>
        <w:jc w:val="left"/>
        <w:rPr>
          <w:b w:val="0"/>
          <w:bCs w:val="0"/>
        </w:rPr>
      </w:pPr>
      <w:r>
        <w:rPr>
          <w:rFonts w:ascii="宋体" w:hAnsi="宋体" w:cs="宋体" w:eastAsia="宋体" w:hint="default"/>
        </w:rPr>
        <w:t>1.</w:t>
      </w:r>
      <w:r>
        <w:rPr>
          <w:rFonts w:ascii="宋体" w:hAnsi="宋体" w:cs="宋体" w:eastAsia="宋体" w:hint="default"/>
          <w:spacing w:val="43"/>
        </w:rPr>
        <w:t> </w:t>
      </w:r>
      <w:r>
        <w:rPr/>
        <w:t>持续的第三层次公允价值计量项目的调节信息</w:t>
      </w:r>
      <w:r>
        <w:rPr>
          <w:b w:val="0"/>
          <w:bCs w:val="0"/>
        </w:rPr>
      </w: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1076"/>
        <w:gridCol w:w="1250"/>
        <w:gridCol w:w="739"/>
        <w:gridCol w:w="716"/>
        <w:gridCol w:w="506"/>
        <w:gridCol w:w="821"/>
        <w:gridCol w:w="1251"/>
        <w:gridCol w:w="593"/>
        <w:gridCol w:w="566"/>
        <w:gridCol w:w="566"/>
        <w:gridCol w:w="1364"/>
        <w:gridCol w:w="1027"/>
      </w:tblGrid>
      <w:tr>
        <w:trPr>
          <w:trHeight w:val="653" w:hRule="exact"/>
        </w:trPr>
        <w:tc>
          <w:tcPr>
            <w:tcW w:w="10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转入第 三层次</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81" w:right="82"/>
              <w:jc w:val="left"/>
              <w:rPr>
                <w:rFonts w:ascii="宋体" w:hAnsi="宋体" w:cs="宋体" w:eastAsia="宋体" w:hint="default"/>
                <w:sz w:val="18"/>
                <w:szCs w:val="18"/>
              </w:rPr>
            </w:pPr>
            <w:r>
              <w:rPr>
                <w:rFonts w:ascii="宋体" w:hAnsi="宋体" w:cs="宋体" w:eastAsia="宋体" w:hint="default"/>
                <w:sz w:val="18"/>
                <w:szCs w:val="18"/>
              </w:rPr>
              <w:t>转出第 三层次</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80" w:right="24" w:hanging="449"/>
              <w:jc w:val="left"/>
              <w:rPr>
                <w:rFonts w:ascii="宋体" w:hAnsi="宋体" w:cs="宋体" w:eastAsia="宋体" w:hint="default"/>
                <w:sz w:val="18"/>
                <w:szCs w:val="18"/>
              </w:rPr>
            </w:pPr>
            <w:r>
              <w:rPr>
                <w:rFonts w:ascii="宋体" w:hAnsi="宋体" w:cs="宋体" w:eastAsia="宋体" w:hint="default"/>
                <w:sz w:val="18"/>
                <w:szCs w:val="18"/>
              </w:rPr>
              <w:t>当期利得或损失 总额</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27"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2" w:hanging="3"/>
              <w:jc w:val="center"/>
              <w:rPr>
                <w:rFonts w:ascii="宋体" w:hAnsi="宋体" w:cs="宋体" w:eastAsia="宋体" w:hint="default"/>
                <w:sz w:val="18"/>
                <w:szCs w:val="18"/>
              </w:rPr>
            </w:pPr>
            <w:r>
              <w:rPr>
                <w:rFonts w:ascii="宋体" w:hAnsi="宋体" w:cs="宋体" w:eastAsia="宋体" w:hint="default"/>
                <w:sz w:val="18"/>
                <w:szCs w:val="18"/>
              </w:rPr>
              <w:t>对于在报告 期末持有的 </w:t>
            </w:r>
            <w:r>
              <w:rPr>
                <w:rFonts w:ascii="宋体" w:hAnsi="宋体" w:cs="宋体" w:eastAsia="宋体" w:hint="default"/>
                <w:spacing w:val="-12"/>
                <w:sz w:val="18"/>
                <w:szCs w:val="18"/>
              </w:rPr>
              <w:t>资产，计入损</w:t>
            </w:r>
            <w:r>
              <w:rPr>
                <w:rFonts w:ascii="宋体" w:hAnsi="宋体" w:cs="宋体" w:eastAsia="宋体" w:hint="default"/>
                <w:sz w:val="18"/>
                <w:szCs w:val="18"/>
              </w:rPr>
              <w:t> 益的当期未 实现利得或 变动</w:t>
            </w:r>
          </w:p>
        </w:tc>
      </w:tr>
      <w:tr>
        <w:trPr>
          <w:trHeight w:val="1248" w:hRule="exact"/>
        </w:trPr>
        <w:tc>
          <w:tcPr>
            <w:tcW w:w="10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计入 损益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计入其他 综合收益</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136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r>
      <w:tr>
        <w:trPr>
          <w:trHeight w:val="65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64" w:right="80" w:hanging="180"/>
              <w:jc w:val="left"/>
              <w:rPr>
                <w:rFonts w:ascii="宋体" w:hAnsi="宋体" w:cs="宋体" w:eastAsia="宋体" w:hint="default"/>
                <w:sz w:val="18"/>
                <w:szCs w:val="18"/>
              </w:rPr>
            </w:pPr>
            <w:r>
              <w:rPr>
                <w:rFonts w:ascii="宋体" w:hAnsi="宋体" w:cs="宋体" w:eastAsia="宋体" w:hint="default"/>
                <w:sz w:val="18"/>
                <w:szCs w:val="18"/>
              </w:rPr>
              <w:t>其他权益工 具投资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15,000,000.00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4" w:right="0"/>
              <w:jc w:val="center"/>
              <w:rPr>
                <w:rFonts w:ascii="宋体" w:hAnsi="宋体" w:cs="宋体" w:eastAsia="宋体" w:hint="default"/>
                <w:sz w:val="18"/>
                <w:szCs w:val="18"/>
              </w:rPr>
            </w:pPr>
            <w:r>
              <w:rPr>
                <w:rFonts w:ascii="宋体"/>
                <w:sz w:val="18"/>
              </w:rPr>
              <w:t>28,800,000.00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43,800,000.00</w:t>
            </w: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15,000,000.00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center"/>
              <w:rPr>
                <w:rFonts w:ascii="宋体" w:hAnsi="宋体" w:cs="宋体" w:eastAsia="宋体" w:hint="default"/>
                <w:sz w:val="18"/>
                <w:szCs w:val="18"/>
              </w:rPr>
            </w:pPr>
            <w:r>
              <w:rPr>
                <w:rFonts w:ascii="宋体"/>
                <w:sz w:val="18"/>
              </w:rPr>
              <w:t>28,800,000.00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43,800,000.00</w:t>
            </w:r>
          </w:p>
        </w:tc>
        <w:tc>
          <w:tcPr>
            <w:tcW w:w="10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60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spacing w:line="506" w:lineRule="auto" w:before="0"/>
        <w:ind w:left="866" w:right="5691" w:hanging="714"/>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、本期内发生的估值技术变更及变更原因</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本期估值技术未发生重大变更。</w:t>
      </w:r>
    </w:p>
    <w:p>
      <w:pPr>
        <w:pStyle w:val="Heading5"/>
        <w:spacing w:line="240" w:lineRule="auto" w:before="104"/>
        <w:ind w:right="1119"/>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1236"/>
        <w:gridCol w:w="1340"/>
        <w:gridCol w:w="1342"/>
        <w:gridCol w:w="1289"/>
        <w:gridCol w:w="1339"/>
        <w:gridCol w:w="1342"/>
        <w:gridCol w:w="1145"/>
      </w:tblGrid>
      <w:tr>
        <w:trPr>
          <w:trHeight w:val="341"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上年年末</w:t>
            </w:r>
          </w:p>
        </w:tc>
      </w:tr>
      <w:tr>
        <w:trPr>
          <w:trHeight w:val="343" w:hRule="exact"/>
        </w:trPr>
        <w:tc>
          <w:tcPr>
            <w:tcW w:w="1236"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sz w:val="18"/>
                <w:szCs w:val="18"/>
              </w:rPr>
              <w:t>所属层次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宋体" w:hAnsi="宋体" w:cs="宋体" w:eastAsia="宋体" w:hint="default"/>
                <w:sz w:val="18"/>
                <w:szCs w:val="18"/>
              </w:rPr>
              <w:t>所属层次</w:t>
            </w:r>
          </w:p>
        </w:tc>
      </w:tr>
      <w:tr>
        <w:trPr>
          <w:trHeight w:val="34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224,218,906.86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224,218,906.86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296,997,118.00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296,997,118.00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199,448,422.94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199,448,422.94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171,708,408.00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171,708,408.00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1,146.87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1,146.87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6,598,881.17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6,598,881.17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10,575,810.99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10,575,810.99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33,492,900.00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33,492,900.00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21,962,240.00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21,962,240.00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204,930,282.34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204,930,282.34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210,516,593.99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210,516,593.99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116,542,081.79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116,542,081.79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55,010,454.54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55,010,454.54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34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418,310.39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418,310.39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16,954.94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16,954.94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17,170,671.45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17,170,671.45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12,816,495.02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12,816,495.02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第三层次</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832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w:t>
      </w:r>
      <w:r>
        <w:rPr>
          <w:rFonts w:ascii="宋体" w:hAnsi="宋体" w:cs="宋体" w:eastAsia="宋体" w:hint="default"/>
          <w:spacing w:val="1"/>
          <w:sz w:val="18"/>
          <w:szCs w:val="18"/>
        </w:rPr>
        <w:t> </w:t>
      </w:r>
      <w:r>
        <w:rPr>
          <w:rFonts w:ascii="宋体" w:hAnsi="宋体" w:cs="宋体" w:eastAsia="宋体" w:hint="default"/>
          <w:sz w:val="18"/>
          <w:szCs w:val="18"/>
        </w:rPr>
        <w:t>潘伟潮。</w:t>
      </w:r>
      <w:r>
        <w:rPr>
          <w:rFonts w:ascii="宋体" w:hAnsi="宋体" w:cs="宋体" w:eastAsia="宋体" w:hint="default"/>
          <w:sz w:val="18"/>
          <w:szCs w:val="18"/>
        </w:rPr>
        <w:t> 其他说明：</w:t>
      </w:r>
    </w:p>
    <w:p>
      <w:pPr>
        <w:spacing w:line="240" w:lineRule="auto" w:before="6"/>
        <w:rPr>
          <w:rFonts w:ascii="宋体" w:hAnsi="宋体" w:cs="宋体" w:eastAsia="宋体" w:hint="default"/>
          <w:sz w:val="20"/>
          <w:szCs w:val="20"/>
        </w:rPr>
      </w:pPr>
    </w:p>
    <w:p>
      <w:pPr>
        <w:spacing w:line="547" w:lineRule="auto" w:before="0"/>
        <w:ind w:left="152" w:right="56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after="0" w:line="3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left="112"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上期本公司持股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声源科技（深圳）有限公司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41.60%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left="1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中山市易恩自动化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采购定制开发的 自动化生产线</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133,400.82</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声源科技（深圳）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614,853.60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声源科技（深圳）有限公司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48,271.34</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20"/>
        <w:ind w:left="112"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060" w:bottom="1160" w:left="1020" w:right="0"/>
        </w:sectPr>
      </w:pPr>
    </w:p>
    <w:p>
      <w:pPr>
        <w:spacing w:line="338" w:lineRule="auto" w:before="49"/>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504" w:space="6325"/>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after="0"/>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至授信协议所含各款项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到期后的三年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主债权发生期间届满之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日起两年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8"/>
              <w:jc w:val="left"/>
              <w:rPr>
                <w:rFonts w:ascii="宋体" w:hAnsi="宋体" w:cs="宋体" w:eastAsia="宋体" w:hint="default"/>
                <w:sz w:val="18"/>
                <w:szCs w:val="18"/>
              </w:rPr>
            </w:pPr>
            <w:r>
              <w:rPr>
                <w:rFonts w:ascii="宋体" w:hAnsi="宋体" w:cs="宋体" w:eastAsia="宋体" w:hint="default"/>
                <w:spacing w:val="5"/>
                <w:sz w:val="18"/>
                <w:szCs w:val="18"/>
              </w:rPr>
              <w:t>债务人履行债务期限届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满之日起三年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both"/>
      </w:pPr>
      <w:r>
        <w:rPr>
          <w:spacing w:val="-2"/>
        </w:rPr>
        <w:t>本公司为全资子公司中山乐心电子有限公司向中信银行股份有限公司中山分行、中国银行股份有限公</w:t>
      </w:r>
      <w:r>
        <w:rPr>
          <w:w w:val="100"/>
        </w:rPr>
        <w:t> </w:t>
      </w:r>
      <w:r>
        <w:rPr>
          <w:spacing w:val="-2"/>
        </w:rPr>
        <w:t>司中山分行、广发银行股份有限公司中山分行、招商银行股份有限公司中山分行申请综合授信提供连带责</w:t>
      </w:r>
      <w:r>
        <w:rPr>
          <w:spacing w:val="-44"/>
        </w:rPr>
        <w:t> </w:t>
      </w:r>
      <w:r>
        <w:rPr>
          <w:spacing w:val="-44"/>
        </w:rPr>
      </w:r>
      <w:r>
        <w:rPr/>
        <w:t>任担保。</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0" w:right="1107"/>
        <w:jc w:val="right"/>
      </w:pPr>
      <w:r>
        <w:rPr>
          <w:spacing w:val="-2"/>
        </w:rPr>
        <w:t>中山乐心电子有限公司为本公司向中信银行股份有限公司中山分行申请综合授信提供连带责任担保。</w:t>
      </w:r>
    </w:p>
    <w:p>
      <w:pPr>
        <w:spacing w:line="240" w:lineRule="auto" w:before="0"/>
        <w:rPr>
          <w:rFonts w:ascii="宋体" w:hAnsi="宋体" w:cs="宋体" w:eastAsia="宋体" w:hint="default"/>
          <w:sz w:val="20"/>
          <w:szCs w:val="20"/>
        </w:rPr>
      </w:pPr>
    </w:p>
    <w:p>
      <w:pPr>
        <w:pStyle w:val="Heading5"/>
        <w:spacing w:line="240" w:lineRule="auto" w:before="155"/>
        <w:ind w:right="111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6,899,597.98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3,949,349.25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4"/>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声源科技（深圳）有限公司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528,623.50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声源科技（深圳）有限公司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15,476.29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3,344,566.00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829,428.00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69,919.00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公司发行股票期权，授予日为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300" w:lineRule="auto" w:before="63"/>
              <w:ind w:left="24" w:right="14"/>
              <w:jc w:val="both"/>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股；锁定期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年，锁定期结束后若</w:t>
            </w:r>
            <w:r>
              <w:rPr>
                <w:rFonts w:ascii="宋体" w:hAnsi="宋体" w:cs="宋体" w:eastAsia="宋体" w:hint="default"/>
                <w:sz w:val="18"/>
                <w:szCs w:val="18"/>
              </w:rPr>
              <w:t> 满足业绩条件后，可在三年内按照</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比例行权，合同剩余期限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公司发行限制性股票，授予日为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300" w:lineRule="auto" w:before="60"/>
              <w:ind w:left="24" w:right="14"/>
              <w:jc w:val="both"/>
              <w:rPr>
                <w:rFonts w:ascii="宋体" w:hAnsi="宋体" w:cs="宋体" w:eastAsia="宋体" w:hint="default"/>
                <w:sz w:val="18"/>
                <w:szCs w:val="18"/>
              </w:rPr>
            </w:pPr>
            <w:r>
              <w:rPr>
                <w:rFonts w:ascii="宋体" w:hAnsi="宋体" w:cs="宋体" w:eastAsia="宋体" w:hint="default"/>
                <w:sz w:val="18"/>
                <w:szCs w:val="18"/>
              </w:rPr>
              <w:t>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年，锁定期结束后若 满足业绩条件后，可在三年内按照</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比例行权，合同剩余期限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5034"/>
      </w:tblGrid>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w:t>
            </w:r>
            <w:r>
              <w:rPr>
                <w:rFonts w:ascii="Times New Roman" w:hAnsi="Times New Roman" w:cs="Times New Roman" w:eastAsia="Times New Roman" w:hint="default"/>
                <w:sz w:val="18"/>
                <w:szCs w:val="18"/>
              </w:rPr>
              <w:t>-</w:t>
            </w:r>
            <w:r>
              <w:rPr>
                <w:rFonts w:ascii="宋体" w:hAnsi="宋体" w:cs="宋体" w:eastAsia="宋体" w:hint="default"/>
                <w:sz w:val="18"/>
                <w:szCs w:val="18"/>
              </w:rPr>
              <w:t>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模型）和市价法。</w:t>
            </w:r>
          </w:p>
        </w:tc>
      </w:tr>
      <w:tr>
        <w:trPr>
          <w:trHeight w:val="1027"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
                <w:sz w:val="18"/>
                <w:szCs w:val="18"/>
              </w:rPr>
              <w:t>公司在等待期内的每个资产负债表日，根据最新取得的可行权人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数变动、业绩指标完成情况等后续信息，修正预计可行权的限制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性股票数量。</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3,347,759.57</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3,054,232.09</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40" w:lineRule="auto" w:before="0"/>
        <w:ind w:left="573" w:right="1119"/>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日，公司第二届董事会第二十一次会议和第二届监事会第十九次会议分别审议通过了</w:t>
      </w:r>
    </w:p>
    <w:p>
      <w:pPr>
        <w:spacing w:line="240" w:lineRule="auto" w:before="10"/>
        <w:rPr>
          <w:rFonts w:ascii="宋体" w:hAnsi="宋体" w:cs="宋体" w:eastAsia="宋体" w:hint="default"/>
          <w:sz w:val="14"/>
          <w:szCs w:val="14"/>
        </w:rPr>
      </w:pPr>
    </w:p>
    <w:p>
      <w:pPr>
        <w:pStyle w:val="BodyText"/>
        <w:spacing w:line="408" w:lineRule="auto" w:before="0"/>
        <w:ind w:right="996"/>
        <w:jc w:val="left"/>
      </w:pPr>
      <w:r>
        <w:rPr>
          <w:spacing w:val="-2"/>
        </w:rPr>
        <w:t>《关于向激励对象授予股票期权与限制性股票的议案》。公司独立董事对此发表了独立意见，认为激励对</w:t>
      </w:r>
      <w:r>
        <w:rPr>
          <w:spacing w:val="-44"/>
        </w:rPr>
        <w:t> </w:t>
      </w:r>
      <w:r>
        <w:rPr>
          <w:spacing w:val="-44"/>
        </w:rPr>
      </w:r>
      <w:r>
        <w:rPr>
          <w:spacing w:val="-4"/>
        </w:rPr>
        <w:t>象主体资格合法有效，确定授予日为</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13</w:t>
      </w:r>
      <w:r>
        <w:rPr>
          <w:spacing w:val="-4"/>
        </w:rPr>
        <w:t>日。在确定首次授予日后的资金缴纳、股份登记过程中，</w:t>
      </w:r>
      <w:r>
        <w:rPr>
          <w:spacing w:val="-36"/>
        </w:rPr>
        <w:t> </w:t>
      </w:r>
      <w:r>
        <w:rPr>
          <w:spacing w:val="-36"/>
        </w:rPr>
      </w:r>
      <w:r>
        <w:rPr>
          <w:spacing w:val="-2"/>
        </w:rPr>
        <w:t>有</w:t>
      </w:r>
      <w:r>
        <w:rPr>
          <w:rFonts w:ascii="宋体" w:hAnsi="宋体" w:cs="宋体" w:eastAsia="宋体" w:hint="default"/>
          <w:spacing w:val="-2"/>
        </w:rPr>
        <w:t>4</w:t>
      </w:r>
      <w:r>
        <w:rPr>
          <w:spacing w:val="-2"/>
        </w:rPr>
        <w:t>名激励对象因个人原因放弃认购其对应的股票期权</w:t>
      </w:r>
      <w:r>
        <w:rPr>
          <w:rFonts w:ascii="宋体" w:hAnsi="宋体" w:cs="宋体" w:eastAsia="宋体" w:hint="default"/>
          <w:spacing w:val="-2"/>
        </w:rPr>
        <w:t>102,864</w:t>
      </w:r>
      <w:r>
        <w:rPr>
          <w:spacing w:val="-2"/>
        </w:rPr>
        <w:t>份，因此公司本次股票期权实际授予对象为</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rFonts w:ascii="宋体" w:hAnsi="宋体" w:cs="宋体" w:eastAsia="宋体" w:hint="default"/>
          <w:spacing w:val="-2"/>
        </w:rPr>
        <w:t>44</w:t>
      </w:r>
      <w:r>
        <w:rPr>
          <w:spacing w:val="-2"/>
        </w:rPr>
        <w:t>人，实际授予数量为</w:t>
      </w:r>
      <w:r>
        <w:rPr>
          <w:rFonts w:ascii="宋体" w:hAnsi="宋体" w:cs="宋体" w:eastAsia="宋体" w:hint="default"/>
          <w:spacing w:val="-2"/>
        </w:rPr>
        <w:t>2,417,136</w:t>
      </w:r>
      <w:r>
        <w:rPr>
          <w:spacing w:val="-2"/>
        </w:rPr>
        <w:t>股。在确定首次授予日后的资金缴纳、股份登记过程中，有</w:t>
      </w:r>
      <w:r>
        <w:rPr>
          <w:rFonts w:ascii="宋体" w:hAnsi="宋体" w:cs="宋体" w:eastAsia="宋体" w:hint="default"/>
          <w:spacing w:val="-2"/>
        </w:rPr>
        <w:t>6</w:t>
      </w:r>
      <w:r>
        <w:rPr>
          <w:spacing w:val="-2"/>
        </w:rPr>
        <w:t>名激励对象</w:t>
      </w:r>
      <w:r>
        <w:rPr>
          <w:spacing w:val="-38"/>
        </w:rPr>
        <w:t> </w:t>
      </w:r>
      <w:r>
        <w:rPr>
          <w:spacing w:val="-38"/>
        </w:rPr>
      </w:r>
      <w:r>
        <w:rPr>
          <w:spacing w:val="-2"/>
        </w:rPr>
        <w:t>因个人原因放弃认购其对应的限制性股票</w:t>
      </w:r>
      <w:r>
        <w:rPr>
          <w:rFonts w:ascii="宋体" w:hAnsi="宋体" w:cs="宋体" w:eastAsia="宋体" w:hint="default"/>
          <w:spacing w:val="-2"/>
        </w:rPr>
        <w:t>82,651</w:t>
      </w:r>
      <w:r>
        <w:rPr>
          <w:spacing w:val="-2"/>
        </w:rPr>
        <w:t>股，因而公司本次限制性股票实际授予对象为</w:t>
      </w:r>
      <w:r>
        <w:rPr>
          <w:rFonts w:ascii="宋体" w:hAnsi="宋体" w:cs="宋体" w:eastAsia="宋体" w:hint="default"/>
          <w:spacing w:val="-2"/>
        </w:rPr>
        <w:t>42</w:t>
      </w:r>
      <w:r>
        <w:rPr>
          <w:spacing w:val="-2"/>
        </w:rPr>
        <w:t>人，实际</w:t>
      </w:r>
      <w:r>
        <w:rPr>
          <w:spacing w:val="-35"/>
        </w:rPr>
        <w:t> </w:t>
      </w:r>
      <w:r>
        <w:rPr>
          <w:spacing w:val="-35"/>
        </w:rPr>
      </w:r>
      <w:r>
        <w:rPr/>
        <w:t>授予数量为</w:t>
      </w:r>
      <w:r>
        <w:rPr>
          <w:rFonts w:ascii="宋体" w:hAnsi="宋体" w:cs="宋体" w:eastAsia="宋体" w:hint="default"/>
        </w:rPr>
        <w:t>997,349</w:t>
      </w:r>
      <w:r>
        <w:rPr/>
        <w:t>股。</w:t>
      </w:r>
    </w:p>
    <w:p>
      <w:pPr>
        <w:pStyle w:val="BodyText"/>
        <w:spacing w:line="408" w:lineRule="auto"/>
        <w:ind w:right="1119" w:firstLine="420"/>
        <w:jc w:val="left"/>
      </w:pPr>
      <w:r>
        <w:rPr>
          <w:spacing w:val="-2"/>
        </w:rPr>
        <w:t>首次授予的限制性股票与股票期权按比例分为不同的锁定期与行权期，分别为</w:t>
      </w:r>
      <w:r>
        <w:rPr>
          <w:rFonts w:ascii="宋体" w:hAnsi="宋体" w:cs="宋体" w:eastAsia="宋体" w:hint="default"/>
          <w:spacing w:val="-2"/>
        </w:rPr>
        <w:t>12</w:t>
      </w:r>
      <w:r>
        <w:rPr>
          <w:spacing w:val="-2"/>
        </w:rPr>
        <w:t>个月、</w:t>
      </w:r>
      <w:r>
        <w:rPr>
          <w:rFonts w:ascii="宋体" w:hAnsi="宋体" w:cs="宋体" w:eastAsia="宋体" w:hint="default"/>
          <w:spacing w:val="-2"/>
        </w:rPr>
        <w:t>24</w:t>
      </w:r>
      <w:r>
        <w:rPr>
          <w:spacing w:val="-2"/>
        </w:rPr>
        <w:t>个月和</w:t>
      </w:r>
      <w:r>
        <w:rPr>
          <w:rFonts w:ascii="宋体" w:hAnsi="宋体" w:cs="宋体" w:eastAsia="宋体" w:hint="default"/>
          <w:spacing w:val="-2"/>
        </w:rPr>
        <w:t>36</w:t>
      </w:r>
      <w:r>
        <w:rPr>
          <w:spacing w:val="-2"/>
        </w:rPr>
        <w:t>个</w:t>
      </w:r>
      <w:r>
        <w:rPr>
          <w:w w:val="100"/>
        </w:rPr>
        <w:t> </w:t>
      </w:r>
      <w:r>
        <w:rPr>
          <w:spacing w:val="-2"/>
        </w:rPr>
        <w:t>月。首次授予的限制性股票与股票期权自授予日起</w:t>
      </w:r>
      <w:r>
        <w:rPr>
          <w:rFonts w:ascii="宋体" w:hAnsi="宋体" w:cs="宋体" w:eastAsia="宋体" w:hint="default"/>
          <w:spacing w:val="-2"/>
        </w:rPr>
        <w:t>12</w:t>
      </w:r>
      <w:r>
        <w:rPr>
          <w:spacing w:val="-2"/>
        </w:rPr>
        <w:t>个月后，满足解锁条件与行权条件的激励对象可以分</w:t>
      </w:r>
      <w:r>
        <w:rPr>
          <w:spacing w:val="-45"/>
        </w:rPr>
        <w:t> </w:t>
      </w:r>
      <w:r>
        <w:rPr>
          <w:spacing w:val="-45"/>
        </w:rPr>
      </w:r>
      <w:r>
        <w:rPr/>
        <w:t>三期申请解锁与行权，解锁与行权比例分别为</w:t>
      </w:r>
      <w:r>
        <w:rPr>
          <w:rFonts w:ascii="宋体" w:hAnsi="宋体" w:cs="宋体" w:eastAsia="宋体" w:hint="default"/>
        </w:rPr>
        <w:t>40%</w:t>
      </w:r>
      <w:r>
        <w:rPr/>
        <w:t>、</w:t>
      </w:r>
      <w:r>
        <w:rPr>
          <w:rFonts w:ascii="宋体" w:hAnsi="宋体" w:cs="宋体" w:eastAsia="宋体" w:hint="default"/>
        </w:rPr>
        <w:t>30%</w:t>
      </w:r>
      <w:r>
        <w:rPr/>
        <w:t>、</w:t>
      </w:r>
      <w:r>
        <w:rPr>
          <w:rFonts w:ascii="宋体" w:hAnsi="宋体" w:cs="宋体" w:eastAsia="宋体" w:hint="default"/>
        </w:rPr>
        <w:t>30%</w:t>
      </w:r>
      <w:r>
        <w:rPr/>
        <w:t>。本激励计划首次授予部分限制性股票的有</w:t>
      </w:r>
      <w:r>
        <w:rPr>
          <w:w w:val="100"/>
        </w:rPr>
        <w:t> </w:t>
      </w:r>
      <w:r>
        <w:rPr/>
        <w:t>效期自限制性股票与股票期权首次授予股权登记之日起至激励对象获授的限制性股票全部解除限售或回</w:t>
      </w:r>
      <w:r>
        <w:rPr>
          <w:w w:val="100"/>
        </w:rPr>
        <w:t> </w:t>
      </w:r>
      <w:r>
        <w:rPr/>
        <w:t>购注销之日止，有效期最长不超过</w:t>
      </w:r>
      <w:r>
        <w:rPr>
          <w:rFonts w:ascii="宋体" w:hAnsi="宋体" w:cs="宋体" w:eastAsia="宋体" w:hint="default"/>
        </w:rPr>
        <w:t>60</w:t>
      </w:r>
      <w:r>
        <w:rPr/>
        <w:t>个月。其中首次授予将分三期按照</w:t>
      </w:r>
      <w:r>
        <w:rPr>
          <w:rFonts w:ascii="宋体" w:hAnsi="宋体" w:cs="宋体" w:eastAsia="宋体" w:hint="default"/>
        </w:rPr>
        <w:t>40%</w:t>
      </w:r>
      <w:r>
        <w:rPr/>
        <w:t>、</w:t>
      </w:r>
      <w:r>
        <w:rPr>
          <w:rFonts w:ascii="宋体" w:hAnsi="宋体" w:cs="宋体" w:eastAsia="宋体" w:hint="default"/>
        </w:rPr>
        <w:t>30%</w:t>
      </w:r>
      <w:r>
        <w:rPr/>
        <w:t>、</w:t>
      </w:r>
      <w:r>
        <w:rPr>
          <w:rFonts w:ascii="宋体" w:hAnsi="宋体" w:cs="宋体" w:eastAsia="宋体" w:hint="default"/>
        </w:rPr>
        <w:t>30%</w:t>
      </w:r>
      <w:r>
        <w:rPr/>
        <w:t>比例解除限售。股</w:t>
      </w:r>
      <w:r>
        <w:rPr>
          <w:w w:val="100"/>
        </w:rPr>
        <w:t> </w:t>
      </w:r>
      <w:r>
        <w:rPr/>
        <w:t>票期权的有效期自股票期权首次授予股权登记之日起至激励对象获授的所有股票期权全部行权或注销之</w:t>
      </w:r>
      <w:r>
        <w:rPr>
          <w:w w:val="100"/>
        </w:rPr>
        <w:t> </w:t>
      </w:r>
      <w:r>
        <w:rPr/>
        <w:t>日止，最长不超过</w:t>
      </w:r>
      <w:r>
        <w:rPr>
          <w:rFonts w:ascii="宋体" w:hAnsi="宋体" w:cs="宋体" w:eastAsia="宋体" w:hint="default"/>
        </w:rPr>
        <w:t>60</w:t>
      </w:r>
      <w:r>
        <w:rPr/>
        <w:t>个月。</w:t>
      </w:r>
    </w:p>
    <w:p>
      <w:pPr>
        <w:spacing w:line="240" w:lineRule="auto" w:before="8"/>
        <w:rPr>
          <w:rFonts w:ascii="宋体" w:hAnsi="宋体" w:cs="宋体" w:eastAsia="宋体" w:hint="default"/>
          <w:sz w:val="20"/>
          <w:szCs w:val="20"/>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1119"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
        <w:rPr>
          <w:rFonts w:ascii="宋体" w:hAnsi="宋体" w:cs="宋体" w:eastAsia="宋体" w:hint="default"/>
          <w:sz w:val="13"/>
          <w:szCs w:val="13"/>
        </w:rPr>
      </w:pPr>
    </w:p>
    <w:p>
      <w:pPr>
        <w:pStyle w:val="BodyText"/>
        <w:spacing w:line="240" w:lineRule="auto" w:before="0"/>
        <w:ind w:left="573" w:right="1119"/>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日，本公司无其他应披露而未披露的重要承诺事项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11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日，本公司无其他应披露而未披露的重要承诺事项</w:t>
      </w:r>
    </w:p>
    <w:p>
      <w:pPr>
        <w:pStyle w:val="Heading5"/>
        <w:spacing w:line="240" w:lineRule="auto" w:before="128"/>
        <w:ind w:right="1119"/>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4,185,139.75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210" w:firstLine="420"/>
        <w:jc w:val="both"/>
      </w:pPr>
      <w:r>
        <w:rPr>
          <w:spacing w:val="-2"/>
        </w:rPr>
        <w:t>（</w:t>
      </w:r>
      <w:r>
        <w:rPr>
          <w:rFonts w:ascii="宋体" w:hAnsi="宋体" w:cs="宋体" w:eastAsia="宋体" w:hint="default"/>
          <w:spacing w:val="-2"/>
        </w:rPr>
        <w:t>1</w:t>
      </w:r>
      <w:r>
        <w:rPr>
          <w:spacing w:val="-2"/>
        </w:rPr>
        <w:t>）截止</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日，公司完成收购声源科技（深圳）有限公司，收购完成后声源科技（深圳）</w:t>
      </w:r>
      <w:r>
        <w:rPr>
          <w:w w:val="100"/>
        </w:rPr>
        <w:t> </w:t>
      </w:r>
      <w:r>
        <w:rPr/>
        <w:t>有限公司纳入公司合并范围。</w:t>
      </w:r>
    </w:p>
    <w:p>
      <w:pPr>
        <w:pStyle w:val="BodyText"/>
        <w:spacing w:line="408" w:lineRule="auto"/>
        <w:ind w:right="1126" w:firstLine="42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日公司董事会决议审议并通过了“关于公司</w:t>
      </w:r>
      <w:r>
        <w:rPr>
          <w:rFonts w:ascii="宋体" w:hAnsi="宋体" w:cs="宋体" w:eastAsia="宋体" w:hint="default"/>
          <w:spacing w:val="-2"/>
        </w:rPr>
        <w:t>2019</w:t>
      </w:r>
      <w:r>
        <w:rPr>
          <w:spacing w:val="-2"/>
        </w:rPr>
        <w:t>年度利润分配预案的议案”公司拟</w:t>
      </w:r>
      <w:r>
        <w:rPr>
          <w:w w:val="100"/>
        </w:rPr>
        <w:t> </w:t>
      </w:r>
      <w:r>
        <w:rPr>
          <w:spacing w:val="-4"/>
        </w:rPr>
        <w:t>以截止</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日公司股本总数</w:t>
      </w:r>
      <w:r>
        <w:rPr>
          <w:rFonts w:ascii="宋体" w:hAnsi="宋体" w:cs="宋体" w:eastAsia="宋体" w:hint="default"/>
          <w:spacing w:val="-4"/>
        </w:rPr>
        <w:t>19,023.3625</w:t>
      </w:r>
      <w:r>
        <w:rPr>
          <w:spacing w:val="-4"/>
        </w:rPr>
        <w:t>万股为基数，每</w:t>
      </w:r>
      <w:r>
        <w:rPr>
          <w:rFonts w:ascii="宋体" w:hAnsi="宋体" w:cs="宋体" w:eastAsia="宋体" w:hint="default"/>
          <w:spacing w:val="-4"/>
        </w:rPr>
        <w:t>10</w:t>
      </w:r>
      <w:r>
        <w:rPr>
          <w:spacing w:val="-4"/>
        </w:rPr>
        <w:t>股派送现金股利</w:t>
      </w:r>
      <w:r>
        <w:rPr>
          <w:rFonts w:ascii="宋体" w:hAnsi="宋体" w:cs="宋体" w:eastAsia="宋体" w:hint="default"/>
          <w:spacing w:val="-4"/>
        </w:rPr>
        <w:t>0.22</w:t>
      </w:r>
      <w:r>
        <w:rPr>
          <w:spacing w:val="-4"/>
        </w:rPr>
        <w:t>元（含税），</w:t>
      </w:r>
      <w:r>
        <w:rPr>
          <w:rFonts w:ascii="宋体" w:hAnsi="宋体" w:cs="宋体" w:eastAsia="宋体" w:hint="default"/>
          <w:spacing w:val="-4"/>
        </w:rPr>
        <w:t>2019</w:t>
      </w:r>
      <w:r>
        <w:rPr>
          <w:rFonts w:ascii="宋体" w:hAnsi="宋体" w:cs="宋体" w:eastAsia="宋体" w:hint="default"/>
        </w:rPr>
        <w:t> </w:t>
      </w:r>
      <w:r>
        <w:rPr>
          <w:rFonts w:ascii="宋体" w:hAnsi="宋体" w:cs="宋体" w:eastAsia="宋体" w:hint="default"/>
        </w:rPr>
      </w:r>
      <w:r>
        <w:rPr/>
        <w:t>年度现金股利合计人民币</w:t>
      </w:r>
      <w:r>
        <w:rPr>
          <w:spacing w:val="-7"/>
        </w:rPr>
        <w:t> </w:t>
      </w:r>
      <w:r>
        <w:rPr>
          <w:rFonts w:ascii="宋体" w:hAnsi="宋体" w:cs="宋体" w:eastAsia="宋体" w:hint="default"/>
        </w:rPr>
        <w:t>4,185,139.75</w:t>
      </w:r>
      <w:r>
        <w:rPr/>
        <w:t>元。</w:t>
      </w:r>
    </w:p>
    <w:p>
      <w:pPr>
        <w:pStyle w:val="BodyText"/>
        <w:spacing w:line="240" w:lineRule="auto"/>
        <w:ind w:left="573" w:right="996"/>
        <w:jc w:val="left"/>
        <w:rPr>
          <w:rFonts w:ascii="宋体" w:hAnsi="宋体" w:cs="宋体" w:eastAsia="宋体" w:hint="default"/>
        </w:rPr>
      </w:pPr>
      <w:r>
        <w:rPr>
          <w:spacing w:val="-10"/>
        </w:rPr>
        <w:t>（</w:t>
      </w:r>
      <w:r>
        <w:rPr>
          <w:rFonts w:ascii="宋体" w:hAnsi="宋体" w:cs="宋体" w:eastAsia="宋体" w:hint="default"/>
          <w:spacing w:val="-10"/>
        </w:rPr>
        <w:t>3</w:t>
      </w:r>
      <w:r>
        <w:rPr>
          <w:spacing w:val="-10"/>
        </w:rPr>
        <w:t>）</w:t>
      </w:r>
      <w:r>
        <w:rPr>
          <w:rFonts w:ascii="宋体" w:hAnsi="宋体" w:cs="宋体" w:eastAsia="宋体" w:hint="default"/>
          <w:spacing w:val="-10"/>
        </w:rPr>
        <w:t>2019 </w:t>
      </w:r>
      <w:r>
        <w:rPr/>
        <w:t>年 </w:t>
      </w:r>
      <w:r>
        <w:rPr>
          <w:rFonts w:ascii="宋体" w:hAnsi="宋体" w:cs="宋体" w:eastAsia="宋体" w:hint="default"/>
        </w:rPr>
        <w:t>12 </w:t>
      </w:r>
      <w:r>
        <w:rPr/>
        <w:t>月 </w:t>
      </w:r>
      <w:r>
        <w:rPr>
          <w:rFonts w:ascii="宋体" w:hAnsi="宋体" w:cs="宋体" w:eastAsia="宋体" w:hint="default"/>
        </w:rPr>
        <w:t>18 </w:t>
      </w:r>
      <w:r>
        <w:rPr>
          <w:spacing w:val="-4"/>
        </w:rPr>
        <w:t>日公司召开了第三届董事会第七次会议、第三届监事会第六次会议以及</w:t>
      </w:r>
      <w:r>
        <w:rPr>
          <w:spacing w:val="66"/>
        </w:rPr>
        <w:t> </w:t>
      </w:r>
      <w:r>
        <w:rPr>
          <w:rFonts w:ascii="宋体" w:hAnsi="宋体" w:cs="宋体" w:eastAsia="宋体" w:hint="default"/>
        </w:rPr>
        <w:t>2020</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年 </w:t>
      </w:r>
      <w:r>
        <w:rPr>
          <w:rFonts w:ascii="宋体" w:hAnsi="宋体" w:cs="宋体" w:eastAsia="宋体" w:hint="default"/>
        </w:rPr>
        <w:t>1 </w:t>
      </w:r>
      <w:r>
        <w:rPr/>
        <w:t>月 </w:t>
      </w:r>
      <w:r>
        <w:rPr>
          <w:rFonts w:ascii="宋体" w:hAnsi="宋体" w:cs="宋体" w:eastAsia="宋体" w:hint="default"/>
        </w:rPr>
        <w:t>6 </w:t>
      </w:r>
      <w:r>
        <w:rPr/>
        <w:t>日召开 </w:t>
      </w:r>
      <w:r>
        <w:rPr>
          <w:rFonts w:ascii="宋体" w:hAnsi="宋体" w:cs="宋体" w:eastAsia="宋体" w:hint="default"/>
        </w:rPr>
        <w:t>2020</w:t>
      </w:r>
      <w:r>
        <w:rPr>
          <w:rFonts w:ascii="宋体" w:hAnsi="宋体" w:cs="宋体" w:eastAsia="宋体" w:hint="default"/>
          <w:spacing w:val="-28"/>
        </w:rPr>
        <w:t> </w:t>
      </w:r>
      <w:r>
        <w:rPr/>
        <w:t>年第一次临时股东大会，审议通过了《关于变更公司注册资本并修改公司章程的</w:t>
      </w:r>
      <w:r>
        <w:rPr>
          <w:w w:val="100"/>
        </w:rPr>
        <w:t> </w:t>
      </w:r>
      <w:r>
        <w:rPr/>
        <w:t>议案》，</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15</w:t>
      </w:r>
      <w:r>
        <w:rPr/>
        <w:t>日公司完成了工商变更登记、公司章程备案，公司股本由</w:t>
      </w:r>
      <w:r>
        <w:rPr>
          <w:rFonts w:ascii="宋体" w:hAnsi="宋体" w:cs="宋体" w:eastAsia="宋体" w:hint="default"/>
        </w:rPr>
        <w:t>18,979.7349</w:t>
      </w:r>
      <w:r>
        <w:rPr>
          <w:rFonts w:ascii="宋体" w:hAnsi="宋体" w:cs="宋体" w:eastAsia="宋体" w:hint="default"/>
          <w:spacing w:val="-6"/>
        </w:rPr>
        <w:t> </w:t>
      </w:r>
      <w:r>
        <w:rPr/>
        <w:t>万元变更为</w:t>
      </w:r>
      <w:r>
        <w:rPr>
          <w:w w:val="100"/>
        </w:rPr>
        <w:t> </w:t>
      </w:r>
      <w:r>
        <w:rPr>
          <w:rFonts w:ascii="宋体" w:hAnsi="宋体" w:cs="宋体" w:eastAsia="宋体" w:hint="default"/>
        </w:rPr>
        <w:t>18,972.7430</w:t>
      </w:r>
      <w:r>
        <w:rPr>
          <w:rFonts w:ascii="宋体" w:hAnsi="宋体" w:cs="宋体" w:eastAsia="宋体" w:hint="default"/>
          <w:spacing w:val="-7"/>
        </w:rPr>
        <w:t> </w:t>
      </w:r>
      <w:r>
        <w:rPr/>
        <w:t>万元。并取得了中山市市场监督管理局出具的《核准变更登记通知书》（粤中核变通内字</w:t>
      </w:r>
    </w:p>
    <w:p>
      <w:pPr>
        <w:pStyle w:val="BodyText"/>
        <w:spacing w:line="408" w:lineRule="auto"/>
        <w:ind w:right="1207"/>
        <w:jc w:val="left"/>
      </w:pPr>
      <w:r>
        <w:rPr/>
        <w:t>【</w:t>
      </w:r>
      <w:r>
        <w:rPr>
          <w:rFonts w:ascii="宋体" w:hAnsi="宋体" w:cs="宋体" w:eastAsia="宋体" w:hint="default"/>
        </w:rPr>
        <w:t>2020</w:t>
      </w:r>
      <w:r>
        <w:rPr/>
        <w:t>】 第 </w:t>
      </w:r>
      <w:r>
        <w:rPr>
          <w:rFonts w:ascii="宋体" w:hAnsi="宋体" w:cs="宋体" w:eastAsia="宋体" w:hint="default"/>
        </w:rPr>
        <w:t>2000072099 </w:t>
      </w:r>
      <w:r>
        <w:rPr/>
        <w:t>号）及换发的《营业执照》，于</w:t>
      </w:r>
      <w:r>
        <w:rPr>
          <w:spacing w:val="-8"/>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16</w:t>
      </w:r>
      <w:r>
        <w:rPr/>
        <w:t>日披露在中国证监会指定的创业</w:t>
      </w:r>
      <w:r>
        <w:rPr>
          <w:w w:val="100"/>
        </w:rPr>
        <w:t> </w:t>
      </w:r>
      <w:r>
        <w:rPr/>
        <w:t>板信息披露媒体巨潮资讯网。</w:t>
      </w:r>
    </w:p>
    <w:p>
      <w:pPr>
        <w:pStyle w:val="BodyText"/>
        <w:spacing w:line="240" w:lineRule="auto"/>
        <w:ind w:left="573" w:right="1119"/>
        <w:jc w:val="left"/>
      </w:pPr>
      <w:r>
        <w:rPr/>
        <w:t>除上述事项外，截至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23</w:t>
      </w:r>
      <w:r>
        <w:rPr/>
        <w:t>日止，本公司无其他应披露而未披露的资产负债表日后事项。</w:t>
      </w:r>
    </w:p>
    <w:p>
      <w:pPr>
        <w:spacing w:after="0" w:line="240" w:lineRule="auto"/>
        <w:jc w:val="left"/>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19"/>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4"/>
          <w:szCs w:val="24"/>
        </w:rPr>
      </w:pPr>
    </w:p>
    <w:p>
      <w:pPr>
        <w:spacing w:line="501" w:lineRule="auto" w:before="0"/>
        <w:ind w:left="152" w:right="6474" w:firstLine="713"/>
        <w:jc w:val="left"/>
        <w:rPr>
          <w:rFonts w:ascii="宋体" w:hAnsi="宋体" w:cs="宋体" w:eastAsia="宋体" w:hint="default"/>
          <w:sz w:val="21"/>
          <w:szCs w:val="21"/>
        </w:rPr>
      </w:pPr>
      <w:r>
        <w:rPr>
          <w:rFonts w:ascii="宋体" w:hAnsi="宋体" w:cs="宋体" w:eastAsia="宋体" w:hint="default"/>
          <w:spacing w:val="-2"/>
          <w:sz w:val="21"/>
          <w:szCs w:val="21"/>
        </w:rPr>
        <w:t>本公司无需要披露的其他重要事项。</w:t>
      </w:r>
      <w:r>
        <w:rPr>
          <w:rFonts w:ascii="宋体" w:hAnsi="宋体" w:cs="宋体" w:eastAsia="宋体" w:hint="default"/>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68"/>
        <w:ind w:right="111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288,935,</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864.61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3,591,36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285,344,4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96.67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189,549,6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58.47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765,753.3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188,783,90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pacing w:val="16"/>
                <w:sz w:val="18"/>
                <w:szCs w:val="18"/>
              </w:rPr>
              <w:t>按账龄分析法计提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坏账准备的应收账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69,580,3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43.24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3,591,36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65,988,97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15,251,84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765,753.3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14,486,088.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33</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16"/>
                <w:sz w:val="18"/>
                <w:szCs w:val="18"/>
              </w:rPr>
              <w:t>内部及关联方应收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219,355,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521.37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219,355,5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174,297,8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16.80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91.95%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174,297,81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6.80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288,935,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864.61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3,591,36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7.94</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285,344,4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96.67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189,549,6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58.47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765,753.3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188,783,90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5.13</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3,591,367.94 </w:t>
      </w:r>
      <w:r>
        <w:rPr>
          <w:rFonts w:ascii="宋体" w:hAnsi="宋体" w:cs="宋体" w:eastAsia="宋体" w:hint="default"/>
          <w:sz w:val="18"/>
          <w:szCs w:val="18"/>
        </w:rPr>
        <w:t>元</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68,354,647.83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3,417,732.39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729,376.26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72,937.63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491,538.88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98,307.78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4,780.27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69,580,343.24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3,591,367.94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219,355,521.37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219,355,521.37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278,074,711.62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189,522,190.57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88,552,521.05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10,856,372.72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4,780.27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288,935,864.61</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765,753.34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2,825,614.60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3,591,367.94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765,753.34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2,825,614.60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3,591,367.94</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127,314,622.42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89,263,181.23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50,616,375.64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2,530,818.78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7,785,020.63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389,251.03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4,118,335.75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205,916.79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279,097,535.67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96.59%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123,572.18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9,409,708.42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14,308,380.52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9,409,708.42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14,431,952.70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关联方资金拆借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123,572.18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123,572.18</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19"/>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pStyle w:val="Heading5"/>
        <w:spacing w:line="240" w:lineRule="auto"/>
        <w:ind w:right="111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135,810.90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158,022.00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664,349.91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275,066.22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992,660.07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284,602.32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即征即退税款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124,559.87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2,828,394.10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6,670,723.64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7,168,210.04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9,749,341.42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14,850,105.58</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0"/>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541,725.06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541,725.06</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-202,092.06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-202,092.06</w:t>
            </w:r>
          </w:p>
        </w:tc>
      </w:tr>
      <w:tr>
        <w:trPr>
          <w:trHeight w:val="40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339,633.00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339,633.00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5,886,419.42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5,748,368.15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138,051.27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3,587,900.00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75,022.00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69,022.00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9,749,341.42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3"/>
        <w:gridCol w:w="1452"/>
        <w:gridCol w:w="1198"/>
        <w:gridCol w:w="1346"/>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541,725.06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-202,092.06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339,633.00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541,725.06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-202,092.06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339,633.00</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深圳市瑞康宏业科技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3,517,766.62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2,825,893.39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深圳市众成健康科技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北京联瑞联丰知识产 权代理事务所（普通 合伙）广州分所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471,698.10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23,584.91</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员工个人社会保险费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379,418.28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8,194,776.39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223,584.91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1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98,859,957.45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6,253,972.45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92,605,985.00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74,859,957.45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71,078,854.32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98,859,957.45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6,253,972.45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92,605,985.00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74,859,957.45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71,078,854.32</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深圳市乐心医 疗电子有限公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15,623,200.00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15,623,200.00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3,781,103.13</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中山市创源传 感器有限公司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中山市创源贸 易有限公司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广州动心信息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中山乐心电子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Mio Labs</w:t>
            </w:r>
            <w:r>
              <w:rPr>
                <w:rFonts w:ascii="Times New Roman"/>
                <w:spacing w:val="-1"/>
                <w:sz w:val="18"/>
              </w:rPr>
              <w:t> </w:t>
            </w:r>
            <w:r>
              <w:rPr>
                <w:rFonts w:ascii="Times New Roman"/>
                <w:sz w:val="18"/>
              </w:rPr>
              <w:t>Inc</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3,438,385.00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3,438,385.00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香港创源有限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1,361,800.00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1,361,800.00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深圳瑞康宏业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23,485,469.32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2,472,869.32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21,012,600.00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2,472,869.32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3"/>
              <w:jc w:val="left"/>
              <w:rPr>
                <w:rFonts w:ascii="宋体" w:hAnsi="宋体" w:cs="宋体" w:eastAsia="宋体" w:hint="default"/>
                <w:sz w:val="18"/>
                <w:szCs w:val="18"/>
              </w:rPr>
            </w:pPr>
            <w:r>
              <w:rPr>
                <w:rFonts w:ascii="宋体" w:hAnsi="宋体" w:cs="宋体" w:eastAsia="宋体" w:hint="default"/>
                <w:sz w:val="18"/>
                <w:szCs w:val="18"/>
              </w:rPr>
              <w:t>科技开发有限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广州乐心瑜宏 医疗产业投资 基金合伙企业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16,170,000.00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中山市乐恒电 子有限公司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71,078,854.32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2,472,869.32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92,605,985.00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6,253,972.45</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575,286,009.47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465,195,218.68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439,838,479.86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352,418,801.35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6,744,281.36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3,149,296.29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5,276,485.61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1,957,224.70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582,030,290.83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468,344,514.97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445,114,965.47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354,376,026.05</w:t>
            </w:r>
          </w:p>
        </w:tc>
      </w:tr>
    </w:tbl>
    <w:p>
      <w:pPr>
        <w:spacing w:before="49"/>
        <w:ind w:left="152" w:right="11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7"/>
        <w:ind w:left="152" w:right="95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8"/>
        <w:rPr>
          <w:rFonts w:ascii="宋体" w:hAnsi="宋体" w:cs="宋体" w:eastAsia="宋体" w:hint="default"/>
          <w:sz w:val="21"/>
          <w:szCs w:val="21"/>
        </w:rPr>
      </w:pPr>
    </w:p>
    <w:p>
      <w:pPr>
        <w:pStyle w:val="Heading5"/>
        <w:spacing w:line="240" w:lineRule="auto"/>
        <w:ind w:right="111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3,889,070.87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-865,350.00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-1,902,950.00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3,118,786.29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4,247,227.30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2,253,436.29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6,233,348.17</w:t>
            </w:r>
          </w:p>
        </w:tc>
      </w:tr>
    </w:tbl>
    <w:p>
      <w:pPr>
        <w:spacing w:line="240" w:lineRule="auto" w:before="3"/>
        <w:rPr>
          <w:rFonts w:ascii="宋体" w:hAnsi="宋体" w:cs="宋体" w:eastAsia="宋体" w:hint="default"/>
          <w:sz w:val="19"/>
          <w:szCs w:val="19"/>
        </w:rPr>
      </w:pPr>
    </w:p>
    <w:p>
      <w:pPr>
        <w:pStyle w:val="Heading5"/>
        <w:spacing w:line="240" w:lineRule="auto" w:before="36"/>
        <w:ind w:right="1119"/>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1119"/>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-7,866.53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4,598,406.77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-794,076.55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收到专项款</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839,922.20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493,926.96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4,462,614.53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19"/>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9"/>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19"/>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59" w:lineRule="auto"/>
        <w:ind w:right="1119"/>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19"/>
        <w:jc w:val="left"/>
        <w:rPr>
          <w:b w:val="0"/>
          <w:bCs w:val="0"/>
        </w:rPr>
      </w:pPr>
      <w:bookmarkStart w:name="_bookmark12" w:id="13"/>
      <w:bookmarkEnd w:id="13"/>
      <w:r>
        <w:rPr>
          <w:b w:val="0"/>
          <w:bCs w:val="0"/>
        </w:rPr>
      </w:r>
      <w:r>
        <w:rPr/>
        <w:t>第十三节备查文件目录</w:t>
      </w:r>
      <w:r>
        <w:rPr>
          <w:b w:val="0"/>
          <w:bCs w:val="0"/>
        </w:rPr>
      </w:r>
    </w:p>
    <w:p>
      <w:pPr>
        <w:spacing w:line="240" w:lineRule="auto" w:before="10"/>
        <w:rPr>
          <w:rFonts w:ascii="宋体" w:hAnsi="宋体" w:cs="宋体" w:eastAsia="宋体" w:hint="default"/>
          <w:b/>
          <w:bCs/>
          <w:sz w:val="46"/>
          <w:szCs w:val="46"/>
        </w:rPr>
      </w:pPr>
    </w:p>
    <w:p>
      <w:pPr>
        <w:pStyle w:val="BodyText"/>
        <w:spacing w:line="444" w:lineRule="auto" w:before="0"/>
        <w:ind w:left="513" w:right="1119"/>
        <w:jc w:val="left"/>
      </w:pPr>
      <w:r>
        <w:rPr/>
        <w:t>一、载有公司法定代表人、财务负责人、会计机构负责人签名并盖章的财务报表。</w:t>
      </w:r>
      <w:r>
        <w:rPr>
          <w:w w:val="100"/>
        </w:rPr>
        <w:t> </w:t>
      </w:r>
      <w:r>
        <w:rPr/>
        <w:t>二、载有会计师事务所盖章、注册会计师签名并盖章的审计报告原件。</w:t>
      </w:r>
      <w:r>
        <w:rPr>
          <w:w w:val="100"/>
        </w:rPr>
        <w:t> </w:t>
      </w:r>
      <w:r>
        <w:rPr>
          <w:spacing w:val="-2"/>
        </w:rPr>
        <w:t>三、报告期内在中国证监会指定信息披露载体上公开披露过的所有公司文件的正本及公告的原稿。</w:t>
      </w:r>
      <w:r>
        <w:rPr>
          <w:spacing w:val="-25"/>
        </w:rPr>
        <w:t> </w:t>
      </w:r>
      <w:r>
        <w:rPr>
          <w:spacing w:val="-25"/>
        </w:rPr>
      </w:r>
      <w:r>
        <w:rPr/>
        <w:t>四、载有法定代表人签名的公司</w:t>
      </w:r>
      <w:r>
        <w:rPr>
          <w:rFonts w:ascii="宋体" w:hAnsi="宋体" w:cs="宋体" w:eastAsia="宋体" w:hint="default"/>
        </w:rPr>
        <w:t>2019</w:t>
      </w:r>
      <w:r>
        <w:rPr/>
        <w:t>年度报告文本。</w:t>
      </w:r>
    </w:p>
    <w:p>
      <w:pPr>
        <w:pStyle w:val="BodyText"/>
        <w:spacing w:line="240" w:lineRule="auto" w:before="55"/>
        <w:ind w:left="513" w:right="1119"/>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0"/>
        <w:ind w:left="513" w:right="1119"/>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2"/>
        <w:ind w:left="7335" w:right="1119" w:hanging="788"/>
        <w:jc w:val="left"/>
      </w:pPr>
      <w:r>
        <w:rPr>
          <w:spacing w:val="-2"/>
        </w:rPr>
        <w:t>广东乐心医疗电子股份有限公司</w:t>
      </w:r>
      <w:r>
        <w:rPr>
          <w:spacing w:val="-79"/>
        </w:rPr>
        <w:t> </w:t>
      </w:r>
      <w:r>
        <w:rPr>
          <w:spacing w:val="-79"/>
        </w:rPr>
      </w:r>
      <w:r>
        <w:rPr/>
        <w:t>法定代表人：潘伟潮</w:t>
      </w:r>
    </w:p>
    <w:p>
      <w:pPr>
        <w:pStyle w:val="BodyText"/>
        <w:spacing w:line="240" w:lineRule="auto"/>
        <w:ind w:left="7126" w:right="1119"/>
        <w:jc w:val="left"/>
      </w:pPr>
      <w:r>
        <w:rPr/>
        <w:t>二〇二〇年四月二十三日</w:t>
      </w:r>
    </w:p>
    <w:sectPr>
      <w:pgSz w:w="11910" w:h="16840"/>
      <w:pgMar w:header="877"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960" type="#_x0000_t75" stroked="false">
          <v:imagedata r:id="rId1" o:title=""/>
        </v:shape>
      </w:pict>
    </w:r>
    <w:r>
      <w:rPr/>
      <w:pict>
        <v:shape style="position:absolute;margin-left:533.099976pt;margin-top:795.613892pt;width:6.5pt;height:11pt;mso-position-horizontal-relative:page;mso-position-vertical-relative:page;z-index:-1111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384" type="#_x0000_t75" stroked="false">
          <v:imagedata r:id="rId1" o:title=""/>
        </v:shape>
      </w:pict>
    </w:r>
    <w:r>
      <w:rPr/>
      <w:pict>
        <v:shape style="position:absolute;margin-left:55.639999pt;margin-top:756.101013pt;width:474.9pt;height:12.6pt;mso-position-horizontal-relative:page;mso-position-vertical-relative:page;z-index:-1111360" type="#_x0000_t202" filled="false" stroked="false">
          <v:textbox inset="0,0,0,0">
            <w:txbxContent>
              <w:p>
                <w:pPr>
                  <w:pStyle w:val="BodyText"/>
                  <w:spacing w:line="231" w:lineRule="exact" w:before="0"/>
                  <w:ind w:left="20" w:right="0"/>
                  <w:jc w:val="left"/>
                </w:pPr>
                <w:r>
                  <w:rPr>
                    <w:spacing w:val="-2"/>
                  </w:rPr>
                  <w:t>当期投资收益，由于被投资方重新计量设定受益计划净负债或净资产变动而产生的其他综合收益除外。</w:t>
                </w:r>
              </w:p>
            </w:txbxContent>
          </v:textbox>
          <w10:wrap type="none"/>
        </v:shape>
      </w:pict>
    </w:r>
    <w:r>
      <w:rPr/>
      <w:pict>
        <v:shape style="position:absolute;margin-left:523.460022pt;margin-top:781.933899pt;width:17.3pt;height:11pt;mso-position-horizontal-relative:page;mso-position-vertical-relative:page;z-index:-111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312" type="#_x0000_t75" stroked="false">
          <v:imagedata r:id="rId1" o:title=""/>
        </v:shape>
      </w:pict>
    </w:r>
    <w:r>
      <w:rPr/>
      <w:pict>
        <v:shape style="position:absolute;margin-left:523.460022pt;margin-top:781.933899pt;width:17.3pt;height:11pt;mso-position-horizontal-relative:page;mso-position-vertical-relative:page;z-index:-111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264" type="#_x0000_t75" stroked="false">
          <v:imagedata r:id="rId1" o:title=""/>
        </v:shape>
      </w:pict>
    </w:r>
    <w:r>
      <w:rPr/>
      <w:pict>
        <v:shape style="position:absolute;margin-left:523.099976pt;margin-top:781.933899pt;width:17.7pt;height:11pt;mso-position-horizontal-relative:page;mso-position-vertical-relative:page;z-index:-111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216" type="#_x0000_t75" stroked="false">
          <v:imagedata r:id="rId1" o:title=""/>
        </v:shape>
      </w:pict>
    </w:r>
    <w:r>
      <w:rPr/>
      <w:pict>
        <v:shape style="position:absolute;margin-left:524.099976pt;margin-top:781.933899pt;width:15.7pt;height:11pt;mso-position-horizontal-relative:page;mso-position-vertical-relative:page;z-index:-1111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168" type="#_x0000_t75" stroked="false">
          <v:imagedata r:id="rId1" o:title=""/>
        </v:shape>
      </w:pict>
    </w:r>
    <w:r>
      <w:rPr/>
      <w:pict>
        <v:shape style="position:absolute;margin-left:523.099976pt;margin-top:781.933899pt;width:17.7pt;height:11pt;mso-position-horizontal-relative:page;mso-position-vertical-relative:page;z-index:-111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912" type="#_x0000_t75" stroked="false">
          <v:imagedata r:id="rId1" o:title=""/>
        </v:shape>
      </w:pict>
    </w:r>
    <w:r>
      <w:rPr/>
      <w:pict>
        <v:shape style="position:absolute;margin-left:527.659973pt;margin-top:781.933899pt;width:13.15pt;height:11pt;mso-position-horizontal-relative:page;mso-position-vertical-relative:page;z-index:-111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11840" type="#_x0000_t75" stroked="false">
          <v:imagedata r:id="rId1" o:title=""/>
        </v:shape>
      </w:pict>
    </w:r>
    <w:r>
      <w:rPr/>
      <w:pict>
        <v:shape style="position:absolute;margin-left:759.02002pt;margin-top:535.333923pt;width:13.15pt;height:11pt;mso-position-horizontal-relative:page;mso-position-vertical-relative:page;z-index:-1111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744" type="#_x0000_t75" stroked="false">
          <v:imagedata r:id="rId1" o:title=""/>
        </v:shape>
      </w:pict>
    </w:r>
    <w:r>
      <w:rPr/>
      <w:pict>
        <v:shape style="position:absolute;margin-left:527.659973pt;margin-top:781.933899pt;width:13.15pt;height:11pt;mso-position-horizontal-relative:page;mso-position-vertical-relative:page;z-index:-111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11672" type="#_x0000_t75" stroked="false">
          <v:imagedata r:id="rId1" o:title=""/>
        </v:shape>
      </w:pict>
    </w:r>
    <w:r>
      <w:rPr/>
      <w:pict>
        <v:shape style="position:absolute;margin-left:759.02002pt;margin-top:535.333923pt;width:13.15pt;height:11pt;mso-position-horizontal-relative:page;mso-position-vertical-relative:page;z-index:-111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576" type="#_x0000_t75" stroked="false">
          <v:imagedata r:id="rId1" o:title=""/>
        </v:shape>
      </w:pict>
    </w:r>
    <w:r>
      <w:rPr/>
      <w:pict>
        <v:shape style="position:absolute;margin-left:527.659973pt;margin-top:781.933899pt;width:13.15pt;height:11pt;mso-position-horizontal-relative:page;mso-position-vertical-relative:page;z-index:-111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528" type="#_x0000_t75" stroked="false">
          <v:imagedata r:id="rId1" o:title=""/>
        </v:shape>
      </w:pict>
    </w:r>
    <w:r>
      <w:rPr/>
      <w:pict>
        <v:shape style="position:absolute;margin-left:524.099976pt;margin-top:781.933899pt;width:15.7pt;height:11pt;mso-position-horizontal-relative:page;mso-position-vertical-relative:page;z-index:-1111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480" type="#_x0000_t75" stroked="false">
          <v:imagedata r:id="rId1" o:title=""/>
        </v:shape>
      </w:pict>
    </w:r>
    <w:r>
      <w:rPr/>
      <w:pict>
        <v:shape style="position:absolute;margin-left:523.099976pt;margin-top:781.933899pt;width:17.7pt;height:11pt;mso-position-horizontal-relative:page;mso-position-vertical-relative:page;z-index:-1111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11432" type="#_x0000_t75" stroked="false">
          <v:imagedata r:id="rId1" o:title=""/>
        </v:shape>
      </w:pict>
    </w:r>
    <w:r>
      <w:rPr/>
      <w:pict>
        <v:shape style="position:absolute;margin-left:523.460022pt;margin-top:781.933899pt;width:17.3pt;height:11pt;mso-position-horizontal-relative:page;mso-position-vertical-relative:page;z-index:-111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1111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11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11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111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11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1116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111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宋体" w:hAnsi="宋体" w:eastAsia="宋体"/>
      <w:sz w:val="28"/>
      <w:szCs w:val="28"/>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spacing w:before="14"/>
      <w:ind w:left="714"/>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508"/>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ifesense.com/" TargetMode="External"/><Relationship Id="rId10" Type="http://schemas.openxmlformats.org/officeDocument/2006/relationships/hyperlink" Target="mailto:ls@lifesense.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cninfo.com.cn/new/index" TargetMode="Externa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广东乐心医疗电子股份有限公司</dc:creator>
  <dc:title>广东乐心医疗电子股份有限公司2019年年度报告全文</dc:title>
  <dcterms:created xsi:type="dcterms:W3CDTF">2020-05-19T07:51:59Z</dcterms:created>
  <dcterms:modified xsi:type="dcterms:W3CDTF">2020-05-19T07:51:59Z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2010</vt:lpwstr>
  </property>
  <property fmtid="{D5CDD505-2E9C-101B-9397-08002B2CF9AE}" pid="4" name="LastSaved">
    <vt:filetime>2020-05-18T00:00:00Z</vt:filetime>
  </property>
</Properties>
</file>