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Default Extension="jpeg" ContentType="image/jpe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2084" w:right="2744" w:firstLine="0"/>
        <w:jc w:val="center"/>
        <w:rPr>
          <w:rFonts w:ascii="宋体" w:hAnsi="宋体" w:cs="宋体" w:eastAsia="宋体" w:hint="default"/>
          <w:sz w:val="36"/>
          <w:szCs w:val="36"/>
        </w:rPr>
      </w:pPr>
      <w:r>
        <w:rPr>
          <w:rFonts w:ascii="宋体" w:hAnsi="宋体" w:cs="宋体" w:eastAsia="宋体" w:hint="default"/>
          <w:b/>
          <w:bCs/>
          <w:sz w:val="36"/>
          <w:szCs w:val="36"/>
        </w:rPr>
        <w:t>北京数字认证股份有限公司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083" w:right="274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2084" w:right="2741" w:firstLine="0"/>
        <w:jc w:val="center"/>
        <w:rPr>
          <w:rFonts w:ascii="Times New Roman" w:hAnsi="Times New Roman" w:cs="Times New Roman" w:eastAsia="Times New Roman" w:hint="default"/>
          <w:sz w:val="30"/>
          <w:szCs w:val="30"/>
        </w:rPr>
      </w:pPr>
      <w:r>
        <w:rPr>
          <w:rFonts w:ascii="Times New Roman"/>
          <w:b/>
          <w:sz w:val="30"/>
        </w:rPr>
        <w:t>(2018-025)</w:t>
      </w:r>
      <w:r>
        <w:rPr>
          <w:rFonts w:ascii="Times New Roman"/>
          <w:sz w:val="30"/>
        </w:rPr>
      </w: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6"/>
        <w:rPr>
          <w:rFonts w:ascii="Times New Roman" w:hAnsi="Times New Roman" w:cs="Times New Roman" w:eastAsia="Times New Roman" w:hint="default"/>
          <w:b/>
          <w:bCs/>
          <w:sz w:val="37"/>
          <w:szCs w:val="37"/>
        </w:rPr>
      </w:pPr>
    </w:p>
    <w:p>
      <w:pPr>
        <w:spacing w:before="0"/>
        <w:ind w:left="2084" w:right="274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168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left="2763" w:right="102"/>
        <w:jc w:val="left"/>
        <w:rPr>
          <w:b w:val="0"/>
          <w:bCs w:val="0"/>
        </w:rPr>
      </w:pP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7"/>
        <w:ind w:left="112" w:right="25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3"/>
        <w:ind w:left="112" w:right="25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公司负责人詹榜华、主管会计工作负责人林雪焰及会计机构负责人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高青山声明：保证年度报告中财务报告的真实、准确、完整。</w:t>
      </w:r>
      <w:r>
        <w:rPr>
          <w:rFonts w:ascii="宋体" w:hAnsi="宋体" w:cs="宋体" w:eastAsia="宋体" w:hint="default"/>
          <w:sz w:val="28"/>
          <w:szCs w:val="28"/>
        </w:rPr>
      </w:r>
    </w:p>
    <w:p>
      <w:pPr>
        <w:spacing w:line="472" w:lineRule="auto" w:before="148"/>
        <w:ind w:left="674" w:right="102"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本报告中涉及的未来计划等前瞻性陈述，不构成公司对投资者的实质承诺，</w:t>
      </w:r>
      <w:r>
        <w:rPr>
          <w:rFonts w:ascii="宋体" w:hAnsi="宋体" w:cs="宋体" w:eastAsia="宋体" w:hint="default"/>
          <w:spacing w:val="-2"/>
          <w:sz w:val="28"/>
          <w:szCs w:val="28"/>
        </w:rPr>
      </w:r>
    </w:p>
    <w:p>
      <w:pPr>
        <w:spacing w:line="408" w:lineRule="auto" w:before="0"/>
        <w:ind w:left="112" w:right="249" w:firstLine="0"/>
        <w:jc w:val="left"/>
        <w:rPr>
          <w:rFonts w:ascii="宋体" w:hAnsi="宋体" w:cs="宋体" w:eastAsia="宋体" w:hint="default"/>
          <w:sz w:val="28"/>
          <w:szCs w:val="28"/>
        </w:rPr>
      </w:pPr>
      <w:r>
        <w:rPr>
          <w:rFonts w:ascii="宋体" w:hAnsi="宋体" w:cs="宋体" w:eastAsia="宋体" w:hint="default"/>
          <w:b/>
          <w:bCs/>
          <w:spacing w:val="2"/>
          <w:sz w:val="28"/>
          <w:szCs w:val="28"/>
        </w:rPr>
        <w:t>投资者及相关人士均应当对此保持足够的风险认识，并且应当理解计划、预测</w:t>
      </w:r>
      <w:r>
        <w:rPr>
          <w:rFonts w:ascii="宋体" w:hAnsi="宋体" w:cs="宋体" w:eastAsia="宋体" w:hint="default"/>
          <w:b/>
          <w:bCs/>
          <w:w w:val="99"/>
          <w:sz w:val="28"/>
          <w:szCs w:val="28"/>
        </w:rPr>
        <w:t> </w:t>
      </w:r>
      <w:r>
        <w:rPr>
          <w:rFonts w:ascii="宋体" w:hAnsi="宋体" w:cs="宋体" w:eastAsia="宋体" w:hint="default"/>
          <w:b/>
          <w:bCs/>
          <w:sz w:val="28"/>
          <w:szCs w:val="28"/>
        </w:rPr>
        <w:t>与承诺之间的差异，请投资者注意投资风险。</w:t>
      </w:r>
      <w:r>
        <w:rPr>
          <w:rFonts w:ascii="宋体" w:hAnsi="宋体" w:cs="宋体" w:eastAsia="宋体" w:hint="default"/>
          <w:sz w:val="28"/>
          <w:szCs w:val="28"/>
        </w:rPr>
      </w:r>
    </w:p>
    <w:p>
      <w:pPr>
        <w:spacing w:line="386" w:lineRule="auto" w:before="162"/>
        <w:ind w:left="112" w:right="251"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公司存在</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北京市法人一证通</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项目风险、信息技术快速进步风险、业务收</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入季节性波动、应收账款较高风险，具体内容详见本报告中第四节</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经营情况讨</w:t>
      </w:r>
      <w:r>
        <w:rPr>
          <w:rFonts w:ascii="宋体" w:hAnsi="宋体" w:cs="宋体" w:eastAsia="宋体" w:hint="default"/>
          <w:b/>
          <w:bCs/>
          <w:spacing w:val="-131"/>
          <w:sz w:val="28"/>
          <w:szCs w:val="28"/>
        </w:rPr>
        <w:t> </w:t>
      </w:r>
      <w:r>
        <w:rPr>
          <w:rFonts w:ascii="宋体" w:hAnsi="宋体" w:cs="宋体" w:eastAsia="宋体" w:hint="default"/>
          <w:b/>
          <w:bCs/>
          <w:sz w:val="28"/>
          <w:szCs w:val="28"/>
        </w:rPr>
        <w:t>论与分析</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中</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九、公司未来发展的展望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部分，敬请投资者关注相关内容。</w:t>
      </w:r>
      <w:r>
        <w:rPr>
          <w:rFonts w:ascii="宋体" w:hAnsi="宋体" w:cs="宋体" w:eastAsia="宋体" w:hint="default"/>
          <w:sz w:val="28"/>
          <w:szCs w:val="28"/>
        </w:rPr>
      </w:r>
    </w:p>
    <w:p>
      <w:pPr>
        <w:spacing w:before="148"/>
        <w:ind w:left="674" w:right="102"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4"/>
          <w:sz w:val="28"/>
          <w:szCs w:val="28"/>
        </w:rPr>
        <w:t> </w:t>
      </w:r>
      <w:r>
        <w:rPr>
          <w:rFonts w:ascii="Times New Roman" w:hAnsi="Times New Roman" w:cs="Times New Roman" w:eastAsia="Times New Roman" w:hint="default"/>
          <w:b/>
          <w:bCs/>
          <w:sz w:val="28"/>
          <w:szCs w:val="28"/>
        </w:rPr>
        <w:t>8000</w:t>
      </w:r>
      <w:r>
        <w:rPr>
          <w:rFonts w:ascii="Times New Roman" w:hAnsi="Times New Roman" w:cs="Times New Roman" w:eastAsia="Times New Roman" w:hint="default"/>
          <w:b/>
          <w:bCs/>
          <w:spacing w:val="-15"/>
          <w:sz w:val="28"/>
          <w:szCs w:val="28"/>
        </w:rPr>
        <w:t> </w:t>
      </w:r>
      <w:r>
        <w:rPr>
          <w:rFonts w:ascii="宋体" w:hAnsi="宋体" w:cs="宋体" w:eastAsia="宋体" w:hint="default"/>
          <w:b/>
          <w:bCs/>
          <w:spacing w:val="-4"/>
          <w:sz w:val="28"/>
          <w:szCs w:val="28"/>
        </w:rPr>
        <w:t>万股为基数，向全</w:t>
      </w:r>
      <w:r>
        <w:rPr>
          <w:rFonts w:ascii="宋体" w:hAnsi="宋体" w:cs="宋体" w:eastAsia="宋体" w:hint="default"/>
          <w:spacing w:val="-4"/>
          <w:sz w:val="28"/>
          <w:szCs w:val="28"/>
        </w:rPr>
      </w:r>
    </w:p>
    <w:p>
      <w:pPr>
        <w:spacing w:before="237"/>
        <w:ind w:left="112" w:right="102" w:firstLine="0"/>
        <w:jc w:val="left"/>
        <w:rPr>
          <w:rFonts w:ascii="宋体" w:hAnsi="宋体" w:cs="宋体" w:eastAsia="宋体" w:hint="default"/>
          <w:sz w:val="28"/>
          <w:szCs w:val="28"/>
        </w:rPr>
      </w:pPr>
      <w:r>
        <w:rPr>
          <w:rFonts w:ascii="宋体" w:hAnsi="宋体" w:cs="宋体" w:eastAsia="宋体" w:hint="default"/>
          <w:b/>
          <w:bCs/>
          <w:w w:val="99"/>
          <w:sz w:val="28"/>
          <w:szCs w:val="28"/>
        </w:rPr>
        <w:t>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股派发现金</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3.</w:t>
      </w:r>
      <w:r>
        <w:rPr>
          <w:rFonts w:ascii="Times New Roman" w:hAnsi="Times New Roman" w:cs="Times New Roman" w:eastAsia="Times New Roman" w:hint="default"/>
          <w:b/>
          <w:bCs/>
          <w:spacing w:val="-2"/>
          <w:w w:val="100"/>
          <w:sz w:val="28"/>
          <w:szCs w:val="28"/>
        </w:rPr>
        <w:t>0</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以资本公积</w:t>
      </w:r>
      <w:r>
        <w:rPr>
          <w:rFonts w:ascii="宋体" w:hAnsi="宋体" w:cs="宋体" w:eastAsia="宋体" w:hint="default"/>
          <w:sz w:val="28"/>
          <w:szCs w:val="28"/>
        </w:rPr>
      </w:r>
    </w:p>
    <w:p>
      <w:pPr>
        <w:spacing w:before="236"/>
        <w:ind w:left="112" w:right="102" w:firstLine="0"/>
        <w:jc w:val="left"/>
        <w:rPr>
          <w:rFonts w:ascii="宋体" w:hAnsi="宋体" w:cs="宋体" w:eastAsia="宋体" w:hint="default"/>
          <w:sz w:val="28"/>
          <w:szCs w:val="28"/>
        </w:rPr>
      </w:pPr>
      <w:r>
        <w:rPr>
          <w:rFonts w:ascii="宋体" w:hAnsi="宋体" w:cs="宋体" w:eastAsia="宋体" w:hint="default"/>
          <w:b/>
          <w:bCs/>
          <w:sz w:val="28"/>
          <w:szCs w:val="28"/>
        </w:rPr>
        <w:t>金向全体股东每</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5</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7"/>
          <w:pgSz w:w="11910" w:h="16840"/>
          <w:pgMar w:footer="979" w:header="745" w:top="1060" w:bottom="1160" w:left="1020" w:right="88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7"/>
        <w:ind w:left="3550" w:right="355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4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8"/>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8"/>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8"/>
              </w:rPr>
              <w:t> </w:t>
            </w:r>
            <w:r>
              <w:rPr/>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8"/>
              </w:rPr>
              <w:t> </w:t>
            </w:r>
            <w:r>
              <w:rPr/>
              <w:t>经营情况讨论与分析</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8"/>
              </w:rPr>
              <w:t> </w:t>
            </w:r>
            <w:r>
              <w:rPr/>
              <w:t>重要事项</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8"/>
              </w:rPr>
              <w:t> </w:t>
            </w:r>
            <w:r>
              <w:rPr/>
              <w:t>股份变动及股东情况</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8"/>
              </w:rPr>
              <w:t> </w:t>
            </w:r>
            <w:r>
              <w:rPr/>
              <w:t>优先股相关情况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4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8"/>
              </w:rPr>
              <w:t> </w:t>
            </w:r>
            <w:r>
              <w:rPr/>
              <w:t>董事、监事、高级管理人员和员工情况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8"/>
              </w:rPr>
              <w:t> </w:t>
            </w:r>
            <w:r>
              <w:rPr/>
              <w:t>公司治理</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8"/>
              </w:rPr>
              <w:t> </w:t>
            </w:r>
            <w:r>
              <w:rPr/>
              <w:t>公司债券相关情况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7"/>
              </w:rPr>
              <w:t> </w:t>
            </w:r>
            <w:r>
              <w:rPr/>
              <w:t>财务报告</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18"/>
              </w:rPr>
              <w:t> </w:t>
            </w:r>
            <w:r>
              <w:rPr/>
              <w:t>备查文件目录</w:t>
            </w:r>
            <w:r>
              <w:rPr>
                <w:rFonts w:ascii="Times New Roman" w:hAnsi="Times New Roman" w:cs="Times New Roman" w:eastAsia="Times New Roman" w:hint="default"/>
              </w:rPr>
              <w:tab/>
              <w:t>177</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79" w:top="1060" w:bottom="1160" w:left="1020" w:right="1020"/>
        </w:sectPr>
      </w:pPr>
    </w:p>
    <w:p>
      <w:pPr>
        <w:spacing w:before="945"/>
        <w:ind w:left="3550" w:right="355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公司、本公司、数字认证、北京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CA</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北京数字认证股份有限公司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北京国资公司、国资公司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北京市国有资产经营有限责任公司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首信股份</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首都信息发展股份有限公司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CA</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上海市数字证书认证中心有限公司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科桥投资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北京科桥创业投资中心（有限合伙）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安信天行</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北京安信天行科技有限公司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版信通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北京版信通技术有限公司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北京数字认证股份有限公司章程</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电子签名</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数据电文中以电子形式所含、所附用于识别签名人身份并表明签名人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认可其中内容的数据</w:t>
            </w:r>
          </w:p>
        </w:tc>
      </w:tr>
      <w:tr>
        <w:trPr>
          <w:trHeight w:val="102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数字签名</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2"/>
                <w:sz w:val="18"/>
                <w:szCs w:val="18"/>
              </w:rPr>
              <w:t>签名者使用私钥对待签名数据的杂凑值做密码运算得到的结果，该结</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果可以用签名者的公钥进行验证，用于确认被签名数据的完整性、签</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名者身份的真实性和签名行为的抗抵赖性</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密码</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一种编码和变换的规则，用来实现对通信双方的信息隐蔽或用来实现</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对信息来源或完整性的证明</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数据电文</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以电子、光学、磁或者类似手段生成、发送、接收或者储存的信息</w:t>
            </w:r>
          </w:p>
        </w:tc>
      </w:tr>
      <w:tr>
        <w:trPr>
          <w:trHeight w:val="133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数字证书</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又叫</w:t>
            </w:r>
            <w:r>
              <w:rPr>
                <w:rFonts w:ascii="Times New Roman" w:hAnsi="Times New Roman" w:cs="Times New Roman" w:eastAsia="Times New Roman" w:hint="default"/>
                <w:sz w:val="18"/>
                <w:szCs w:val="18"/>
              </w:rPr>
              <w:t>"</w:t>
            </w:r>
            <w:r>
              <w:rPr>
                <w:rFonts w:ascii="宋体" w:hAnsi="宋体" w:cs="宋体" w:eastAsia="宋体" w:hint="default"/>
                <w:sz w:val="18"/>
                <w:szCs w:val="18"/>
              </w:rPr>
              <w:t>网络身份证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数字身份证</w:t>
            </w:r>
            <w:r>
              <w:rPr>
                <w:rFonts w:ascii="Times New Roman" w:hAnsi="Times New Roman" w:cs="Times New Roman" w:eastAsia="Times New Roman" w:hint="default"/>
                <w:sz w:val="18"/>
                <w:szCs w:val="18"/>
              </w:rPr>
              <w:t>"</w:t>
            </w:r>
            <w:r>
              <w:rPr>
                <w:rFonts w:ascii="宋体" w:hAnsi="宋体" w:cs="宋体" w:eastAsia="宋体" w:hint="default"/>
                <w:sz w:val="18"/>
                <w:szCs w:val="18"/>
              </w:rPr>
              <w:t>，是由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机构发放并经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机构 </w:t>
            </w:r>
            <w:r>
              <w:rPr>
                <w:rFonts w:ascii="宋体" w:hAnsi="宋体" w:cs="宋体" w:eastAsia="宋体" w:hint="default"/>
                <w:spacing w:val="-2"/>
                <w:sz w:val="18"/>
                <w:szCs w:val="18"/>
              </w:rPr>
              <w:t>数字签名的、包含公开密钥拥有者以及公开密钥相关信息的一种电子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文件。它可以用来证明数字证书持有者的真实身份，是 </w:t>
            </w:r>
            <w:r>
              <w:rPr>
                <w:rFonts w:ascii="Times New Roman" w:hAnsi="Times New Roman" w:cs="Times New Roman" w:eastAsia="Times New Roman" w:hint="default"/>
                <w:sz w:val="18"/>
                <w:szCs w:val="18"/>
              </w:rPr>
              <w:t>PKI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体系中 最基本的元素</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系统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数字证书认证系统，是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机构用于为用户生产生成数字证书的信息 系统，公司数字证书服务业务的核心技术系统</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电子认证</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为电子签名的真实性和可靠性提供证明的活动</w:t>
            </w:r>
          </w:p>
        </w:tc>
      </w:tr>
      <w:tr>
        <w:trPr>
          <w:trHeight w:val="102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电子认证服务机构、</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机构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
              <w:jc w:val="both"/>
              <w:rPr>
                <w:rFonts w:ascii="宋体" w:hAnsi="宋体" w:cs="宋体" w:eastAsia="宋体" w:hint="default"/>
                <w:sz w:val="18"/>
                <w:szCs w:val="18"/>
              </w:rPr>
            </w:pPr>
            <w:r>
              <w:rPr>
                <w:rFonts w:ascii="宋体" w:hAnsi="宋体" w:cs="宋体" w:eastAsia="宋体" w:hint="default"/>
                <w:spacing w:val="-2"/>
                <w:sz w:val="18"/>
                <w:szCs w:val="18"/>
              </w:rPr>
              <w:t>获得工信部《电子认证服务许可证》的机构，作为独立第三方为电子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认证用户提供数字证书的申请、签发、更新、撤销、查询以及签名验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证等服务的机构</w:t>
            </w:r>
          </w:p>
        </w:tc>
      </w:tr>
    </w:tbl>
    <w:p>
      <w:pPr>
        <w:spacing w:after="0" w:line="319" w:lineRule="auto"/>
        <w:jc w:val="both"/>
        <w:rPr>
          <w:rFonts w:ascii="宋体" w:hAnsi="宋体" w:cs="宋体" w:eastAsia="宋体" w:hint="default"/>
          <w:sz w:val="18"/>
          <w:szCs w:val="18"/>
        </w:rPr>
        <w:sectPr>
          <w:headerReference w:type="default" r:id="rId8"/>
          <w:pgSz w:w="11910" w:h="16840"/>
          <w:pgMar w:header="867" w:footer="979" w:top="1060" w:bottom="116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02" w:right="0"/>
        <w:jc w:val="left"/>
        <w:rPr>
          <w:b w:val="0"/>
          <w:bCs w:val="0"/>
        </w:rPr>
      </w:pPr>
      <w:bookmarkStart w:name="_bookmark0" w:id="1"/>
      <w:bookmarkEnd w:id="1"/>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pict>
          <v:shape style="position:absolute;margin-left:138pt;margin-top:114.585602pt;width:396.95pt;height:19.7pt;mso-position-horizontal-relative:page;mso-position-vertical-relative:paragraph;z-index:-83276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t>一、公司信息</w:t>
      </w:r>
      <w:r>
        <w:rPr>
          <w:b w:val="0"/>
          <w:bCs w:val="0"/>
        </w:rPr>
      </w: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4"/>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数字认证</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300579</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北京数字认证股份有限公司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数字认证</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BEIJING </w:t>
            </w:r>
            <w:r>
              <w:rPr>
                <w:rFonts w:ascii="Times New Roman"/>
                <w:spacing w:val="-3"/>
                <w:sz w:val="18"/>
              </w:rPr>
              <w:t>CERTIFICATE </w:t>
            </w:r>
            <w:r>
              <w:rPr>
                <w:rFonts w:ascii="Times New Roman"/>
                <w:sz w:val="18"/>
              </w:rPr>
              <w:t>AUTHORITY Co.,</w:t>
            </w:r>
            <w:r>
              <w:rPr>
                <w:rFonts w:ascii="Times New Roman"/>
                <w:spacing w:val="-24"/>
                <w:sz w:val="18"/>
              </w:rPr>
              <w:t> </w:t>
            </w:r>
            <w:r>
              <w:rPr>
                <w:rFonts w:ascii="Times New Roman"/>
                <w:sz w:val="18"/>
              </w:rPr>
              <w:t>Ltd.</w:t>
            </w:r>
          </w:p>
        </w:tc>
      </w:tr>
      <w:tr>
        <w:trPr>
          <w:trHeight w:val="403" w:hRule="exact"/>
        </w:trPr>
        <w:tc>
          <w:tcPr>
            <w:tcW w:w="22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BJCA</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詹榜华</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北京市海淀区北四环西路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100080</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北京市海淀区北四环西路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100080</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www.bjca.org.cn</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dongban@bjca.org.cn</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齐秀彬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杨萍</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北京市海淀区北四环西路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北京市海淀区北四环西路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010-58045602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010-58045602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010-58045836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010-58045836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dongban@bjca.org.cn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dongban@bjca.org.cn</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证券时报、证券日报、中国证券报、上海证券报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北京数字认证股份有限公司董事会办公室</w:t>
            </w:r>
          </w:p>
        </w:tc>
      </w:tr>
    </w:tbl>
    <w:p>
      <w:pPr>
        <w:spacing w:line="240" w:lineRule="auto" w:before="3"/>
        <w:rPr>
          <w:rFonts w:ascii="宋体" w:hAnsi="宋体" w:cs="宋体" w:eastAsia="宋体" w:hint="default"/>
          <w:b/>
          <w:bCs/>
          <w:sz w:val="18"/>
          <w:szCs w:val="18"/>
        </w:rPr>
      </w:pPr>
    </w:p>
    <w:p>
      <w:pPr>
        <w:pStyle w:val="Heading2"/>
        <w:spacing w:line="240" w:lineRule="auto" w:before="26"/>
        <w:ind w:right="0"/>
        <w:jc w:val="left"/>
        <w:rPr>
          <w:b w:val="0"/>
          <w:bCs w:val="0"/>
        </w:rPr>
      </w:pPr>
      <w:r>
        <w:rPr/>
        <w:t>四、其他有关资料</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中国北京朝阳区建国门外大街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曹阳、王艳艳</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北京市东城区朝内大街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号凯 恒中心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r>
              <w:rPr>
                <w:rFonts w:ascii="Times New Roman" w:hAnsi="Times New Roman" w:cs="Times New Roman" w:eastAsia="Times New Roman" w:hint="default"/>
                <w:sz w:val="18"/>
                <w:szCs w:val="18"/>
              </w:rPr>
              <w:t>E </w:t>
            </w:r>
            <w:r>
              <w:rPr>
                <w:rFonts w:ascii="宋体" w:hAnsi="宋体" w:cs="宋体" w:eastAsia="宋体" w:hint="default"/>
                <w:sz w:val="18"/>
                <w:szCs w:val="18"/>
              </w:rPr>
              <w:t>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5" w:right="0"/>
              <w:jc w:val="left"/>
              <w:rPr>
                <w:rFonts w:ascii="宋体" w:hAnsi="宋体" w:cs="宋体" w:eastAsia="宋体" w:hint="default"/>
                <w:sz w:val="18"/>
                <w:szCs w:val="18"/>
              </w:rPr>
            </w:pPr>
            <w:r>
              <w:rPr>
                <w:rFonts w:ascii="宋体" w:hAnsi="宋体" w:cs="宋体" w:eastAsia="宋体" w:hint="default"/>
                <w:sz w:val="18"/>
                <w:szCs w:val="18"/>
              </w:rPr>
              <w:t>潘锋、</w:t>
            </w:r>
            <w:r>
              <w:rPr>
                <w:rFonts w:ascii="宋体" w:hAnsi="宋体" w:cs="宋体" w:eastAsia="宋体" w:hint="default"/>
                <w:spacing w:val="1"/>
                <w:sz w:val="18"/>
                <w:szCs w:val="18"/>
              </w:rPr>
              <w:t> </w:t>
            </w:r>
            <w:r>
              <w:rPr>
                <w:rFonts w:ascii="宋体" w:hAnsi="宋体" w:cs="宋体" w:eastAsia="宋体" w:hint="default"/>
                <w:sz w:val="18"/>
                <w:szCs w:val="18"/>
              </w:rPr>
              <w:t>朱明强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2016.12.23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2019.12.31</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8"/>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5"/>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622"/>
        <w:gridCol w:w="1738"/>
        <w:gridCol w:w="1738"/>
        <w:gridCol w:w="1738"/>
        <w:gridCol w:w="1735"/>
      </w:tblGrid>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519,848,359.34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445,515,080.90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373,171,986.75</w:t>
            </w:r>
          </w:p>
        </w:tc>
      </w:tr>
      <w:tr>
        <w:trPr>
          <w:trHeight w:val="716"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84,245,509.94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59,960,793.41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47,769,033.37</w:t>
            </w:r>
          </w:p>
        </w:tc>
      </w:tr>
      <w:tr>
        <w:trPr>
          <w:trHeight w:val="71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63,684,619.43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57,656,114.30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46,343,723.49</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115,323,351.32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40,171,267.53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47,524,199.39</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0.8</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0.8</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25.17%</w:t>
            </w: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931,346,063.07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740,949,173.15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447,084,283.36</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545,429,675.01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485,184,165.07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209,068,370.68</w:t>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r>
        <w:rPr/>
        <w:t>六、分季度主要财务指标</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622"/>
        <w:gridCol w:w="1740"/>
        <w:gridCol w:w="1740"/>
        <w:gridCol w:w="1738"/>
        <w:gridCol w:w="1730"/>
      </w:tblGrid>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64,464,660.49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108,636,319.77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97,376,625.21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249,370,753.87</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-1,957,344.91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34,711,197.36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14,395,845.57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37,095,811.92</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40"/>
        <w:gridCol w:w="1738"/>
        <w:gridCol w:w="1730"/>
      </w:tblGrid>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-2,861,631.00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19,782,027.57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12,282,614.47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34,481,608.39</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-54,927,041.94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-12,431,042.29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5,503,737.08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177,177,698.47</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spacing w:line="338" w:lineRule="auto" w:before="0"/>
        <w:ind w:left="112" w:right="55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12" w:right="1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296"/>
        <w:gridCol w:w="1522"/>
        <w:gridCol w:w="1520"/>
        <w:gridCol w:w="1522"/>
        <w:gridCol w:w="1711"/>
      </w:tblGrid>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-21,846.96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181,135.08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固定资产处置损益</w:t>
            </w:r>
          </w:p>
        </w:tc>
      </w:tr>
      <w:tr>
        <w:trPr>
          <w:trHeight w:val="1027"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5,470,413.43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2,537,741.22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3,052,200.00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-7,246.96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-1,169,060.12</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对外捐赠支出</w:t>
            </w:r>
          </w:p>
        </w:tc>
      </w:tr>
      <w:tr>
        <w:trPr>
          <w:trHeight w:val="161" w:hRule="exact"/>
        </w:trPr>
        <w:tc>
          <w:tcPr>
            <w:tcW w:w="3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16,418,514.04</w:t>
            </w:r>
          </w:p>
        </w:tc>
        <w:tc>
          <w:tcPr>
            <w:tcW w:w="1520" w:type="dxa"/>
            <w:vMerge w:val="restart"/>
            <w:tcBorders>
              <w:top w:val="single" w:sz="4" w:space="0" w:color="000000"/>
              <w:left w:val="single" w:sz="4" w:space="0" w:color="000000"/>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
        </w:tc>
        <w:tc>
          <w:tcPr>
            <w:tcW w:w="1711"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5"/>
              <w:jc w:val="left"/>
              <w:rPr>
                <w:rFonts w:ascii="宋体" w:hAnsi="宋体" w:cs="宋体" w:eastAsia="宋体" w:hint="default"/>
                <w:sz w:val="18"/>
                <w:szCs w:val="18"/>
              </w:rPr>
            </w:pPr>
            <w:r>
              <w:rPr>
                <w:rFonts w:ascii="宋体" w:hAnsi="宋体" w:cs="宋体" w:eastAsia="宋体" w:hint="default"/>
                <w:sz w:val="18"/>
                <w:szCs w:val="18"/>
              </w:rPr>
              <w:t>对版信通的投资收益 及银行理财产品收益</w:t>
            </w:r>
          </w:p>
        </w:tc>
      </w:tr>
      <w:tr>
        <w:trPr>
          <w:trHeight w:val="394"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161" w:hRule="exact"/>
        </w:trPr>
        <w:tc>
          <w:tcPr>
            <w:tcW w:w="3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1,256,190.00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406,788.43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457,830.00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20,560,890.51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2,304,679.11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1,425,309.88</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12" w:right="9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1"/>
        <w:ind w:left="112" w:right="9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389" w:right="3490"/>
        <w:jc w:val="center"/>
        <w:rPr>
          <w:b w:val="0"/>
          <w:bCs w:val="0"/>
        </w:rPr>
      </w:pPr>
      <w:bookmarkStart w:name="_bookmark1" w:id="2"/>
      <w:bookmarkEnd w:id="2"/>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spacing w:line="360" w:lineRule="auto" w:before="0"/>
        <w:ind w:left="112" w:right="67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14" w:lineRule="auto" w:before="26"/>
        <w:ind w:left="533" w:right="0" w:firstLine="2"/>
        <w:jc w:val="left"/>
      </w:pPr>
      <w:r>
        <w:rPr>
          <w:rFonts w:ascii="宋体" w:hAnsi="宋体" w:cs="宋体" w:eastAsia="宋体" w:hint="default"/>
          <w:b/>
          <w:bCs/>
        </w:rPr>
        <w:t>（一）公司的主要业务</w:t>
      </w:r>
      <w:r>
        <w:rPr>
          <w:rFonts w:ascii="宋体" w:hAnsi="宋体" w:cs="宋体" w:eastAsia="宋体" w:hint="default"/>
          <w:b/>
          <w:bCs/>
          <w:w w:val="100"/>
        </w:rPr>
        <w:t> </w:t>
      </w:r>
      <w:r>
        <w:rPr>
          <w:spacing w:val="-2"/>
        </w:rPr>
        <w:t>公司是领先的网络安全解决方案提供商，始终致力于保障用户信息基础设施安全可靠运行、保护用户</w:t>
      </w:r>
    </w:p>
    <w:p>
      <w:pPr>
        <w:pStyle w:val="BodyText"/>
        <w:spacing w:line="314" w:lineRule="auto" w:before="18"/>
        <w:ind w:right="208"/>
        <w:jc w:val="both"/>
      </w:pPr>
      <w:r>
        <w:rPr>
          <w:spacing w:val="-2"/>
        </w:rPr>
        <w:t>信息化业务安全可信开展、保卫用户数字资产，向客户提供电子认证服务、安全集成、安全咨询与安全运</w:t>
      </w:r>
      <w:r>
        <w:rPr>
          <w:spacing w:val="-47"/>
        </w:rPr>
        <w:t> </w:t>
      </w:r>
      <w:r>
        <w:rPr>
          <w:spacing w:val="-47"/>
        </w:rPr>
      </w:r>
      <w:r>
        <w:rPr>
          <w:spacing w:val="-2"/>
        </w:rPr>
        <w:t>维服务等专业服务。公司业务覆盖政府、金融、医疗卫生、电信、教育、交通等领域，在电子政务领域的</w:t>
      </w:r>
      <w:r>
        <w:rPr>
          <w:spacing w:val="-49"/>
        </w:rPr>
        <w:t> </w:t>
      </w:r>
      <w:r>
        <w:rPr>
          <w:spacing w:val="-49"/>
        </w:rPr>
      </w:r>
      <w:r>
        <w:rPr/>
        <w:t>市场占有率位居行业前列，并已在医疗信息化、网上保险等重点新兴应用领域建立了市场领先优势。</w:t>
      </w:r>
    </w:p>
    <w:p>
      <w:pPr>
        <w:pStyle w:val="Heading3"/>
        <w:spacing w:line="295" w:lineRule="auto" w:before="20"/>
        <w:ind w:left="535" w:right="2264"/>
        <w:jc w:val="left"/>
        <w:rPr>
          <w:b w:val="0"/>
          <w:bCs w:val="0"/>
        </w:rPr>
      </w:pPr>
      <w:r>
        <w:rPr>
          <w:rFonts w:ascii="Times New Roman" w:hAnsi="Times New Roman" w:cs="Times New Roman" w:eastAsia="Times New Roman" w:hint="default"/>
        </w:rPr>
        <w:t>1</w:t>
      </w:r>
      <w:r>
        <w:rPr/>
        <w:t>、主要产品和服务介绍</w:t>
      </w:r>
      <w:r>
        <w:rPr>
          <w:w w:val="100"/>
        </w:rPr>
        <w:t> </w:t>
      </w:r>
      <w:r>
        <w:rPr>
          <w:spacing w:val="-1"/>
        </w:rPr>
        <w:t>公司主要产品和服务有：电子认证服务、安全集成、安全咨询与运维服务。</w:t>
      </w:r>
      <w:r>
        <w:rPr>
          <w:b w:val="0"/>
          <w:bCs w:val="0"/>
          <w:spacing w:val="-1"/>
        </w:rPr>
      </w:r>
    </w:p>
    <w:p>
      <w:pPr>
        <w:spacing w:line="295" w:lineRule="auto" w:before="37"/>
        <w:ind w:left="533" w:right="226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）电子认证服务</w:t>
      </w:r>
      <w:r>
        <w:rPr>
          <w:rFonts w:ascii="宋体" w:hAnsi="宋体" w:cs="宋体" w:eastAsia="宋体" w:hint="default"/>
          <w:b/>
          <w:bCs/>
          <w:w w:val="100"/>
          <w:sz w:val="21"/>
          <w:szCs w:val="21"/>
        </w:rPr>
        <w:t> </w:t>
      </w:r>
      <w:r>
        <w:rPr>
          <w:rFonts w:ascii="宋体" w:hAnsi="宋体" w:cs="宋体" w:eastAsia="宋体" w:hint="default"/>
          <w:spacing w:val="-2"/>
          <w:sz w:val="21"/>
          <w:szCs w:val="21"/>
        </w:rPr>
        <w:t>公司电子认证服务主要包括数字证书和电子签名两类服务。</w:t>
      </w:r>
    </w:p>
    <w:p>
      <w:pPr>
        <w:pStyle w:val="BodyText"/>
        <w:spacing w:line="300" w:lineRule="auto" w:before="37"/>
        <w:ind w:right="206" w:firstLine="420"/>
        <w:jc w:val="both"/>
      </w:pPr>
      <w:r>
        <w:rPr>
          <w:spacing w:val="-2"/>
        </w:rPr>
        <w:t>公司的数字证书服务是为用户提供数字证书的生产和管理服务。数字证书是基于密码技术生成的一种</w:t>
      </w:r>
      <w:r>
        <w:rPr>
          <w:w w:val="100"/>
        </w:rPr>
        <w:t> </w:t>
      </w:r>
      <w:r>
        <w:rPr>
          <w:spacing w:val="-4"/>
        </w:rPr>
        <w:t>电子文件，在网络世界中作为身份认证、电子签名和信息保护的基础。数字证书由</w:t>
      </w:r>
      <w:r>
        <w:rPr>
          <w:rFonts w:ascii="Times New Roman" w:hAnsi="Times New Roman" w:cs="Times New Roman" w:eastAsia="Times New Roman" w:hint="default"/>
          <w:spacing w:val="-4"/>
        </w:rPr>
        <w:t>CA</w:t>
      </w:r>
      <w:r>
        <w:rPr>
          <w:spacing w:val="-4"/>
        </w:rPr>
        <w:t>机构颁发，公司签发</w:t>
      </w:r>
      <w:r>
        <w:rPr>
          <w:spacing w:val="-27"/>
        </w:rPr>
        <w:t> </w:t>
      </w:r>
      <w:r>
        <w:rPr>
          <w:spacing w:val="-27"/>
        </w:rPr>
      </w:r>
      <w:r>
        <w:rPr/>
        <w:t>数字证书前需要对用户身份进行鉴别。数字证书通常存放在</w:t>
      </w:r>
      <w:r>
        <w:rPr>
          <w:rFonts w:ascii="Times New Roman" w:hAnsi="Times New Roman" w:cs="Times New Roman" w:eastAsia="Times New Roman" w:hint="default"/>
        </w:rPr>
        <w:t>USBKEY</w:t>
      </w:r>
      <w:r>
        <w:rPr/>
        <w:t>等证书介质中，有效期一般为</w:t>
      </w:r>
      <w:r>
        <w:rPr>
          <w:rFonts w:ascii="Times New Roman" w:hAnsi="Times New Roman" w:cs="Times New Roman" w:eastAsia="Times New Roman" w:hint="default"/>
        </w:rPr>
        <w:t>1</w:t>
      </w:r>
      <w:r>
        <w:rPr/>
        <w:t>年，</w:t>
      </w:r>
      <w:r>
        <w:rPr>
          <w:spacing w:val="-23"/>
        </w:rPr>
        <w:t> </w:t>
      </w:r>
      <w:r>
        <w:rPr>
          <w:spacing w:val="-2"/>
        </w:rPr>
        <w:t>用户应在过期前更新。公司在用户新办数字证书时收取</w:t>
      </w:r>
      <w:r>
        <w:rPr>
          <w:rFonts w:ascii="Times New Roman" w:hAnsi="Times New Roman" w:cs="Times New Roman" w:eastAsia="Times New Roman" w:hint="default"/>
          <w:spacing w:val="-2"/>
        </w:rPr>
        <w:t>USBKEY</w:t>
      </w:r>
      <w:r>
        <w:rPr>
          <w:spacing w:val="-2"/>
        </w:rPr>
        <w:t>和数字证书费用，在用户每年更新数字证</w:t>
      </w:r>
      <w:r>
        <w:rPr>
          <w:spacing w:val="-41"/>
        </w:rPr>
        <w:t> </w:t>
      </w:r>
      <w:r>
        <w:rPr>
          <w:spacing w:val="-41"/>
        </w:rPr>
      </w:r>
      <w:r>
        <w:rPr/>
        <w:t>书时收取数字证书年服务费。</w:t>
      </w:r>
    </w:p>
    <w:p>
      <w:pPr>
        <w:pStyle w:val="BodyText"/>
        <w:spacing w:line="314" w:lineRule="auto" w:before="30"/>
        <w:ind w:right="206" w:firstLine="420"/>
        <w:jc w:val="both"/>
      </w:pPr>
      <w:r>
        <w:rPr>
          <w:spacing w:val="-2"/>
        </w:rPr>
        <w:t>公司的电子签名服务主要向客户提供电子签名生成、电子签名验证、电子签名信息管理等服务，并在</w:t>
      </w:r>
      <w:r>
        <w:rPr>
          <w:w w:val="100"/>
        </w:rPr>
        <w:t> </w:t>
      </w:r>
      <w:r>
        <w:rPr>
          <w:spacing w:val="-2"/>
        </w:rPr>
        <w:t>此基础上向用户提供电子合同管理、证据保全、司法鉴定等解决方案。电子签名是一种能够在电子文件中</w:t>
      </w:r>
      <w:r>
        <w:rPr>
          <w:spacing w:val="-43"/>
        </w:rPr>
        <w:t> </w:t>
      </w:r>
      <w:r>
        <w:rPr>
          <w:spacing w:val="-43"/>
        </w:rPr>
      </w:r>
      <w:r>
        <w:rPr>
          <w:spacing w:val="2"/>
        </w:rPr>
        <w:t>起到与手写签名或者盖章同等法律效力的电子技术手段，也是一类反映电子交易事件事实的关键电子证</w:t>
      </w:r>
      <w:r>
        <w:rPr>
          <w:spacing w:val="-30"/>
        </w:rPr>
        <w:t> </w:t>
      </w:r>
      <w:r>
        <w:rPr>
          <w:spacing w:val="-30"/>
        </w:rPr>
      </w:r>
      <w:r>
        <w:rPr>
          <w:spacing w:val="-2"/>
        </w:rPr>
        <w:t>据。目前公司在多个平台上构建了电子签名服务，客户不用构建自己的电子签名系统，就可直接使用公司</w:t>
      </w:r>
      <w:r>
        <w:rPr>
          <w:spacing w:val="-43"/>
        </w:rPr>
        <w:t> </w:t>
      </w:r>
      <w:r>
        <w:rPr>
          <w:spacing w:val="-43"/>
        </w:rPr>
      </w:r>
      <w:r>
        <w:rPr>
          <w:spacing w:val="-2"/>
        </w:rPr>
        <w:t>的服务来满足签名生成及相关管理需求。公司的电子签名服务业务已在政务、金融、卫生等行业面向全国</w:t>
      </w:r>
      <w:r>
        <w:rPr>
          <w:spacing w:val="-44"/>
        </w:rPr>
        <w:t> </w:t>
      </w:r>
      <w:r>
        <w:rPr>
          <w:spacing w:val="-44"/>
        </w:rPr>
      </w:r>
      <w:r>
        <w:rPr>
          <w:spacing w:val="-2"/>
        </w:rPr>
        <w:t>进行推广，开始进入快速发展阶段。根据应用领域及具体项目情况，收费方式有按签名次数、包年、阶梯</w:t>
      </w:r>
      <w:r>
        <w:rPr>
          <w:spacing w:val="-43"/>
        </w:rPr>
        <w:t> </w:t>
      </w:r>
      <w:r>
        <w:rPr>
          <w:spacing w:val="-43"/>
        </w:rPr>
      </w:r>
      <w:r>
        <w:rPr/>
        <w:t>式定价等不同的模式。</w:t>
      </w:r>
    </w:p>
    <w:p>
      <w:pPr>
        <w:pStyle w:val="BodyText"/>
        <w:spacing w:line="304" w:lineRule="auto" w:before="20"/>
        <w:ind w:right="206" w:firstLine="420"/>
        <w:jc w:val="both"/>
      </w:pPr>
      <w:r>
        <w:rPr>
          <w:spacing w:val="-3"/>
        </w:rPr>
        <w:t>报告期内，公司电子认证服务营业收入同比增长</w:t>
      </w:r>
      <w:r>
        <w:rPr>
          <w:rFonts w:ascii="Times New Roman" w:hAnsi="Times New Roman" w:cs="Times New Roman" w:eastAsia="Times New Roman" w:hint="default"/>
          <w:spacing w:val="-3"/>
        </w:rPr>
        <w:t>19.51%</w:t>
      </w:r>
      <w:r>
        <w:rPr>
          <w:spacing w:val="-3"/>
        </w:rPr>
        <w:t>，业务增长的主要原因：一是原有的数字证书</w:t>
      </w:r>
      <w:r>
        <w:rPr>
          <w:w w:val="100"/>
        </w:rPr>
        <w:t> </w:t>
      </w:r>
      <w:r>
        <w:rPr>
          <w:spacing w:val="-2"/>
        </w:rPr>
        <w:t>应用系统的总数字证书使用量持续增长；二是报告期内新开拓了数字证书应用；三是创新的电子签名服务</w:t>
      </w:r>
      <w:r>
        <w:rPr>
          <w:spacing w:val="-43"/>
        </w:rPr>
        <w:t> </w:t>
      </w:r>
      <w:r>
        <w:rPr>
          <w:spacing w:val="-43"/>
        </w:rPr>
      </w:r>
      <w:r>
        <w:rPr/>
        <w:t>开始产生了一定的收入。</w:t>
      </w:r>
    </w:p>
    <w:p>
      <w:pPr>
        <w:pStyle w:val="BodyText"/>
        <w:spacing w:line="297" w:lineRule="auto" w:before="26"/>
        <w:ind w:left="533" w:right="0"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）安全集成</w:t>
      </w:r>
      <w:r>
        <w:rPr>
          <w:rFonts w:ascii="宋体" w:hAnsi="宋体" w:cs="宋体" w:eastAsia="宋体" w:hint="default"/>
          <w:b/>
          <w:bCs/>
          <w:w w:val="100"/>
        </w:rPr>
        <w:t> </w:t>
      </w:r>
      <w:r>
        <w:rPr>
          <w:spacing w:val="-2"/>
        </w:rPr>
        <w:t>公司安全集成业务是根据客户自身需求，为客户提供适合其信息系统特点的网络安全保障解决方案。</w:t>
      </w:r>
    </w:p>
    <w:p>
      <w:pPr>
        <w:pStyle w:val="BodyText"/>
        <w:spacing w:line="314" w:lineRule="auto" w:before="32"/>
        <w:ind w:right="0"/>
        <w:jc w:val="left"/>
      </w:pPr>
      <w:r>
        <w:rPr>
          <w:spacing w:val="-9"/>
        </w:rPr>
        <w:t>公司的解决方案是将自有产品（如：身份管理产品、电子签名产品）、第三方信息系统和网络安全产品（如：</w:t>
      </w:r>
      <w:r>
        <w:rPr>
          <w:spacing w:val="-22"/>
        </w:rPr>
        <w:t> </w:t>
      </w:r>
      <w:r>
        <w:rPr>
          <w:spacing w:val="-22"/>
        </w:rPr>
      </w:r>
      <w:r>
        <w:rPr>
          <w:spacing w:val="-2"/>
        </w:rPr>
        <w:t>防火墙产品、入侵检测与入侵防御产品、统一威胁管理产品等）有效与客户的信息系统集成，从而提高客</w:t>
      </w:r>
      <w:r>
        <w:rPr>
          <w:spacing w:val="-50"/>
        </w:rPr>
        <w:t> </w:t>
      </w:r>
      <w:r>
        <w:rPr>
          <w:spacing w:val="-50"/>
        </w:rPr>
      </w:r>
      <w:r>
        <w:rPr>
          <w:spacing w:val="-2"/>
        </w:rPr>
        <w:t>户信息系统的安全保障能力。安全集成业务的销售模式分为直销和与渠道商合作两种模式，其中自有产品</w:t>
      </w:r>
      <w:r>
        <w:rPr>
          <w:spacing w:val="-43"/>
        </w:rPr>
        <w:t> </w:t>
      </w:r>
      <w:r>
        <w:rPr>
          <w:spacing w:val="-43"/>
        </w:rPr>
      </w:r>
      <w:r>
        <w:rPr>
          <w:spacing w:val="-2"/>
        </w:rPr>
        <w:t>定价采用生产成本加上合理利润方式，第三方软硬件产品定价方式为采购成本加上合理利润，集成服务费</w:t>
      </w:r>
      <w:r>
        <w:rPr>
          <w:spacing w:val="-44"/>
        </w:rPr>
        <w:t> </w:t>
      </w:r>
      <w:r>
        <w:rPr>
          <w:spacing w:val="-44"/>
        </w:rPr>
      </w:r>
      <w:r>
        <w:rPr>
          <w:spacing w:val="-2"/>
        </w:rPr>
        <w:t>按照项目总金额一定比例收取。安全集成业务一般按照合同约定进度收款，在合同签署、产品到货、初验</w:t>
      </w:r>
    </w:p>
    <w:p>
      <w:pPr>
        <w:spacing w:after="0" w:line="314" w:lineRule="auto"/>
        <w:jc w:val="left"/>
        <w:sectPr>
          <w:pgSz w:w="11910" w:h="16840"/>
          <w:pgMar w:header="867" w:footer="979" w:top="1060" w:bottom="1160" w:left="1020" w:right="920"/>
        </w:sectPr>
      </w:pPr>
    </w:p>
    <w:p>
      <w:pPr>
        <w:spacing w:line="240" w:lineRule="auto" w:before="8"/>
        <w:rPr>
          <w:rFonts w:ascii="宋体" w:hAnsi="宋体" w:cs="宋体" w:eastAsia="宋体" w:hint="default"/>
          <w:sz w:val="26"/>
          <w:szCs w:val="26"/>
        </w:rPr>
      </w:pPr>
    </w:p>
    <w:p>
      <w:pPr>
        <w:pStyle w:val="BodyText"/>
        <w:spacing w:line="240" w:lineRule="auto" w:before="36"/>
        <w:ind w:right="0"/>
        <w:jc w:val="left"/>
      </w:pPr>
      <w:r>
        <w:rPr/>
        <w:t>和终验等环节约定不同收款比例，通常的付款比例有</w:t>
      </w:r>
      <w:r>
        <w:rPr>
          <w:rFonts w:ascii="Times New Roman" w:hAnsi="Times New Roman" w:cs="Times New Roman" w:eastAsia="Times New Roman" w:hint="default"/>
        </w:rPr>
        <w:t>3:5:2</w:t>
      </w:r>
      <w:r>
        <w:rPr/>
        <w:t>、</w:t>
      </w:r>
      <w:r>
        <w:rPr>
          <w:rFonts w:ascii="Times New Roman" w:hAnsi="Times New Roman" w:cs="Times New Roman" w:eastAsia="Times New Roman" w:hint="default"/>
        </w:rPr>
        <w:t>3:3:3:1</w:t>
      </w:r>
      <w:r>
        <w:rPr/>
        <w:t>、</w:t>
      </w:r>
      <w:r>
        <w:rPr>
          <w:rFonts w:ascii="Times New Roman" w:hAnsi="Times New Roman" w:cs="Times New Roman" w:eastAsia="Times New Roman" w:hint="default"/>
        </w:rPr>
        <w:t>4:4:2</w:t>
      </w:r>
      <w:r>
        <w:rPr/>
        <w:t>等。</w:t>
      </w:r>
    </w:p>
    <w:p>
      <w:pPr>
        <w:pStyle w:val="BodyText"/>
        <w:spacing w:line="297" w:lineRule="auto" w:before="67"/>
        <w:ind w:right="210" w:firstLine="420"/>
        <w:jc w:val="both"/>
      </w:pPr>
      <w:r>
        <w:rPr>
          <w:rFonts w:ascii="Times New Roman" w:hAnsi="Times New Roman" w:cs="Times New Roman" w:eastAsia="Times New Roman" w:hint="default"/>
        </w:rPr>
        <w:t>2017</w:t>
      </w:r>
      <w:r>
        <w:rPr/>
        <w:t>年末安全集成业务在手订单金额总数是</w:t>
      </w:r>
      <w:r>
        <w:rPr>
          <w:rFonts w:ascii="Times New Roman" w:hAnsi="Times New Roman" w:cs="Times New Roman" w:eastAsia="Times New Roman" w:hint="default"/>
        </w:rPr>
        <w:t>2016</w:t>
      </w:r>
      <w:r>
        <w:rPr/>
        <w:t>年末在手订单金额总数的</w:t>
      </w:r>
      <w:r>
        <w:rPr>
          <w:rFonts w:ascii="Times New Roman" w:hAnsi="Times New Roman" w:cs="Times New Roman" w:eastAsia="Times New Roman" w:hint="default"/>
        </w:rPr>
        <w:t>2</w:t>
      </w:r>
      <w:r>
        <w:rPr/>
        <w:t>倍左右，由于报告期内部</w:t>
      </w:r>
      <w:r>
        <w:rPr>
          <w:w w:val="100"/>
        </w:rPr>
        <w:t> </w:t>
      </w:r>
      <w:r>
        <w:rPr/>
        <w:t>分金额较大的项目受施工周期影响，公司安全集成营业收入同比增长</w:t>
      </w:r>
      <w:r>
        <w:rPr>
          <w:rFonts w:ascii="Times New Roman" w:hAnsi="Times New Roman" w:cs="Times New Roman" w:eastAsia="Times New Roman" w:hint="default"/>
        </w:rPr>
        <w:t>2.70%</w:t>
      </w:r>
      <w:r>
        <w:rPr/>
        <w:t>，业务持续健康发展。</w:t>
      </w:r>
    </w:p>
    <w:p>
      <w:pPr>
        <w:spacing w:line="297" w:lineRule="auto" w:before="11"/>
        <w:ind w:left="53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）安全咨询与安全运维服务</w:t>
      </w:r>
      <w:r>
        <w:rPr>
          <w:rFonts w:ascii="宋体" w:hAnsi="宋体" w:cs="宋体" w:eastAsia="宋体" w:hint="default"/>
          <w:b/>
          <w:bCs/>
          <w:w w:val="100"/>
          <w:sz w:val="21"/>
          <w:szCs w:val="21"/>
        </w:rPr>
        <w:t> </w:t>
      </w:r>
      <w:r>
        <w:rPr>
          <w:rFonts w:ascii="宋体" w:hAnsi="宋体" w:cs="宋体" w:eastAsia="宋体" w:hint="default"/>
          <w:spacing w:val="-2"/>
          <w:sz w:val="21"/>
          <w:szCs w:val="21"/>
        </w:rPr>
        <w:t>公司的安全咨询与运维服务包括：风险评估、合规性咨询、代码审计、脆弱性检查、渗透测试、安全</w:t>
      </w:r>
    </w:p>
    <w:p>
      <w:pPr>
        <w:pStyle w:val="BodyText"/>
        <w:spacing w:line="304" w:lineRule="auto" w:before="32"/>
        <w:ind w:right="0"/>
        <w:jc w:val="left"/>
      </w:pPr>
      <w:r>
        <w:rPr>
          <w:spacing w:val="-2"/>
        </w:rPr>
        <w:t>巡检等多项专业安全服务，相关服务按照不同内容、频次与工作量收取服务费。业务收入受项目数量、项</w:t>
      </w:r>
      <w:r>
        <w:rPr>
          <w:spacing w:val="-47"/>
        </w:rPr>
        <w:t> </w:t>
      </w:r>
      <w:r>
        <w:rPr>
          <w:spacing w:val="-47"/>
        </w:rPr>
      </w:r>
      <w:r>
        <w:rPr>
          <w:spacing w:val="-4"/>
        </w:rPr>
        <w:t>目规模以及实施周期等因素影响，存在一定波动。安全咨询与运维服务通常以年度（</w:t>
      </w:r>
      <w:r>
        <w:rPr>
          <w:rFonts w:ascii="Times New Roman" w:hAnsi="Times New Roman" w:cs="Times New Roman" w:eastAsia="Times New Roman" w:hint="default"/>
          <w:spacing w:val="-4"/>
        </w:rPr>
        <w:t>12</w:t>
      </w:r>
      <w:r>
        <w:rPr>
          <w:spacing w:val="-4"/>
        </w:rPr>
        <w:t>个月）为服务周期，</w:t>
      </w:r>
      <w:r>
        <w:rPr>
          <w:spacing w:val="-47"/>
        </w:rPr>
        <w:t> </w:t>
      </w:r>
      <w:r>
        <w:rPr>
          <w:spacing w:val="-47"/>
        </w:rPr>
      </w:r>
      <w:r>
        <w:rPr/>
        <w:t>合同款项通常分两次收取，首次收款在合同签订时，尾款在服务结束时收取。</w:t>
      </w:r>
    </w:p>
    <w:p>
      <w:pPr>
        <w:pStyle w:val="BodyText"/>
        <w:spacing w:line="304" w:lineRule="auto" w:before="28"/>
        <w:ind w:right="206" w:firstLine="420"/>
        <w:jc w:val="both"/>
      </w:pPr>
      <w:r>
        <w:rPr>
          <w:spacing w:val="-3"/>
        </w:rPr>
        <w:t>报告期内安全咨询与安全运维服务营业收入增长</w:t>
      </w:r>
      <w:r>
        <w:rPr>
          <w:rFonts w:ascii="Times New Roman" w:hAnsi="Times New Roman" w:cs="Times New Roman" w:eastAsia="Times New Roman" w:hint="default"/>
          <w:spacing w:val="-3"/>
        </w:rPr>
        <w:t>42.76%</w:t>
      </w:r>
      <w:r>
        <w:rPr>
          <w:spacing w:val="-3"/>
        </w:rPr>
        <w:t>，快速增长的主要原因是公司在保持了老客户</w:t>
      </w:r>
      <w:r>
        <w:rPr>
          <w:w w:val="100"/>
        </w:rPr>
        <w:t> </w:t>
      </w:r>
      <w:r>
        <w:rPr>
          <w:spacing w:val="-2"/>
        </w:rPr>
        <w:t>的服务合同续签率的基础上，积极拓展大量新签约客户，常态安全服务客户突破百家，报告期内安全咨询</w:t>
      </w:r>
      <w:r>
        <w:rPr>
          <w:spacing w:val="-44"/>
        </w:rPr>
        <w:t> </w:t>
      </w:r>
      <w:r>
        <w:rPr>
          <w:spacing w:val="-44"/>
        </w:rPr>
      </w:r>
      <w:r>
        <w:rPr/>
        <w:t>与安全运维服务项目数同比增长</w:t>
      </w:r>
      <w:r>
        <w:rPr>
          <w:rFonts w:ascii="Times New Roman" w:hAnsi="Times New Roman" w:cs="Times New Roman" w:eastAsia="Times New Roman" w:hint="default"/>
        </w:rPr>
        <w:t>30%</w:t>
      </w:r>
      <w:r>
        <w:rPr/>
        <w:t>。</w:t>
      </w:r>
    </w:p>
    <w:p>
      <w:pPr>
        <w:pStyle w:val="Heading3"/>
        <w:spacing w:line="297" w:lineRule="auto" w:before="4"/>
        <w:ind w:left="535" w:right="4794"/>
        <w:jc w:val="left"/>
        <w:rPr>
          <w:b w:val="0"/>
          <w:bCs w:val="0"/>
        </w:rPr>
      </w:pPr>
      <w:r>
        <w:rPr>
          <w:rFonts w:ascii="Times New Roman" w:hAnsi="Times New Roman" w:cs="Times New Roman" w:eastAsia="Times New Roman" w:hint="default"/>
        </w:rPr>
        <w:t>2</w:t>
      </w:r>
      <w:r>
        <w:rPr/>
        <w:t>、主要的业绩驱动因素</w:t>
      </w:r>
      <w:r>
        <w:rPr>
          <w:w w:val="100"/>
        </w:rPr>
        <w:t> </w:t>
      </w:r>
      <w:r>
        <w:rPr>
          <w:spacing w:val="-1"/>
        </w:rPr>
        <w:t>业绩增长的主要因素包括如下两个方面：</w:t>
      </w:r>
      <w:r>
        <w:rPr>
          <w:b w:val="0"/>
          <w:bCs w:val="0"/>
          <w:spacing w:val="-1"/>
        </w:rPr>
      </w:r>
    </w:p>
    <w:p>
      <w:pPr>
        <w:pStyle w:val="BodyText"/>
        <w:spacing w:line="304" w:lineRule="auto" w:before="32"/>
        <w:ind w:right="0" w:firstLine="420"/>
        <w:jc w:val="left"/>
      </w:pPr>
      <w:r>
        <w:rPr/>
        <w:t>（</w:t>
      </w:r>
      <w:r>
        <w:rPr>
          <w:rFonts w:ascii="Times New Roman" w:hAnsi="Times New Roman" w:cs="Times New Roman" w:eastAsia="Times New Roman" w:hint="default"/>
        </w:rPr>
        <w:t>1</w:t>
      </w:r>
      <w:r>
        <w:rPr/>
        <w:t>）市场需求增长。一是建设网络强国成为国家战略，各行各业全面网络化，有效拓展了网络安全</w:t>
      </w:r>
      <w:r>
        <w:rPr>
          <w:w w:val="100"/>
        </w:rPr>
        <w:t> </w:t>
      </w:r>
      <w:r>
        <w:rPr>
          <w:spacing w:val="-2"/>
        </w:rPr>
        <w:t>市场。二是保障网络安全也成为国家重要战略，国家及时推出及实施了《网络安全法》、《国家网络空间</w:t>
      </w:r>
      <w:r>
        <w:rPr>
          <w:spacing w:val="-45"/>
        </w:rPr>
        <w:t> </w:t>
      </w:r>
      <w:r>
        <w:rPr>
          <w:spacing w:val="-45"/>
        </w:rPr>
      </w:r>
      <w:r>
        <w:rPr>
          <w:spacing w:val="-2"/>
        </w:rPr>
        <w:t>安全战略》等政策法规，全面强化网络安全的重要性和紧迫性。三是新技术广泛应用推动网络安全需求增</w:t>
      </w:r>
      <w:r>
        <w:rPr>
          <w:spacing w:val="-43"/>
        </w:rPr>
        <w:t> </w:t>
      </w:r>
      <w:r>
        <w:rPr>
          <w:spacing w:val="-43"/>
        </w:rPr>
      </w:r>
      <w:r>
        <w:rPr>
          <w:spacing w:val="-2"/>
        </w:rPr>
        <w:t>长，随着新兴技术的发展和智能移动终端的普及，</w:t>
      </w:r>
      <w:r>
        <w:rPr>
          <w:rFonts w:ascii="Times New Roman" w:hAnsi="Times New Roman" w:cs="Times New Roman" w:eastAsia="Times New Roman" w:hint="default"/>
          <w:spacing w:val="-2"/>
        </w:rPr>
        <w:t>“</w:t>
      </w:r>
      <w:r>
        <w:rPr>
          <w:spacing w:val="-2"/>
        </w:rPr>
        <w:t>无纸化</w:t>
      </w:r>
      <w:r>
        <w:rPr>
          <w:rFonts w:ascii="Times New Roman" w:hAnsi="Times New Roman" w:cs="Times New Roman" w:eastAsia="Times New Roman" w:hint="default"/>
          <w:spacing w:val="-2"/>
        </w:rPr>
        <w:t>”“</w:t>
      </w:r>
      <w:r>
        <w:rPr>
          <w:spacing w:val="-2"/>
        </w:rPr>
        <w:t>移动化</w:t>
      </w:r>
      <w:r>
        <w:rPr>
          <w:rFonts w:ascii="Times New Roman" w:hAnsi="Times New Roman" w:cs="Times New Roman" w:eastAsia="Times New Roman" w:hint="default"/>
          <w:spacing w:val="-2"/>
        </w:rPr>
        <w:t>”“</w:t>
      </w:r>
      <w:r>
        <w:rPr>
          <w:spacing w:val="-2"/>
        </w:rPr>
        <w:t>自动化</w:t>
      </w:r>
      <w:r>
        <w:rPr>
          <w:rFonts w:ascii="Times New Roman" w:hAnsi="Times New Roman" w:cs="Times New Roman" w:eastAsia="Times New Roman" w:hint="default"/>
          <w:spacing w:val="-2"/>
        </w:rPr>
        <w:t>”“</w:t>
      </w:r>
      <w:r>
        <w:rPr>
          <w:spacing w:val="-2"/>
        </w:rPr>
        <w:t>智能化</w:t>
      </w:r>
      <w:r>
        <w:rPr>
          <w:rFonts w:ascii="Times New Roman" w:hAnsi="Times New Roman" w:cs="Times New Roman" w:eastAsia="Times New Roman" w:hint="default"/>
          <w:spacing w:val="-2"/>
        </w:rPr>
        <w:t>”</w:t>
      </w:r>
      <w:r>
        <w:rPr>
          <w:spacing w:val="-2"/>
        </w:rPr>
        <w:t>等技术的广泛应用，</w:t>
      </w:r>
      <w:r>
        <w:rPr>
          <w:spacing w:val="-49"/>
        </w:rPr>
        <w:t> </w:t>
      </w:r>
      <w:r>
        <w:rPr>
          <w:spacing w:val="-49"/>
        </w:rPr>
      </w:r>
      <w:r>
        <w:rPr/>
        <w:t>社会各界产生了大量的</w:t>
      </w:r>
      <w:r>
        <w:rPr>
          <w:rFonts w:ascii="Times New Roman" w:hAnsi="Times New Roman" w:cs="Times New Roman" w:eastAsia="Times New Roman" w:hint="default"/>
        </w:rPr>
        <w:t>“</w:t>
      </w:r>
      <w:r>
        <w:rPr/>
        <w:t>自发性</w:t>
      </w:r>
      <w:r>
        <w:rPr>
          <w:rFonts w:ascii="Times New Roman" w:hAnsi="Times New Roman" w:cs="Times New Roman" w:eastAsia="Times New Roman" w:hint="default"/>
        </w:rPr>
        <w:t>”</w:t>
      </w:r>
      <w:r>
        <w:rPr/>
        <w:t>网络安全需求。</w:t>
      </w:r>
    </w:p>
    <w:p>
      <w:pPr>
        <w:pStyle w:val="BodyText"/>
        <w:spacing w:line="307" w:lineRule="auto" w:before="7"/>
        <w:ind w:right="206" w:firstLine="420"/>
        <w:jc w:val="both"/>
      </w:pPr>
      <w:r>
        <w:rPr/>
        <w:t>（</w:t>
      </w:r>
      <w:r>
        <w:rPr>
          <w:rFonts w:ascii="Times New Roman" w:hAnsi="Times New Roman" w:cs="Times New Roman" w:eastAsia="Times New Roman" w:hint="default"/>
        </w:rPr>
        <w:t>2</w:t>
      </w:r>
      <w:r>
        <w:rPr/>
        <w:t>）公司深入研究行业需求，积极进行技术创新，推出了大量适合市场需求的解决方案，增强公司</w:t>
      </w:r>
      <w:r>
        <w:rPr>
          <w:w w:val="100"/>
        </w:rPr>
        <w:t> </w:t>
      </w:r>
      <w:r>
        <w:rPr>
          <w:spacing w:val="-2"/>
        </w:rPr>
        <w:t>在行业领域的核心竞争力，从而推动公司业务发展。报告期内公司一方面通过不断完善产品、提升服务质</w:t>
      </w:r>
      <w:r>
        <w:rPr>
          <w:spacing w:val="-45"/>
        </w:rPr>
        <w:t> </w:t>
      </w:r>
      <w:r>
        <w:rPr>
          <w:spacing w:val="-45"/>
        </w:rPr>
      </w:r>
      <w:r>
        <w:rPr>
          <w:spacing w:val="-2"/>
        </w:rPr>
        <w:t>量，推动原有业务在重点行业领域广泛应用，进一步夯实原有业务基础，另一方面深入进行业务研究，开</w:t>
      </w:r>
      <w:r>
        <w:rPr>
          <w:spacing w:val="-47"/>
        </w:rPr>
        <w:t> </w:t>
      </w:r>
      <w:r>
        <w:rPr>
          <w:spacing w:val="-47"/>
        </w:rPr>
      </w:r>
      <w:r>
        <w:rPr/>
        <w:t>拓了互联网</w:t>
      </w:r>
      <w:r>
        <w:rPr>
          <w:rFonts w:ascii="Times New Roman" w:hAnsi="Times New Roman" w:cs="Times New Roman" w:eastAsia="Times New Roman" w:hint="default"/>
        </w:rPr>
        <w:t>+</w:t>
      </w:r>
      <w:r>
        <w:rPr/>
        <w:t>政务服务、教育和企业信息化等新的业务领域，不断迎合新的市场需求。</w:t>
      </w:r>
    </w:p>
    <w:p>
      <w:pPr>
        <w:spacing w:line="312" w:lineRule="auto" w:before="4"/>
        <w:ind w:left="533" w:right="0" w:firstLine="2"/>
        <w:jc w:val="left"/>
        <w:rPr>
          <w:rFonts w:ascii="宋体" w:hAnsi="宋体" w:cs="宋体" w:eastAsia="宋体" w:hint="default"/>
          <w:sz w:val="21"/>
          <w:szCs w:val="21"/>
        </w:rPr>
      </w:pPr>
      <w:r>
        <w:rPr>
          <w:rFonts w:ascii="宋体" w:hAnsi="宋体" w:cs="宋体" w:eastAsia="宋体" w:hint="default"/>
          <w:b/>
          <w:bCs/>
          <w:sz w:val="21"/>
          <w:szCs w:val="21"/>
        </w:rPr>
        <w:t>（二）报告期内公司所属行业的发展变化以及公司的行业地位</w:t>
      </w:r>
      <w:r>
        <w:rPr>
          <w:rFonts w:ascii="宋体" w:hAnsi="宋体" w:cs="宋体" w:eastAsia="宋体" w:hint="default"/>
          <w:b/>
          <w:bCs/>
          <w:w w:val="100"/>
          <w:sz w:val="21"/>
          <w:szCs w:val="21"/>
        </w:rPr>
        <w:t> </w:t>
      </w:r>
      <w:r>
        <w:rPr>
          <w:rFonts w:ascii="宋体" w:hAnsi="宋体" w:cs="宋体" w:eastAsia="宋体" w:hint="default"/>
          <w:spacing w:val="-2"/>
          <w:sz w:val="21"/>
          <w:szCs w:val="21"/>
        </w:rPr>
        <w:t>公司所处的网络安全行业市场规模不断增大，国家将网络安全上升为国家战略，网络安全行业处于可</w:t>
      </w:r>
    </w:p>
    <w:p>
      <w:pPr>
        <w:pStyle w:val="BodyText"/>
        <w:spacing w:line="314" w:lineRule="auto" w:before="22"/>
        <w:ind w:right="206"/>
        <w:jc w:val="both"/>
      </w:pPr>
      <w:r>
        <w:rPr>
          <w:spacing w:val="-2"/>
        </w:rPr>
        <w:t>以大有作为的重要战略机遇期，随着政策逐步落地，企业和个人网络安全意识逐渐加强，我国的网络安全</w:t>
      </w:r>
      <w:r>
        <w:rPr>
          <w:spacing w:val="-44"/>
        </w:rPr>
        <w:t> </w:t>
      </w:r>
      <w:r>
        <w:rPr>
          <w:spacing w:val="-44"/>
        </w:rPr>
      </w:r>
      <w:r>
        <w:rPr>
          <w:spacing w:val="-2"/>
        </w:rPr>
        <w:t>行业呈现出加速发展的趋势。行业强调自主可控，国家对网络安全自主可控重视程度的提高。网络安全行</w:t>
      </w:r>
      <w:r>
        <w:rPr>
          <w:spacing w:val="-43"/>
        </w:rPr>
        <w:t> </w:t>
      </w:r>
      <w:r>
        <w:rPr>
          <w:spacing w:val="-43"/>
        </w:rPr>
      </w:r>
      <w:r>
        <w:rPr/>
        <w:t>业市场竞争进一步加剧，越来越多的大资本和大企业加入行业竞争。</w:t>
      </w:r>
    </w:p>
    <w:p>
      <w:pPr>
        <w:pStyle w:val="BodyText"/>
        <w:spacing w:line="309" w:lineRule="auto" w:before="18"/>
        <w:ind w:right="206" w:firstLine="420"/>
        <w:jc w:val="both"/>
      </w:pPr>
      <w:r>
        <w:rPr>
          <w:spacing w:val="-2"/>
        </w:rPr>
        <w:t>公司是国内电子认证行业的龙头企业，在电子政务、医疗卫生、保险等市场处于行业领先地位。随着</w:t>
      </w:r>
      <w:r>
        <w:rPr>
          <w:w w:val="100"/>
        </w:rPr>
        <w:t> </w:t>
      </w:r>
      <w:r>
        <w:rPr>
          <w:spacing w:val="-2"/>
        </w:rPr>
        <w:t>公司全国化业务拓展，公司凭借优良的产品质量、良好的售后服务及不断扩大的市场占有率，成功树立并</w:t>
      </w:r>
      <w:r>
        <w:rPr>
          <w:spacing w:val="-44"/>
        </w:rPr>
        <w:t> </w:t>
      </w:r>
      <w:r>
        <w:rPr>
          <w:spacing w:val="-44"/>
        </w:rPr>
      </w:r>
      <w:r>
        <w:rPr>
          <w:spacing w:val="-2"/>
        </w:rPr>
        <w:t>享有较高的品牌知名度和信誉度。同时公司在新技术和衍生业务方面积极探索，推进业务与</w:t>
      </w:r>
      <w:r>
        <w:rPr>
          <w:rFonts w:ascii="Times New Roman" w:hAnsi="Times New Roman" w:cs="Times New Roman" w:eastAsia="Times New Roman" w:hint="default"/>
          <w:spacing w:val="-2"/>
        </w:rPr>
        <w:t>“</w:t>
      </w:r>
      <w:r>
        <w:rPr>
          <w:spacing w:val="-2"/>
        </w:rPr>
        <w:t>云网端</w:t>
      </w:r>
      <w:r>
        <w:rPr>
          <w:rFonts w:ascii="Times New Roman" w:hAnsi="Times New Roman" w:cs="Times New Roman" w:eastAsia="Times New Roman" w:hint="default"/>
          <w:spacing w:val="-2"/>
        </w:rPr>
        <w:t>”</w:t>
      </w:r>
      <w:r>
        <w:rPr>
          <w:spacing w:val="-2"/>
        </w:rPr>
        <w:t>模式</w:t>
      </w:r>
      <w:r>
        <w:rPr>
          <w:spacing w:val="-17"/>
        </w:rPr>
        <w:t> </w:t>
      </w:r>
      <w:r>
        <w:rPr>
          <w:spacing w:val="-2"/>
        </w:rPr>
        <w:t>深度融合，推出的云签名服务呈现快速增长态势，在全国各地多个重点行业领域得到广泛应用。随着公司</w:t>
      </w:r>
      <w:r>
        <w:rPr>
          <w:spacing w:val="-43"/>
        </w:rPr>
        <w:t> </w:t>
      </w:r>
      <w:r>
        <w:rPr>
          <w:spacing w:val="-43"/>
        </w:rPr>
      </w:r>
      <w:r>
        <w:rPr/>
        <w:t>业务的不断拓展，新技术的不断应用，新产品的不断推出，公司的行业领先地位进一步巩固。</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409"/>
        <w:gridCol w:w="7161"/>
      </w:tblGrid>
      <w:tr>
        <w:trPr>
          <w:trHeight w:val="765"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7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after="0" w:line="240" w:lineRule="auto"/>
        <w:jc w:val="center"/>
        <w:rPr>
          <w:rFonts w:ascii="宋体" w:hAnsi="宋体" w:cs="宋体" w:eastAsia="宋体" w:hint="default"/>
          <w:sz w:val="18"/>
          <w:szCs w:val="18"/>
        </w:rPr>
        <w:sectPr>
          <w:pgSz w:w="11910" w:h="16840"/>
          <w:pgMar w:header="867" w:footer="979" w:top="1060" w:bottom="1160" w:left="1020" w:right="920"/>
        </w:sectPr>
      </w:pPr>
    </w:p>
    <w:p>
      <w:pPr>
        <w:spacing w:line="240" w:lineRule="auto" w:before="6"/>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2409"/>
        <w:gridCol w:w="7161"/>
      </w:tblGrid>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对版信通股权投资由成本法转为权益法核算，该变动致公司股权资产增加约 </w:t>
            </w:r>
            <w:r>
              <w:rPr>
                <w:rFonts w:ascii="Times New Roman" w:hAnsi="Times New Roman" w:cs="Times New Roman" w:eastAsia="Times New Roman" w:hint="default"/>
                <w:sz w:val="18"/>
                <w:szCs w:val="18"/>
              </w:rPr>
              <w:t>1,344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本期购买软件增加较大。</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line="240" w:lineRule="auto" w:before="5"/>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66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312" w:lineRule="auto" w:before="28"/>
        <w:ind w:left="533" w:right="0" w:firstLine="2"/>
        <w:jc w:val="left"/>
        <w:rPr>
          <w:rFonts w:ascii="宋体" w:hAnsi="宋体" w:cs="宋体" w:eastAsia="宋体" w:hint="default"/>
          <w:sz w:val="21"/>
          <w:szCs w:val="21"/>
        </w:rPr>
      </w:pPr>
      <w:r>
        <w:rPr>
          <w:rFonts w:ascii="宋体" w:hAnsi="宋体" w:cs="宋体" w:eastAsia="宋体" w:hint="default"/>
          <w:b/>
          <w:bCs/>
          <w:sz w:val="21"/>
          <w:szCs w:val="21"/>
        </w:rPr>
        <w:t>（一）一体化的网络安全解决方案</w:t>
      </w:r>
      <w:r>
        <w:rPr>
          <w:rFonts w:ascii="宋体" w:hAnsi="宋体" w:cs="宋体" w:eastAsia="宋体" w:hint="default"/>
          <w:b/>
          <w:bCs/>
          <w:w w:val="100"/>
          <w:sz w:val="21"/>
          <w:szCs w:val="21"/>
        </w:rPr>
        <w:t> </w:t>
      </w:r>
      <w:r>
        <w:rPr>
          <w:rFonts w:ascii="宋体" w:hAnsi="宋体" w:cs="宋体" w:eastAsia="宋体" w:hint="default"/>
          <w:spacing w:val="-2"/>
          <w:sz w:val="21"/>
          <w:szCs w:val="21"/>
        </w:rPr>
        <w:t>公司是国内为数不多的既可以保障用户信息系统可靠运行，又可以保护业务可信开展，还可以保卫用</w:t>
      </w:r>
    </w:p>
    <w:p>
      <w:pPr>
        <w:pStyle w:val="BodyText"/>
        <w:spacing w:line="314" w:lineRule="auto" w:before="22"/>
        <w:ind w:right="106"/>
        <w:jc w:val="both"/>
      </w:pPr>
      <w:r>
        <w:rPr>
          <w:spacing w:val="-2"/>
        </w:rPr>
        <w:t>户数字资产安全的综合性网络安全解决方案提供商，能结合客户业务信息系统特点，将公司自有产品、第</w:t>
      </w:r>
      <w:r>
        <w:rPr>
          <w:spacing w:val="-43"/>
        </w:rPr>
        <w:t> </w:t>
      </w:r>
      <w:r>
        <w:rPr>
          <w:spacing w:val="-43"/>
        </w:rPr>
      </w:r>
      <w:r>
        <w:rPr>
          <w:spacing w:val="-2"/>
        </w:rPr>
        <w:t>三方信息系统和网络安全产品有效集成到用户业务系统中，为不同行业客户提供全方位一体化的网络安全</w:t>
      </w:r>
      <w:r>
        <w:rPr>
          <w:spacing w:val="-43"/>
        </w:rPr>
        <w:t> </w:t>
      </w:r>
      <w:r>
        <w:rPr>
          <w:spacing w:val="-43"/>
        </w:rPr>
      </w:r>
      <w:r>
        <w:rPr>
          <w:spacing w:val="-2"/>
        </w:rPr>
        <w:t>解决方案。公司除了通过集成网络安全厂家的第三方产品保护业务系统安全运行，还能向用户提供自主研</w:t>
      </w:r>
      <w:r>
        <w:rPr>
          <w:spacing w:val="-42"/>
        </w:rPr>
        <w:t> </w:t>
      </w:r>
      <w:r>
        <w:rPr>
          <w:spacing w:val="-42"/>
        </w:rPr>
      </w:r>
      <w:r>
        <w:rPr>
          <w:spacing w:val="-2"/>
        </w:rPr>
        <w:t>发的云安全监管服务和云安全运营服务，更重要的是可以依托自有的身份认证、电子签名产品服务保障业</w:t>
      </w:r>
      <w:r>
        <w:rPr>
          <w:spacing w:val="-43"/>
        </w:rPr>
        <w:t> </w:t>
      </w:r>
      <w:r>
        <w:rPr>
          <w:spacing w:val="-43"/>
        </w:rPr>
      </w:r>
      <w:r>
        <w:rPr/>
        <w:t>务安全可信开展，从而全面提高客户系统安全保障能力。</w:t>
      </w:r>
    </w:p>
    <w:p>
      <w:pPr>
        <w:spacing w:line="314" w:lineRule="auto" w:before="17"/>
        <w:ind w:left="533" w:right="0" w:firstLine="2"/>
        <w:jc w:val="left"/>
        <w:rPr>
          <w:rFonts w:ascii="宋体" w:hAnsi="宋体" w:cs="宋体" w:eastAsia="宋体" w:hint="default"/>
          <w:sz w:val="21"/>
          <w:szCs w:val="21"/>
        </w:rPr>
      </w:pPr>
      <w:r>
        <w:rPr>
          <w:rFonts w:ascii="宋体" w:hAnsi="宋体" w:cs="宋体" w:eastAsia="宋体" w:hint="default"/>
          <w:b/>
          <w:bCs/>
          <w:sz w:val="21"/>
          <w:szCs w:val="21"/>
        </w:rPr>
        <w:t>（二）行业领先的技术水平</w:t>
      </w:r>
      <w:r>
        <w:rPr>
          <w:rFonts w:ascii="宋体" w:hAnsi="宋体" w:cs="宋体" w:eastAsia="宋体" w:hint="default"/>
          <w:b/>
          <w:bCs/>
          <w:w w:val="100"/>
          <w:sz w:val="21"/>
          <w:szCs w:val="21"/>
        </w:rPr>
        <w:t> </w:t>
      </w:r>
      <w:r>
        <w:rPr>
          <w:rFonts w:ascii="宋体" w:hAnsi="宋体" w:cs="宋体" w:eastAsia="宋体" w:hint="default"/>
          <w:spacing w:val="-2"/>
          <w:sz w:val="21"/>
          <w:szCs w:val="21"/>
        </w:rPr>
        <w:t>公司全面掌握电子认证领域相关技术，是行业技术创新的重要参与者，也是业内应用模式创新、商业</w:t>
      </w:r>
    </w:p>
    <w:p>
      <w:pPr>
        <w:pStyle w:val="BodyText"/>
        <w:spacing w:line="297" w:lineRule="auto" w:before="17"/>
        <w:ind w:right="111"/>
        <w:jc w:val="both"/>
      </w:pPr>
      <w:r>
        <w:rPr>
          <w:spacing w:val="-2"/>
        </w:rPr>
        <w:t>模式创新的重要推动者。报告期内新增</w:t>
      </w:r>
      <w:r>
        <w:rPr>
          <w:rFonts w:ascii="Times New Roman" w:hAnsi="Times New Roman" w:cs="Times New Roman" w:eastAsia="Times New Roman" w:hint="default"/>
          <w:spacing w:val="-2"/>
        </w:rPr>
        <w:t>2</w:t>
      </w:r>
      <w:r>
        <w:rPr>
          <w:spacing w:val="-2"/>
        </w:rPr>
        <w:t>项发明专利，</w:t>
      </w:r>
      <w:r>
        <w:rPr>
          <w:rFonts w:ascii="Times New Roman" w:hAnsi="Times New Roman" w:cs="Times New Roman" w:eastAsia="Times New Roman" w:hint="default"/>
          <w:spacing w:val="-2"/>
        </w:rPr>
        <w:t>9</w:t>
      </w:r>
      <w:r>
        <w:rPr>
          <w:spacing w:val="-2"/>
        </w:rPr>
        <w:t>项软件著作权，目前拥有软件著作权</w:t>
      </w:r>
      <w:r>
        <w:rPr>
          <w:rFonts w:ascii="Times New Roman" w:hAnsi="Times New Roman" w:cs="Times New Roman" w:eastAsia="Times New Roman" w:hint="default"/>
          <w:spacing w:val="-2"/>
        </w:rPr>
        <w:t>82</w:t>
      </w:r>
      <w:r>
        <w:rPr>
          <w:spacing w:val="-2"/>
        </w:rPr>
        <w:t>项，电子签</w:t>
      </w:r>
      <w:r>
        <w:rPr>
          <w:spacing w:val="-47"/>
        </w:rPr>
        <w:t> </w:t>
      </w:r>
      <w:r>
        <w:rPr>
          <w:spacing w:val="-47"/>
        </w:rPr>
      </w:r>
      <w:r>
        <w:rPr/>
        <w:t>名相关发明专利</w:t>
      </w:r>
      <w:r>
        <w:rPr>
          <w:rFonts w:ascii="Times New Roman" w:hAnsi="Times New Roman" w:cs="Times New Roman" w:eastAsia="Times New Roman" w:hint="default"/>
        </w:rPr>
        <w:t>6</w:t>
      </w:r>
      <w:r>
        <w:rPr/>
        <w:t>项。公司推出电子签名服务在医疗卫生、电子政务、金融、交通等领域得到成功应用。</w:t>
      </w:r>
    </w:p>
    <w:p>
      <w:pPr>
        <w:pStyle w:val="BodyText"/>
        <w:spacing w:line="295" w:lineRule="auto" w:before="11"/>
        <w:ind w:right="108" w:firstLine="420"/>
        <w:jc w:val="both"/>
      </w:pPr>
      <w:r>
        <w:rPr/>
        <w:t>报告期内公司高度重视前沿技术研发，积极争取承担国家重大科技项目，同时在</w:t>
      </w:r>
      <w:r>
        <w:rPr>
          <w:rFonts w:ascii="Times New Roman" w:hAnsi="Times New Roman" w:cs="Times New Roman" w:eastAsia="Times New Roman" w:hint="default"/>
        </w:rPr>
        <w:t>2017</w:t>
      </w:r>
      <w:r>
        <w:rPr/>
        <w:t>年公司荣获</w:t>
      </w:r>
      <w:r>
        <w:rPr>
          <w:rFonts w:ascii="Times New Roman" w:hAnsi="Times New Roman" w:cs="Times New Roman" w:eastAsia="Times New Roman" w:hint="default"/>
        </w:rPr>
        <w:t>“</w:t>
      </w:r>
      <w:r>
        <w:rPr/>
        <w:t>北</w:t>
      </w:r>
      <w:r>
        <w:rPr>
          <w:w w:val="100"/>
        </w:rPr>
        <w:t> </w:t>
      </w:r>
      <w:r>
        <w:rPr/>
        <w:t>京市企业技术中心</w:t>
      </w:r>
      <w:r>
        <w:rPr>
          <w:rFonts w:ascii="Times New Roman" w:hAnsi="Times New Roman" w:cs="Times New Roman" w:eastAsia="Times New Roman" w:hint="default"/>
        </w:rPr>
        <w:t>”</w:t>
      </w:r>
      <w:r>
        <w:rPr/>
        <w:t>称号，相继获得多项科技奖励，显示出公司较强的技术实力和行业影响力，具体情况</w:t>
      </w:r>
      <w:r>
        <w:rPr>
          <w:spacing w:val="-17"/>
        </w:rPr>
        <w:t> </w:t>
      </w:r>
      <w:r>
        <w:rPr>
          <w:spacing w:val="-17"/>
        </w:rPr>
      </w:r>
      <w:r>
        <w:rPr/>
        <w:t>如下：</w:t>
      </w:r>
    </w:p>
    <w:p>
      <w:pPr>
        <w:spacing w:line="240" w:lineRule="auto" w:before="0"/>
        <w:rPr>
          <w:rFonts w:ascii="宋体" w:hAnsi="宋体" w:cs="宋体" w:eastAsia="宋体" w:hint="default"/>
          <w:sz w:val="2"/>
          <w:szCs w:val="2"/>
        </w:rPr>
      </w:pPr>
    </w:p>
    <w:tbl>
      <w:tblPr>
        <w:tblW w:w="0" w:type="auto"/>
        <w:jc w:val="left"/>
        <w:tblInd w:w="665" w:type="dxa"/>
        <w:tblLayout w:type="fixed"/>
        <w:tblCellMar>
          <w:top w:w="0" w:type="dxa"/>
          <w:left w:w="0" w:type="dxa"/>
          <w:bottom w:w="0" w:type="dxa"/>
          <w:right w:w="0" w:type="dxa"/>
        </w:tblCellMar>
        <w:tblLook w:val="01E0"/>
      </w:tblPr>
      <w:tblGrid>
        <w:gridCol w:w="1433"/>
        <w:gridCol w:w="7089"/>
      </w:tblGrid>
      <w:tr>
        <w:trPr>
          <w:trHeight w:val="425" w:hRule="exact"/>
        </w:trPr>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sz w:val="21"/>
                <w:szCs w:val="21"/>
              </w:rPr>
              <w:t>门类</w:t>
            </w:r>
          </w:p>
        </w:tc>
        <w:tc>
          <w:tcPr>
            <w:tcW w:w="7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7" w:right="0"/>
              <w:jc w:val="center"/>
              <w:rPr>
                <w:rFonts w:ascii="宋体" w:hAnsi="宋体" w:cs="宋体" w:eastAsia="宋体" w:hint="default"/>
                <w:sz w:val="21"/>
                <w:szCs w:val="21"/>
              </w:rPr>
            </w:pPr>
            <w:r>
              <w:rPr>
                <w:rFonts w:ascii="宋体" w:hAnsi="宋体" w:cs="宋体" w:eastAsia="宋体" w:hint="default"/>
                <w:sz w:val="21"/>
                <w:szCs w:val="21"/>
              </w:rPr>
              <w:t>内容</w:t>
            </w:r>
          </w:p>
        </w:tc>
      </w:tr>
      <w:tr>
        <w:trPr>
          <w:trHeight w:val="739" w:hRule="exact"/>
        </w:trPr>
        <w:tc>
          <w:tcPr>
            <w:tcW w:w="1433" w:type="dxa"/>
            <w:vMerge w:val="restart"/>
            <w:tcBorders>
              <w:top w:val="single" w:sz="6" w:space="0" w:color="000000"/>
              <w:left w:val="single" w:sz="6" w:space="0" w:color="000000"/>
              <w:right w:val="single" w:sz="6" w:space="0" w:color="000000"/>
            </w:tcBorders>
          </w:tcPr>
          <w:p>
            <w:pPr>
              <w:pStyle w:val="TableParagraph"/>
              <w:spacing w:line="240" w:lineRule="auto" w:before="40"/>
              <w:ind w:left="2" w:right="0"/>
              <w:jc w:val="center"/>
              <w:rPr>
                <w:rFonts w:ascii="宋体" w:hAnsi="宋体" w:cs="宋体" w:eastAsia="宋体" w:hint="default"/>
                <w:sz w:val="21"/>
                <w:szCs w:val="21"/>
              </w:rPr>
            </w:pPr>
            <w:r>
              <w:rPr>
                <w:rFonts w:ascii="宋体" w:hAnsi="宋体" w:cs="宋体" w:eastAsia="宋体" w:hint="default"/>
                <w:sz w:val="21"/>
                <w:szCs w:val="21"/>
              </w:rPr>
              <w:t>课题</w:t>
            </w:r>
          </w:p>
        </w:tc>
        <w:tc>
          <w:tcPr>
            <w:tcW w:w="7089"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42"/>
              <w:ind w:left="4" w:right="-2"/>
              <w:jc w:val="left"/>
              <w:rPr>
                <w:rFonts w:ascii="Times New Roman" w:hAnsi="Times New Roman" w:cs="Times New Roman" w:eastAsia="Times New Roman" w:hint="default"/>
                <w:sz w:val="21"/>
                <w:szCs w:val="21"/>
              </w:rPr>
            </w:pPr>
            <w:r>
              <w:rPr>
                <w:rFonts w:ascii="宋体" w:hAnsi="宋体" w:cs="宋体" w:eastAsia="宋体" w:hint="default"/>
                <w:sz w:val="21"/>
                <w:szCs w:val="21"/>
              </w:rPr>
              <w:t>牵头承担十三五国家重点研发计划</w:t>
            </w:r>
            <w:r>
              <w:rPr>
                <w:rFonts w:ascii="Times New Roman" w:hAnsi="Times New Roman" w:cs="Times New Roman" w:eastAsia="Times New Roman" w:hint="default"/>
                <w:sz w:val="21"/>
                <w:szCs w:val="21"/>
              </w:rPr>
              <w:t>“</w:t>
            </w:r>
            <w:r>
              <w:rPr>
                <w:rFonts w:ascii="宋体" w:hAnsi="宋体" w:cs="宋体" w:eastAsia="宋体" w:hint="default"/>
                <w:sz w:val="21"/>
                <w:szCs w:val="21"/>
              </w:rPr>
              <w:t>网络空间安全重点专项</w:t>
            </w:r>
            <w:r>
              <w:rPr>
                <w:rFonts w:ascii="Times New Roman" w:hAnsi="Times New Roman" w:cs="Times New Roman" w:eastAsia="Times New Roman" w:hint="default"/>
                <w:sz w:val="21"/>
                <w:szCs w:val="21"/>
              </w:rPr>
              <w:t>”</w:t>
            </w:r>
            <w:r>
              <w:rPr>
                <w:rFonts w:ascii="宋体" w:hAnsi="宋体" w:cs="宋体" w:eastAsia="宋体" w:hint="default"/>
                <w:sz w:val="21"/>
                <w:szCs w:val="21"/>
              </w:rPr>
              <w:t>的</w:t>
            </w:r>
            <w:r>
              <w:rPr>
                <w:rFonts w:ascii="Times New Roman" w:hAnsi="Times New Roman" w:cs="Times New Roman" w:eastAsia="Times New Roman" w:hint="default"/>
                <w:sz w:val="21"/>
                <w:szCs w:val="21"/>
              </w:rPr>
              <w:t>“</w:t>
            </w:r>
            <w:r>
              <w:rPr>
                <w:rFonts w:ascii="宋体" w:hAnsi="宋体" w:cs="宋体" w:eastAsia="宋体" w:hint="default"/>
                <w:sz w:val="21"/>
                <w:szCs w:val="21"/>
              </w:rPr>
              <w:t>基于国产密码</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算法的服务认证与证明关键技术</w:t>
            </w:r>
            <w:r>
              <w:rPr>
                <w:rFonts w:ascii="Times New Roman" w:hAnsi="Times New Roman" w:cs="Times New Roman" w:eastAsia="Times New Roman" w:hint="default"/>
                <w:sz w:val="21"/>
                <w:szCs w:val="21"/>
              </w:rPr>
              <w:t>”</w:t>
            </w:r>
          </w:p>
        </w:tc>
      </w:tr>
      <w:tr>
        <w:trPr>
          <w:trHeight w:val="739" w:hRule="exact"/>
        </w:trPr>
        <w:tc>
          <w:tcPr>
            <w:tcW w:w="1433" w:type="dxa"/>
            <w:vMerge/>
            <w:tcBorders>
              <w:left w:val="single" w:sz="6" w:space="0" w:color="000000"/>
              <w:right w:val="single" w:sz="6" w:space="0" w:color="000000"/>
            </w:tcBorders>
          </w:tcPr>
          <w:p>
            <w:pPr/>
          </w:p>
        </w:tc>
        <w:tc>
          <w:tcPr>
            <w:tcW w:w="7089"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42"/>
              <w:ind w:left="4" w:right="-3"/>
              <w:jc w:val="left"/>
              <w:rPr>
                <w:rFonts w:ascii="Times New Roman" w:hAnsi="Times New Roman" w:cs="Times New Roman" w:eastAsia="Times New Roman" w:hint="default"/>
                <w:sz w:val="21"/>
                <w:szCs w:val="21"/>
              </w:rPr>
            </w:pPr>
            <w:r>
              <w:rPr>
                <w:rFonts w:ascii="宋体" w:hAnsi="宋体" w:cs="宋体" w:eastAsia="宋体" w:hint="default"/>
                <w:sz w:val="21"/>
                <w:szCs w:val="21"/>
              </w:rPr>
              <w:t>参与实施十三五国家重点研发计划</w:t>
            </w:r>
            <w:r>
              <w:rPr>
                <w:rFonts w:ascii="Times New Roman" w:hAnsi="Times New Roman" w:cs="Times New Roman" w:eastAsia="Times New Roman" w:hint="default"/>
                <w:sz w:val="21"/>
                <w:szCs w:val="21"/>
              </w:rPr>
              <w:t>“</w:t>
            </w:r>
            <w:r>
              <w:rPr>
                <w:rFonts w:ascii="宋体" w:hAnsi="宋体" w:cs="宋体" w:eastAsia="宋体" w:hint="default"/>
                <w:sz w:val="21"/>
                <w:szCs w:val="21"/>
              </w:rPr>
              <w:t>网络空间安全重点专项</w:t>
            </w:r>
            <w:r>
              <w:rPr>
                <w:rFonts w:ascii="Times New Roman" w:hAnsi="Times New Roman" w:cs="Times New Roman" w:eastAsia="Times New Roman" w:hint="default"/>
                <w:sz w:val="21"/>
                <w:szCs w:val="21"/>
              </w:rPr>
              <w:t>”</w:t>
            </w:r>
            <w:r>
              <w:rPr>
                <w:rFonts w:ascii="宋体" w:hAnsi="宋体" w:cs="宋体" w:eastAsia="宋体" w:hint="default"/>
                <w:sz w:val="21"/>
                <w:szCs w:val="21"/>
              </w:rPr>
              <w:t>中</w:t>
            </w:r>
            <w:r>
              <w:rPr>
                <w:rFonts w:ascii="Times New Roman" w:hAnsi="Times New Roman" w:cs="Times New Roman" w:eastAsia="Times New Roman" w:hint="default"/>
                <w:sz w:val="21"/>
                <w:szCs w:val="21"/>
              </w:rPr>
              <w:t>“</w:t>
            </w:r>
            <w:r>
              <w:rPr>
                <w:rFonts w:ascii="宋体" w:hAnsi="宋体" w:cs="宋体" w:eastAsia="宋体" w:hint="default"/>
                <w:sz w:val="21"/>
                <w:szCs w:val="21"/>
              </w:rPr>
              <w:t>基于国产密码</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算法的移动互联网密码服务支撑基础设施关键技术</w:t>
            </w:r>
            <w:r>
              <w:rPr>
                <w:rFonts w:ascii="Times New Roman" w:hAnsi="Times New Roman" w:cs="Times New Roman" w:eastAsia="Times New Roman" w:hint="default"/>
                <w:sz w:val="21"/>
                <w:szCs w:val="21"/>
              </w:rPr>
              <w:t>”</w:t>
            </w:r>
          </w:p>
        </w:tc>
      </w:tr>
      <w:tr>
        <w:trPr>
          <w:trHeight w:val="739" w:hRule="exact"/>
        </w:trPr>
        <w:tc>
          <w:tcPr>
            <w:tcW w:w="1433" w:type="dxa"/>
            <w:vMerge/>
            <w:tcBorders>
              <w:left w:val="single" w:sz="6" w:space="0" w:color="000000"/>
              <w:bottom w:val="single" w:sz="6" w:space="0" w:color="000000"/>
              <w:right w:val="single" w:sz="6" w:space="0" w:color="000000"/>
            </w:tcBorders>
          </w:tcPr>
          <w:p>
            <w:pPr/>
          </w:p>
        </w:tc>
        <w:tc>
          <w:tcPr>
            <w:tcW w:w="7089"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42"/>
              <w:ind w:left="4" w:right="-2"/>
              <w:jc w:val="left"/>
              <w:rPr>
                <w:rFonts w:ascii="Times New Roman" w:hAnsi="Times New Roman" w:cs="Times New Roman" w:eastAsia="Times New Roman" w:hint="default"/>
                <w:sz w:val="21"/>
                <w:szCs w:val="21"/>
              </w:rPr>
            </w:pPr>
            <w:r>
              <w:rPr>
                <w:rFonts w:ascii="宋体" w:hAnsi="宋体" w:cs="宋体" w:eastAsia="宋体" w:hint="default"/>
                <w:sz w:val="21"/>
                <w:szCs w:val="21"/>
              </w:rPr>
              <w:t>参与实施十三五国家重点研发计划</w:t>
            </w:r>
            <w:r>
              <w:rPr>
                <w:rFonts w:ascii="Times New Roman" w:hAnsi="Times New Roman" w:cs="Times New Roman" w:eastAsia="Times New Roman" w:hint="default"/>
                <w:sz w:val="21"/>
                <w:szCs w:val="21"/>
              </w:rPr>
              <w:t>“</w:t>
            </w:r>
            <w:r>
              <w:rPr>
                <w:rFonts w:ascii="宋体" w:hAnsi="宋体" w:cs="宋体" w:eastAsia="宋体" w:hint="default"/>
                <w:sz w:val="21"/>
                <w:szCs w:val="21"/>
              </w:rPr>
              <w:t>网络空间安全重点专项</w:t>
            </w:r>
            <w:r>
              <w:rPr>
                <w:rFonts w:ascii="Times New Roman" w:hAnsi="Times New Roman" w:cs="Times New Roman" w:eastAsia="Times New Roman" w:hint="default"/>
                <w:sz w:val="21"/>
                <w:szCs w:val="21"/>
              </w:rPr>
              <w:t>”</w:t>
            </w:r>
            <w:r>
              <w:rPr>
                <w:rFonts w:ascii="宋体" w:hAnsi="宋体" w:cs="宋体" w:eastAsia="宋体" w:hint="default"/>
                <w:sz w:val="21"/>
                <w:szCs w:val="21"/>
              </w:rPr>
              <w:t>中</w:t>
            </w:r>
            <w:r>
              <w:rPr>
                <w:rFonts w:ascii="Times New Roman" w:hAnsi="Times New Roman" w:cs="Times New Roman" w:eastAsia="Times New Roman" w:hint="default"/>
                <w:sz w:val="21"/>
                <w:szCs w:val="21"/>
              </w:rPr>
              <w:t>“</w:t>
            </w:r>
            <w:r>
              <w:rPr>
                <w:rFonts w:ascii="宋体" w:hAnsi="宋体" w:cs="宋体" w:eastAsia="宋体" w:hint="default"/>
                <w:sz w:val="21"/>
                <w:szCs w:val="21"/>
              </w:rPr>
              <w:t>网络可信身份</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管理技术研究</w:t>
            </w:r>
            <w:r>
              <w:rPr>
                <w:rFonts w:ascii="Times New Roman" w:hAnsi="Times New Roman" w:cs="Times New Roman" w:eastAsia="Times New Roman" w:hint="default"/>
                <w:sz w:val="21"/>
                <w:szCs w:val="21"/>
              </w:rPr>
              <w:t>”</w:t>
            </w:r>
          </w:p>
        </w:tc>
      </w:tr>
      <w:tr>
        <w:trPr>
          <w:trHeight w:val="739" w:hRule="exact"/>
        </w:trPr>
        <w:tc>
          <w:tcPr>
            <w:tcW w:w="1433" w:type="dxa"/>
            <w:vMerge w:val="restart"/>
            <w:tcBorders>
              <w:top w:val="single" w:sz="6" w:space="0" w:color="000000"/>
              <w:left w:val="single" w:sz="6" w:space="0" w:color="000000"/>
              <w:right w:val="single" w:sz="6" w:space="0" w:color="000000"/>
            </w:tcBorders>
          </w:tcPr>
          <w:p>
            <w:pPr>
              <w:pStyle w:val="TableParagraph"/>
              <w:spacing w:line="240" w:lineRule="auto" w:before="40"/>
              <w:ind w:left="2" w:right="0"/>
              <w:jc w:val="center"/>
              <w:rPr>
                <w:rFonts w:ascii="宋体" w:hAnsi="宋体" w:cs="宋体" w:eastAsia="宋体" w:hint="default"/>
                <w:sz w:val="21"/>
                <w:szCs w:val="21"/>
              </w:rPr>
            </w:pPr>
            <w:r>
              <w:rPr>
                <w:rFonts w:ascii="宋体" w:hAnsi="宋体" w:cs="宋体" w:eastAsia="宋体" w:hint="default"/>
                <w:sz w:val="21"/>
                <w:szCs w:val="21"/>
              </w:rPr>
              <w:t>奖项</w:t>
            </w:r>
          </w:p>
        </w:tc>
        <w:tc>
          <w:tcPr>
            <w:tcW w:w="7089"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42"/>
              <w:ind w:left="4" w:right="-1"/>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参与的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面向互联网开放环境的重要信息系统安全保障关键技术研究及应用</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项目荣获</w:t>
            </w:r>
            <w:r>
              <w:rPr>
                <w:rFonts w:ascii="Times New Roman" w:hAnsi="Times New Roman" w:cs="Times New Roman" w:eastAsia="Times New Roman" w:hint="default"/>
                <w:sz w:val="21"/>
                <w:szCs w:val="21"/>
              </w:rPr>
              <w:t>“</w:t>
            </w:r>
            <w:r>
              <w:rPr>
                <w:rFonts w:ascii="宋体" w:hAnsi="宋体" w:cs="宋体" w:eastAsia="宋体" w:hint="default"/>
                <w:sz w:val="21"/>
                <w:szCs w:val="21"/>
              </w:rPr>
              <w:t>国家科技进步二等奖</w:t>
            </w:r>
            <w:r>
              <w:rPr>
                <w:rFonts w:ascii="Times New Roman" w:hAnsi="Times New Roman" w:cs="Times New Roman" w:eastAsia="Times New Roman" w:hint="default"/>
                <w:sz w:val="21"/>
                <w:szCs w:val="21"/>
              </w:rPr>
              <w:t>”</w:t>
            </w:r>
          </w:p>
        </w:tc>
      </w:tr>
      <w:tr>
        <w:trPr>
          <w:trHeight w:val="740" w:hRule="exact"/>
        </w:trPr>
        <w:tc>
          <w:tcPr>
            <w:tcW w:w="1433" w:type="dxa"/>
            <w:vMerge/>
            <w:tcBorders>
              <w:left w:val="single" w:sz="6" w:space="0" w:color="000000"/>
              <w:bottom w:val="single" w:sz="6" w:space="0" w:color="000000"/>
              <w:right w:val="single" w:sz="6" w:space="0" w:color="000000"/>
            </w:tcBorders>
          </w:tcPr>
          <w:p>
            <w:pPr/>
          </w:p>
        </w:tc>
        <w:tc>
          <w:tcPr>
            <w:tcW w:w="7089"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43"/>
              <w:ind w:left="4" w:right="2"/>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参与的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工业控制系统密码应用研究</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项目获得了党政密码科学技术进步奖励</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评审委员会颁发的</w:t>
            </w:r>
            <w:r>
              <w:rPr>
                <w:rFonts w:ascii="Times New Roman" w:hAnsi="Times New Roman" w:cs="Times New Roman" w:eastAsia="Times New Roman" w:hint="default"/>
                <w:sz w:val="21"/>
                <w:szCs w:val="21"/>
              </w:rPr>
              <w:t>“</w:t>
            </w:r>
            <w:r>
              <w:rPr>
                <w:rFonts w:ascii="宋体" w:hAnsi="宋体" w:cs="宋体" w:eastAsia="宋体" w:hint="default"/>
                <w:sz w:val="21"/>
                <w:szCs w:val="21"/>
              </w:rPr>
              <w:t>科技进步奖三等奖（省部级）</w:t>
            </w:r>
            <w:r>
              <w:rPr>
                <w:rFonts w:ascii="Times New Roman" w:hAnsi="Times New Roman" w:cs="Times New Roman" w:eastAsia="Times New Roman" w:hint="default"/>
                <w:sz w:val="21"/>
                <w:szCs w:val="21"/>
              </w:rPr>
              <w:t>”</w:t>
            </w:r>
          </w:p>
        </w:tc>
      </w:tr>
    </w:tbl>
    <w:p>
      <w:pPr>
        <w:spacing w:after="0" w:line="256" w:lineRule="auto"/>
        <w:jc w:val="left"/>
        <w:rPr>
          <w:rFonts w:ascii="Times New Roman" w:hAnsi="Times New Roman" w:cs="Times New Roman" w:eastAsia="Times New Roman" w:hint="default"/>
          <w:sz w:val="21"/>
          <w:szCs w:val="21"/>
        </w:rPr>
        <w:sectPr>
          <w:pgSz w:w="11910" w:h="16840"/>
          <w:pgMar w:header="867"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665" w:type="dxa"/>
        <w:tblLayout w:type="fixed"/>
        <w:tblCellMar>
          <w:top w:w="0" w:type="dxa"/>
          <w:left w:w="0" w:type="dxa"/>
          <w:bottom w:w="0" w:type="dxa"/>
          <w:right w:w="0" w:type="dxa"/>
        </w:tblCellMar>
        <w:tblLook w:val="01E0"/>
      </w:tblPr>
      <w:tblGrid>
        <w:gridCol w:w="1433"/>
        <w:gridCol w:w="7092"/>
      </w:tblGrid>
      <w:tr>
        <w:trPr>
          <w:trHeight w:val="740" w:hRule="exact"/>
        </w:trPr>
        <w:tc>
          <w:tcPr>
            <w:tcW w:w="1433" w:type="dxa"/>
            <w:vMerge w:val="restart"/>
            <w:tcBorders>
              <w:top w:val="single" w:sz="6" w:space="0" w:color="000000"/>
              <w:left w:val="single" w:sz="6" w:space="0" w:color="000000"/>
              <w:right w:val="single" w:sz="6" w:space="0" w:color="000000"/>
            </w:tcBorders>
          </w:tcPr>
          <w:p>
            <w:pPr/>
          </w:p>
        </w:tc>
        <w:tc>
          <w:tcPr>
            <w:tcW w:w="709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40"/>
              <w:ind w:left="4" w:right="1"/>
              <w:jc w:val="left"/>
              <w:rPr>
                <w:rFonts w:ascii="Times New Roman" w:hAnsi="Times New Roman" w:cs="Times New Roman" w:eastAsia="Times New Roman" w:hint="default"/>
                <w:sz w:val="21"/>
                <w:szCs w:val="21"/>
              </w:rPr>
            </w:pPr>
            <w:r>
              <w:rPr>
                <w:rFonts w:ascii="宋体" w:hAnsi="宋体" w:cs="宋体" w:eastAsia="宋体" w:hint="default"/>
                <w:sz w:val="21"/>
                <w:szCs w:val="21"/>
              </w:rPr>
              <w:t>公司建设的</w:t>
            </w:r>
            <w:r>
              <w:rPr>
                <w:rFonts w:ascii="Times New Roman" w:hAnsi="Times New Roman" w:cs="Times New Roman" w:eastAsia="Times New Roman" w:hint="default"/>
                <w:sz w:val="21"/>
                <w:szCs w:val="21"/>
              </w:rPr>
              <w:t>“</w:t>
            </w:r>
            <w:r>
              <w:rPr>
                <w:rFonts w:ascii="宋体" w:hAnsi="宋体" w:cs="宋体" w:eastAsia="宋体" w:hint="default"/>
                <w:sz w:val="21"/>
                <w:szCs w:val="21"/>
              </w:rPr>
              <w:t>北京市法人一证通项目</w:t>
            </w:r>
            <w:r>
              <w:rPr>
                <w:rFonts w:ascii="Times New Roman" w:hAnsi="Times New Roman" w:cs="Times New Roman" w:eastAsia="Times New Roman" w:hint="default"/>
                <w:sz w:val="21"/>
                <w:szCs w:val="21"/>
              </w:rPr>
              <w:t>”</w:t>
            </w:r>
            <w:r>
              <w:rPr>
                <w:rFonts w:ascii="宋体" w:hAnsi="宋体" w:cs="宋体" w:eastAsia="宋体" w:hint="default"/>
                <w:sz w:val="21"/>
                <w:szCs w:val="21"/>
              </w:rPr>
              <w:t>荣膺</w:t>
            </w:r>
            <w:r>
              <w:rPr>
                <w:rFonts w:ascii="Times New Roman" w:hAnsi="Times New Roman" w:cs="Times New Roman" w:eastAsia="Times New Roman" w:hint="default"/>
                <w:sz w:val="21"/>
                <w:szCs w:val="21"/>
              </w:rPr>
              <w:t>“2016</w:t>
            </w:r>
            <w:r>
              <w:rPr>
                <w:rFonts w:ascii="宋体" w:hAnsi="宋体" w:cs="宋体" w:eastAsia="宋体" w:hint="default"/>
                <w:sz w:val="21"/>
                <w:szCs w:val="21"/>
              </w:rPr>
              <w:t>年网络安全国家标准优秀应用</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案例</w:t>
            </w:r>
            <w:r>
              <w:rPr>
                <w:rFonts w:ascii="Times New Roman" w:hAnsi="Times New Roman" w:cs="Times New Roman" w:eastAsia="Times New Roman" w:hint="default"/>
                <w:sz w:val="21"/>
                <w:szCs w:val="21"/>
              </w:rPr>
              <w:t>”</w:t>
            </w:r>
          </w:p>
        </w:tc>
      </w:tr>
      <w:tr>
        <w:trPr>
          <w:trHeight w:val="427" w:hRule="exact"/>
        </w:trPr>
        <w:tc>
          <w:tcPr>
            <w:tcW w:w="1433" w:type="dxa"/>
            <w:vMerge/>
            <w:tcBorders>
              <w:left w:val="single" w:sz="6" w:space="0" w:color="000000"/>
              <w:bottom w:val="single" w:sz="6" w:space="0" w:color="000000"/>
              <w:right w:val="single" w:sz="6" w:space="0" w:color="000000"/>
            </w:tcBorders>
          </w:tcPr>
          <w:p>
            <w:pPr/>
          </w:p>
        </w:tc>
        <w:tc>
          <w:tcPr>
            <w:tcW w:w="7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公司建设的</w:t>
            </w:r>
            <w:r>
              <w:rPr>
                <w:rFonts w:ascii="Times New Roman" w:hAnsi="Times New Roman" w:cs="Times New Roman" w:eastAsia="Times New Roman" w:hint="default"/>
                <w:sz w:val="21"/>
                <w:szCs w:val="21"/>
              </w:rPr>
              <w:t>“</w:t>
            </w:r>
            <w:r>
              <w:rPr>
                <w:rFonts w:ascii="宋体" w:hAnsi="宋体" w:cs="宋体" w:eastAsia="宋体" w:hint="default"/>
                <w:sz w:val="21"/>
                <w:szCs w:val="21"/>
              </w:rPr>
              <w:t>宣武医院可信病案归档项目</w:t>
            </w:r>
            <w:r>
              <w:rPr>
                <w:rFonts w:ascii="Times New Roman" w:hAnsi="Times New Roman" w:cs="Times New Roman" w:eastAsia="Times New Roman" w:hint="default"/>
                <w:sz w:val="21"/>
                <w:szCs w:val="21"/>
              </w:rPr>
              <w:t>”</w:t>
            </w:r>
            <w:r>
              <w:rPr>
                <w:rFonts w:ascii="宋体" w:hAnsi="宋体" w:cs="宋体" w:eastAsia="宋体" w:hint="default"/>
                <w:sz w:val="21"/>
                <w:szCs w:val="21"/>
              </w:rPr>
              <w:t>入选</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2017</w:t>
            </w:r>
            <w:r>
              <w:rPr>
                <w:rFonts w:ascii="宋体" w:hAnsi="宋体" w:cs="宋体" w:eastAsia="宋体" w:hint="default"/>
                <w:sz w:val="21"/>
                <w:szCs w:val="21"/>
              </w:rPr>
              <w:t>最</w:t>
            </w:r>
            <w:r>
              <w:rPr>
                <w:rFonts w:ascii="Times New Roman" w:hAnsi="Times New Roman" w:cs="Times New Roman" w:eastAsia="Times New Roman" w:hint="default"/>
                <w:sz w:val="21"/>
                <w:szCs w:val="21"/>
              </w:rPr>
              <w:t>IN</w:t>
            </w:r>
            <w:r>
              <w:rPr>
                <w:rFonts w:ascii="宋体" w:hAnsi="宋体" w:cs="宋体" w:eastAsia="宋体" w:hint="default"/>
                <w:sz w:val="21"/>
                <w:szCs w:val="21"/>
              </w:rPr>
              <w:t>数字医疗解决方案</w:t>
            </w:r>
            <w:r>
              <w:rPr>
                <w:rFonts w:ascii="Times New Roman" w:hAnsi="Times New Roman" w:cs="Times New Roman" w:eastAsia="Times New Roman" w:hint="default"/>
                <w:sz w:val="21"/>
                <w:szCs w:val="21"/>
              </w:rPr>
              <w:t>”</w:t>
            </w:r>
          </w:p>
        </w:tc>
      </w:tr>
    </w:tbl>
    <w:p>
      <w:pPr>
        <w:spacing w:line="240" w:lineRule="auto" w:before="0"/>
        <w:rPr>
          <w:rFonts w:ascii="宋体" w:hAnsi="宋体" w:cs="宋体" w:eastAsia="宋体" w:hint="default"/>
          <w:sz w:val="28"/>
          <w:szCs w:val="28"/>
        </w:rPr>
      </w:pPr>
    </w:p>
    <w:p>
      <w:pPr>
        <w:spacing w:line="314" w:lineRule="auto" w:before="36"/>
        <w:ind w:left="533" w:right="0" w:firstLine="2"/>
        <w:jc w:val="left"/>
        <w:rPr>
          <w:rFonts w:ascii="宋体" w:hAnsi="宋体" w:cs="宋体" w:eastAsia="宋体" w:hint="default"/>
          <w:sz w:val="21"/>
          <w:szCs w:val="21"/>
        </w:rPr>
      </w:pPr>
      <w:r>
        <w:rPr>
          <w:rFonts w:ascii="宋体" w:hAnsi="宋体" w:cs="宋体" w:eastAsia="宋体" w:hint="default"/>
          <w:b/>
          <w:bCs/>
          <w:sz w:val="21"/>
          <w:szCs w:val="21"/>
        </w:rPr>
        <w:t>（三）有效的全国营销体系</w:t>
      </w:r>
      <w:r>
        <w:rPr>
          <w:rFonts w:ascii="宋体" w:hAnsi="宋体" w:cs="宋体" w:eastAsia="宋体" w:hint="default"/>
          <w:b/>
          <w:bCs/>
          <w:w w:val="100"/>
          <w:sz w:val="21"/>
          <w:szCs w:val="21"/>
        </w:rPr>
        <w:t> </w:t>
      </w:r>
      <w:r>
        <w:rPr>
          <w:rFonts w:ascii="宋体" w:hAnsi="宋体" w:cs="宋体" w:eastAsia="宋体" w:hint="default"/>
          <w:spacing w:val="-2"/>
          <w:sz w:val="21"/>
          <w:szCs w:val="21"/>
        </w:rPr>
        <w:t>网络安全业务多以行业解决方案模式在市场推广，具备全国服务能力成为客户选择的关键因素。公司</w:t>
      </w:r>
    </w:p>
    <w:p>
      <w:pPr>
        <w:pStyle w:val="BodyText"/>
        <w:spacing w:line="307" w:lineRule="auto" w:before="17"/>
        <w:ind w:right="105"/>
        <w:jc w:val="both"/>
      </w:pPr>
      <w:r>
        <w:rPr>
          <w:spacing w:val="-3"/>
        </w:rPr>
        <w:t>多年来一直坚持</w:t>
      </w:r>
      <w:r>
        <w:rPr>
          <w:rFonts w:ascii="Times New Roman" w:hAnsi="Times New Roman" w:cs="Times New Roman" w:eastAsia="Times New Roman" w:hint="default"/>
          <w:spacing w:val="-3"/>
        </w:rPr>
        <w:t>“</w:t>
      </w:r>
      <w:r>
        <w:rPr>
          <w:spacing w:val="-3"/>
        </w:rPr>
        <w:t>行业引领、区域落实</w:t>
      </w:r>
      <w:r>
        <w:rPr>
          <w:rFonts w:ascii="Times New Roman" w:hAnsi="Times New Roman" w:cs="Times New Roman" w:eastAsia="Times New Roman" w:hint="default"/>
          <w:spacing w:val="-3"/>
        </w:rPr>
        <w:t>” </w:t>
      </w:r>
      <w:r>
        <w:rPr>
          <w:spacing w:val="-4"/>
        </w:rPr>
        <w:t>，</w:t>
      </w:r>
      <w:r>
        <w:rPr>
          <w:rFonts w:ascii="Times New Roman" w:hAnsi="Times New Roman" w:cs="Times New Roman" w:eastAsia="Times New Roman" w:hint="default"/>
          <w:spacing w:val="-4"/>
        </w:rPr>
        <w:t>“</w:t>
      </w:r>
      <w:r>
        <w:rPr>
          <w:spacing w:val="-4"/>
        </w:rPr>
        <w:t>立足北京、服务全国</w:t>
      </w:r>
      <w:r>
        <w:rPr>
          <w:rFonts w:ascii="Times New Roman" w:hAnsi="Times New Roman" w:cs="Times New Roman" w:eastAsia="Times New Roman" w:hint="default"/>
          <w:spacing w:val="-4"/>
        </w:rPr>
        <w:t>”</w:t>
      </w:r>
      <w:r>
        <w:rPr>
          <w:spacing w:val="-4"/>
        </w:rPr>
        <w:t>发展战略，在业务模式上通过调研行业需</w:t>
      </w:r>
      <w:r>
        <w:rPr>
          <w:spacing w:val="-70"/>
        </w:rPr>
        <w:t> </w:t>
      </w:r>
      <w:r>
        <w:rPr>
          <w:spacing w:val="-70"/>
        </w:rPr>
      </w:r>
      <w:r>
        <w:rPr>
          <w:spacing w:val="-2"/>
        </w:rPr>
        <w:t>求，形成行业解决方案，树立样本工程，在全国范围进行推广。按照此业务推进模式，公司构建了总部、</w:t>
      </w:r>
      <w:r>
        <w:rPr>
          <w:spacing w:val="-21"/>
        </w:rPr>
        <w:t> </w:t>
      </w:r>
      <w:r>
        <w:rPr>
          <w:spacing w:val="-21"/>
        </w:rPr>
      </w:r>
      <w:r>
        <w:rPr>
          <w:spacing w:val="-2"/>
        </w:rPr>
        <w:t>大区、重点城市为一体的营销体系，在重点区域市场组建销售、咨询、交付铁三角，建立了以客户为中心</w:t>
      </w:r>
      <w:r>
        <w:rPr>
          <w:spacing w:val="-43"/>
        </w:rPr>
        <w:t> </w:t>
      </w:r>
      <w:r>
        <w:rPr>
          <w:spacing w:val="-43"/>
        </w:rPr>
      </w:r>
      <w:r>
        <w:rPr/>
        <w:t>强有力的服务团队。目前业务范围覆盖全国</w:t>
      </w:r>
      <w:r>
        <w:rPr>
          <w:rFonts w:ascii="Times New Roman" w:hAnsi="Times New Roman" w:cs="Times New Roman" w:eastAsia="Times New Roman" w:hint="default"/>
        </w:rPr>
        <w:t>30</w:t>
      </w:r>
      <w:r>
        <w:rPr/>
        <w:t>多个省市自治区。</w:t>
      </w:r>
    </w:p>
    <w:p>
      <w:pPr>
        <w:pStyle w:val="BodyText"/>
        <w:spacing w:line="314" w:lineRule="auto" w:before="1"/>
        <w:ind w:left="533" w:right="0" w:firstLine="2"/>
        <w:jc w:val="left"/>
      </w:pPr>
      <w:r>
        <w:rPr>
          <w:rFonts w:ascii="宋体" w:hAnsi="宋体" w:cs="宋体" w:eastAsia="宋体" w:hint="default"/>
          <w:b/>
          <w:bCs/>
        </w:rPr>
        <w:t>（四）优质的客户群体</w:t>
      </w:r>
      <w:r>
        <w:rPr>
          <w:rFonts w:ascii="宋体" w:hAnsi="宋体" w:cs="宋体" w:eastAsia="宋体" w:hint="default"/>
          <w:b/>
          <w:bCs/>
          <w:w w:val="100"/>
        </w:rPr>
        <w:t> </w:t>
      </w:r>
      <w:r>
        <w:rPr>
          <w:spacing w:val="-2"/>
        </w:rPr>
        <w:t>公司用户群体广泛，覆盖政府机构、金融、医疗卫生、大型企业等多个领域。优质的客户资源不仅为</w:t>
      </w:r>
    </w:p>
    <w:p>
      <w:pPr>
        <w:pStyle w:val="BodyText"/>
        <w:spacing w:line="314" w:lineRule="auto" w:before="17"/>
        <w:ind w:right="129"/>
        <w:jc w:val="both"/>
      </w:pPr>
      <w:r>
        <w:rPr>
          <w:spacing w:val="-2"/>
        </w:rPr>
        <w:t>公司提供新业务拓展机遇，还可以利用客户行业影响力，降低同类型企业推广难度，是公司稳定、可持续</w:t>
      </w:r>
      <w:r>
        <w:rPr>
          <w:spacing w:val="-47"/>
        </w:rPr>
        <w:t> </w:t>
      </w:r>
      <w:r>
        <w:rPr>
          <w:spacing w:val="-47"/>
        </w:rPr>
      </w:r>
      <w:r>
        <w:rPr/>
        <w:t>发展的基础。</w:t>
      </w:r>
    </w:p>
    <w:p>
      <w:pPr>
        <w:spacing w:after="0" w:line="314" w:lineRule="auto"/>
        <w:jc w:val="both"/>
        <w:sectPr>
          <w:pgSz w:w="11910" w:h="16840"/>
          <w:pgMar w:header="867" w:footer="979" w:top="1060" w:bottom="1160" w:left="102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24" w:right="0"/>
        <w:jc w:val="left"/>
        <w:rPr>
          <w:b w:val="0"/>
          <w:bCs w:val="0"/>
        </w:rPr>
      </w:pPr>
      <w:bookmarkStart w:name="_bookmark2" w:id="3"/>
      <w:bookmarkEnd w:id="3"/>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126" w:firstLine="420"/>
        <w:jc w:val="both"/>
      </w:pPr>
      <w:r>
        <w:rPr>
          <w:spacing w:val="-2"/>
        </w:rPr>
        <w:t>公司是国内领先的网络安全解决方案提供商，始终致力于保障用户信息基础设施安全可靠运行、保护</w:t>
      </w:r>
      <w:r>
        <w:rPr>
          <w:w w:val="100"/>
        </w:rPr>
        <w:t> </w:t>
      </w:r>
      <w:r>
        <w:rPr>
          <w:spacing w:val="-2"/>
        </w:rPr>
        <w:t>用户信息化业务安全可信开展、保卫用户数字资产，以</w:t>
      </w:r>
      <w:r>
        <w:rPr>
          <w:rFonts w:ascii="Times New Roman" w:hAnsi="Times New Roman" w:cs="Times New Roman" w:eastAsia="Times New Roman" w:hint="default"/>
          <w:spacing w:val="-2"/>
        </w:rPr>
        <w:t>“</w:t>
      </w:r>
      <w:r>
        <w:rPr>
          <w:spacing w:val="-2"/>
        </w:rPr>
        <w:t>共建可信任的数字世界</w:t>
      </w:r>
      <w:r>
        <w:rPr>
          <w:rFonts w:ascii="Times New Roman" w:hAnsi="Times New Roman" w:cs="Times New Roman" w:eastAsia="Times New Roman" w:hint="default"/>
          <w:spacing w:val="-2"/>
        </w:rPr>
        <w:t>”</w:t>
      </w:r>
      <w:r>
        <w:rPr>
          <w:spacing w:val="-2"/>
        </w:rPr>
        <w:t>为企业愿景，向客户提供</w:t>
      </w:r>
      <w:r>
        <w:rPr>
          <w:spacing w:val="-20"/>
        </w:rPr>
        <w:t> </w:t>
      </w:r>
      <w:r>
        <w:rPr>
          <w:spacing w:val="-20"/>
        </w:rPr>
      </w:r>
      <w:r>
        <w:rPr/>
        <w:t>电子认证服务、安全集成、安全咨询与安全运维服务等专业化网络安全服务。</w:t>
      </w:r>
    </w:p>
    <w:p>
      <w:pPr>
        <w:pStyle w:val="BodyText"/>
        <w:spacing w:line="304" w:lineRule="auto" w:before="26"/>
        <w:ind w:right="104" w:firstLine="420"/>
        <w:jc w:val="both"/>
      </w:pPr>
      <w:r>
        <w:rPr>
          <w:spacing w:val="-3"/>
        </w:rPr>
        <w:t>报告期内，公司实现营业收入</w:t>
      </w:r>
      <w:r>
        <w:rPr>
          <w:rFonts w:ascii="Times New Roman" w:hAnsi="Times New Roman" w:cs="Times New Roman" w:eastAsia="Times New Roman" w:hint="default"/>
          <w:spacing w:val="-3"/>
        </w:rPr>
        <w:t>5.20</w:t>
      </w:r>
      <w:r>
        <w:rPr>
          <w:spacing w:val="-3"/>
        </w:rPr>
        <w:t>亿元，归属于上市公司股东的净利润为</w:t>
      </w:r>
      <w:r>
        <w:rPr>
          <w:rFonts w:ascii="Times New Roman" w:hAnsi="Times New Roman" w:cs="Times New Roman" w:eastAsia="Times New Roman" w:hint="default"/>
          <w:spacing w:val="-3"/>
        </w:rPr>
        <w:t>8,424.55</w:t>
      </w:r>
      <w:r>
        <w:rPr>
          <w:spacing w:val="-3"/>
        </w:rPr>
        <w:t>万元，较上年同期分</w:t>
      </w:r>
      <w:r>
        <w:rPr>
          <w:w w:val="100"/>
        </w:rPr>
        <w:t> </w:t>
      </w:r>
      <w:r>
        <w:rPr/>
        <w:t>别增长</w:t>
      </w:r>
      <w:r>
        <w:rPr>
          <w:rFonts w:ascii="Times New Roman" w:hAnsi="Times New Roman" w:cs="Times New Roman" w:eastAsia="Times New Roman" w:hint="default"/>
        </w:rPr>
        <w:t>16.68%</w:t>
      </w:r>
      <w:r>
        <w:rPr/>
        <w:t>、</w:t>
      </w:r>
      <w:r>
        <w:rPr>
          <w:rFonts w:ascii="Times New Roman" w:hAnsi="Times New Roman" w:cs="Times New Roman" w:eastAsia="Times New Roman" w:hint="default"/>
        </w:rPr>
        <w:t>40.50%</w:t>
      </w:r>
      <w:r>
        <w:rPr/>
        <w:t>。公司业绩快速增长的主要原因：一是在销售和市场拓展方面，公司坚持</w:t>
      </w:r>
      <w:r>
        <w:rPr>
          <w:rFonts w:ascii="Times New Roman" w:hAnsi="Times New Roman" w:cs="Times New Roman" w:eastAsia="Times New Roman" w:hint="default"/>
        </w:rPr>
        <w:t>“</w:t>
      </w:r>
      <w:r>
        <w:rPr/>
        <w:t>行业引</w:t>
      </w:r>
      <w:r>
        <w:rPr>
          <w:spacing w:val="-48"/>
        </w:rPr>
        <w:t> </w:t>
      </w:r>
      <w:r>
        <w:rPr/>
        <w:t>领、区域落实</w:t>
      </w:r>
      <w:r>
        <w:rPr>
          <w:rFonts w:ascii="Times New Roman" w:hAnsi="Times New Roman" w:cs="Times New Roman" w:eastAsia="Times New Roman" w:hint="default"/>
        </w:rPr>
        <w:t>”</w:t>
      </w:r>
      <w:r>
        <w:rPr/>
        <w:t>发展战略，在电子政务、卫生、保险等原有行业进一步在全国市场加大推进力度，公司新</w:t>
      </w:r>
      <w:r>
        <w:rPr>
          <w:spacing w:val="-17"/>
        </w:rPr>
        <w:t> </w:t>
      </w:r>
      <w:r>
        <w:rPr>
          <w:spacing w:val="-17"/>
        </w:rPr>
      </w:r>
      <w:r>
        <w:rPr>
          <w:spacing w:val="-2"/>
        </w:rPr>
        <w:t>签合同金额大幅提升，同时在交通、教育领域开始取得成效，在残联、外交等新的业务领域取得突破；二</w:t>
      </w:r>
      <w:r>
        <w:rPr>
          <w:spacing w:val="-43"/>
        </w:rPr>
        <w:t> </w:t>
      </w:r>
      <w:r>
        <w:rPr>
          <w:spacing w:val="-43"/>
        </w:rPr>
      </w:r>
      <w:r>
        <w:rPr>
          <w:spacing w:val="-2"/>
        </w:rPr>
        <w:t>是在产品研发方面，公司不断完善产品功能与性能，切实有效的优化提升了公司在重点行业的解决方案，</w:t>
      </w:r>
      <w:r>
        <w:rPr>
          <w:spacing w:val="-21"/>
        </w:rPr>
        <w:t> </w:t>
      </w:r>
      <w:r>
        <w:rPr>
          <w:spacing w:val="-21"/>
        </w:rPr>
      </w:r>
      <w:r>
        <w:rPr>
          <w:spacing w:val="-2"/>
        </w:rPr>
        <w:t>增强产品竞争力和所提供服务的水平。同时，公司重点加强了云签名服务、云安全监管平台的研发建设投</w:t>
      </w:r>
      <w:r>
        <w:rPr>
          <w:spacing w:val="-43"/>
        </w:rPr>
        <w:t> </w:t>
      </w:r>
      <w:r>
        <w:rPr>
          <w:spacing w:val="-43"/>
        </w:rPr>
      </w:r>
      <w:r>
        <w:rPr>
          <w:spacing w:val="-2"/>
        </w:rPr>
        <w:t>入，大大提升了服务能力，推动了公司云服务的快速增长。三是在业务创新方面，公司积极拓展新的业务</w:t>
      </w:r>
      <w:r>
        <w:rPr>
          <w:spacing w:val="-50"/>
        </w:rPr>
        <w:t> </w:t>
      </w:r>
      <w:r>
        <w:rPr>
          <w:spacing w:val="-50"/>
        </w:rPr>
      </w:r>
      <w:r>
        <w:rPr/>
        <w:t>领域，开拓了互联网</w:t>
      </w:r>
      <w:r>
        <w:rPr>
          <w:rFonts w:ascii="Times New Roman" w:hAnsi="Times New Roman" w:cs="Times New Roman" w:eastAsia="Times New Roman" w:hint="default"/>
        </w:rPr>
        <w:t>+</w:t>
      </w:r>
      <w:r>
        <w:rPr/>
        <w:t>政务服务、教育和企业信息化等新的业务领域，通过实际项目的不断优化完善，形</w:t>
      </w:r>
      <w:r>
        <w:rPr>
          <w:spacing w:val="-37"/>
        </w:rPr>
        <w:t> </w:t>
      </w:r>
      <w:r>
        <w:rPr>
          <w:spacing w:val="-37"/>
        </w:rPr>
      </w:r>
      <w:r>
        <w:rPr>
          <w:spacing w:val="-2"/>
        </w:rPr>
        <w:t>成可复制推广的新业务解决方案；四是在经营管理方面，公司提升管理水平，进一步提高工作效率。报告</w:t>
      </w:r>
      <w:r>
        <w:rPr>
          <w:spacing w:val="-47"/>
        </w:rPr>
        <w:t> </w:t>
      </w:r>
      <w:r>
        <w:rPr>
          <w:spacing w:val="-47"/>
        </w:rPr>
      </w:r>
      <w:r>
        <w:rPr>
          <w:spacing w:val="-2"/>
        </w:rPr>
        <w:t>期内推行了以业务单元为管理主体、以经营利润为考核指标的经营管理策略，促使公司净利润稳步增长。</w:t>
      </w:r>
      <w:r>
        <w:rPr>
          <w:spacing w:val="-21"/>
        </w:rPr>
        <w:t> </w:t>
      </w:r>
      <w:r>
        <w:rPr>
          <w:spacing w:val="-21"/>
        </w:rPr>
      </w:r>
      <w:r>
        <w:rPr>
          <w:spacing w:val="-3"/>
        </w:rPr>
        <w:t>五是在投资收益方面，公司放弃对控股子公司版信通增资的优先认购权，公司所持版信通</w:t>
      </w:r>
      <w:r>
        <w:rPr>
          <w:rFonts w:ascii="Times New Roman" w:hAnsi="Times New Roman" w:cs="Times New Roman" w:eastAsia="Times New Roman" w:hint="default"/>
          <w:spacing w:val="-3"/>
        </w:rPr>
        <w:t>46.92%</w:t>
      </w:r>
      <w:r>
        <w:rPr>
          <w:spacing w:val="-3"/>
        </w:rPr>
        <w:t>股权，按</w:t>
      </w:r>
      <w:r>
        <w:rPr>
          <w:spacing w:val="-7"/>
        </w:rPr>
        <w:t> </w:t>
      </w:r>
      <w:r>
        <w:rPr>
          <w:spacing w:val="-7"/>
        </w:rPr>
      </w:r>
      <w:r>
        <w:rPr/>
        <w:t>公允价值重新计量产生</w:t>
      </w:r>
      <w:r>
        <w:rPr>
          <w:rFonts w:ascii="Times New Roman" w:hAnsi="Times New Roman" w:cs="Times New Roman" w:eastAsia="Times New Roman" w:hint="default"/>
        </w:rPr>
        <w:t>1,344.25</w:t>
      </w:r>
      <w:r>
        <w:rPr/>
        <w:t>万元的利得。</w:t>
      </w:r>
    </w:p>
    <w:p>
      <w:pPr>
        <w:pStyle w:val="Heading3"/>
        <w:spacing w:line="240" w:lineRule="auto" w:before="4"/>
        <w:ind w:left="535" w:right="0"/>
        <w:jc w:val="left"/>
        <w:rPr>
          <w:b w:val="0"/>
          <w:bCs w:val="0"/>
        </w:rPr>
      </w:pPr>
      <w:r>
        <w:rPr/>
        <w:t>报告期内公司的重点工作：</w:t>
      </w:r>
      <w:r>
        <w:rPr>
          <w:b w:val="0"/>
          <w:bCs w:val="0"/>
        </w:rPr>
      </w:r>
    </w:p>
    <w:p>
      <w:pPr>
        <w:spacing w:line="295" w:lineRule="auto" w:before="85"/>
        <w:ind w:left="53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、立足北京，积极参与首都网络安全建设</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报告期内公司不断丰富</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北京市法人一证通</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的应用范围，与北京市高法审判信息网、北京市不动产登</w:t>
      </w:r>
    </w:p>
    <w:p>
      <w:pPr>
        <w:pStyle w:val="BodyText"/>
        <w:spacing w:line="314" w:lineRule="auto" w:before="16"/>
        <w:ind w:right="105"/>
        <w:jc w:val="both"/>
      </w:pPr>
      <w:r>
        <w:rPr>
          <w:spacing w:val="-2"/>
        </w:rPr>
        <w:t>记网上预约系统、北京市政府采购系统、北京市企业登记信息材料查询服务系统等多个系统进行了对接，</w:t>
      </w:r>
      <w:r>
        <w:rPr>
          <w:spacing w:val="-21"/>
        </w:rPr>
        <w:t> </w:t>
      </w:r>
      <w:r>
        <w:rPr>
          <w:spacing w:val="-21"/>
        </w:rPr>
      </w:r>
      <w:r>
        <w:rPr>
          <w:spacing w:val="-2"/>
        </w:rPr>
        <w:t>巩固了公司在北京地区电子认证行业的优势地位。报告期内全资子公司安信天行以专业的技术为北京地区</w:t>
      </w:r>
      <w:r>
        <w:rPr>
          <w:spacing w:val="-43"/>
        </w:rPr>
        <w:t> </w:t>
      </w:r>
      <w:r>
        <w:rPr>
          <w:spacing w:val="-43"/>
        </w:rPr>
      </w:r>
      <w:r>
        <w:rPr>
          <w:spacing w:val="-2"/>
        </w:rPr>
        <w:t>客户各领域网络安全保驾护航，服务的常态安全客户突破百家，积极参与北京城市副中心多个网络安全工</w:t>
      </w:r>
      <w:r>
        <w:rPr>
          <w:spacing w:val="-42"/>
        </w:rPr>
        <w:t> </w:t>
      </w:r>
      <w:r>
        <w:rPr>
          <w:spacing w:val="-42"/>
        </w:rPr>
      </w:r>
      <w:r>
        <w:rPr>
          <w:spacing w:val="-2"/>
        </w:rPr>
        <w:t>程项目建设工作，其自主研发的安全运营平台系统成为北京城市副中心安全体系建设的重要支撑力量。此</w:t>
      </w:r>
      <w:r>
        <w:rPr>
          <w:spacing w:val="-44"/>
        </w:rPr>
        <w:t> </w:t>
      </w:r>
      <w:r>
        <w:rPr>
          <w:spacing w:val="-44"/>
        </w:rPr>
      </w:r>
      <w:r>
        <w:rPr/>
        <w:t>外，安信天行还承担了北京冬奥组委网络安全保障工作。</w:t>
      </w:r>
    </w:p>
    <w:p>
      <w:pPr>
        <w:spacing w:line="297" w:lineRule="auto" w:before="17"/>
        <w:ind w:left="53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、坚持贯彻</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行业引领、区域落实</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发展战略，业务快速扩张</w:t>
      </w:r>
      <w:r>
        <w:rPr>
          <w:rFonts w:ascii="宋体" w:hAnsi="宋体" w:cs="宋体" w:eastAsia="宋体" w:hint="default"/>
          <w:b/>
          <w:bCs/>
          <w:w w:val="100"/>
          <w:sz w:val="21"/>
          <w:szCs w:val="21"/>
        </w:rPr>
        <w:t> </w:t>
      </w:r>
      <w:r>
        <w:rPr>
          <w:rFonts w:ascii="宋体" w:hAnsi="宋体" w:cs="宋体" w:eastAsia="宋体" w:hint="default"/>
          <w:spacing w:val="-2"/>
          <w:sz w:val="21"/>
          <w:szCs w:val="21"/>
        </w:rPr>
        <w:t>公司重点行业业务拓展成果显著，原有业务得到有效推进，新业务得到不断拓展。公司针对重点行业</w:t>
      </w:r>
    </w:p>
    <w:p>
      <w:pPr>
        <w:pStyle w:val="BodyText"/>
        <w:spacing w:line="309" w:lineRule="auto" w:before="32"/>
        <w:ind w:right="126"/>
        <w:jc w:val="both"/>
      </w:pPr>
      <w:r>
        <w:rPr>
          <w:spacing w:val="-2"/>
        </w:rPr>
        <w:t>的实际需求，将网络安全技术与各行业应用特点相结合，不断优化和丰富公司在各行业的网络安全解决方</w:t>
      </w:r>
      <w:r>
        <w:rPr>
          <w:spacing w:val="-43"/>
        </w:rPr>
        <w:t> </w:t>
      </w:r>
      <w:r>
        <w:rPr>
          <w:spacing w:val="-43"/>
        </w:rPr>
      </w:r>
      <w:r>
        <w:rPr>
          <w:spacing w:val="-2"/>
        </w:rPr>
        <w:t>案。在政务行业方面，深耕已有市场需求，稳步提升已有客户的销售业绩，更为重要的是抓住国产密码算</w:t>
      </w:r>
      <w:r>
        <w:rPr>
          <w:spacing w:val="-46"/>
        </w:rPr>
        <w:t> </w:t>
      </w:r>
      <w:r>
        <w:rPr>
          <w:spacing w:val="-46"/>
        </w:rPr>
      </w:r>
      <w:r>
        <w:rPr/>
        <w:t>法升级改造和互联网</w:t>
      </w:r>
      <w:r>
        <w:rPr>
          <w:rFonts w:ascii="Times New Roman" w:hAnsi="Times New Roman" w:cs="Times New Roman" w:eastAsia="Times New Roman" w:hint="default"/>
        </w:rPr>
        <w:t>+</w:t>
      </w:r>
      <w:r>
        <w:rPr/>
        <w:t>政务的行业发展契机，进行了全国的体系化营销推进，开拓了新的业务区域和业务</w:t>
      </w:r>
      <w:r>
        <w:rPr>
          <w:spacing w:val="-37"/>
        </w:rPr>
        <w:t> </w:t>
      </w:r>
      <w:r>
        <w:rPr>
          <w:spacing w:val="-37"/>
        </w:rPr>
      </w:r>
      <w:r>
        <w:rPr>
          <w:spacing w:val="-2"/>
        </w:rPr>
        <w:t>领域，如：承担了中国残疾人联合会、外交部等国密算法升级改造项目。推出的统一认证平台、网上招投</w:t>
      </w:r>
      <w:r>
        <w:rPr>
          <w:spacing w:val="-43"/>
        </w:rPr>
        <w:t> </w:t>
      </w:r>
      <w:r>
        <w:rPr>
          <w:spacing w:val="-43"/>
        </w:rPr>
      </w:r>
      <w:r>
        <w:rPr/>
        <w:t>标解决方案在多个地区的互联网</w:t>
      </w:r>
      <w:r>
        <w:rPr>
          <w:rFonts w:ascii="Times New Roman" w:hAnsi="Times New Roman" w:cs="Times New Roman" w:eastAsia="Times New Roman" w:hint="default"/>
        </w:rPr>
        <w:t>+</w:t>
      </w:r>
      <w:r>
        <w:rPr/>
        <w:t>政务项目中得到推广应用；在卫生行业方面，公司继续推进网络安全解</w:t>
      </w:r>
      <w:r>
        <w:rPr>
          <w:spacing w:val="-36"/>
        </w:rPr>
        <w:t> </w:t>
      </w:r>
      <w:r>
        <w:rPr>
          <w:spacing w:val="-36"/>
        </w:rPr>
      </w:r>
      <w:r>
        <w:rPr>
          <w:spacing w:val="-2"/>
        </w:rPr>
        <w:t>决方案在医院医疗信息系统、区域医疗平台等领域的应用，新增签约客户数超过百家。公司还积极拓展公</w:t>
      </w:r>
      <w:r>
        <w:rPr>
          <w:spacing w:val="-43"/>
        </w:rPr>
        <w:t> </w:t>
      </w:r>
      <w:r>
        <w:rPr>
          <w:spacing w:val="-43"/>
        </w:rPr>
      </w:r>
      <w:r>
        <w:rPr>
          <w:spacing w:val="-2"/>
        </w:rPr>
        <w:t>共卫生等其它医疗卫生领域业务，例如：为全国疾控体系的网上业务构建了包括身份认证、电子签名、数</w:t>
      </w:r>
      <w:r>
        <w:rPr>
          <w:spacing w:val="-44"/>
        </w:rPr>
        <w:t> </w:t>
      </w:r>
      <w:r>
        <w:rPr>
          <w:spacing w:val="-44"/>
        </w:rPr>
      </w:r>
      <w:r>
        <w:rPr>
          <w:spacing w:val="-2"/>
        </w:rPr>
        <w:t>据保护的网络信任体系，为国家疾控中心和</w:t>
      </w:r>
      <w:r>
        <w:rPr>
          <w:rFonts w:ascii="Times New Roman" w:hAnsi="Times New Roman" w:cs="Times New Roman" w:eastAsia="Times New Roman" w:hint="default"/>
          <w:spacing w:val="-2"/>
        </w:rPr>
        <w:t>20</w:t>
      </w:r>
      <w:r>
        <w:rPr>
          <w:spacing w:val="-2"/>
        </w:rPr>
        <w:t>多个省市自治区提供电子认证服务；在金融行业方面，公司</w:t>
      </w:r>
    </w:p>
    <w:p>
      <w:pPr>
        <w:spacing w:after="0" w:line="309" w:lineRule="auto"/>
        <w:jc w:val="both"/>
        <w:sectPr>
          <w:pgSz w:w="11910" w:h="16840"/>
          <w:pgMar w:header="867" w:footer="979" w:top="1060" w:bottom="1160" w:left="1020" w:right="1000"/>
        </w:sectPr>
      </w:pPr>
    </w:p>
    <w:p>
      <w:pPr>
        <w:spacing w:line="240" w:lineRule="auto" w:before="8"/>
        <w:rPr>
          <w:rFonts w:ascii="宋体" w:hAnsi="宋体" w:cs="宋体" w:eastAsia="宋体" w:hint="default"/>
          <w:sz w:val="26"/>
          <w:szCs w:val="26"/>
        </w:rPr>
      </w:pPr>
    </w:p>
    <w:p>
      <w:pPr>
        <w:pStyle w:val="BodyText"/>
        <w:spacing w:line="312" w:lineRule="auto" w:before="36"/>
        <w:ind w:right="206"/>
        <w:jc w:val="both"/>
      </w:pPr>
      <w:r>
        <w:rPr>
          <w:spacing w:val="-2"/>
        </w:rPr>
        <w:t>通过持续优化保险行业解决方案，使得公司产品和服务在保险领域应用进一步扩大，客户使用公司签名服</w:t>
      </w:r>
      <w:r>
        <w:rPr>
          <w:spacing w:val="-44"/>
        </w:rPr>
        <w:t> </w:t>
      </w:r>
      <w:r>
        <w:rPr>
          <w:spacing w:val="-44"/>
        </w:rPr>
      </w:r>
      <w:r>
        <w:rPr>
          <w:spacing w:val="-2"/>
        </w:rPr>
        <w:t>务次数增幅明显。在银行业务领域，公司进一步优化了解决方案，提升在银行领域的品牌知名度，报告期</w:t>
      </w:r>
      <w:r>
        <w:rPr>
          <w:spacing w:val="-50"/>
        </w:rPr>
        <w:t> </w:t>
      </w:r>
      <w:r>
        <w:rPr>
          <w:spacing w:val="-50"/>
        </w:rPr>
      </w:r>
      <w:r>
        <w:rPr>
          <w:spacing w:val="-2"/>
        </w:rPr>
        <w:t>内成功签约多家银行客户。公司积极关注金融领域新业务的发展，通过深入挖掘汽车金融的业务需求，以</w:t>
      </w:r>
      <w:r>
        <w:rPr>
          <w:spacing w:val="-44"/>
        </w:rPr>
        <w:t> </w:t>
      </w:r>
      <w:r>
        <w:rPr>
          <w:spacing w:val="-44"/>
        </w:rPr>
      </w:r>
      <w:r>
        <w:rPr>
          <w:spacing w:val="-2"/>
        </w:rPr>
        <w:t>领先的解决方案在汽车金融领域建立了示范应用；在交通行业方面，重点推广了适航维修电子签名解决方</w:t>
      </w:r>
      <w:r>
        <w:rPr>
          <w:spacing w:val="-43"/>
        </w:rPr>
        <w:t> </w:t>
      </w:r>
      <w:r>
        <w:rPr>
          <w:spacing w:val="-43"/>
        </w:rPr>
      </w:r>
      <w:r>
        <w:rPr>
          <w:spacing w:val="-2"/>
        </w:rPr>
        <w:t>案，新签约多家航空公司，对领域内客户产生强烈的辐射效应。完成了多个海事信息系统领域的网络信任</w:t>
      </w:r>
      <w:r>
        <w:rPr>
          <w:spacing w:val="-42"/>
        </w:rPr>
        <w:t> </w:t>
      </w:r>
      <w:r>
        <w:rPr>
          <w:spacing w:val="-42"/>
        </w:rPr>
      </w:r>
      <w:r>
        <w:rPr/>
        <w:t>体系建设，为后续在各直属局推广海事行政许可类文书无纸化应用奠定基础。</w:t>
      </w:r>
    </w:p>
    <w:p>
      <w:pPr>
        <w:pStyle w:val="BodyText"/>
        <w:spacing w:line="304" w:lineRule="auto" w:before="22"/>
        <w:ind w:right="0" w:firstLine="420"/>
        <w:jc w:val="left"/>
      </w:pPr>
      <w:r>
        <w:rPr/>
        <w:t>公司在华北地区业务稳步增长，外地业务推广成果显著，外地业务营业收入占比增长了两个百分点。</w:t>
      </w:r>
      <w:r>
        <w:rPr>
          <w:w w:val="100"/>
        </w:rPr>
        <w:t> </w:t>
      </w:r>
      <w:r>
        <w:rPr/>
        <w:t>报告期内公司坚持</w:t>
      </w:r>
      <w:r>
        <w:rPr>
          <w:rFonts w:ascii="Times New Roman" w:hAnsi="Times New Roman" w:cs="Times New Roman" w:eastAsia="Times New Roman" w:hint="default"/>
        </w:rPr>
        <w:t>“</w:t>
      </w:r>
      <w:r>
        <w:rPr/>
        <w:t>行业引领、区域落实</w:t>
      </w:r>
      <w:r>
        <w:rPr>
          <w:rFonts w:ascii="Times New Roman" w:hAnsi="Times New Roman" w:cs="Times New Roman" w:eastAsia="Times New Roman" w:hint="default"/>
        </w:rPr>
        <w:t>”</w:t>
      </w:r>
      <w:r>
        <w:rPr/>
        <w:t>的发展战略，通过总部行业部门牵头将行业解决方案标准化、制</w:t>
      </w:r>
      <w:r>
        <w:rPr>
          <w:w w:val="100"/>
        </w:rPr>
        <w:t> </w:t>
      </w:r>
      <w:r>
        <w:rPr/>
        <w:t>定业务推广计划，形成全国业务</w:t>
      </w:r>
      <w:r>
        <w:rPr>
          <w:rFonts w:ascii="Times New Roman" w:hAnsi="Times New Roman" w:cs="Times New Roman" w:eastAsia="Times New Roman" w:hint="default"/>
        </w:rPr>
        <w:t>“</w:t>
      </w:r>
      <w:r>
        <w:rPr/>
        <w:t>一盘棋</w:t>
      </w:r>
      <w:r>
        <w:rPr>
          <w:rFonts w:ascii="Times New Roman" w:hAnsi="Times New Roman" w:cs="Times New Roman" w:eastAsia="Times New Roman" w:hint="default"/>
        </w:rPr>
        <w:t>”</w:t>
      </w:r>
      <w:r>
        <w:rPr/>
        <w:t>的思想，与区域部门共同推动业务快速发展。华北地区是公司原</w:t>
      </w:r>
      <w:r>
        <w:rPr>
          <w:w w:val="100"/>
        </w:rPr>
        <w:t> </w:t>
      </w:r>
      <w:r>
        <w:rPr>
          <w:spacing w:val="-7"/>
        </w:rPr>
        <w:t>有业务的根据地和新业务的孵化场。政务、医疗、金融等重点行业业务稳步推进，营业收入同比增长</w:t>
      </w:r>
      <w:r>
        <w:rPr>
          <w:rFonts w:ascii="Times New Roman" w:hAnsi="Times New Roman" w:cs="Times New Roman" w:eastAsia="Times New Roman" w:hint="default"/>
          <w:spacing w:val="-7"/>
        </w:rPr>
        <w:t>13.1%</w:t>
      </w:r>
      <w:r>
        <w:rPr>
          <w:spacing w:val="-7"/>
        </w:rPr>
        <w:t>。</w:t>
      </w:r>
      <w:r>
        <w:rPr>
          <w:spacing w:val="-15"/>
        </w:rPr>
        <w:t> </w:t>
      </w:r>
      <w:r>
        <w:rPr>
          <w:spacing w:val="-2"/>
        </w:rPr>
        <w:t>同时，公司总部加强新业务的开拓，如：推出了智能化残疾人证、汽车金融、高校可信电子成绩单等新应</w:t>
      </w:r>
      <w:r>
        <w:rPr>
          <w:spacing w:val="-42"/>
        </w:rPr>
        <w:t> </w:t>
      </w:r>
      <w:r>
        <w:rPr>
          <w:spacing w:val="-42"/>
        </w:rPr>
      </w:r>
      <w:r>
        <w:rPr>
          <w:spacing w:val="-2"/>
        </w:rPr>
        <w:t>用，这些应用也开始在其它区域得到推广。华南地区业务收入稳步增长，借助广东、深圳等电子政务项目</w:t>
      </w:r>
      <w:r>
        <w:rPr>
          <w:spacing w:val="-50"/>
        </w:rPr>
        <w:t> </w:t>
      </w:r>
      <w:r>
        <w:rPr>
          <w:spacing w:val="-50"/>
        </w:rPr>
      </w:r>
      <w:r>
        <w:rPr>
          <w:spacing w:val="-2"/>
        </w:rPr>
        <w:t>的推广落地给区域内相关市场产生较强辐射效应，影响力持续扩大。华东地区营业收入同比增长</w:t>
      </w:r>
      <w:r>
        <w:rPr>
          <w:rFonts w:ascii="Times New Roman" w:hAnsi="Times New Roman" w:cs="Times New Roman" w:eastAsia="Times New Roman" w:hint="default"/>
          <w:spacing w:val="-2"/>
        </w:rPr>
        <w:t>57.30%</w:t>
      </w:r>
      <w:r>
        <w:rPr>
          <w:spacing w:val="-2"/>
        </w:rPr>
        <w:t>，</w:t>
      </w:r>
      <w:r>
        <w:rPr>
          <w:spacing w:val="-15"/>
        </w:rPr>
        <w:t> </w:t>
      </w:r>
      <w:r>
        <w:rPr>
          <w:spacing w:val="-2"/>
        </w:rPr>
        <w:t>业务大幅增长得益于公司在江苏、山东、福建等地卫生、金融业务全面发力。东北地区、华中地区和西南</w:t>
      </w:r>
      <w:r>
        <w:rPr>
          <w:spacing w:val="-43"/>
        </w:rPr>
        <w:t> </w:t>
      </w:r>
      <w:r>
        <w:rPr>
          <w:spacing w:val="-43"/>
        </w:rPr>
      </w:r>
      <w:r>
        <w:rPr/>
        <w:t>地区营业收入较上年同期分别增长</w:t>
      </w:r>
      <w:r>
        <w:rPr>
          <w:rFonts w:ascii="Times New Roman" w:hAnsi="Times New Roman" w:cs="Times New Roman" w:eastAsia="Times New Roman" w:hint="default"/>
        </w:rPr>
        <w:t>27.57%</w:t>
      </w:r>
      <w:r>
        <w:rPr/>
        <w:t>、</w:t>
      </w:r>
      <w:r>
        <w:rPr>
          <w:rFonts w:ascii="Times New Roman" w:hAnsi="Times New Roman" w:cs="Times New Roman" w:eastAsia="Times New Roman" w:hint="default"/>
        </w:rPr>
        <w:t>52.18%</w:t>
      </w:r>
      <w:r>
        <w:rPr/>
        <w:t>和</w:t>
      </w:r>
      <w:r>
        <w:rPr>
          <w:rFonts w:ascii="Times New Roman" w:hAnsi="Times New Roman" w:cs="Times New Roman" w:eastAsia="Times New Roman" w:hint="default"/>
        </w:rPr>
        <w:t>239.27%</w:t>
      </w:r>
      <w:r>
        <w:rPr/>
        <w:t>，收入增长的主要原因：一是报告期内借助</w:t>
      </w:r>
      <w:r>
        <w:rPr>
          <w:spacing w:val="-80"/>
        </w:rPr>
        <w:t> </w:t>
      </w:r>
      <w:r>
        <w:rPr>
          <w:spacing w:val="-80"/>
        </w:rPr>
      </w:r>
      <w:r>
        <w:rPr>
          <w:spacing w:val="-2"/>
        </w:rPr>
        <w:t>强大的产品、优质的服务、领先的解决方案，在政务、医疗行业加大了行业推广力度，新签合同数增长较</w:t>
      </w:r>
      <w:r>
        <w:rPr>
          <w:spacing w:val="-42"/>
        </w:rPr>
        <w:t> </w:t>
      </w:r>
      <w:r>
        <w:rPr>
          <w:spacing w:val="-42"/>
        </w:rPr>
      </w:r>
      <w:r>
        <w:rPr/>
        <w:t>快；二是在新业务探索方面取得了较好的成绩，借助宜昌市民</w:t>
      </w:r>
      <w:r>
        <w:rPr>
          <w:rFonts w:ascii="Times New Roman" w:hAnsi="Times New Roman" w:cs="Times New Roman" w:eastAsia="Times New Roman" w:hint="default"/>
        </w:rPr>
        <w:t>e</w:t>
      </w:r>
      <w:r>
        <w:rPr/>
        <w:t>家服务平台云签名、四川省卫计委互联网</w:t>
      </w:r>
      <w:r>
        <w:rPr>
          <w:spacing w:val="-14"/>
        </w:rPr>
        <w:t> </w:t>
      </w:r>
      <w:r>
        <w:rPr>
          <w:spacing w:val="-14"/>
        </w:rPr>
      </w:r>
      <w:r>
        <w:rPr/>
        <w:t>医疗服务监管平台等项目，对政务业务面向公众的强身份认证和互联网医疗领域监管进行业务探索。</w:t>
      </w:r>
    </w:p>
    <w:p>
      <w:pPr>
        <w:spacing w:line="295" w:lineRule="auto" w:before="29"/>
        <w:ind w:left="53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、加快技术升级，增强企业活力</w:t>
      </w:r>
      <w:r>
        <w:rPr>
          <w:rFonts w:ascii="宋体" w:hAnsi="宋体" w:cs="宋体" w:eastAsia="宋体" w:hint="default"/>
          <w:b/>
          <w:bCs/>
          <w:w w:val="100"/>
          <w:sz w:val="21"/>
          <w:szCs w:val="21"/>
        </w:rPr>
        <w:t> </w:t>
      </w:r>
      <w:r>
        <w:rPr>
          <w:rFonts w:ascii="宋体" w:hAnsi="宋体" w:cs="宋体" w:eastAsia="宋体" w:hint="default"/>
          <w:spacing w:val="-2"/>
          <w:sz w:val="21"/>
          <w:szCs w:val="21"/>
        </w:rPr>
        <w:t>母公司不断完善产品、提升服务、应用新技术、推出新解决方案。一是公司云签名平台的功能逐步完</w:t>
      </w:r>
    </w:p>
    <w:p>
      <w:pPr>
        <w:pStyle w:val="BodyText"/>
        <w:spacing w:line="314" w:lineRule="auto" w:before="37"/>
        <w:ind w:right="0"/>
        <w:jc w:val="left"/>
      </w:pPr>
      <w:r>
        <w:rPr>
          <w:spacing w:val="-5"/>
        </w:rPr>
        <w:t>善、易用性大幅提升、性能显著增强。云签名服务平台支持多认证源接入，实现多种组合方式的身份核验。</w:t>
      </w:r>
      <w:r>
        <w:rPr>
          <w:spacing w:val="-7"/>
        </w:rPr>
        <w:t> </w:t>
      </w:r>
      <w:r>
        <w:rPr>
          <w:spacing w:val="-7"/>
        </w:rPr>
      </w:r>
      <w:r>
        <w:rPr>
          <w:spacing w:val="-5"/>
        </w:rPr>
        <w:t>实现平台集群部署模式，大幅增强系统的性能和可靠性。云签名服务已在报税、商事登记、电子合同签署、</w:t>
      </w:r>
      <w:r>
        <w:rPr>
          <w:spacing w:val="-9"/>
        </w:rPr>
        <w:t> </w:t>
      </w:r>
      <w:r>
        <w:rPr>
          <w:spacing w:val="-9"/>
        </w:rPr>
      </w:r>
      <w:r>
        <w:rPr>
          <w:spacing w:val="-2"/>
        </w:rPr>
        <w:t>移动执法、移动办公等领域得到广泛应用；二是推出新产品、新服务、新方案。公司推出了面向医疗领域</w:t>
      </w:r>
      <w:r>
        <w:rPr>
          <w:spacing w:val="-43"/>
        </w:rPr>
        <w:t> </w:t>
      </w:r>
      <w:r>
        <w:rPr>
          <w:spacing w:val="-43"/>
        </w:rPr>
      </w:r>
      <w:r>
        <w:rPr>
          <w:spacing w:val="-2"/>
        </w:rPr>
        <w:t>的具有签名存储、签名查询导出、归档校验三大核心功能的可信签名存储产品，在天坛医院、惠州第一人</w:t>
      </w:r>
      <w:r>
        <w:rPr>
          <w:spacing w:val="-47"/>
        </w:rPr>
        <w:t> </w:t>
      </w:r>
      <w:r>
        <w:rPr>
          <w:spacing w:val="-47"/>
        </w:rPr>
      </w:r>
      <w:r>
        <w:rPr/>
        <w:t>民医院得以成功应用。开发并推出了电子合同安全可信解决方案，成功应用在万科、恒大、京东等项目，</w:t>
      </w:r>
      <w:r>
        <w:rPr>
          <w:w w:val="100"/>
        </w:rPr>
        <w:t> </w:t>
      </w:r>
      <w:r>
        <w:rPr>
          <w:spacing w:val="-2"/>
        </w:rPr>
        <w:t>在行业内树立起标杆影响力。推出了高校可信电子成绩单方案，解决了电子化成绩单的信任问题，方便成</w:t>
      </w:r>
      <w:r>
        <w:rPr>
          <w:spacing w:val="-43"/>
        </w:rPr>
        <w:t> </w:t>
      </w:r>
      <w:r>
        <w:rPr>
          <w:spacing w:val="-43"/>
        </w:rPr>
      </w:r>
      <w:r>
        <w:rPr/>
        <w:t>绩单的流转、管理和存档，成功应用于清华大学等多所高校。</w:t>
      </w:r>
    </w:p>
    <w:p>
      <w:pPr>
        <w:pStyle w:val="BodyText"/>
        <w:spacing w:line="314" w:lineRule="auto" w:before="18"/>
        <w:ind w:right="206" w:firstLine="420"/>
        <w:jc w:val="both"/>
      </w:pPr>
      <w:r>
        <w:rPr>
          <w:spacing w:val="-2"/>
        </w:rPr>
        <w:t>子公司安信天行的云安全服务体系逐步完善，可管理信息安全服务不断优化，形成了针对云管理者的</w:t>
      </w:r>
      <w:r>
        <w:rPr>
          <w:w w:val="100"/>
        </w:rPr>
        <w:t> </w:t>
      </w:r>
      <w:r>
        <w:rPr>
          <w:spacing w:val="-2"/>
        </w:rPr>
        <w:t>云安全监管解决方案和云使用者的云安全运营服务解决方案。依托自主研发的云安全监管平台，完成了政</w:t>
      </w:r>
      <w:r>
        <w:rPr>
          <w:spacing w:val="-42"/>
        </w:rPr>
        <w:t> </w:t>
      </w:r>
      <w:r>
        <w:rPr>
          <w:spacing w:val="-42"/>
        </w:rPr>
      </w:r>
      <w:r>
        <w:rPr>
          <w:spacing w:val="-2"/>
        </w:rPr>
        <w:t>务云管理的数据支撑、客户支持和服务流程的统一整合；通过对云服务平台的日志托管取证、数据取证和</w:t>
      </w:r>
      <w:r>
        <w:rPr>
          <w:spacing w:val="-45"/>
        </w:rPr>
        <w:t> </w:t>
      </w:r>
      <w:r>
        <w:rPr>
          <w:spacing w:val="-45"/>
        </w:rPr>
      </w:r>
      <w:r>
        <w:rPr/>
        <w:t>态势感知等功能的持续研发，不断扩充云平台功能。</w:t>
      </w:r>
    </w:p>
    <w:p>
      <w:pPr>
        <w:pStyle w:val="BodyText"/>
        <w:spacing w:line="297" w:lineRule="auto" w:before="17"/>
        <w:ind w:right="206" w:firstLine="420"/>
        <w:jc w:val="both"/>
      </w:pPr>
      <w:r>
        <w:rPr/>
        <w:t>公司高度重视前沿技术研究，积极争取承担国家重大科技项目，成为十三五国家重点研发计划</w:t>
      </w:r>
      <w:r>
        <w:rPr>
          <w:rFonts w:ascii="Times New Roman" w:hAnsi="Times New Roman" w:cs="Times New Roman" w:eastAsia="Times New Roman" w:hint="default"/>
        </w:rPr>
        <w:t>“</w:t>
      </w:r>
      <w:r>
        <w:rPr/>
        <w:t>网络</w:t>
      </w:r>
      <w:r>
        <w:rPr>
          <w:w w:val="100"/>
        </w:rPr>
        <w:t> </w:t>
      </w:r>
      <w:r>
        <w:rPr>
          <w:spacing w:val="-4"/>
          <w:w w:val="100"/>
        </w:rPr>
        <w:t>空间安全重点专项</w:t>
      </w:r>
      <w:r>
        <w:rPr>
          <w:rFonts w:ascii="Times New Roman" w:hAnsi="Times New Roman" w:cs="Times New Roman" w:eastAsia="Times New Roman" w:hint="default"/>
          <w:spacing w:val="-4"/>
          <w:w w:val="100"/>
        </w:rPr>
        <w:t>”</w:t>
      </w:r>
      <w:r>
        <w:rPr>
          <w:spacing w:val="-4"/>
          <w:w w:val="100"/>
        </w:rPr>
        <w:t>中</w:t>
      </w:r>
      <w:r>
        <w:rPr>
          <w:rFonts w:ascii="Times New Roman" w:hAnsi="Times New Roman" w:cs="Times New Roman" w:eastAsia="Times New Roman" w:hint="default"/>
          <w:spacing w:val="-4"/>
          <w:w w:val="100"/>
        </w:rPr>
        <w:t>“</w:t>
      </w:r>
      <w:r>
        <w:rPr>
          <w:spacing w:val="-4"/>
          <w:w w:val="100"/>
        </w:rPr>
        <w:t>基于国产密码算法的服务认证与证明关键技术</w:t>
      </w:r>
      <w:r>
        <w:rPr>
          <w:rFonts w:ascii="Times New Roman" w:hAnsi="Times New Roman" w:cs="Times New Roman" w:eastAsia="Times New Roman" w:hint="default"/>
          <w:spacing w:val="-4"/>
          <w:w w:val="100"/>
        </w:rPr>
        <w:t>”</w:t>
      </w:r>
      <w:r>
        <w:rPr>
          <w:spacing w:val="-4"/>
          <w:w w:val="100"/>
        </w:rPr>
        <w:t>整体项目牵头单位，以及十三五国家</w:t>
      </w:r>
      <w:r>
        <w:rPr>
          <w:spacing w:val="-72"/>
          <w:w w:val="100"/>
        </w:rPr>
        <w:t> </w:t>
      </w:r>
      <w:r>
        <w:rPr>
          <w:spacing w:val="-72"/>
          <w:w w:val="100"/>
        </w:rPr>
      </w:r>
      <w:r>
        <w:rPr/>
        <w:t>重点研发计划</w:t>
      </w:r>
      <w:r>
        <w:rPr>
          <w:rFonts w:ascii="Times New Roman" w:hAnsi="Times New Roman" w:cs="Times New Roman" w:eastAsia="Times New Roman" w:hint="default"/>
        </w:rPr>
        <w:t>“</w:t>
      </w:r>
      <w:r>
        <w:rPr/>
        <w:t>网络空间安全重点专项</w:t>
      </w:r>
      <w:r>
        <w:rPr>
          <w:rFonts w:ascii="Times New Roman" w:hAnsi="Times New Roman" w:cs="Times New Roman" w:eastAsia="Times New Roman" w:hint="default"/>
        </w:rPr>
        <w:t>”</w:t>
      </w:r>
      <w:r>
        <w:rPr/>
        <w:t>中</w:t>
      </w:r>
      <w:r>
        <w:rPr>
          <w:rFonts w:ascii="Times New Roman" w:hAnsi="Times New Roman" w:cs="Times New Roman" w:eastAsia="Times New Roman" w:hint="default"/>
        </w:rPr>
        <w:t>“</w:t>
      </w:r>
      <w:r>
        <w:rPr/>
        <w:t>基于国产密码算法的移动互联网密码服务支撑基础设施关键技</w:t>
      </w:r>
      <w:r>
        <w:rPr>
          <w:spacing w:val="5"/>
        </w:rPr>
        <w:t> </w:t>
      </w:r>
      <w:r>
        <w:rPr>
          <w:spacing w:val="5"/>
        </w:rPr>
      </w:r>
      <w:r>
        <w:rPr/>
        <w:t>术</w:t>
      </w:r>
      <w:r>
        <w:rPr>
          <w:rFonts w:ascii="Times New Roman" w:hAnsi="Times New Roman" w:cs="Times New Roman" w:eastAsia="Times New Roman" w:hint="default"/>
        </w:rPr>
        <w:t>”</w:t>
      </w:r>
      <w:r>
        <w:rPr/>
        <w:t>的参与单位。</w:t>
      </w:r>
    </w:p>
    <w:p>
      <w:pPr>
        <w:spacing w:line="297" w:lineRule="auto" w:before="11"/>
        <w:ind w:left="53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、提高工作效率，防范经营风险</w:t>
      </w:r>
      <w:r>
        <w:rPr>
          <w:rFonts w:ascii="宋体" w:hAnsi="宋体" w:cs="宋体" w:eastAsia="宋体" w:hint="default"/>
          <w:b/>
          <w:bCs/>
          <w:w w:val="100"/>
          <w:sz w:val="21"/>
          <w:szCs w:val="21"/>
        </w:rPr>
        <w:t> </w:t>
      </w:r>
      <w:r>
        <w:rPr>
          <w:rFonts w:ascii="宋体" w:hAnsi="宋体" w:cs="宋体" w:eastAsia="宋体" w:hint="default"/>
          <w:spacing w:val="-2"/>
          <w:sz w:val="21"/>
          <w:szCs w:val="21"/>
        </w:rPr>
        <w:t>公司围绕</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提高工作效率，降低运营成本，有效防控风险</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目标进一步实行精细化管理。在提升管理水</w:t>
      </w:r>
    </w:p>
    <w:p>
      <w:pPr>
        <w:pStyle w:val="BodyText"/>
        <w:spacing w:line="314" w:lineRule="auto" w:before="11"/>
        <w:ind w:right="0"/>
        <w:jc w:val="left"/>
      </w:pPr>
      <w:r>
        <w:rPr>
          <w:spacing w:val="-2"/>
        </w:rPr>
        <w:t>平和提高工作效率方面，进行了以利润为考核指标的薪酬和绩效管理体系改革，引导各部门追求内部销售</w:t>
      </w:r>
      <w:r>
        <w:rPr>
          <w:spacing w:val="-43"/>
        </w:rPr>
        <w:t> </w:t>
      </w:r>
      <w:r>
        <w:rPr>
          <w:spacing w:val="-43"/>
        </w:rPr>
      </w:r>
      <w:r>
        <w:rPr>
          <w:spacing w:val="-2"/>
        </w:rPr>
        <w:t>额最大化和费用最小化，鼓励业务部门为公司贡献更多利润，努力提升员工的工作效率。报告期内单个员</w:t>
      </w:r>
    </w:p>
    <w:p>
      <w:pPr>
        <w:spacing w:after="0" w:line="314" w:lineRule="auto"/>
        <w:jc w:val="left"/>
        <w:sectPr>
          <w:footerReference w:type="default" r:id="rId11"/>
          <w:pgSz w:w="11910" w:h="16840"/>
          <w:pgMar w:footer="979" w:header="867" w:top="1060" w:bottom="1160" w:left="1020" w:right="920"/>
          <w:pgNumType w:start="13"/>
        </w:sectPr>
      </w:pPr>
    </w:p>
    <w:p>
      <w:pPr>
        <w:spacing w:line="240" w:lineRule="auto" w:before="8"/>
        <w:rPr>
          <w:rFonts w:ascii="宋体" w:hAnsi="宋体" w:cs="宋体" w:eastAsia="宋体" w:hint="default"/>
          <w:sz w:val="26"/>
          <w:szCs w:val="26"/>
        </w:rPr>
      </w:pPr>
    </w:p>
    <w:p>
      <w:pPr>
        <w:pStyle w:val="BodyText"/>
        <w:spacing w:line="314" w:lineRule="auto" w:before="36"/>
        <w:ind w:right="106"/>
        <w:jc w:val="both"/>
      </w:pPr>
      <w:r>
        <w:rPr>
          <w:spacing w:val="-2"/>
        </w:rPr>
        <w:t>工人均营业收入和人均净利润均有较大提升；在防范风险方面，公司根据最新政策法规的相关要求，全面</w:t>
      </w:r>
      <w:r>
        <w:rPr>
          <w:spacing w:val="-42"/>
        </w:rPr>
        <w:t> </w:t>
      </w:r>
      <w:r>
        <w:rPr>
          <w:spacing w:val="-42"/>
        </w:rPr>
      </w:r>
      <w:r>
        <w:rPr>
          <w:spacing w:val="-2"/>
        </w:rPr>
        <w:t>梳理现有的信息披露相关制度以及工作机制，结合公司实际情况建立公司相关工作机制，确保信息披露工</w:t>
      </w:r>
      <w:r>
        <w:rPr>
          <w:spacing w:val="-43"/>
        </w:rPr>
        <w:t> </w:t>
      </w:r>
      <w:r>
        <w:rPr>
          <w:spacing w:val="-43"/>
        </w:rPr>
      </w:r>
      <w:r>
        <w:rPr>
          <w:spacing w:val="-2"/>
        </w:rPr>
        <w:t>作落到实处。公司依据上市公司相关规定，进一步完善内部控制体系建设，优化公司相关制度和流程，提</w:t>
      </w:r>
      <w:r>
        <w:rPr>
          <w:spacing w:val="-47"/>
        </w:rPr>
        <w:t> </w:t>
      </w:r>
      <w:r>
        <w:rPr>
          <w:spacing w:val="-47"/>
        </w:rPr>
      </w:r>
      <w:r>
        <w:rPr>
          <w:spacing w:val="-2"/>
        </w:rPr>
        <w:t>升内控指标在年终绩效考核中的比重，严格按照内控制度要求对公司经营进行有效管控，有效控制经营风</w:t>
      </w:r>
      <w:r>
        <w:rPr>
          <w:spacing w:val="-44"/>
        </w:rPr>
        <w:t> </w:t>
      </w:r>
      <w:r>
        <w:rPr>
          <w:spacing w:val="-44"/>
        </w:rPr>
      </w:r>
      <w:r>
        <w:rPr/>
        <w:t>险。</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7" w:lineRule="auto" w:before="0"/>
        <w:ind w:left="112" w:right="54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6"/>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4"/>
        <w:rPr>
          <w:rFonts w:ascii="宋体" w:hAnsi="宋体" w:cs="宋体" w:eastAsia="宋体" w:hint="default"/>
          <w:b/>
          <w:bCs/>
          <w:sz w:val="26"/>
          <w:szCs w:val="26"/>
        </w:rPr>
      </w:pPr>
    </w:p>
    <w:p>
      <w:pPr>
        <w:spacing w:line="357" w:lineRule="auto" w:before="0"/>
        <w:ind w:left="112" w:right="5954" w:firstLine="0"/>
        <w:jc w:val="left"/>
        <w:rPr>
          <w:rFonts w:ascii="宋体" w:hAnsi="宋体" w:cs="宋体" w:eastAsia="宋体" w:hint="default"/>
          <w:sz w:val="18"/>
          <w:szCs w:val="18"/>
        </w:rPr>
      </w:pPr>
      <w:r>
        <w:rPr>
          <w:rFonts w:ascii="宋体" w:hAnsi="宋体" w:cs="宋体" w:eastAsia="宋体" w:hint="default"/>
          <w:sz w:val="18"/>
          <w:szCs w:val="18"/>
        </w:rPr>
        <w:t>公司是否需要遵守光伏产业链相关业的披露要求 否</w:t>
      </w:r>
    </w:p>
    <w:p>
      <w:pPr>
        <w:spacing w:line="340" w:lineRule="auto" w:before="29"/>
        <w:ind w:left="112" w:right="37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40" w:lineRule="auto" w:before="39"/>
        <w:ind w:left="112" w:right="55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338" w:lineRule="auto" w:before="41"/>
        <w:ind w:left="112" w:right="118"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产业链相关业务》的披露要求： 否</w:t>
      </w:r>
    </w:p>
    <w:p>
      <w:pPr>
        <w:spacing w:line="340" w:lineRule="auto" w:before="43"/>
        <w:ind w:left="112" w:right="64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上市公司从事医疗器械业务》的披露要求： 否</w:t>
      </w:r>
    </w:p>
    <w:p>
      <w:pPr>
        <w:spacing w:before="39"/>
        <w:ind w:left="112" w:right="0"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519,848,359.34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445,515,080.90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16.68%</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软件和信息技术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519,848,359.34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445,515,080.90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16.68%</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电子认证服务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231,560,050.40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193,750,734.56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19.51%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安全集成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177,205,781.03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172,553,196.28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安全咨询与安全运 维服务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111,082,527.91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77,813,017.59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42.76%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1,398,132.47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427,119,391.79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82.16%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377,662,645.17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84.77%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13.10%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1,573,841.78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3,240,438.70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-51.43%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26,286,049.24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24,773,514.30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6.11%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9,126,604.09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2,690,032.03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239.27%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9,623,979.02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7,544,000.00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27.57%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13,366,406.81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8,783,303.40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52.18%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32,752,086.61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20,821,147.30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57.30%</w:t>
            </w:r>
          </w:p>
        </w:tc>
      </w:tr>
    </w:tbl>
    <w:p>
      <w:pPr>
        <w:spacing w:line="240" w:lineRule="auto" w:before="6"/>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67" w:footer="979" w:top="1060" w:bottom="1160" w:left="1020" w:right="1020"/>
        </w:sectPr>
      </w:pPr>
    </w:p>
    <w:p>
      <w:pPr>
        <w:spacing w:line="348" w:lineRule="auto" w:before="44"/>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3173" w:space="5747"/>
            <w:col w:w="950"/>
          </w:cols>
        </w:sectPr>
      </w:pP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519,848,359.34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217,352,457.39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17.22%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-0.33%</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电子认证服务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231,560,050.40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73,509,974.10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68.25%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1.93%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8.72%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安全集成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177,205,781.03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89,571,405.79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2"/>
              <w:jc w:val="left"/>
              <w:rPr>
                <w:rFonts w:ascii="宋体" w:hAnsi="宋体" w:cs="宋体" w:eastAsia="宋体" w:hint="default"/>
                <w:sz w:val="18"/>
                <w:szCs w:val="18"/>
              </w:rPr>
            </w:pPr>
            <w:r>
              <w:rPr>
                <w:rFonts w:ascii="宋体" w:hAnsi="宋体" w:cs="宋体" w:eastAsia="宋体" w:hint="default"/>
                <w:sz w:val="18"/>
                <w:szCs w:val="18"/>
              </w:rPr>
              <w:t>安全咨询与安全 运维服务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111,082,527.91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54,271,077.50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-5.25%</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427,119,391.79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183,598,121.79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57.01%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13.10%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0.93%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1,573,841.78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422,674.19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26,286,049.24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10,247,241.37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61.02%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6.11%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59.49%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-17.62%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9,126,604.09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3,291,411.41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9,623,979.02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3,381,350.30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64.87%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-17.10%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13,366,406.81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4,556,886.93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32,752,086.61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11,854,771.40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63.80%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57.30%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36.77%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9.31%</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13"/>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12" w:right="83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否</w:t>
      </w:r>
    </w:p>
    <w:p>
      <w:pPr>
        <w:pStyle w:val="BodyText"/>
        <w:spacing w:line="295" w:lineRule="auto" w:before="122"/>
        <w:ind w:right="106" w:firstLine="42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18</w:t>
      </w:r>
      <w:r>
        <w:rPr>
          <w:spacing w:val="-2"/>
        </w:rPr>
        <w:t>日，公司同北京市经济和信息化委员会（以下简称：北京市经信委）签订《北京市</w:t>
      </w:r>
      <w:r>
        <w:rPr>
          <w:rFonts w:ascii="Times New Roman" w:hAnsi="Times New Roman" w:cs="Times New Roman" w:eastAsia="Times New Roman" w:hint="default"/>
          <w:spacing w:val="-2"/>
        </w:rPr>
        <w:t>“</w:t>
      </w:r>
      <w:r>
        <w:rPr>
          <w:spacing w:val="-2"/>
        </w:rPr>
        <w:t>法人</w:t>
      </w:r>
      <w:r>
        <w:rPr>
          <w:spacing w:val="-3"/>
          <w:w w:val="100"/>
        </w:rPr>
        <w:t> </w:t>
      </w:r>
      <w:r>
        <w:rPr/>
        <w:t>一证通</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证书服务采购合同》，约定在合同服务期内（</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日到</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日），北京市经信委</w:t>
      </w:r>
      <w:r>
        <w:rPr>
          <w:w w:val="100"/>
        </w:rPr>
        <w:t> </w:t>
      </w:r>
      <w:r>
        <w:rPr>
          <w:spacing w:val="-2"/>
          <w:w w:val="100"/>
        </w:rPr>
        <w:t>申请财政资金向公司支付全市法人用户首张</w:t>
      </w:r>
      <w:r>
        <w:rPr>
          <w:rFonts w:ascii="Times New Roman" w:hAnsi="Times New Roman" w:cs="Times New Roman" w:eastAsia="Times New Roman" w:hint="default"/>
          <w:spacing w:val="-2"/>
          <w:w w:val="100"/>
        </w:rPr>
        <w:t>“</w:t>
      </w:r>
      <w:r>
        <w:rPr>
          <w:spacing w:val="-2"/>
          <w:w w:val="100"/>
        </w:rPr>
        <w:t>法人一证通</w:t>
      </w:r>
      <w:r>
        <w:rPr>
          <w:rFonts w:ascii="Times New Roman" w:hAnsi="Times New Roman" w:cs="Times New Roman" w:eastAsia="Times New Roman" w:hint="default"/>
          <w:spacing w:val="-2"/>
          <w:w w:val="100"/>
        </w:rPr>
        <w:t>”</w:t>
      </w:r>
      <w:r>
        <w:rPr>
          <w:rFonts w:ascii="Times New Roman" w:hAnsi="Times New Roman" w:cs="Times New Roman" w:eastAsia="Times New Roman" w:hint="default"/>
          <w:w w:val="100"/>
        </w:rPr>
        <w:t> </w:t>
      </w:r>
      <w:r>
        <w:rPr>
          <w:spacing w:val="-6"/>
          <w:w w:val="100"/>
        </w:rPr>
        <w:t>数字证书服务费，公司向全市法人用户提供首张</w:t>
      </w:r>
      <w:r>
        <w:rPr>
          <w:spacing w:val="-98"/>
          <w:w w:val="100"/>
        </w:rPr>
        <w:t> </w:t>
      </w:r>
      <w:r>
        <w:rPr>
          <w:spacing w:val="-98"/>
          <w:w w:val="100"/>
        </w:rPr>
      </w:r>
      <w:r>
        <w:rPr>
          <w:rFonts w:ascii="Times New Roman" w:hAnsi="Times New Roman" w:cs="Times New Roman" w:eastAsia="Times New Roman" w:hint="default"/>
        </w:rPr>
        <w:t>“</w:t>
      </w:r>
      <w:r>
        <w:rPr/>
        <w:t>法人一证通</w:t>
      </w:r>
      <w:r>
        <w:rPr>
          <w:rFonts w:ascii="Times New Roman" w:hAnsi="Times New Roman" w:cs="Times New Roman" w:eastAsia="Times New Roman" w:hint="default"/>
        </w:rPr>
        <w:t>” </w:t>
      </w:r>
      <w:r>
        <w:rPr>
          <w:spacing w:val="-4"/>
        </w:rPr>
        <w:t>数字证书的发放服务以及和证书认证相关的证书服务、应用集成工作。截止报告期末，该合</w:t>
      </w:r>
      <w:r>
        <w:rPr>
          <w:spacing w:val="-57"/>
        </w:rPr>
        <w:t> </w:t>
      </w:r>
      <w:r>
        <w:rPr>
          <w:spacing w:val="-57"/>
        </w:rPr>
      </w:r>
      <w:r>
        <w:rPr/>
        <w:t>同正常履行。</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67" w:footer="979" w:top="1060" w:bottom="1160" w:left="1020" w:right="1020"/>
        </w:sectPr>
      </w:pPr>
    </w:p>
    <w:p>
      <w:pPr>
        <w:spacing w:line="357" w:lineRule="auto"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833" w:space="8087"/>
            <w:col w:w="950"/>
          </w:cols>
        </w:sectPr>
      </w:pP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电子认证服务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
              <w:jc w:val="center"/>
              <w:rPr>
                <w:rFonts w:ascii="宋体" w:hAnsi="宋体" w:cs="宋体" w:eastAsia="宋体" w:hint="default"/>
                <w:sz w:val="18"/>
                <w:szCs w:val="18"/>
              </w:rPr>
            </w:pPr>
            <w:r>
              <w:rPr>
                <w:rFonts w:ascii="宋体" w:hAnsi="宋体" w:cs="宋体" w:eastAsia="宋体" w:hint="default"/>
                <w:sz w:val="18"/>
                <w:szCs w:val="18"/>
              </w:rPr>
              <w:t>直接材料及人工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73,509,974.10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72,116,577.54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安全集成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
              <w:jc w:val="center"/>
              <w:rPr>
                <w:rFonts w:ascii="宋体" w:hAnsi="宋体" w:cs="宋体" w:eastAsia="宋体" w:hint="default"/>
                <w:sz w:val="18"/>
                <w:szCs w:val="18"/>
              </w:rPr>
            </w:pPr>
            <w:r>
              <w:rPr>
                <w:rFonts w:ascii="宋体" w:hAnsi="宋体" w:cs="宋体" w:eastAsia="宋体" w:hint="default"/>
                <w:sz w:val="18"/>
                <w:szCs w:val="18"/>
              </w:rPr>
              <w:t>直接材料及人工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89,571,405.79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76,386,608.09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17.26%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安全咨询与安全 运维服务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4"/>
              <w:jc w:val="center"/>
              <w:rPr>
                <w:rFonts w:ascii="宋体" w:hAnsi="宋体" w:cs="宋体" w:eastAsia="宋体" w:hint="default"/>
                <w:sz w:val="18"/>
                <w:szCs w:val="18"/>
              </w:rPr>
            </w:pPr>
            <w:r>
              <w:rPr>
                <w:rFonts w:ascii="宋体" w:hAnsi="宋体" w:cs="宋体" w:eastAsia="宋体" w:hint="default"/>
                <w:sz w:val="18"/>
                <w:szCs w:val="18"/>
              </w:rPr>
              <w:t>直接材料及人工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54,271,077.50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35,806,490.82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51.57%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
              <w:jc w:val="center"/>
              <w:rPr>
                <w:rFonts w:ascii="宋体" w:hAnsi="宋体" w:cs="宋体" w:eastAsia="宋体" w:hint="default"/>
                <w:sz w:val="18"/>
                <w:szCs w:val="18"/>
              </w:rPr>
            </w:pPr>
            <w:r>
              <w:rPr>
                <w:rFonts w:ascii="宋体" w:hAnsi="宋体" w:cs="宋体" w:eastAsia="宋体" w:hint="default"/>
                <w:sz w:val="18"/>
                <w:szCs w:val="18"/>
              </w:rPr>
              <w:t>直接材料及人工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1,115,704.96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5"/>
        <w:rPr>
          <w:rFonts w:ascii="宋体" w:hAnsi="宋体" w:cs="宋体" w:eastAsia="宋体" w:hint="default"/>
          <w:sz w:val="12"/>
          <w:szCs w:val="12"/>
        </w:rPr>
      </w:pPr>
    </w:p>
    <w:p>
      <w:pPr>
        <w:pStyle w:val="BodyText"/>
        <w:spacing w:line="273" w:lineRule="auto"/>
        <w:ind w:right="0" w:firstLine="420"/>
        <w:jc w:val="left"/>
      </w:pPr>
      <w:r>
        <w:rPr>
          <w:spacing w:val="2"/>
        </w:rPr>
        <w:t>本报告期的合并财务报表范围包括本公司和安信天行及版信通，原子公司版信通由于控制权发生变</w:t>
      </w:r>
      <w:r>
        <w:rPr>
          <w:w w:val="100"/>
        </w:rPr>
        <w:t> </w:t>
      </w:r>
      <w:r>
        <w:rPr/>
        <w:t>化，自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月不再纳入合并范围。</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after="0"/>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191,481,089.22</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36.83%</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123,623,938.64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23.78%</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32,514,630.13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6.25%</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15,962,999.08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3.07%</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10,379,579.41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8,999,941.96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1.73%</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191,481,089.22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36.83%</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7"/>
        <w:ind w:left="112" w:right="8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3"/>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50,719,642.40</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28.97%</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936"/>
        <w:gridCol w:w="3169"/>
        <w:gridCol w:w="2321"/>
        <w:gridCol w:w="3145"/>
      </w:tblGrid>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15,984,409.27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9.13%</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13,599,941.01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11,436,432.32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6.53%</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5,418,517.92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4,280,341.88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50,719,642.40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28.97%</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83,571,357.58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68,437,371.17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22.11%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140,317,263.14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115,806,538.54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21.17%</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1917"/>
        <w:gridCol w:w="1637"/>
        <w:gridCol w:w="1637"/>
        <w:gridCol w:w="1462"/>
        <w:gridCol w:w="2919"/>
      </w:tblGrid>
      <w:tr>
        <w:trPr>
          <w:trHeight w:val="40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-3,409,131.34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-1,561,590.41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9" w:right="0"/>
              <w:jc w:val="left"/>
              <w:rPr>
                <w:rFonts w:ascii="Times New Roman" w:hAnsi="Times New Roman" w:cs="Times New Roman" w:eastAsia="Times New Roman" w:hint="default"/>
                <w:sz w:val="18"/>
                <w:szCs w:val="18"/>
              </w:rPr>
            </w:pPr>
            <w:r>
              <w:rPr>
                <w:rFonts w:ascii="Times New Roman"/>
                <w:sz w:val="18"/>
              </w:rPr>
              <w:t>-118.31%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利息收入增加较大所致</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2"/>
          <w:szCs w:val="12"/>
        </w:rPr>
      </w:pPr>
    </w:p>
    <w:p>
      <w:pPr>
        <w:pStyle w:val="BodyText"/>
        <w:spacing w:line="256" w:lineRule="auto"/>
        <w:ind w:right="0" w:firstLine="420"/>
        <w:jc w:val="left"/>
      </w:pPr>
      <w:r>
        <w:rPr>
          <w:rFonts w:ascii="Times New Roman" w:hAnsi="Times New Roman" w:cs="Times New Roman" w:eastAsia="Times New Roman" w:hint="default"/>
          <w:spacing w:val="-7"/>
        </w:rPr>
        <w:t>2017</w:t>
      </w:r>
      <w:r>
        <w:rPr>
          <w:spacing w:val="-7"/>
        </w:rPr>
        <w:t>年度，公司研发投入重点围绕</w:t>
      </w:r>
      <w:r>
        <w:rPr>
          <w:rFonts w:ascii="Times New Roman" w:hAnsi="Times New Roman" w:cs="Times New Roman" w:eastAsia="Times New Roman" w:hint="default"/>
          <w:spacing w:val="-7"/>
        </w:rPr>
        <w:t>“</w:t>
      </w:r>
      <w:r>
        <w:rPr>
          <w:spacing w:val="-7"/>
        </w:rPr>
        <w:t>睿云</w:t>
      </w:r>
      <w:r>
        <w:rPr>
          <w:rFonts w:ascii="Times New Roman" w:hAnsi="Times New Roman" w:cs="Times New Roman" w:eastAsia="Times New Roman" w:hint="default"/>
          <w:spacing w:val="-7"/>
        </w:rPr>
        <w:t>”</w:t>
      </w:r>
      <w:r>
        <w:rPr>
          <w:spacing w:val="-7"/>
        </w:rPr>
        <w:t>安全服务平台项目、数字签名服务系统项目、版式文件（</w:t>
      </w:r>
      <w:r>
        <w:rPr>
          <w:rFonts w:ascii="Times New Roman" w:hAnsi="Times New Roman" w:cs="Times New Roman" w:eastAsia="Times New Roman" w:hint="default"/>
          <w:spacing w:val="-7"/>
        </w:rPr>
        <w:t>PDF</w:t>
      </w:r>
      <w:r>
        <w:rPr>
          <w:spacing w:val="-7"/>
        </w:rPr>
        <w:t>）</w:t>
      </w:r>
      <w:r>
        <w:rPr>
          <w:w w:val="100"/>
        </w:rPr>
        <w:t> </w:t>
      </w:r>
      <w:r>
        <w:rPr>
          <w:spacing w:val="-2"/>
        </w:rPr>
        <w:t>签名技术项目、安信天行日志管理系统项目、</w:t>
      </w:r>
      <w:r>
        <w:rPr>
          <w:rFonts w:ascii="Times New Roman" w:hAnsi="Times New Roman" w:cs="Times New Roman" w:eastAsia="Times New Roman" w:hint="default"/>
          <w:spacing w:val="-2"/>
        </w:rPr>
        <w:t>PKI</w:t>
      </w:r>
      <w:r>
        <w:rPr>
          <w:spacing w:val="-2"/>
        </w:rPr>
        <w:t>虚拟化应用项目等项目，研发投入共计</w:t>
      </w:r>
      <w:r>
        <w:rPr>
          <w:rFonts w:ascii="Times New Roman" w:hAnsi="Times New Roman" w:cs="Times New Roman" w:eastAsia="Times New Roman" w:hint="default"/>
          <w:spacing w:val="-2"/>
        </w:rPr>
        <w:t>53,683,464.64</w:t>
      </w:r>
      <w:r>
        <w:rPr>
          <w:spacing w:val="-2"/>
        </w:rPr>
        <w:t>元，</w:t>
      </w:r>
      <w:r>
        <w:rPr/>
        <w:t> 较上年同期增加</w:t>
      </w:r>
      <w:r>
        <w:rPr>
          <w:rFonts w:ascii="Times New Roman" w:hAnsi="Times New Roman" w:cs="Times New Roman" w:eastAsia="Times New Roman" w:hint="default"/>
        </w:rPr>
        <w:t>1.65%</w:t>
      </w:r>
      <w:r>
        <w:rPr/>
        <w:t>，占营业收入的</w:t>
      </w:r>
      <w:r>
        <w:rPr>
          <w:rFonts w:ascii="Times New Roman" w:hAnsi="Times New Roman" w:cs="Times New Roman" w:eastAsia="Times New Roman" w:hint="default"/>
        </w:rPr>
        <w:t>10.33%</w:t>
      </w:r>
      <w:r>
        <w:rPr/>
        <w:t>，与上年同期基本持平。截止到</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日，本公司有</w:t>
      </w:r>
      <w:r>
        <w:rPr>
          <w:spacing w:val="-60"/>
        </w:rPr>
        <w:t> </w:t>
      </w:r>
      <w:r>
        <w:rPr/>
        <w:t>专业研发人员</w:t>
      </w:r>
      <w:r>
        <w:rPr>
          <w:rFonts w:ascii="Times New Roman" w:hAnsi="Times New Roman" w:cs="Times New Roman" w:eastAsia="Times New Roman" w:hint="default"/>
        </w:rPr>
        <w:t>570</w:t>
      </w:r>
      <w:r>
        <w:rPr/>
        <w:t>人，占公司员工总数的</w:t>
      </w:r>
      <w:r>
        <w:rPr>
          <w:rFonts w:ascii="Times New Roman" w:hAnsi="Times New Roman" w:cs="Times New Roman" w:eastAsia="Times New Roman" w:hint="default"/>
        </w:rPr>
        <w:t>56.94%</w:t>
      </w:r>
      <w:r>
        <w:rPr/>
        <w:t>，较上年同期增长</w:t>
      </w:r>
      <w:r>
        <w:rPr>
          <w:rFonts w:ascii="Times New Roman" w:hAnsi="Times New Roman" w:cs="Times New Roman" w:eastAsia="Times New Roman" w:hint="default"/>
        </w:rPr>
        <w:t>10.25%</w:t>
      </w:r>
      <w:r>
        <w:rPr/>
        <w:t>。</w:t>
      </w:r>
    </w:p>
    <w:p>
      <w:pPr>
        <w:spacing w:before="64"/>
        <w:ind w:left="112"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51.06%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53,683,464.64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52,810,378.95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43,617,378.84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7"/>
        <w:ind w:left="112" w:right="5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39"/>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653,502,919.64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455,741,282.53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43.39%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538,179,568.32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415,570,015.00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29.50%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115,323,351.32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40,171,267.53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187.08%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52,798,477.28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293,096.12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17,914.05%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157,594,081.31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9,936,336.53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1,486.04%</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-104,795,604.03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-9,643,240.41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986.73%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1,773,910.00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-99.26%</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1020" w:right="9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17,009,816.97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41.09%</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-22,226,090.00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223,390,183.03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-109.95%</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-11,698,342.71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253,918,210.15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-104.61%</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2"/>
          <w:szCs w:val="12"/>
        </w:rPr>
      </w:pPr>
    </w:p>
    <w:p>
      <w:pPr>
        <w:pStyle w:val="BodyText"/>
        <w:spacing w:line="256" w:lineRule="auto"/>
        <w:ind w:right="0" w:firstLine="420"/>
        <w:jc w:val="left"/>
      </w:pPr>
      <w:r>
        <w:rPr>
          <w:rFonts w:ascii="Times New Roman" w:hAnsi="Times New Roman" w:cs="Times New Roman" w:eastAsia="Times New Roman" w:hint="default"/>
          <w:spacing w:val="-4"/>
        </w:rPr>
        <w:t>1.</w:t>
      </w:r>
      <w:r>
        <w:rPr>
          <w:spacing w:val="-4"/>
        </w:rPr>
        <w:t>报告期内，经营活动产生的现金流量净额较上年同期增长</w:t>
      </w:r>
      <w:r>
        <w:rPr>
          <w:rFonts w:ascii="Times New Roman" w:hAnsi="Times New Roman" w:cs="Times New Roman" w:eastAsia="Times New Roman" w:hint="default"/>
          <w:spacing w:val="-4"/>
        </w:rPr>
        <w:t>187.08%</w:t>
      </w:r>
      <w:r>
        <w:rPr>
          <w:spacing w:val="-4"/>
        </w:rPr>
        <w:t>，其中经营活动现金流入较上年同</w:t>
      </w:r>
      <w:r>
        <w:rPr>
          <w:w w:val="100"/>
        </w:rPr>
        <w:t> </w:t>
      </w:r>
      <w:r>
        <w:rPr/>
        <w:t>期增长</w:t>
      </w:r>
      <w:r>
        <w:rPr>
          <w:rFonts w:ascii="Times New Roman" w:hAnsi="Times New Roman" w:cs="Times New Roman" w:eastAsia="Times New Roman" w:hint="default"/>
        </w:rPr>
        <w:t>43.39%</w:t>
      </w:r>
      <w:r>
        <w:rPr/>
        <w:t>，经营活动现金流出较上年同期增长</w:t>
      </w:r>
      <w:r>
        <w:rPr>
          <w:rFonts w:ascii="Times New Roman" w:hAnsi="Times New Roman" w:cs="Times New Roman" w:eastAsia="Times New Roman" w:hint="default"/>
        </w:rPr>
        <w:t>29.50%</w:t>
      </w:r>
      <w:r>
        <w:rPr/>
        <w:t>，主要原因是当期销售回款情况较好所致；</w:t>
      </w:r>
    </w:p>
    <w:p>
      <w:pPr>
        <w:pStyle w:val="BodyText"/>
        <w:spacing w:line="240" w:lineRule="auto" w:before="125"/>
        <w:ind w:left="533" w:right="0"/>
        <w:jc w:val="left"/>
      </w:pPr>
      <w:r>
        <w:rPr>
          <w:rFonts w:ascii="Times New Roman" w:hAnsi="Times New Roman" w:cs="Times New Roman" w:eastAsia="Times New Roman" w:hint="default"/>
          <w:spacing w:val="8"/>
        </w:rPr>
        <w:t>2.</w:t>
      </w:r>
      <w:r>
        <w:rPr>
          <w:spacing w:val="8"/>
        </w:rPr>
        <w:t>报告期内，投资活动现金流入较上年同期增长</w:t>
      </w:r>
      <w:r>
        <w:rPr>
          <w:rFonts w:ascii="Times New Roman" w:hAnsi="Times New Roman" w:cs="Times New Roman" w:eastAsia="Times New Roman" w:hint="default"/>
          <w:spacing w:val="8"/>
        </w:rPr>
        <w:t>17,914.05%</w:t>
      </w:r>
      <w:r>
        <w:rPr>
          <w:spacing w:val="8"/>
        </w:rPr>
        <w:t>，投资活动现金流出较上年同期增长</w:t>
      </w:r>
    </w:p>
    <w:p>
      <w:pPr>
        <w:pStyle w:val="BodyText"/>
        <w:spacing w:line="240" w:lineRule="auto" w:before="22"/>
        <w:ind w:right="0"/>
        <w:jc w:val="left"/>
      </w:pPr>
      <w:r>
        <w:rPr>
          <w:rFonts w:ascii="Times New Roman" w:hAnsi="Times New Roman" w:cs="Times New Roman" w:eastAsia="Times New Roman" w:hint="default"/>
        </w:rPr>
        <w:t>1,486.04%</w:t>
      </w:r>
      <w:r>
        <w:rPr/>
        <w:t>，投资活动产生的现金流量净额较上年同期增长</w:t>
      </w:r>
      <w:r>
        <w:rPr>
          <w:rFonts w:ascii="Times New Roman" w:hAnsi="Times New Roman" w:cs="Times New Roman" w:eastAsia="Times New Roman" w:hint="default"/>
        </w:rPr>
        <w:t>986.73%</w:t>
      </w:r>
      <w:r>
        <w:rPr/>
        <w:t>，主要原因为本期购买银行理财产品</w:t>
      </w:r>
    </w:p>
    <w:p>
      <w:pPr>
        <w:pStyle w:val="BodyText"/>
        <w:spacing w:line="240" w:lineRule="auto" w:before="21"/>
        <w:ind w:right="0"/>
        <w:jc w:val="left"/>
      </w:pPr>
      <w:r>
        <w:rPr>
          <w:rFonts w:ascii="Times New Roman" w:hAnsi="Times New Roman" w:cs="Times New Roman" w:eastAsia="Times New Roman" w:hint="default"/>
        </w:rPr>
        <w:t>15,000</w:t>
      </w:r>
      <w:r>
        <w:rPr/>
        <w:t>万元，本期赎回银行理财产品</w:t>
      </w:r>
      <w:r>
        <w:rPr>
          <w:rFonts w:ascii="Times New Roman" w:hAnsi="Times New Roman" w:cs="Times New Roman" w:eastAsia="Times New Roman" w:hint="default"/>
        </w:rPr>
        <w:t>5,000</w:t>
      </w:r>
      <w:r>
        <w:rPr/>
        <w:t>万元，截至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日尚有</w:t>
      </w:r>
      <w:r>
        <w:rPr>
          <w:rFonts w:ascii="Times New Roman" w:hAnsi="Times New Roman" w:cs="Times New Roman" w:eastAsia="Times New Roman" w:hint="default"/>
        </w:rPr>
        <w:t>10,000</w:t>
      </w:r>
      <w:r>
        <w:rPr/>
        <w:t>万元理财产品尚未到期；</w:t>
      </w:r>
    </w:p>
    <w:p>
      <w:pPr>
        <w:pStyle w:val="BodyText"/>
        <w:spacing w:line="256" w:lineRule="auto" w:before="141"/>
        <w:ind w:right="0" w:firstLine="420"/>
        <w:jc w:val="left"/>
      </w:pPr>
      <w:r>
        <w:rPr>
          <w:rFonts w:ascii="Times New Roman" w:hAnsi="Times New Roman" w:cs="Times New Roman" w:eastAsia="Times New Roman" w:hint="default"/>
          <w:spacing w:val="-4"/>
        </w:rPr>
        <w:t>3.</w:t>
      </w:r>
      <w:r>
        <w:rPr>
          <w:spacing w:val="-4"/>
        </w:rPr>
        <w:t>报告期内，筹资活动产生的现金流量净额较上年同期下降</w:t>
      </w:r>
      <w:r>
        <w:rPr>
          <w:rFonts w:ascii="Times New Roman" w:hAnsi="Times New Roman" w:cs="Times New Roman" w:eastAsia="Times New Roman" w:hint="default"/>
          <w:spacing w:val="-4"/>
        </w:rPr>
        <w:t>109.95%</w:t>
      </w:r>
      <w:r>
        <w:rPr>
          <w:spacing w:val="-4"/>
        </w:rPr>
        <w:t>，其中筹资活动现金流入较上年同</w:t>
      </w:r>
      <w:r>
        <w:rPr>
          <w:w w:val="100"/>
        </w:rPr>
        <w:t> </w:t>
      </w:r>
      <w:r>
        <w:rPr>
          <w:spacing w:val="-5"/>
          <w:w w:val="100"/>
        </w:rPr>
        <w:t>期下降</w:t>
      </w:r>
      <w:r>
        <w:rPr>
          <w:rFonts w:ascii="Times New Roman" w:hAnsi="Times New Roman" w:cs="Times New Roman" w:eastAsia="Times New Roman" w:hint="default"/>
          <w:spacing w:val="-5"/>
          <w:w w:val="100"/>
        </w:rPr>
        <w:t>99.26%</w:t>
      </w:r>
      <w:r>
        <w:rPr>
          <w:spacing w:val="-5"/>
          <w:w w:val="100"/>
        </w:rPr>
        <w:t>，筹资活动现金流出较上年同期增长</w:t>
      </w:r>
      <w:r>
        <w:rPr>
          <w:rFonts w:ascii="Times New Roman" w:hAnsi="Times New Roman" w:cs="Times New Roman" w:eastAsia="Times New Roman" w:hint="default"/>
          <w:spacing w:val="-5"/>
          <w:w w:val="100"/>
        </w:rPr>
        <w:t>41.09%</w:t>
      </w:r>
      <w:r>
        <w:rPr>
          <w:spacing w:val="-5"/>
          <w:w w:val="100"/>
        </w:rPr>
        <w:t>，主要原因是</w:t>
      </w:r>
      <w:r>
        <w:rPr>
          <w:rFonts w:ascii="Times New Roman" w:hAnsi="Times New Roman" w:cs="Times New Roman" w:eastAsia="Times New Roman" w:hint="default"/>
          <w:spacing w:val="-5"/>
          <w:w w:val="100"/>
        </w:rPr>
        <w:t>2016</w:t>
      </w:r>
      <w:r>
        <w:rPr>
          <w:spacing w:val="-5"/>
          <w:w w:val="100"/>
        </w:rPr>
        <w:t>年发行新股筹资流入较大所致；</w:t>
      </w:r>
    </w:p>
    <w:p>
      <w:pPr>
        <w:pStyle w:val="BodyText"/>
        <w:spacing w:line="256" w:lineRule="auto" w:before="125"/>
        <w:ind w:right="0" w:firstLine="420"/>
        <w:jc w:val="left"/>
      </w:pPr>
      <w:r>
        <w:rPr>
          <w:rFonts w:ascii="Times New Roman" w:hAnsi="Times New Roman" w:cs="Times New Roman" w:eastAsia="Times New Roman" w:hint="default"/>
          <w:spacing w:val="-4"/>
        </w:rPr>
        <w:t>4.</w:t>
      </w:r>
      <w:r>
        <w:rPr>
          <w:spacing w:val="-4"/>
        </w:rPr>
        <w:t>报告期内，现金及现金等价物净增加额较上年同期下降</w:t>
      </w:r>
      <w:r>
        <w:rPr>
          <w:rFonts w:ascii="Times New Roman" w:hAnsi="Times New Roman" w:cs="Times New Roman" w:eastAsia="Times New Roman" w:hint="default"/>
          <w:spacing w:val="-4"/>
        </w:rPr>
        <w:t>104.61%</w:t>
      </w:r>
      <w:r>
        <w:rPr>
          <w:spacing w:val="-4"/>
        </w:rPr>
        <w:t>，主要原因是本期购买银行理财产品</w:t>
      </w:r>
      <w:r>
        <w:rPr>
          <w:w w:val="100"/>
        </w:rPr>
        <w:t> </w:t>
      </w:r>
      <w:r>
        <w:rPr/>
        <w:t>增加所致。</w:t>
      </w:r>
    </w:p>
    <w:p>
      <w:pPr>
        <w:spacing w:before="81"/>
        <w:ind w:left="112"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2"/>
          <w:szCs w:val="12"/>
        </w:rPr>
      </w:pPr>
    </w:p>
    <w:p>
      <w:pPr>
        <w:pStyle w:val="BodyText"/>
        <w:spacing w:line="256" w:lineRule="auto"/>
        <w:ind w:right="0" w:firstLine="420"/>
        <w:jc w:val="left"/>
      </w:pPr>
      <w:r>
        <w:rPr/>
        <w:t>报告期内公司经营活动产生的现金净流量较本期净利润高约</w:t>
      </w:r>
      <w:r>
        <w:rPr>
          <w:rFonts w:ascii="Times New Roman" w:hAnsi="Times New Roman" w:cs="Times New Roman" w:eastAsia="Times New Roman" w:hint="default"/>
        </w:rPr>
        <w:t>3,221.07</w:t>
      </w:r>
      <w:r>
        <w:rPr/>
        <w:t>万元，主要是当期销售回款情况</w:t>
      </w:r>
      <w:r>
        <w:rPr>
          <w:w w:val="100"/>
        </w:rPr>
        <w:t> </w:t>
      </w:r>
      <w:r>
        <w:rPr/>
        <w:t>较好所致。</w:t>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24"/>
        <w:gridCol w:w="1916"/>
        <w:gridCol w:w="1622"/>
        <w:gridCol w:w="2879"/>
        <w:gridCol w:w="1630"/>
      </w:tblGrid>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3"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15,865,879.85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16.51%</w:t>
            </w:r>
          </w:p>
        </w:tc>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主要是对版信通的投资收益及银行 理财产品收益所致</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12,440,939.94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12.94%</w:t>
            </w:r>
          </w:p>
        </w:tc>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主要是本期计提坏账准备所致</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主要是对外捐赠支出所致</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467"/>
        <w:gridCol w:w="1418"/>
        <w:gridCol w:w="1419"/>
        <w:gridCol w:w="1276"/>
        <w:gridCol w:w="993"/>
        <w:gridCol w:w="1630"/>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
        </w:tc>
        <w:tc>
          <w:tcPr>
            <w:tcW w:w="28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6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6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93" w:type="dxa"/>
            <w:vMerge/>
            <w:tcBorders>
              <w:left w:val="single" w:sz="4" w:space="0" w:color="000000"/>
              <w:bottom w:val="single" w:sz="4" w:space="0" w:color="000000"/>
              <w:right w:val="single" w:sz="4" w:space="0" w:color="000000"/>
            </w:tcBorders>
            <w:shd w:val="clear" w:color="auto" w:fill="D2D2D2"/>
          </w:tcPr>
          <w:p>
            <w:pPr/>
          </w:p>
        </w:tc>
        <w:tc>
          <w:tcPr>
            <w:tcW w:w="163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482,912,497.52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2" w:right="0"/>
              <w:jc w:val="left"/>
              <w:rPr>
                <w:rFonts w:ascii="Times New Roman" w:hAnsi="Times New Roman" w:cs="Times New Roman" w:eastAsia="Times New Roman" w:hint="default"/>
                <w:sz w:val="18"/>
                <w:szCs w:val="18"/>
              </w:rPr>
            </w:pPr>
            <w:r>
              <w:rPr>
                <w:rFonts w:ascii="Times New Roman"/>
                <w:sz w:val="18"/>
              </w:rPr>
              <w:t>51.85%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484,673,492.52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8" w:right="0"/>
              <w:jc w:val="left"/>
              <w:rPr>
                <w:rFonts w:ascii="Times New Roman" w:hAnsi="Times New Roman" w:cs="Times New Roman" w:eastAsia="Times New Roman" w:hint="default"/>
                <w:sz w:val="18"/>
                <w:szCs w:val="18"/>
              </w:rPr>
            </w:pPr>
            <w:r>
              <w:rPr>
                <w:rFonts w:ascii="Times New Roman"/>
                <w:sz w:val="18"/>
              </w:rPr>
              <w:t>65.41%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4" w:right="0"/>
              <w:jc w:val="left"/>
              <w:rPr>
                <w:rFonts w:ascii="Times New Roman" w:hAnsi="Times New Roman" w:cs="Times New Roman" w:eastAsia="Times New Roman" w:hint="default"/>
                <w:sz w:val="18"/>
                <w:szCs w:val="18"/>
              </w:rPr>
            </w:pPr>
            <w:r>
              <w:rPr>
                <w:rFonts w:ascii="Times New Roman"/>
                <w:sz w:val="18"/>
              </w:rPr>
              <w:t>-13.56%</w:t>
            </w: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1020" w:right="9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7"/>
        <w:gridCol w:w="1467"/>
        <w:gridCol w:w="1418"/>
        <w:gridCol w:w="1419"/>
        <w:gridCol w:w="1274"/>
        <w:gridCol w:w="994"/>
        <w:gridCol w:w="1630"/>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141,573,415.38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132,601,660.00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-2.70%</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72,934,934.30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43,060,691.62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5.81%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2.02%</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11,153,905.81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1.20%</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16,311,060.43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1.75%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16,569,413.87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-0.49%</w:t>
            </w: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6"/>
          <w:szCs w:val="26"/>
        </w:rPr>
      </w:pPr>
    </w:p>
    <w:p>
      <w:pPr>
        <w:spacing w:line="506" w:lineRule="auto" w:before="0"/>
        <w:ind w:left="53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100"/>
          <w:sz w:val="21"/>
          <w:szCs w:val="21"/>
        </w:rPr>
        <w:t> </w:t>
      </w:r>
      <w:r>
        <w:rPr>
          <w:rFonts w:ascii="宋体" w:hAnsi="宋体" w:cs="宋体" w:eastAsia="宋体" w:hint="default"/>
          <w:spacing w:val="-2"/>
          <w:sz w:val="21"/>
          <w:szCs w:val="21"/>
        </w:rPr>
        <w:t>期末，本集团其他货币资金为使用权受到限制的款项，全部为履约保证金。</w:t>
      </w:r>
    </w:p>
    <w:p>
      <w:pPr>
        <w:pStyle w:val="Heading2"/>
        <w:spacing w:line="240" w:lineRule="auto" w:before="78"/>
        <w:ind w:right="0"/>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5"/>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2"/>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2"/>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3"/>
        <w:gridCol w:w="871"/>
        <w:gridCol w:w="869"/>
        <w:gridCol w:w="871"/>
        <w:gridCol w:w="869"/>
        <w:gridCol w:w="872"/>
        <w:gridCol w:w="869"/>
        <w:gridCol w:w="871"/>
        <w:gridCol w:w="869"/>
        <w:gridCol w:w="871"/>
        <w:gridCol w:w="869"/>
      </w:tblGrid>
      <w:tr>
        <w:trPr>
          <w:trHeight w:val="1338"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6"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bl>
    <w:p>
      <w:pPr>
        <w:spacing w:after="0" w:line="316" w:lineRule="auto"/>
        <w:jc w:val="both"/>
        <w:rPr>
          <w:rFonts w:ascii="宋体" w:hAnsi="宋体" w:cs="宋体" w:eastAsia="宋体" w:hint="default"/>
          <w:sz w:val="18"/>
          <w:szCs w:val="18"/>
        </w:rPr>
        <w:sectPr>
          <w:pgSz w:w="11910" w:h="16840"/>
          <w:pgMar w:header="867"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864"/>
        <w:gridCol w:w="871"/>
        <w:gridCol w:w="869"/>
        <w:gridCol w:w="871"/>
        <w:gridCol w:w="869"/>
        <w:gridCol w:w="872"/>
        <w:gridCol w:w="869"/>
        <w:gridCol w:w="871"/>
        <w:gridCol w:w="869"/>
        <w:gridCol w:w="871"/>
        <w:gridCol w:w="869"/>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13"/>
              <w:jc w:val="both"/>
              <w:rPr>
                <w:rFonts w:ascii="宋体" w:hAnsi="宋体" w:cs="宋体" w:eastAsia="宋体" w:hint="default"/>
                <w:sz w:val="18"/>
                <w:szCs w:val="18"/>
              </w:rPr>
            </w:pPr>
            <w:r>
              <w:rPr>
                <w:rFonts w:ascii="宋体" w:hAnsi="宋体" w:cs="宋体" w:eastAsia="宋体" w:hint="default"/>
                <w:sz w:val="18"/>
                <w:szCs w:val="18"/>
              </w:rPr>
              <w:t>直接定价 发行方式 发行人民 币普通股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22,666.48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945.68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8,030.49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14,635.99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15"/>
              <w:jc w:val="both"/>
              <w:rPr>
                <w:rFonts w:ascii="宋体" w:hAnsi="宋体" w:cs="宋体" w:eastAsia="宋体" w:hint="default"/>
                <w:sz w:val="18"/>
                <w:szCs w:val="18"/>
              </w:rPr>
            </w:pPr>
            <w:r>
              <w:rPr>
                <w:rFonts w:ascii="宋体" w:hAnsi="宋体" w:cs="宋体" w:eastAsia="宋体" w:hint="default"/>
                <w:sz w:val="18"/>
                <w:szCs w:val="18"/>
              </w:rPr>
              <w:t>详见募集 资金承诺 项目情况</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center"/>
              <w:rPr>
                <w:rFonts w:ascii="Times New Roman" w:hAnsi="Times New Roman" w:cs="Times New Roman" w:eastAsia="Times New Roman" w:hint="default"/>
                <w:sz w:val="18"/>
                <w:szCs w:val="18"/>
              </w:rPr>
            </w:pPr>
            <w:r>
              <w:rPr>
                <w:rFonts w:ascii="Times New Roman"/>
                <w:sz w:val="18"/>
              </w:rPr>
              <w:t>22,666.48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945.68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8,030.49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14,635.99</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933"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384"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（一）实际募集资金金额、资金到账情况 </w:t>
            </w:r>
            <w:r>
              <w:rPr>
                <w:rFonts w:ascii="宋体" w:hAnsi="宋体" w:cs="宋体" w:eastAsia="宋体" w:hint="default"/>
                <w:spacing w:val="-4"/>
                <w:sz w:val="18"/>
                <w:szCs w:val="18"/>
              </w:rPr>
              <w:t>经中国证券监督管理委员会《关于核准北京数字认证股份有限公司首次公开发行股票的批复》（证监许可〔</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2863</w:t>
            </w:r>
          </w:p>
          <w:p>
            <w:pPr>
              <w:pStyle w:val="TableParagraph"/>
              <w:spacing w:line="212" w:lineRule="exact"/>
              <w:ind w:left="24" w:right="0"/>
              <w:jc w:val="left"/>
              <w:rPr>
                <w:rFonts w:ascii="宋体" w:hAnsi="宋体" w:cs="宋体" w:eastAsia="宋体" w:hint="default"/>
                <w:sz w:val="18"/>
                <w:szCs w:val="18"/>
              </w:rPr>
            </w:pPr>
            <w:r>
              <w:rPr>
                <w:rFonts w:ascii="宋体" w:hAnsi="宋体" w:cs="宋体" w:eastAsia="宋体" w:hint="default"/>
                <w:sz w:val="18"/>
                <w:szCs w:val="18"/>
              </w:rPr>
              <w:t>号）核准，并经深圳证券交易所同意，本公司由主承销商中信建投证券股份有限公司通过深圳证券交易所系统于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日采用全部向二级市场投资者定价配售方式，向社会公众公开发行了普通股（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股）股票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万股，发行价为</w:t>
            </w:r>
          </w:p>
          <w:p>
            <w:pPr>
              <w:pStyle w:val="TableParagraph"/>
              <w:spacing w:line="300" w:lineRule="auto" w:before="63"/>
              <w:ind w:left="24" w:right="29"/>
              <w:jc w:val="left"/>
              <w:rPr>
                <w:rFonts w:ascii="宋体" w:hAnsi="宋体" w:cs="宋体" w:eastAsia="宋体" w:hint="default"/>
                <w:sz w:val="18"/>
                <w:szCs w:val="18"/>
              </w:rPr>
            </w:pPr>
            <w:r>
              <w:rPr>
                <w:rFonts w:ascii="宋体" w:hAnsi="宋体" w:cs="宋体" w:eastAsia="宋体" w:hint="default"/>
                <w:sz w:val="18"/>
                <w:szCs w:val="18"/>
              </w:rPr>
              <w:t>每股人民币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13.32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日，本公司共募集资金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26,640.00 </w:t>
            </w:r>
            <w:r>
              <w:rPr>
                <w:rFonts w:ascii="宋体" w:hAnsi="宋体" w:cs="宋体" w:eastAsia="宋体" w:hint="default"/>
                <w:sz w:val="18"/>
                <w:szCs w:val="18"/>
              </w:rPr>
              <w:t>万元，扣除发行费用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2,600.00 </w:t>
            </w:r>
            <w:r>
              <w:rPr>
                <w:rFonts w:ascii="宋体" w:hAnsi="宋体" w:cs="宋体" w:eastAsia="宋体" w:hint="default"/>
                <w:sz w:val="18"/>
                <w:szCs w:val="18"/>
              </w:rPr>
              <w:t>万元，募集资 金净额为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24,040.00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万元。上述募集资金净额已经致同会计师事务所（特殊普通合伙）致同验字（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110ZC0705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240" w:lineRule="auto" w:before="1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《验资报告》验证。另扣除审计费、律师费、法定信息披露费等其他发行费用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1,373.52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22,666.48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117"/>
              <w:ind w:left="384" w:right="0"/>
              <w:jc w:val="left"/>
              <w:rPr>
                <w:rFonts w:ascii="宋体" w:hAnsi="宋体" w:cs="宋体" w:eastAsia="宋体" w:hint="default"/>
                <w:sz w:val="18"/>
                <w:szCs w:val="18"/>
              </w:rPr>
            </w:pPr>
            <w:r>
              <w:rPr>
                <w:rFonts w:ascii="宋体" w:hAnsi="宋体" w:cs="宋体" w:eastAsia="宋体" w:hint="default"/>
                <w:sz w:val="18"/>
                <w:szCs w:val="18"/>
              </w:rPr>
              <w:t>（二）公司募集资金账户使用金额及当期余额</w:t>
            </w:r>
          </w:p>
          <w:p>
            <w:pPr>
              <w:pStyle w:val="TableParagraph"/>
              <w:spacing w:line="240" w:lineRule="auto" w:before="115"/>
              <w:ind w:left="124" w:right="0"/>
              <w:jc w:val="center"/>
              <w:rPr>
                <w:rFonts w:ascii="宋体" w:hAnsi="宋体" w:cs="宋体" w:eastAsia="宋体" w:hint="default"/>
                <w:sz w:val="18"/>
                <w:szCs w:val="18"/>
              </w:rPr>
            </w:pPr>
            <w:r>
              <w:rPr>
                <w:rFonts w:ascii="宋体" w:hAnsi="宋体" w:cs="宋体" w:eastAsia="宋体" w:hint="default"/>
                <w:sz w:val="18"/>
                <w:szCs w:val="18"/>
              </w:rPr>
              <w:t>以募集资金直接投入募集投项目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8,030.49 </w:t>
            </w:r>
            <w:r>
              <w:rPr>
                <w:rFonts w:ascii="宋体" w:hAnsi="宋体" w:cs="宋体" w:eastAsia="宋体" w:hint="default"/>
                <w:sz w:val="18"/>
                <w:szCs w:val="18"/>
              </w:rPr>
              <w:t>万元。截至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日，本公司募集资金累计直接投入募投项目</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万元，尚未使用的</w:t>
            </w:r>
            <w:r>
              <w:rPr>
                <w:rFonts w:ascii="宋体" w:hAnsi="宋体" w:cs="宋体" w:eastAsia="宋体" w:hint="default"/>
                <w:spacing w:val="-3"/>
                <w:sz w:val="18"/>
                <w:szCs w:val="18"/>
              </w:rPr>
              <w:t>金</w:t>
            </w:r>
            <w:r>
              <w:rPr>
                <w:rFonts w:ascii="宋体" w:hAnsi="宋体" w:cs="宋体" w:eastAsia="宋体" w:hint="default"/>
                <w:sz w:val="18"/>
                <w:szCs w:val="18"/>
              </w:rPr>
              <w:t>额为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万元（含利息</w:t>
            </w:r>
            <w:r>
              <w:rPr>
                <w:rFonts w:ascii="宋体" w:hAnsi="宋体" w:cs="宋体" w:eastAsia="宋体" w:hint="default"/>
                <w:spacing w:val="-94"/>
                <w:sz w:val="18"/>
                <w:szCs w:val="18"/>
              </w:rPr>
              <w:t>）</w:t>
            </w:r>
            <w:r>
              <w:rPr>
                <w:rFonts w:ascii="宋体" w:hAnsi="宋体" w:cs="宋体" w:eastAsia="宋体" w:hint="default"/>
                <w:sz w:val="18"/>
                <w:szCs w:val="18"/>
              </w:rPr>
              <w:t>。</w:t>
            </w:r>
          </w:p>
          <w:p>
            <w:pPr>
              <w:pStyle w:val="TableParagraph"/>
              <w:spacing w:line="307" w:lineRule="auto" w:before="103"/>
              <w:ind w:left="24" w:right="78" w:firstLine="360"/>
              <w:jc w:val="both"/>
              <w:rPr>
                <w:rFonts w:ascii="宋体" w:hAnsi="宋体" w:cs="宋体" w:eastAsia="宋体" w:hint="default"/>
                <w:sz w:val="18"/>
                <w:szCs w:val="18"/>
              </w:rPr>
            </w:pPr>
            <w:r>
              <w:rPr>
                <w:rFonts w:ascii="宋体" w:hAnsi="宋体" w:cs="宋体" w:eastAsia="宋体" w:hint="default"/>
                <w:sz w:val="18"/>
                <w:szCs w:val="18"/>
              </w:rPr>
              <w:t>说明：公司经第三届董事会第六次会议和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年第一次临时股东大会审议通过《关于设立子公司和部分变更募集资 </w:t>
            </w:r>
            <w:r>
              <w:rPr>
                <w:rFonts w:ascii="宋体" w:hAnsi="宋体" w:cs="宋体" w:eastAsia="宋体" w:hint="default"/>
                <w:spacing w:val="-2"/>
                <w:sz w:val="18"/>
                <w:szCs w:val="18"/>
              </w:rPr>
              <w:t>金投资项目实施内容的议案》，同意公司以首发上市募集资金设立全资子公司并对部分募集资金投资项目实施内容进行调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整，并将募集资金投资项目实施期限延期至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日。具体内容详见公司披露于巨潮资讯网的相关公告（公告 </w:t>
            </w:r>
            <w:r>
              <w:rPr>
                <w:rFonts w:ascii="宋体" w:hAnsi="宋体" w:cs="宋体" w:eastAsia="宋体" w:hint="default"/>
                <w:spacing w:val="-15"/>
                <w:sz w:val="18"/>
                <w:szCs w:val="18"/>
              </w:rPr>
              <w:t>编号：</w:t>
            </w:r>
            <w:r>
              <w:rPr>
                <w:rFonts w:ascii="Times New Roman" w:hAnsi="Times New Roman" w:cs="Times New Roman" w:eastAsia="Times New Roman" w:hint="default"/>
                <w:spacing w:val="-15"/>
                <w:sz w:val="18"/>
                <w:szCs w:val="18"/>
              </w:rPr>
              <w:t>2018-015</w:t>
            </w:r>
            <w:r>
              <w:rPr>
                <w:rFonts w:ascii="宋体" w:hAnsi="宋体" w:cs="宋体" w:eastAsia="宋体" w:hint="default"/>
                <w:spacing w:val="-15"/>
                <w:sz w:val="18"/>
                <w:szCs w:val="18"/>
              </w:rPr>
              <w:t>）。</w:t>
            </w:r>
            <w:r>
              <w:rPr>
                <w:rFonts w:ascii="宋体" w:hAnsi="宋体" w:cs="宋体" w:eastAsia="宋体" w:hint="default"/>
                <w:sz w:val="18"/>
                <w:szCs w:val="18"/>
              </w:rPr>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922"/>
        <w:gridCol w:w="639"/>
        <w:gridCol w:w="780"/>
        <w:gridCol w:w="780"/>
      </w:tblGrid>
      <w:tr>
        <w:trPr>
          <w:trHeight w:val="133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521" w:right="69"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6" w:right="95"/>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可靠电子签名技术升 级及新产品研发项目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6,695.12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6,695.12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3,086.06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46.09%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可信数字身份管理解 决方案升级项目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6,865.95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6,865.95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3,183.26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46.36%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信息安全服务平台建 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6,337.51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6,337.51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792.42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792.42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12.50%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营销体系建设项目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968.74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22,666.48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22,666.48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8,030.49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67"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922"/>
        <w:gridCol w:w="639"/>
        <w:gridCol w:w="780"/>
        <w:gridCol w:w="780"/>
      </w:tblGrid>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22,666.48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22,666.48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1" w:right="0"/>
              <w:jc w:val="left"/>
              <w:rPr>
                <w:rFonts w:ascii="Times New Roman" w:hAnsi="Times New Roman" w:cs="Times New Roman" w:eastAsia="Times New Roman" w:hint="default"/>
                <w:sz w:val="18"/>
                <w:szCs w:val="18"/>
              </w:rPr>
            </w:pPr>
            <w:r>
              <w:rPr>
                <w:rFonts w:ascii="Times New Roman"/>
                <w:sz w:val="18"/>
              </w:rPr>
              <w:t>945.68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8,030.49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339"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根据募投项目的实施进度及实际建设情况，经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日公司召开的第二届董事会第十六次</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pacing w:val="-5"/>
                <w:sz w:val="18"/>
                <w:szCs w:val="18"/>
              </w:rPr>
              <w:t>会议批准，同意公司在</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年底完成可靠电子签名技术升级及新产品研发项目、可信数字身份管理</w:t>
            </w:r>
          </w:p>
          <w:p>
            <w:pPr>
              <w:pStyle w:val="TableParagraph"/>
              <w:spacing w:line="300" w:lineRule="auto" w:before="63"/>
              <w:ind w:left="24" w:right="20"/>
              <w:jc w:val="left"/>
              <w:rPr>
                <w:rFonts w:ascii="宋体" w:hAnsi="宋体" w:cs="宋体" w:eastAsia="宋体" w:hint="default"/>
                <w:sz w:val="18"/>
                <w:szCs w:val="18"/>
              </w:rPr>
            </w:pPr>
            <w:r>
              <w:rPr>
                <w:rFonts w:ascii="宋体" w:hAnsi="宋体" w:cs="宋体" w:eastAsia="宋体" w:hint="default"/>
                <w:spacing w:val="-3"/>
                <w:sz w:val="18"/>
                <w:szCs w:val="18"/>
              </w:rPr>
              <w:t>解决方案升级项目产品的联调测试，在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年底完成信息安全服务平台建设项目、营销体系建设项 目的建设工作。</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4"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65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4" w:right="20"/>
              <w:jc w:val="both"/>
              <w:rPr>
                <w:rFonts w:ascii="宋体" w:hAnsi="宋体" w:cs="宋体" w:eastAsia="宋体" w:hint="default"/>
                <w:sz w:val="18"/>
                <w:szCs w:val="18"/>
              </w:rPr>
            </w:pPr>
            <w:r>
              <w:rPr>
                <w:rFonts w:ascii="宋体" w:hAnsi="宋体" w:cs="宋体" w:eastAsia="宋体" w:hint="default"/>
                <w:sz w:val="18"/>
                <w:szCs w:val="18"/>
              </w:rPr>
              <w:t>信息安全服务平台建设项目的实施主体和实施地点变更情况：实施主体由公司变更为公司和全资子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公司北京安信天行科技有限公司（下称</w:t>
            </w:r>
            <w:r>
              <w:rPr>
                <w:rFonts w:ascii="Times New Roman" w:hAnsi="Times New Roman" w:cs="Times New Roman" w:eastAsia="Times New Roman" w:hint="default"/>
                <w:sz w:val="18"/>
                <w:szCs w:val="18"/>
              </w:rPr>
              <w:t>“</w:t>
            </w:r>
            <w:r>
              <w:rPr>
                <w:rFonts w:ascii="宋体" w:hAnsi="宋体" w:cs="宋体" w:eastAsia="宋体" w:hint="default"/>
                <w:sz w:val="18"/>
                <w:szCs w:val="18"/>
              </w:rPr>
              <w:t>安信天行</w:t>
            </w:r>
            <w:r>
              <w:rPr>
                <w:rFonts w:ascii="Times New Roman" w:hAnsi="Times New Roman" w:cs="Times New Roman" w:eastAsia="Times New Roman" w:hint="default"/>
                <w:sz w:val="18"/>
                <w:szCs w:val="18"/>
              </w:rPr>
              <w:t>”</w:t>
            </w:r>
            <w:r>
              <w:rPr>
                <w:rFonts w:ascii="宋体" w:hAnsi="宋体" w:cs="宋体" w:eastAsia="宋体" w:hint="default"/>
                <w:sz w:val="18"/>
                <w:szCs w:val="18"/>
              </w:rPr>
              <w:t>）共同实施；实施地点由北京市海淀区北四环西 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号双桥大厦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层（即公司住所）变更为北京市海淀区北四环西路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号双桥大厦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层和北京</w:t>
            </w:r>
          </w:p>
          <w:p>
            <w:pPr>
              <w:pStyle w:val="TableParagraph"/>
              <w:spacing w:line="300" w:lineRule="auto" w:before="7"/>
              <w:ind w:left="24" w:right="19"/>
              <w:jc w:val="both"/>
              <w:rPr>
                <w:rFonts w:ascii="宋体" w:hAnsi="宋体" w:cs="宋体" w:eastAsia="宋体" w:hint="default"/>
                <w:sz w:val="18"/>
                <w:szCs w:val="18"/>
              </w:rPr>
            </w:pPr>
            <w:r>
              <w:rPr>
                <w:rFonts w:ascii="宋体" w:hAnsi="宋体" w:cs="宋体" w:eastAsia="宋体" w:hint="default"/>
                <w:sz w:val="18"/>
                <w:szCs w:val="18"/>
              </w:rPr>
              <w:t>市海淀区北四环西路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号双桥大厦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层（即安信天行住所）。</w:t>
            </w:r>
            <w:r>
              <w:rPr>
                <w:rFonts w:ascii="Times New Roman" w:hAnsi="Times New Roman" w:cs="Times New Roman" w:eastAsia="Times New Roman" w:hint="default"/>
                <w:spacing w:val="-9"/>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pacing w:val="-2"/>
                <w:sz w:val="18"/>
                <w:szCs w:val="18"/>
              </w:rPr>
              <w:t>日，公司召开的第二</w:t>
            </w:r>
            <w:r>
              <w:rPr>
                <w:rFonts w:ascii="宋体" w:hAnsi="宋体" w:cs="宋体" w:eastAsia="宋体" w:hint="default"/>
                <w:sz w:val="18"/>
                <w:szCs w:val="18"/>
              </w:rPr>
              <w:t> 届董事会第十六次会议批准了前述变更。</w:t>
            </w: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4" w:lineRule="auto"/>
              <w:ind w:left="24"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5"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可靠电子签名技术升级及新产品研发项目已先期投入</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30,522,420.00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元，可信数字身份管理解决方案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升级项目已先期投入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31,440,612.25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元，营销体系建设项目已先期投入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8,885,037.60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元，合计已先期</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70,848,069.85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日已全部置换。</w:t>
            </w: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4"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4"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22"/>
              <w:jc w:val="left"/>
              <w:rPr>
                <w:rFonts w:ascii="宋体" w:hAnsi="宋体" w:cs="宋体" w:eastAsia="宋体" w:hint="default"/>
                <w:sz w:val="18"/>
                <w:szCs w:val="18"/>
              </w:rPr>
            </w:pPr>
            <w:r>
              <w:rPr>
                <w:rFonts w:ascii="宋体" w:hAnsi="宋体" w:cs="宋体" w:eastAsia="宋体" w:hint="default"/>
                <w:sz w:val="18"/>
                <w:szCs w:val="18"/>
              </w:rPr>
              <w:t>截至本报告期末剩余尚未使用的募集资金除已公告的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万元已用于购买银行保本理财产品外， 其余均存放在公司银行募集资金专户中。</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2"/>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12"/>
        <w:rPr>
          <w:rFonts w:ascii="宋体" w:hAnsi="宋体" w:cs="宋体" w:eastAsia="宋体" w:hint="default"/>
          <w:sz w:val="25"/>
          <w:szCs w:val="25"/>
        </w:rPr>
      </w:pPr>
    </w:p>
    <w:p>
      <w:pPr>
        <w:spacing w:before="44"/>
        <w:ind w:left="332"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公司报告期不存在募集资金变更项目情况。</w:t>
      </w:r>
    </w:p>
    <w:p>
      <w:pPr>
        <w:spacing w:line="240" w:lineRule="auto" w:before="3"/>
        <w:rPr>
          <w:rFonts w:ascii="宋体" w:hAnsi="宋体" w:cs="宋体" w:eastAsia="宋体" w:hint="default"/>
          <w:sz w:val="25"/>
          <w:szCs w:val="25"/>
        </w:rPr>
      </w:pPr>
    </w:p>
    <w:p>
      <w:pPr>
        <w:pStyle w:val="Heading2"/>
        <w:spacing w:line="240" w:lineRule="auto"/>
        <w:ind w:left="332" w:right="0"/>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332"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332" w:right="7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3"/>
        <w:rPr>
          <w:rFonts w:ascii="宋体" w:hAnsi="宋体" w:cs="宋体" w:eastAsia="宋体" w:hint="default"/>
          <w:sz w:val="21"/>
          <w:szCs w:val="21"/>
        </w:rPr>
      </w:pPr>
    </w:p>
    <w:p>
      <w:pPr>
        <w:pStyle w:val="Heading3"/>
        <w:spacing w:line="240" w:lineRule="auto"/>
        <w:ind w:left="332"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5"/>
        <w:rPr>
          <w:rFonts w:ascii="宋体" w:hAnsi="宋体" w:cs="宋体" w:eastAsia="宋体" w:hint="default"/>
          <w:b/>
          <w:bCs/>
          <w:sz w:val="26"/>
          <w:szCs w:val="26"/>
        </w:rPr>
      </w:pPr>
    </w:p>
    <w:p>
      <w:pPr>
        <w:spacing w:before="0"/>
        <w:ind w:left="3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left="332" w:right="0"/>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67" w:footer="979" w:top="1060" w:bottom="1160" w:left="800" w:right="800"/>
        </w:sectPr>
      </w:pPr>
    </w:p>
    <w:p>
      <w:pPr>
        <w:spacing w:before="44"/>
        <w:ind w:left="33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33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3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800" w:right="800"/>
          <w:cols w:num="2" w:equalWidth="0">
            <w:col w:w="5031" w:space="3889"/>
            <w:col w:w="1390"/>
          </w:cols>
        </w:sectPr>
      </w:pPr>
    </w:p>
    <w:p>
      <w:pPr>
        <w:spacing w:line="240" w:lineRule="auto" w:before="2"/>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850"/>
        <w:gridCol w:w="852"/>
        <w:gridCol w:w="1275"/>
        <w:gridCol w:w="1135"/>
        <w:gridCol w:w="1275"/>
        <w:gridCol w:w="1135"/>
        <w:gridCol w:w="1277"/>
        <w:gridCol w:w="1133"/>
        <w:gridCol w:w="1135"/>
      </w:tblGrid>
      <w:tr>
        <w:trPr>
          <w:trHeight w:val="401"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71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安信天行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9"/>
              <w:jc w:val="left"/>
              <w:rPr>
                <w:rFonts w:ascii="宋体" w:hAnsi="宋体" w:cs="宋体" w:eastAsia="宋体" w:hint="default"/>
                <w:sz w:val="18"/>
                <w:szCs w:val="18"/>
              </w:rPr>
            </w:pPr>
            <w:r>
              <w:rPr>
                <w:rFonts w:ascii="宋体" w:hAnsi="宋体" w:cs="宋体" w:eastAsia="宋体" w:hint="default"/>
                <w:sz w:val="18"/>
                <w:szCs w:val="18"/>
              </w:rPr>
              <w:t>系统集成及软 件开发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240,769,272.83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60,980,492.98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194,015,031.95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18,894,210.23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16,462,425.40</w:t>
            </w:r>
          </w:p>
        </w:tc>
      </w:tr>
      <w:tr>
        <w:trPr>
          <w:trHeight w:val="133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版信通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技术咨询及服 务、数据处理、 版权转让及代 理服务等</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6,793,477.50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5,234,348.98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-2,102,317.06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1,558,031.77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-3,069,026.35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-3,489,774.92</w:t>
            </w:r>
          </w:p>
        </w:tc>
      </w:tr>
    </w:tbl>
    <w:p>
      <w:pPr>
        <w:spacing w:before="49"/>
        <w:ind w:left="332"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9"/>
        <w:ind w:left="3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327" w:type="dxa"/>
        <w:tblLayout w:type="fixed"/>
        <w:tblCellMar>
          <w:top w:w="0" w:type="dxa"/>
          <w:left w:w="0" w:type="dxa"/>
          <w:bottom w:w="0" w:type="dxa"/>
          <w:right w:w="0" w:type="dxa"/>
        </w:tblCellMar>
        <w:tblLook w:val="01E0"/>
      </w:tblPr>
      <w:tblGrid>
        <w:gridCol w:w="1419"/>
        <w:gridCol w:w="4962"/>
        <w:gridCol w:w="3190"/>
      </w:tblGrid>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14"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版信通</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6"/>
              <w:jc w:val="left"/>
              <w:rPr>
                <w:rFonts w:ascii="宋体" w:hAnsi="宋体" w:cs="宋体" w:eastAsia="宋体" w:hint="default"/>
                <w:sz w:val="18"/>
                <w:szCs w:val="18"/>
              </w:rPr>
            </w:pPr>
            <w:r>
              <w:rPr>
                <w:rFonts w:ascii="宋体" w:hAnsi="宋体" w:cs="宋体" w:eastAsia="宋体" w:hint="default"/>
                <w:sz w:val="18"/>
                <w:szCs w:val="18"/>
              </w:rPr>
              <w:t>公司放弃版信通增资优先认购权，丧失对其控制权，不再将其 纳入公司合并报表范围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产生投资收益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1,344.25 </w:t>
            </w:r>
            <w:r>
              <w:rPr>
                <w:rFonts w:ascii="宋体" w:hAnsi="宋体" w:cs="宋体" w:eastAsia="宋体" w:hint="default"/>
                <w:sz w:val="18"/>
                <w:szCs w:val="18"/>
              </w:rPr>
              <w:t>万元</w:t>
            </w:r>
          </w:p>
        </w:tc>
      </w:tr>
    </w:tbl>
    <w:p>
      <w:pPr>
        <w:spacing w:before="49"/>
        <w:ind w:left="332" w:right="0"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3"/>
        <w:rPr>
          <w:rFonts w:ascii="宋体" w:hAnsi="宋体" w:cs="宋体" w:eastAsia="宋体" w:hint="default"/>
          <w:sz w:val="25"/>
          <w:szCs w:val="25"/>
        </w:rPr>
      </w:pPr>
    </w:p>
    <w:p>
      <w:pPr>
        <w:pStyle w:val="Heading2"/>
        <w:spacing w:line="240" w:lineRule="auto"/>
        <w:ind w:left="332" w:right="0"/>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3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left="332" w:right="0"/>
        <w:jc w:val="left"/>
        <w:rPr>
          <w:b w:val="0"/>
          <w:bCs w:val="0"/>
        </w:rPr>
      </w:pPr>
      <w:r>
        <w:rPr/>
        <w:t>九、公司未来发展的展望</w:t>
      </w:r>
      <w:r>
        <w:rPr>
          <w:b w:val="0"/>
          <w:bCs w:val="0"/>
        </w:rPr>
      </w:r>
    </w:p>
    <w:p>
      <w:pPr>
        <w:spacing w:line="240" w:lineRule="auto" w:before="5"/>
        <w:rPr>
          <w:rFonts w:ascii="宋体" w:hAnsi="宋体" w:cs="宋体" w:eastAsia="宋体" w:hint="default"/>
          <w:b/>
          <w:bCs/>
          <w:sz w:val="26"/>
          <w:szCs w:val="26"/>
        </w:rPr>
      </w:pPr>
    </w:p>
    <w:p>
      <w:pPr>
        <w:pStyle w:val="Heading3"/>
        <w:spacing w:line="240" w:lineRule="auto"/>
        <w:ind w:left="755" w:right="0"/>
        <w:jc w:val="left"/>
        <w:rPr>
          <w:b w:val="0"/>
          <w:bCs w:val="0"/>
        </w:rPr>
      </w:pPr>
      <w:r>
        <w:rPr/>
        <w:t>（一）行业发展趋势</w:t>
      </w:r>
      <w:r>
        <w:rPr>
          <w:b w:val="0"/>
          <w:bCs w:val="0"/>
        </w:rPr>
      </w:r>
    </w:p>
    <w:p>
      <w:pPr>
        <w:spacing w:line="240" w:lineRule="auto" w:before="9"/>
        <w:rPr>
          <w:rFonts w:ascii="宋体" w:hAnsi="宋体" w:cs="宋体" w:eastAsia="宋体" w:hint="default"/>
          <w:b/>
          <w:bCs/>
          <w:sz w:val="15"/>
          <w:szCs w:val="15"/>
        </w:rPr>
      </w:pPr>
    </w:p>
    <w:p>
      <w:pPr>
        <w:spacing w:line="393" w:lineRule="auto" w:before="0"/>
        <w:ind w:left="75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、国家高度重视，政策利好不断，行业发展有望加速</w:t>
      </w:r>
      <w:r>
        <w:rPr>
          <w:rFonts w:ascii="宋体" w:hAnsi="宋体" w:cs="宋体" w:eastAsia="宋体" w:hint="default"/>
          <w:b/>
          <w:bCs/>
          <w:w w:val="100"/>
          <w:sz w:val="21"/>
          <w:szCs w:val="21"/>
        </w:rPr>
        <w:t> </w:t>
      </w:r>
      <w:r>
        <w:rPr>
          <w:rFonts w:ascii="宋体" w:hAnsi="宋体" w:cs="宋体" w:eastAsia="宋体" w:hint="default"/>
          <w:sz w:val="21"/>
          <w:szCs w:val="21"/>
        </w:rPr>
        <w:t>党的十九大报告多次提到安全问题，</w:t>
      </w:r>
      <w:r>
        <w:rPr>
          <w:rFonts w:ascii="Times New Roman" w:hAnsi="Times New Roman" w:cs="Times New Roman" w:eastAsia="Times New Roman" w:hint="default"/>
          <w:sz w:val="21"/>
          <w:szCs w:val="21"/>
        </w:rPr>
        <w:t>“</w:t>
      </w:r>
      <w:r>
        <w:rPr>
          <w:rFonts w:ascii="宋体" w:hAnsi="宋体" w:cs="宋体" w:eastAsia="宋体" w:hint="default"/>
          <w:sz w:val="21"/>
          <w:szCs w:val="21"/>
        </w:rPr>
        <w:t>世界面临的不稳定性不确定性突出，世界经济增长动能不足，</w:t>
      </w:r>
    </w:p>
    <w:p>
      <w:pPr>
        <w:spacing w:after="0" w:line="393" w:lineRule="auto"/>
        <w:jc w:val="left"/>
        <w:rPr>
          <w:rFonts w:ascii="宋体" w:hAnsi="宋体" w:cs="宋体" w:eastAsia="宋体" w:hint="default"/>
          <w:sz w:val="21"/>
          <w:szCs w:val="21"/>
        </w:rPr>
        <w:sectPr>
          <w:type w:val="continuous"/>
          <w:pgSz w:w="11910" w:h="16840"/>
          <w:pgMar w:top="1060" w:bottom="1160" w:left="800" w:right="800"/>
        </w:sectPr>
      </w:pPr>
    </w:p>
    <w:p>
      <w:pPr>
        <w:spacing w:line="240" w:lineRule="auto" w:before="8"/>
        <w:rPr>
          <w:rFonts w:ascii="宋体" w:hAnsi="宋体" w:cs="宋体" w:eastAsia="宋体" w:hint="default"/>
          <w:sz w:val="26"/>
          <w:szCs w:val="26"/>
        </w:rPr>
      </w:pPr>
    </w:p>
    <w:p>
      <w:pPr>
        <w:pStyle w:val="BodyText"/>
        <w:spacing w:line="307" w:lineRule="auto" w:before="36"/>
        <w:ind w:right="184"/>
        <w:jc w:val="both"/>
      </w:pPr>
      <w:r>
        <w:rPr>
          <w:spacing w:val="-2"/>
        </w:rPr>
        <w:t>贫富分化日益严重，地区热点问题此起彼伏，恐怖主义、网络安全、重大传染性疾病、气候变化等非传统</w:t>
      </w:r>
      <w:r>
        <w:rPr>
          <w:spacing w:val="-43"/>
        </w:rPr>
        <w:t> </w:t>
      </w:r>
      <w:r>
        <w:rPr>
          <w:spacing w:val="-43"/>
        </w:rPr>
      </w:r>
      <w:r>
        <w:rPr>
          <w:spacing w:val="-2"/>
        </w:rPr>
        <w:t>安全威胁持续蔓延，人类面临许多共同挑战</w:t>
      </w:r>
      <w:r>
        <w:rPr>
          <w:rFonts w:ascii="Times New Roman" w:hAnsi="Times New Roman" w:cs="Times New Roman" w:eastAsia="Times New Roman" w:hint="default"/>
          <w:spacing w:val="-2"/>
        </w:rPr>
        <w:t>”“</w:t>
      </w:r>
      <w:r>
        <w:rPr>
          <w:spacing w:val="-2"/>
        </w:rPr>
        <w:t>不断满足人民日益增长的美好生活需要，不断促进社会公平</w:t>
      </w:r>
      <w:r>
        <w:rPr>
          <w:spacing w:val="-17"/>
        </w:rPr>
        <w:t> </w:t>
      </w:r>
      <w:r>
        <w:rPr>
          <w:spacing w:val="-17"/>
        </w:rPr>
      </w:r>
      <w:r>
        <w:rPr>
          <w:spacing w:val="-2"/>
        </w:rPr>
        <w:t>正义，形成有效的社会治理、良好的社会秩序，使人民获得感、幸福感、安全感更加充实、更有保障、更</w:t>
      </w:r>
      <w:r>
        <w:rPr>
          <w:spacing w:val="-49"/>
        </w:rPr>
        <w:t> </w:t>
      </w:r>
      <w:r>
        <w:rPr>
          <w:spacing w:val="-49"/>
        </w:rPr>
      </w:r>
      <w:r>
        <w:rPr>
          <w:spacing w:val="-4"/>
        </w:rPr>
        <w:t>可持续</w:t>
      </w:r>
      <w:r>
        <w:rPr>
          <w:rFonts w:ascii="Times New Roman" w:hAnsi="Times New Roman" w:cs="Times New Roman" w:eastAsia="Times New Roman" w:hint="default"/>
          <w:spacing w:val="-4"/>
        </w:rPr>
        <w:t>”“</w:t>
      </w:r>
      <w:r>
        <w:rPr>
          <w:spacing w:val="-4"/>
        </w:rPr>
        <w:t>统筹发展和安全，增强忧患意识</w:t>
      </w:r>
      <w:r>
        <w:rPr>
          <w:rFonts w:ascii="Times New Roman" w:hAnsi="Times New Roman" w:cs="Times New Roman" w:eastAsia="Times New Roman" w:hint="default"/>
          <w:spacing w:val="-4"/>
        </w:rPr>
        <w:t>”</w:t>
      </w:r>
      <w:r>
        <w:rPr>
          <w:spacing w:val="-4"/>
        </w:rPr>
        <w:t>，从中可以看出安全是事关国家安全和国家发展，是广大人民群</w:t>
      </w:r>
      <w:r>
        <w:rPr>
          <w:spacing w:val="-14"/>
        </w:rPr>
        <w:t> </w:t>
      </w:r>
      <w:r>
        <w:rPr>
          <w:spacing w:val="-14"/>
        </w:rPr>
      </w:r>
      <w:r>
        <w:rPr>
          <w:spacing w:val="-2"/>
        </w:rPr>
        <w:t>众工作生活的重大战略问题，社会各界均对安全有强烈的需求，同时网络安全又是国家安全的重要一环，</w:t>
      </w:r>
      <w:r>
        <w:rPr>
          <w:spacing w:val="-21"/>
        </w:rPr>
        <w:t> </w:t>
      </w:r>
      <w:r>
        <w:rPr>
          <w:spacing w:val="-21"/>
        </w:rPr>
      </w:r>
      <w:r>
        <w:rPr>
          <w:spacing w:val="-2"/>
        </w:rPr>
        <w:t>解决网络安全问题将是未来国家的重点工作。鉴于此国家密集出台了《网络安全法》、《国家网络空间安</w:t>
      </w:r>
      <w:r>
        <w:rPr>
          <w:spacing w:val="-43"/>
        </w:rPr>
        <w:t> </w:t>
      </w:r>
      <w:r>
        <w:rPr>
          <w:spacing w:val="-43"/>
        </w:rPr>
      </w:r>
      <w:r>
        <w:rPr>
          <w:spacing w:val="-2"/>
        </w:rPr>
        <w:t>全战略》及《战略性新兴产业重点产品和服务指导目录》等多项重磅政策，有效推动网络安全行业加速成</w:t>
      </w:r>
      <w:r>
        <w:rPr>
          <w:spacing w:val="-44"/>
        </w:rPr>
        <w:t> </w:t>
      </w:r>
      <w:r>
        <w:rPr>
          <w:spacing w:val="-44"/>
        </w:rPr>
      </w:r>
      <w:r>
        <w:rPr/>
        <w:t>长。</w:t>
      </w:r>
    </w:p>
    <w:p>
      <w:pPr>
        <w:spacing w:line="396" w:lineRule="auto" w:before="146"/>
        <w:ind w:left="53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、网络安全是信息化发展的前提，网络安全占信息化建设投入比重将快速提升</w:t>
      </w:r>
      <w:r>
        <w:rPr>
          <w:rFonts w:ascii="宋体" w:hAnsi="宋体" w:cs="宋体" w:eastAsia="宋体" w:hint="default"/>
          <w:b/>
          <w:bCs/>
          <w:w w:val="100"/>
          <w:sz w:val="21"/>
          <w:szCs w:val="21"/>
        </w:rPr>
        <w:t> </w:t>
      </w:r>
      <w:r>
        <w:rPr>
          <w:rFonts w:ascii="宋体" w:hAnsi="宋体" w:cs="宋体" w:eastAsia="宋体" w:hint="default"/>
          <w:spacing w:val="-2"/>
          <w:sz w:val="21"/>
          <w:szCs w:val="21"/>
        </w:rPr>
        <w:t>网络安全与信息化建设相辅相成，网络安全是信息经济发展的前提，没有强大的网络安全就无法保障</w:t>
      </w:r>
    </w:p>
    <w:p>
      <w:pPr>
        <w:pStyle w:val="BodyText"/>
        <w:spacing w:line="223" w:lineRule="exact"/>
        <w:ind w:right="0"/>
        <w:jc w:val="both"/>
      </w:pPr>
      <w:r>
        <w:rPr/>
        <w:t>信息化的发展。目前中国互联网产业发展速度较快，互联网产业规模达到了世界领先水平，但网络安全占</w:t>
      </w:r>
    </w:p>
    <w:p>
      <w:pPr>
        <w:pStyle w:val="BodyText"/>
        <w:spacing w:line="314" w:lineRule="auto" w:before="82"/>
        <w:ind w:right="0"/>
        <w:jc w:val="left"/>
      </w:pPr>
      <w:r>
        <w:rPr>
          <w:spacing w:val="-2"/>
        </w:rPr>
        <w:t>信息化建设的比重与发达国家相比差距较为明显，提升空间巨大。各行各业积极利用信息化建提升生产效</w:t>
      </w:r>
      <w:r>
        <w:rPr>
          <w:spacing w:val="-42"/>
        </w:rPr>
        <w:t> </w:t>
      </w:r>
      <w:r>
        <w:rPr>
          <w:spacing w:val="-42"/>
        </w:rPr>
      </w:r>
      <w:r>
        <w:rPr>
          <w:spacing w:val="-2"/>
        </w:rPr>
        <w:t>率，信息化与实体经济的融合更加紧密，亟需国内网络安全企业为国民网络安全及国家安全提供更强劲的</w:t>
      </w:r>
      <w:r>
        <w:rPr>
          <w:spacing w:val="-43"/>
        </w:rPr>
        <w:t> </w:t>
      </w:r>
      <w:r>
        <w:rPr>
          <w:spacing w:val="-43"/>
        </w:rPr>
      </w:r>
      <w:r>
        <w:rPr>
          <w:spacing w:val="-2"/>
        </w:rPr>
        <w:t>安全保障，网络安全占信息化建设投入比重将快速提升。永恒之蓝勒索病毒席卷全球，信息泄露、贩卖隐</w:t>
      </w:r>
      <w:r>
        <w:rPr>
          <w:spacing w:val="-47"/>
        </w:rPr>
        <w:t> </w:t>
      </w:r>
      <w:r>
        <w:rPr>
          <w:spacing w:val="-47"/>
        </w:rPr>
      </w:r>
      <w:r>
        <w:rPr>
          <w:spacing w:val="-5"/>
        </w:rPr>
        <w:t>私黑产等网络安全事件频繁发生，各行各业对于网络安全的自发性需求正在逐渐增多，政府、军队、电信、</w:t>
      </w:r>
      <w:r>
        <w:rPr>
          <w:spacing w:val="-8"/>
        </w:rPr>
        <w:t> </w:t>
      </w:r>
      <w:r>
        <w:rPr>
          <w:spacing w:val="-8"/>
        </w:rPr>
      </w:r>
      <w:r>
        <w:rPr>
          <w:spacing w:val="-2"/>
        </w:rPr>
        <w:t>银行、卫生等关键领域对于网络安全采购的力度明显加大，网络安全市场呈现快速发展的态势，行业景气</w:t>
      </w:r>
      <w:r>
        <w:rPr>
          <w:spacing w:val="-43"/>
        </w:rPr>
        <w:t> </w:t>
      </w:r>
      <w:r>
        <w:rPr>
          <w:spacing w:val="-43"/>
        </w:rPr>
      </w:r>
      <w:r>
        <w:rPr/>
        <w:t>度将持续走高。</w:t>
      </w:r>
    </w:p>
    <w:p>
      <w:pPr>
        <w:spacing w:line="396" w:lineRule="auto" w:before="138"/>
        <w:ind w:left="53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、信息技术快速发展是网络安全的巨大发展机遇</w:t>
      </w:r>
      <w:r>
        <w:rPr>
          <w:rFonts w:ascii="宋体" w:hAnsi="宋体" w:cs="宋体" w:eastAsia="宋体" w:hint="default"/>
          <w:b/>
          <w:bCs/>
          <w:w w:val="100"/>
          <w:sz w:val="21"/>
          <w:szCs w:val="21"/>
        </w:rPr>
        <w:t> </w:t>
      </w:r>
      <w:r>
        <w:rPr>
          <w:rFonts w:ascii="宋体" w:hAnsi="宋体" w:cs="宋体" w:eastAsia="宋体" w:hint="default"/>
          <w:spacing w:val="-2"/>
          <w:sz w:val="21"/>
          <w:szCs w:val="21"/>
        </w:rPr>
        <w:t>信息技术的快速应用和发展对网络安全提出了新需求和新挑战，传统的网络安全防护理念已经无法适</w:t>
      </w:r>
    </w:p>
    <w:p>
      <w:pPr>
        <w:pStyle w:val="BodyText"/>
        <w:spacing w:line="221" w:lineRule="exact"/>
        <w:ind w:right="0"/>
        <w:jc w:val="both"/>
      </w:pPr>
      <w:r>
        <w:rPr/>
        <w:t>应当前的网络安全形势。云计算、物联网的快速发展，导致原有的固定防御边界已不复存在，在不同的区</w:t>
      </w:r>
    </w:p>
    <w:p>
      <w:pPr>
        <w:pStyle w:val="BodyText"/>
        <w:spacing w:line="314" w:lineRule="auto" w:before="85"/>
        <w:ind w:right="206"/>
        <w:jc w:val="both"/>
      </w:pPr>
      <w:r>
        <w:rPr>
          <w:spacing w:val="-2"/>
        </w:rPr>
        <w:t>域间通过安全设备构筑了分立的防护体系已难以有效应对零日漏洞、高级持续攻击、网络军火武器等新的</w:t>
      </w:r>
      <w:r>
        <w:rPr>
          <w:spacing w:val="-44"/>
        </w:rPr>
        <w:t> </w:t>
      </w:r>
      <w:r>
        <w:rPr>
          <w:spacing w:val="-44"/>
        </w:rPr>
      </w:r>
      <w:r>
        <w:rPr>
          <w:spacing w:val="-2"/>
        </w:rPr>
        <w:t>网络安全威胁。人工智能和大数据在大幅提升效率、节约成本的同时，也是黑客武器库中的重要成员，黑</w:t>
      </w:r>
      <w:r>
        <w:rPr>
          <w:spacing w:val="-44"/>
        </w:rPr>
        <w:t> </w:t>
      </w:r>
      <w:r>
        <w:rPr>
          <w:spacing w:val="-44"/>
        </w:rPr>
      </w:r>
      <w:r>
        <w:rPr>
          <w:spacing w:val="-2"/>
        </w:rPr>
        <w:t>客充分利用先进的信息化技术来提升挖掘公共网站和社交网络数据，提升提取用户个人信息的准确率和效</w:t>
      </w:r>
      <w:r>
        <w:rPr>
          <w:spacing w:val="-43"/>
        </w:rPr>
        <w:t> </w:t>
      </w:r>
      <w:r>
        <w:rPr>
          <w:spacing w:val="-43"/>
        </w:rPr>
      </w:r>
      <w:r>
        <w:rPr>
          <w:spacing w:val="-2"/>
        </w:rPr>
        <w:t>率。为满足新技术和新业务模式下的网络安全需求，网络安全行业将面向整个生态系统进行业务和技术的</w:t>
      </w:r>
      <w:r>
        <w:rPr>
          <w:spacing w:val="-44"/>
        </w:rPr>
        <w:t> </w:t>
      </w:r>
      <w:r>
        <w:rPr>
          <w:spacing w:val="-44"/>
        </w:rPr>
      </w:r>
      <w:r>
        <w:rPr/>
        <w:t>创新，新的信息技术的广泛应用是网络安全行业发展的动力源泉，推动网络安全行业进入高速发展期。</w:t>
      </w:r>
    </w:p>
    <w:p>
      <w:pPr>
        <w:spacing w:line="396" w:lineRule="auto" w:before="137"/>
        <w:ind w:left="533" w:right="0" w:firstLine="2"/>
        <w:jc w:val="left"/>
        <w:rPr>
          <w:rFonts w:ascii="宋体" w:hAnsi="宋体" w:cs="宋体" w:eastAsia="宋体" w:hint="default"/>
          <w:sz w:val="21"/>
          <w:szCs w:val="21"/>
        </w:rPr>
      </w:pPr>
      <w:r>
        <w:rPr>
          <w:rFonts w:ascii="宋体" w:hAnsi="宋体" w:cs="宋体" w:eastAsia="宋体" w:hint="default"/>
          <w:b/>
          <w:bCs/>
          <w:sz w:val="21"/>
          <w:szCs w:val="21"/>
        </w:rPr>
        <w:t>（二）公司战略及</w:t>
      </w:r>
      <w:r>
        <w:rPr>
          <w:rFonts w:ascii="Times New Roman" w:hAnsi="Times New Roman" w:cs="Times New Roman" w:eastAsia="Times New Roman" w:hint="default"/>
          <w:b/>
          <w:bCs/>
          <w:sz w:val="21"/>
          <w:szCs w:val="21"/>
        </w:rPr>
        <w:t>2018</w:t>
      </w:r>
      <w:r>
        <w:rPr>
          <w:rFonts w:ascii="宋体" w:hAnsi="宋体" w:cs="宋体" w:eastAsia="宋体" w:hint="default"/>
          <w:b/>
          <w:bCs/>
          <w:sz w:val="21"/>
          <w:szCs w:val="21"/>
        </w:rPr>
        <w:t>年度经营计划</w:t>
      </w:r>
      <w:r>
        <w:rPr>
          <w:rFonts w:ascii="宋体" w:hAnsi="宋体" w:cs="宋体" w:eastAsia="宋体" w:hint="default"/>
          <w:b/>
          <w:bCs/>
          <w:w w:val="100"/>
          <w:sz w:val="21"/>
          <w:szCs w:val="21"/>
        </w:rPr>
        <w:t> </w:t>
      </w:r>
      <w:r>
        <w:rPr>
          <w:rFonts w:ascii="宋体" w:hAnsi="宋体" w:cs="宋体" w:eastAsia="宋体" w:hint="default"/>
          <w:spacing w:val="-2"/>
          <w:sz w:val="21"/>
          <w:szCs w:val="21"/>
        </w:rPr>
        <w:t>公司将始终致力于保障用户信息基础设施安全可靠运行、保护用户信息化业务安全可信开展、保卫用</w:t>
      </w:r>
    </w:p>
    <w:p>
      <w:pPr>
        <w:pStyle w:val="BodyText"/>
        <w:spacing w:line="237" w:lineRule="exact"/>
        <w:ind w:right="0"/>
        <w:jc w:val="both"/>
      </w:pPr>
      <w:r>
        <w:rPr/>
        <w:t>户数字资产，以</w:t>
      </w:r>
      <w:r>
        <w:rPr>
          <w:rFonts w:ascii="Times New Roman" w:hAnsi="Times New Roman" w:cs="Times New Roman" w:eastAsia="Times New Roman" w:hint="default"/>
        </w:rPr>
        <w:t>“</w:t>
      </w:r>
      <w:r>
        <w:rPr/>
        <w:t>共建可信任的数字世界</w:t>
      </w:r>
      <w:r>
        <w:rPr>
          <w:rFonts w:ascii="Times New Roman" w:hAnsi="Times New Roman" w:cs="Times New Roman" w:eastAsia="Times New Roman" w:hint="default"/>
        </w:rPr>
        <w:t>”</w:t>
      </w:r>
      <w:r>
        <w:rPr/>
        <w:t>为愿景，做建设数字世界信任的领跑者，让客户感受到信任的力</w:t>
      </w:r>
    </w:p>
    <w:p>
      <w:pPr>
        <w:pStyle w:val="BodyText"/>
        <w:spacing w:line="300" w:lineRule="auto" w:before="69"/>
        <w:ind w:right="206"/>
        <w:jc w:val="both"/>
      </w:pPr>
      <w:r>
        <w:rPr>
          <w:spacing w:val="-2"/>
        </w:rPr>
        <w:t>量，继续向客户提供更加优质高效的服务。公司秉承</w:t>
      </w:r>
      <w:r>
        <w:rPr>
          <w:rFonts w:ascii="Times New Roman" w:hAnsi="Times New Roman" w:cs="Times New Roman" w:eastAsia="Times New Roman" w:hint="default"/>
          <w:spacing w:val="-2"/>
        </w:rPr>
        <w:t>“</w:t>
      </w:r>
      <w:r>
        <w:rPr>
          <w:spacing w:val="-2"/>
        </w:rPr>
        <w:t>以服务求生存，用创新谋发展</w:t>
      </w:r>
      <w:r>
        <w:rPr>
          <w:rFonts w:ascii="Times New Roman" w:hAnsi="Times New Roman" w:cs="Times New Roman" w:eastAsia="Times New Roman" w:hint="default"/>
          <w:spacing w:val="-2"/>
        </w:rPr>
        <w:t>”</w:t>
      </w:r>
      <w:r>
        <w:rPr>
          <w:spacing w:val="-2"/>
        </w:rPr>
        <w:t>的发展理念，不断完</w:t>
      </w:r>
      <w:r>
        <w:rPr>
          <w:spacing w:val="-19"/>
        </w:rPr>
        <w:t> </w:t>
      </w:r>
      <w:r>
        <w:rPr>
          <w:spacing w:val="-19"/>
        </w:rPr>
      </w:r>
      <w:r>
        <w:rPr/>
        <w:t>善公司的产品研发体系、技术服务体系和运营管理体系，全面提升公司的核心竞争力。按照</w:t>
      </w:r>
      <w:r>
        <w:rPr>
          <w:rFonts w:ascii="Times New Roman" w:hAnsi="Times New Roman" w:cs="Times New Roman" w:eastAsia="Times New Roman" w:hint="default"/>
        </w:rPr>
        <w:t>“</w:t>
      </w:r>
      <w:r>
        <w:rPr/>
        <w:t>立足北京，</w:t>
      </w:r>
      <w:r>
        <w:rPr>
          <w:spacing w:val="-11"/>
        </w:rPr>
        <w:t> </w:t>
      </w:r>
      <w:r>
        <w:rPr>
          <w:spacing w:val="-11"/>
        </w:rPr>
      </w:r>
      <w:r>
        <w:rPr/>
        <w:t>服务全国</w:t>
      </w:r>
      <w:r>
        <w:rPr>
          <w:rFonts w:ascii="Times New Roman" w:hAnsi="Times New Roman" w:cs="Times New Roman" w:eastAsia="Times New Roman" w:hint="default"/>
        </w:rPr>
        <w:t>”</w:t>
      </w:r>
      <w:r>
        <w:rPr/>
        <w:t>的发展思路，进一步巩固和提升公司在优势领域的领先地位，并以重点行业为突破口，会同行</w:t>
      </w:r>
      <w:r>
        <w:rPr>
          <w:spacing w:val="-15"/>
        </w:rPr>
        <w:t> </w:t>
      </w:r>
      <w:r>
        <w:rPr>
          <w:spacing w:val="-15"/>
        </w:rPr>
      </w:r>
      <w:r>
        <w:rPr>
          <w:spacing w:val="-2"/>
        </w:rPr>
        <w:t>业和区域市场合作伙伴的力量，不断提升公司在行业内的市场份额和品牌形象，致力于成为全国最优秀网</w:t>
      </w:r>
      <w:r>
        <w:rPr>
          <w:spacing w:val="-43"/>
        </w:rPr>
        <w:t> </w:t>
      </w:r>
      <w:r>
        <w:rPr>
          <w:spacing w:val="-43"/>
        </w:rPr>
      </w:r>
      <w:r>
        <w:rPr/>
        <w:t>络信任服务提供商、用户最信赖的网络安全解决方案提供商。</w:t>
      </w:r>
    </w:p>
    <w:p>
      <w:pPr>
        <w:pStyle w:val="BodyText"/>
        <w:spacing w:line="304" w:lineRule="auto" w:before="150"/>
        <w:ind w:right="206" w:firstLine="420"/>
        <w:jc w:val="both"/>
      </w:pPr>
      <w:r>
        <w:rPr>
          <w:rFonts w:ascii="Times New Roman" w:hAnsi="Times New Roman" w:cs="Times New Roman" w:eastAsia="Times New Roman" w:hint="default"/>
          <w:spacing w:val="-2"/>
        </w:rPr>
        <w:t>2018</w:t>
      </w:r>
      <w:r>
        <w:rPr>
          <w:spacing w:val="-2"/>
        </w:rPr>
        <w:t>年公司将继续坚持</w:t>
      </w:r>
      <w:r>
        <w:rPr>
          <w:rFonts w:ascii="Times New Roman" w:hAnsi="Times New Roman" w:cs="Times New Roman" w:eastAsia="Times New Roman" w:hint="default"/>
          <w:spacing w:val="-2"/>
        </w:rPr>
        <w:t>“</w:t>
      </w:r>
      <w:r>
        <w:rPr>
          <w:spacing w:val="-2"/>
        </w:rPr>
        <w:t>行业引领、区域落实</w:t>
      </w:r>
      <w:r>
        <w:rPr>
          <w:rFonts w:ascii="Times New Roman" w:hAnsi="Times New Roman" w:cs="Times New Roman" w:eastAsia="Times New Roman" w:hint="default"/>
          <w:spacing w:val="-2"/>
        </w:rPr>
        <w:t>”</w:t>
      </w:r>
      <w:r>
        <w:rPr>
          <w:spacing w:val="-2"/>
        </w:rPr>
        <w:t>的发展战略，推动公司业务全面发展。坚持创新发展，</w:t>
      </w:r>
      <w:r>
        <w:rPr>
          <w:w w:val="100"/>
        </w:rPr>
        <w:t> </w:t>
      </w:r>
      <w:r>
        <w:rPr>
          <w:spacing w:val="-2"/>
        </w:rPr>
        <w:t>拥抱市场变化，以满足客户需求作为业务发展的源动力，拓展新兴业务领域。加强前沿技术研究，加大研</w:t>
      </w:r>
      <w:r>
        <w:rPr>
          <w:spacing w:val="-47"/>
        </w:rPr>
        <w:t> </w:t>
      </w:r>
      <w:r>
        <w:rPr>
          <w:spacing w:val="-47"/>
        </w:rPr>
      </w:r>
      <w:r>
        <w:rPr/>
        <w:t>发投入，全面提升公司的核心技术能力。提升管理水平，面向未来储备高水平人才。</w:t>
      </w:r>
    </w:p>
    <w:p>
      <w:pPr>
        <w:spacing w:after="0" w:line="304" w:lineRule="auto"/>
        <w:jc w:val="both"/>
        <w:sectPr>
          <w:pgSz w:w="11910" w:h="16840"/>
          <w:pgMar w:header="867" w:footer="979" w:top="1060" w:bottom="1160" w:left="1020" w:right="920"/>
        </w:sectPr>
      </w:pPr>
    </w:p>
    <w:p>
      <w:pPr>
        <w:spacing w:line="240" w:lineRule="auto" w:before="8"/>
        <w:rPr>
          <w:rFonts w:ascii="宋体" w:hAnsi="宋体" w:cs="宋体" w:eastAsia="宋体" w:hint="default"/>
          <w:sz w:val="26"/>
          <w:szCs w:val="26"/>
        </w:rPr>
      </w:pPr>
    </w:p>
    <w:p>
      <w:pPr>
        <w:pStyle w:val="Heading3"/>
        <w:spacing w:line="240" w:lineRule="auto" w:before="36"/>
        <w:ind w:left="535" w:right="0"/>
        <w:jc w:val="left"/>
        <w:rPr>
          <w:b w:val="0"/>
          <w:bCs w:val="0"/>
        </w:rPr>
      </w:pPr>
      <w:r>
        <w:rPr>
          <w:rFonts w:ascii="Times New Roman" w:hAnsi="Times New Roman" w:cs="Times New Roman" w:eastAsia="Times New Roman" w:hint="default"/>
        </w:rPr>
        <w:t>1</w:t>
      </w:r>
      <w:r>
        <w:rPr/>
        <w:t>、全面推进</w:t>
      </w:r>
      <w:r>
        <w:rPr>
          <w:rFonts w:ascii="Times New Roman" w:hAnsi="Times New Roman" w:cs="Times New Roman" w:eastAsia="Times New Roman" w:hint="default"/>
        </w:rPr>
        <w:t>“</w:t>
      </w:r>
      <w:r>
        <w:rPr/>
        <w:t>行业引领、区域落实</w:t>
      </w:r>
      <w:r>
        <w:rPr>
          <w:rFonts w:ascii="Times New Roman" w:hAnsi="Times New Roman" w:cs="Times New Roman" w:eastAsia="Times New Roman" w:hint="default"/>
        </w:rPr>
        <w:t>”</w:t>
      </w:r>
      <w:r>
        <w:rPr/>
        <w:t>发展战略</w:t>
      </w:r>
      <w:r>
        <w:rPr>
          <w:b w:val="0"/>
          <w:bCs w:val="0"/>
        </w:rPr>
      </w:r>
    </w:p>
    <w:p>
      <w:pPr>
        <w:pStyle w:val="BodyText"/>
        <w:spacing w:line="309" w:lineRule="auto" w:before="187"/>
        <w:ind w:right="0" w:firstLine="420"/>
        <w:jc w:val="left"/>
      </w:pPr>
      <w:r>
        <w:rPr/>
        <w:t>继续强化行业引领作用。政务行业继续丰富</w:t>
      </w:r>
      <w:r>
        <w:rPr>
          <w:rFonts w:ascii="Times New Roman" w:hAnsi="Times New Roman" w:cs="Times New Roman" w:eastAsia="Times New Roman" w:hint="default"/>
        </w:rPr>
        <w:t>“</w:t>
      </w:r>
      <w:r>
        <w:rPr/>
        <w:t>法人一证通</w:t>
      </w:r>
      <w:r>
        <w:rPr>
          <w:rFonts w:ascii="Times New Roman" w:hAnsi="Times New Roman" w:cs="Times New Roman" w:eastAsia="Times New Roman" w:hint="default"/>
        </w:rPr>
        <w:t>”</w:t>
      </w:r>
      <w:r>
        <w:rPr/>
        <w:t>与部委业务应用的对接，探索电子发票、电</w:t>
      </w:r>
      <w:r>
        <w:rPr>
          <w:w w:val="100"/>
        </w:rPr>
        <w:t> </w:t>
      </w:r>
      <w:r>
        <w:rPr/>
        <w:t>子合同等增值业务，同时在</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政务</w:t>
      </w:r>
      <w:r>
        <w:rPr>
          <w:rFonts w:ascii="Times New Roman" w:hAnsi="Times New Roman" w:cs="Times New Roman" w:eastAsia="Times New Roman" w:hint="default"/>
        </w:rPr>
        <w:t>”</w:t>
      </w:r>
      <w:r>
        <w:rPr/>
        <w:t>领域，推出自然人实名认证及统一身份认证管理、可信电子证</w:t>
      </w:r>
      <w:r>
        <w:rPr>
          <w:spacing w:val="-16"/>
        </w:rPr>
        <w:t> </w:t>
      </w:r>
      <w:r>
        <w:rPr>
          <w:spacing w:val="-16"/>
        </w:rPr>
      </w:r>
      <w:r>
        <w:rPr>
          <w:spacing w:val="-2"/>
        </w:rPr>
        <w:t>照、工商商事登记全流程无纸化等网络安全解决方案；卫生行业继续借助《电子病历应用管理规范》发布</w:t>
      </w:r>
      <w:r>
        <w:rPr>
          <w:spacing w:val="-47"/>
        </w:rPr>
        <w:t> </w:t>
      </w:r>
      <w:r>
        <w:rPr>
          <w:spacing w:val="-47"/>
        </w:rPr>
      </w:r>
      <w:r>
        <w:rPr>
          <w:spacing w:val="-2"/>
        </w:rPr>
        <w:t>的有利契机，大力推广全院无纸化电子签名，还将积极跟进公卫、平台、医院等机构的隐私保护需求，探</w:t>
      </w:r>
      <w:r>
        <w:rPr>
          <w:spacing w:val="-43"/>
        </w:rPr>
        <w:t> </w:t>
      </w:r>
      <w:r>
        <w:rPr>
          <w:spacing w:val="-43"/>
        </w:rPr>
      </w:r>
      <w:r>
        <w:rPr>
          <w:spacing w:val="-2"/>
        </w:rPr>
        <w:t>索医疗领域隐私保护网络安全解决方案，争取将试点项目树立为标杆案例；金融行业继续推进公司签名服</w:t>
      </w:r>
      <w:r>
        <w:rPr>
          <w:spacing w:val="-42"/>
        </w:rPr>
        <w:t> </w:t>
      </w:r>
      <w:r>
        <w:rPr>
          <w:spacing w:val="-42"/>
        </w:rPr>
      </w:r>
      <w:r>
        <w:rPr>
          <w:spacing w:val="-2"/>
        </w:rPr>
        <w:t>务在保险领域的应用力度，实现保险领域签名服务次数大幅增长，树立行业内电子签名领导企业形象。通</w:t>
      </w:r>
      <w:r>
        <w:rPr>
          <w:spacing w:val="-44"/>
        </w:rPr>
        <w:t> </w:t>
      </w:r>
      <w:r>
        <w:rPr>
          <w:spacing w:val="-44"/>
        </w:rPr>
      </w:r>
      <w:r>
        <w:rPr>
          <w:spacing w:val="-5"/>
        </w:rPr>
        <w:t>过直销及合作的模式，以手机银行证书应用、电子合同及无纸化柜面为切入点，制定有针对性的解决方案， </w:t>
      </w:r>
      <w:r>
        <w:rPr>
          <w:spacing w:val="-5"/>
        </w:rPr>
      </w:r>
      <w:r>
        <w:rPr>
          <w:spacing w:val="-2"/>
        </w:rPr>
        <w:t>拓展银行领域市场；教育行业继续参与外地多个省市自治区密码应用支撑平台的建设工作。以高校可信电</w:t>
      </w:r>
      <w:r>
        <w:rPr>
          <w:spacing w:val="-42"/>
        </w:rPr>
        <w:t> </w:t>
      </w:r>
      <w:r>
        <w:rPr>
          <w:spacing w:val="-42"/>
        </w:rPr>
      </w:r>
      <w:r>
        <w:rPr>
          <w:spacing w:val="-2"/>
        </w:rPr>
        <w:t>子文档解决方案为突破口，快速落地一批重点高校项目，建立行业领先优势，逐步撬动全国高校市场；在</w:t>
      </w:r>
      <w:r>
        <w:rPr>
          <w:spacing w:val="-47"/>
        </w:rPr>
        <w:t> </w:t>
      </w:r>
      <w:r>
        <w:rPr>
          <w:spacing w:val="-47"/>
        </w:rPr>
      </w:r>
      <w:r>
        <w:rPr>
          <w:spacing w:val="-2"/>
        </w:rPr>
        <w:t>企业信息化领域将可信电子合同解决方案作为切入企业领域的有力抓手，凭借万科、京东等标杆项目影响</w:t>
      </w:r>
      <w:r>
        <w:rPr>
          <w:spacing w:val="-44"/>
        </w:rPr>
        <w:t> </w:t>
      </w:r>
      <w:r>
        <w:rPr>
          <w:spacing w:val="-44"/>
        </w:rPr>
      </w:r>
      <w:r>
        <w:rPr/>
        <w:t>力，力争在多家大型企业部署实施公司的电子合同平台。</w:t>
      </w:r>
    </w:p>
    <w:p>
      <w:pPr>
        <w:pStyle w:val="BodyText"/>
        <w:spacing w:line="307" w:lineRule="auto" w:before="144"/>
        <w:ind w:right="0" w:firstLine="420"/>
        <w:jc w:val="left"/>
      </w:pPr>
      <w:r>
        <w:rPr/>
        <w:t>进一步加强外地区域业务拓展。基于公司外地业务比重逐渐加大的现状，公司在</w:t>
      </w:r>
      <w:r>
        <w:rPr>
          <w:rFonts w:ascii="Times New Roman" w:hAnsi="Times New Roman" w:cs="Times New Roman" w:eastAsia="Times New Roman" w:hint="default"/>
        </w:rPr>
        <w:t>2018</w:t>
      </w:r>
      <w:r>
        <w:rPr/>
        <w:t>年将进一步提升</w:t>
      </w:r>
      <w:r>
        <w:rPr>
          <w:w w:val="100"/>
        </w:rPr>
        <w:t> </w:t>
      </w:r>
      <w:r>
        <w:rPr>
          <w:spacing w:val="-5"/>
        </w:rPr>
        <w:t>外地区域的营销能力、售前能力、实施能力，提升公司在外地市场的综合竞争力，推动外地业务快速发展。</w:t>
      </w:r>
      <w:r>
        <w:rPr>
          <w:spacing w:val="-9"/>
        </w:rPr>
        <w:t> </w:t>
      </w:r>
      <w:r>
        <w:rPr>
          <w:spacing w:val="-9"/>
        </w:rPr>
      </w:r>
      <w:r>
        <w:rPr>
          <w:spacing w:val="-2"/>
        </w:rPr>
        <w:t>加强总部对外地业务的支持，完善各区域之间、区域与总部之间信息共享机制，将标杆案例在全国范围进</w:t>
      </w:r>
      <w:r>
        <w:rPr>
          <w:spacing w:val="-42"/>
        </w:rPr>
        <w:t> </w:t>
      </w:r>
      <w:r>
        <w:rPr>
          <w:spacing w:val="-42"/>
        </w:rPr>
      </w:r>
      <w:r>
        <w:rPr/>
        <w:t>行快速复制，抢占市场先机。</w:t>
      </w:r>
    </w:p>
    <w:p>
      <w:pPr>
        <w:spacing w:line="478" w:lineRule="exact" w:before="9"/>
        <w:ind w:left="53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、坚持创新驱动，注入发展新动能</w:t>
      </w:r>
      <w:r>
        <w:rPr>
          <w:rFonts w:ascii="宋体" w:hAnsi="宋体" w:cs="宋体" w:eastAsia="宋体" w:hint="default"/>
          <w:b/>
          <w:bCs/>
          <w:w w:val="100"/>
          <w:sz w:val="21"/>
          <w:szCs w:val="21"/>
        </w:rPr>
        <w:t> </w:t>
      </w:r>
      <w:r>
        <w:rPr>
          <w:rFonts w:ascii="宋体" w:hAnsi="宋体" w:cs="宋体" w:eastAsia="宋体" w:hint="default"/>
          <w:spacing w:val="-4"/>
          <w:sz w:val="21"/>
          <w:szCs w:val="21"/>
        </w:rPr>
        <w:t>持续优化现有产品，重构服务架构平台。研发高可用、高性能、高稳定性的</w:t>
      </w:r>
      <w:r>
        <w:rPr>
          <w:rFonts w:ascii="Times New Roman" w:hAnsi="Times New Roman" w:cs="Times New Roman" w:eastAsia="Times New Roman" w:hint="default"/>
          <w:spacing w:val="-4"/>
          <w:sz w:val="21"/>
          <w:szCs w:val="21"/>
        </w:rPr>
        <w:t>CA</w:t>
      </w:r>
      <w:r>
        <w:rPr>
          <w:rFonts w:ascii="宋体" w:hAnsi="宋体" w:cs="宋体" w:eastAsia="宋体" w:hint="default"/>
          <w:spacing w:val="-4"/>
          <w:sz w:val="21"/>
          <w:szCs w:val="21"/>
        </w:rPr>
        <w:t>引擎，以支撑亿级规模</w:t>
      </w:r>
    </w:p>
    <w:p>
      <w:pPr>
        <w:pStyle w:val="BodyText"/>
        <w:spacing w:line="312" w:lineRule="auto" w:before="19"/>
        <w:ind w:right="206"/>
        <w:jc w:val="both"/>
      </w:pPr>
      <w:r>
        <w:rPr>
          <w:spacing w:val="-2"/>
        </w:rPr>
        <w:t>的证书发放和海量数字签名业务有效开展。重构网络信任服务架构平台，统一信任服务的运维管理，构建</w:t>
      </w:r>
      <w:r>
        <w:rPr>
          <w:spacing w:val="-44"/>
        </w:rPr>
        <w:t> </w:t>
      </w:r>
      <w:r>
        <w:rPr>
          <w:spacing w:val="-44"/>
        </w:rPr>
      </w:r>
      <w:r>
        <w:rPr>
          <w:spacing w:val="-2"/>
        </w:rPr>
        <w:t>资源弹性扩展的业务平台，建立业务全天候监控的服务体系。在可管理信息安全管理方向上的产品研发投</w:t>
      </w:r>
      <w:r>
        <w:rPr>
          <w:spacing w:val="-42"/>
        </w:rPr>
        <w:t> </w:t>
      </w:r>
      <w:r>
        <w:rPr>
          <w:spacing w:val="-42"/>
        </w:rPr>
      </w:r>
      <w:r>
        <w:rPr>
          <w:spacing w:val="-2"/>
        </w:rPr>
        <w:t>入，重新设计安全运营平台架构，降低产品的实施难度和复杂度，缩短项目实施周期。研发网络流量回溯</w:t>
      </w:r>
      <w:r>
        <w:rPr>
          <w:spacing w:val="-50"/>
        </w:rPr>
        <w:t> </w:t>
      </w:r>
      <w:r>
        <w:rPr>
          <w:spacing w:val="-50"/>
        </w:rPr>
      </w:r>
      <w:r>
        <w:rPr/>
        <w:t>与分析系统，加强一体化网络安全运营监控平台的感知能力。</w:t>
      </w:r>
    </w:p>
    <w:p>
      <w:pPr>
        <w:pStyle w:val="BodyText"/>
        <w:spacing w:line="314" w:lineRule="auto" w:before="142"/>
        <w:ind w:right="185" w:firstLine="420"/>
        <w:jc w:val="both"/>
      </w:pPr>
      <w:r>
        <w:rPr>
          <w:spacing w:val="-2"/>
        </w:rPr>
        <w:t>进一步丰富和完善云密码服务体系，公司将依托云签名服务平台和数字服务基础设施，建立安全可靠</w:t>
      </w:r>
      <w:r>
        <w:rPr>
          <w:w w:val="100"/>
        </w:rPr>
        <w:t> </w:t>
      </w:r>
      <w:r>
        <w:rPr>
          <w:spacing w:val="-2"/>
        </w:rPr>
        <w:t>功能完备的云密码服务体系，向客户提供认证、身份鉴别、签名、签章等全方位的网络信任云服务，同时</w:t>
      </w:r>
      <w:r>
        <w:rPr>
          <w:spacing w:val="-43"/>
        </w:rPr>
        <w:t> </w:t>
      </w:r>
      <w:r>
        <w:rPr>
          <w:spacing w:val="-43"/>
        </w:rPr>
      </w:r>
      <w:r>
        <w:rPr>
          <w:spacing w:val="-2"/>
        </w:rPr>
        <w:t>也将构建电子合同管理云服务平台，向市场提供合同签订、流转、存储等全流程电子合同管理的云服务；</w:t>
      </w:r>
      <w:r>
        <w:rPr>
          <w:spacing w:val="-21"/>
        </w:rPr>
        <w:t> </w:t>
      </w:r>
      <w:r>
        <w:rPr>
          <w:spacing w:val="-21"/>
        </w:rPr>
      </w:r>
      <w:r>
        <w:rPr>
          <w:spacing w:val="-2"/>
        </w:rPr>
        <w:t>研究物联网时代下网络空间信任体系的相关技术，积极与汽车、家电、设备厂家展开合作，研发适合物联</w:t>
      </w:r>
      <w:r>
        <w:rPr>
          <w:spacing w:val="-46"/>
        </w:rPr>
        <w:t> </w:t>
      </w:r>
      <w:r>
        <w:rPr>
          <w:spacing w:val="-46"/>
        </w:rPr>
      </w:r>
      <w:r>
        <w:rPr/>
        <w:t>网场景的产品和服务。</w:t>
      </w:r>
    </w:p>
    <w:p>
      <w:pPr>
        <w:pStyle w:val="BodyText"/>
        <w:spacing w:line="314" w:lineRule="auto" w:before="137"/>
        <w:ind w:right="206" w:firstLine="420"/>
        <w:jc w:val="both"/>
      </w:pPr>
      <w:r>
        <w:rPr>
          <w:spacing w:val="-2"/>
        </w:rPr>
        <w:t>积极打造技术研发力量。公司将在武汉临空港网络安全基地投资建设研发运营中心。武汉研发运营中</w:t>
      </w:r>
      <w:r>
        <w:rPr>
          <w:w w:val="100"/>
        </w:rPr>
        <w:t> </w:t>
      </w:r>
      <w:r>
        <w:rPr>
          <w:spacing w:val="-2"/>
        </w:rPr>
        <w:t>心的设立充分借鉴和利用项目所在地的产业集群优势、人才优势和政策优势，为公司发展储备技术研发力</w:t>
      </w:r>
      <w:r>
        <w:rPr>
          <w:spacing w:val="-44"/>
        </w:rPr>
        <w:t> </w:t>
      </w:r>
      <w:r>
        <w:rPr>
          <w:spacing w:val="-44"/>
        </w:rPr>
      </w:r>
      <w:r>
        <w:rPr/>
        <w:t>量，为公司中长期发展规划的实现提供有力支撑。</w:t>
      </w:r>
    </w:p>
    <w:p>
      <w:pPr>
        <w:pStyle w:val="BodyText"/>
        <w:spacing w:line="295" w:lineRule="auto" w:before="140"/>
        <w:ind w:right="0" w:firstLine="420"/>
        <w:jc w:val="left"/>
      </w:pPr>
      <w:r>
        <w:rPr>
          <w:spacing w:val="-4"/>
        </w:rPr>
        <w:t>做好科研管理工作。按计划完成</w:t>
      </w:r>
      <w:r>
        <w:rPr>
          <w:rFonts w:ascii="Times New Roman" w:hAnsi="Times New Roman" w:cs="Times New Roman" w:eastAsia="Times New Roman" w:hint="default"/>
          <w:spacing w:val="-4"/>
        </w:rPr>
        <w:t>“</w:t>
      </w:r>
      <w:r>
        <w:rPr>
          <w:spacing w:val="-4"/>
        </w:rPr>
        <w:t>基于国产密码算法的服务认证与证明关键技术</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基于国产密码算法</w:t>
      </w:r>
      <w:r>
        <w:rPr>
          <w:w w:val="100"/>
        </w:rPr>
        <w:t> </w:t>
      </w:r>
      <w:r>
        <w:rPr/>
        <w:t>的移动互联网密码服务支撑基础设施关键技术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网络可信身份管理技术研究</w:t>
      </w:r>
      <w:r>
        <w:rPr>
          <w:rFonts w:ascii="Times New Roman" w:hAnsi="Times New Roman" w:cs="Times New Roman" w:eastAsia="Times New Roman" w:hint="default"/>
        </w:rPr>
        <w:t>”</w:t>
      </w:r>
      <w:r>
        <w:rPr/>
        <w:t>等课题研究工作。</w:t>
      </w:r>
    </w:p>
    <w:p>
      <w:pPr>
        <w:spacing w:line="393" w:lineRule="auto" w:before="136"/>
        <w:ind w:left="53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、积极利用资本力量推动公司发展</w:t>
      </w:r>
      <w:r>
        <w:rPr>
          <w:rFonts w:ascii="宋体" w:hAnsi="宋体" w:cs="宋体" w:eastAsia="宋体" w:hint="default"/>
          <w:b/>
          <w:bCs/>
          <w:w w:val="100"/>
          <w:sz w:val="21"/>
          <w:szCs w:val="21"/>
        </w:rPr>
        <w:t> </w:t>
      </w:r>
      <w:r>
        <w:rPr>
          <w:rFonts w:ascii="宋体" w:hAnsi="宋体" w:cs="宋体" w:eastAsia="宋体" w:hint="default"/>
          <w:spacing w:val="-2"/>
          <w:sz w:val="21"/>
          <w:szCs w:val="21"/>
        </w:rPr>
        <w:t>利用投资并购手段提升核心竞争力。依据公司战略规划，从加强技术能力、扩大市场份额等方面寻找</w:t>
      </w:r>
    </w:p>
    <w:p>
      <w:pPr>
        <w:pStyle w:val="BodyText"/>
        <w:spacing w:line="226" w:lineRule="exact"/>
        <w:ind w:right="0"/>
        <w:jc w:val="both"/>
      </w:pPr>
      <w:r>
        <w:rPr/>
        <w:t>网络安全优质企业，加速产业链资源布局整合；围绕网络安全衍生业务领域，寻找与公司战略协同一致的</w:t>
      </w:r>
    </w:p>
    <w:p>
      <w:pPr>
        <w:pStyle w:val="BodyText"/>
        <w:spacing w:line="240" w:lineRule="auto" w:before="82"/>
        <w:ind w:right="0"/>
        <w:jc w:val="both"/>
      </w:pPr>
      <w:r>
        <w:rPr/>
        <w:t>企业进行资本层面合作，丰富公司行业资源，拓展衍生业务领域，助力公司发展。</w:t>
      </w:r>
    </w:p>
    <w:p>
      <w:pPr>
        <w:spacing w:after="0" w:line="240" w:lineRule="auto"/>
        <w:jc w:val="both"/>
        <w:sectPr>
          <w:pgSz w:w="11910" w:h="16840"/>
          <w:pgMar w:header="867" w:footer="979" w:top="1060" w:bottom="1160" w:left="1020" w:right="920"/>
        </w:sectPr>
      </w:pPr>
    </w:p>
    <w:p>
      <w:pPr>
        <w:spacing w:line="240" w:lineRule="auto" w:before="8"/>
        <w:rPr>
          <w:rFonts w:ascii="宋体" w:hAnsi="宋体" w:cs="宋体" w:eastAsia="宋体" w:hint="default"/>
          <w:sz w:val="26"/>
          <w:szCs w:val="26"/>
        </w:rPr>
      </w:pPr>
    </w:p>
    <w:p>
      <w:pPr>
        <w:spacing w:line="393" w:lineRule="auto" w:before="36"/>
        <w:ind w:left="53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、提高公司管理水平，提升员工绩效</w:t>
      </w:r>
      <w:r>
        <w:rPr>
          <w:rFonts w:ascii="宋体" w:hAnsi="宋体" w:cs="宋体" w:eastAsia="宋体" w:hint="default"/>
          <w:b/>
          <w:bCs/>
          <w:w w:val="100"/>
          <w:sz w:val="21"/>
          <w:szCs w:val="21"/>
        </w:rPr>
        <w:t> </w:t>
      </w:r>
      <w:r>
        <w:rPr>
          <w:rFonts w:ascii="宋体" w:hAnsi="宋体" w:cs="宋体" w:eastAsia="宋体" w:hint="default"/>
          <w:spacing w:val="-2"/>
          <w:sz w:val="21"/>
          <w:szCs w:val="21"/>
        </w:rPr>
        <w:t>优化组织架构及经营管理模式。明确公司各事业部的核算制度，适当下放经营决策权，激励全体员工</w:t>
      </w:r>
    </w:p>
    <w:p>
      <w:pPr>
        <w:pStyle w:val="BodyText"/>
        <w:spacing w:line="226" w:lineRule="exact"/>
        <w:ind w:right="0"/>
        <w:jc w:val="both"/>
      </w:pPr>
      <w:r>
        <w:rPr/>
        <w:t>为了公司的发展而齐心协力地参与经营，将销售、咨询、交付的利益与项目回款挂钩，从制度上促进资金</w:t>
      </w:r>
    </w:p>
    <w:p>
      <w:pPr>
        <w:pStyle w:val="BodyText"/>
        <w:spacing w:line="314" w:lineRule="auto" w:before="82"/>
        <w:ind w:right="206"/>
        <w:jc w:val="both"/>
      </w:pPr>
      <w:r>
        <w:rPr>
          <w:spacing w:val="-2"/>
        </w:rPr>
        <w:t>快速回流。实现激励方式的多样性，用金牌员工、金牌团队、解决方案大赛、服务和管理创新奖等多种方</w:t>
      </w:r>
      <w:r>
        <w:rPr>
          <w:spacing w:val="-43"/>
        </w:rPr>
        <w:t> </w:t>
      </w:r>
      <w:r>
        <w:rPr>
          <w:spacing w:val="-43"/>
        </w:rPr>
      </w:r>
      <w:r>
        <w:rPr>
          <w:spacing w:val="-2"/>
        </w:rPr>
        <w:t>式对员工进行激励，调动基层员工的积极性、增强集体荣誉感，以待遇留人、感情留人、事业留人，实现</w:t>
      </w:r>
      <w:r>
        <w:rPr>
          <w:spacing w:val="-45"/>
        </w:rPr>
        <w:t> </w:t>
      </w:r>
      <w:r>
        <w:rPr>
          <w:spacing w:val="-45"/>
        </w:rPr>
      </w:r>
      <w:r>
        <w:rPr>
          <w:spacing w:val="-2"/>
        </w:rPr>
        <w:t>员工利益与企业发展的双赢。开展校企合作，集聚后续人才，形成稳定且专业对口的应届生招聘生源，为</w:t>
      </w:r>
      <w:r>
        <w:rPr>
          <w:spacing w:val="-44"/>
        </w:rPr>
        <w:t> </w:t>
      </w:r>
      <w:r>
        <w:rPr>
          <w:spacing w:val="-44"/>
        </w:rPr>
      </w:r>
      <w:r>
        <w:rPr/>
        <w:t>公司后续发展集聚力量。</w:t>
      </w:r>
    </w:p>
    <w:p>
      <w:pPr>
        <w:pStyle w:val="Heading3"/>
        <w:spacing w:line="240" w:lineRule="auto" w:before="137"/>
        <w:ind w:left="535" w:right="0"/>
        <w:jc w:val="left"/>
        <w:rPr>
          <w:b w:val="0"/>
          <w:bCs w:val="0"/>
        </w:rPr>
      </w:pPr>
      <w:r>
        <w:rPr/>
        <w:t>（三）公司经营风险及应对措施</w:t>
      </w:r>
      <w:r>
        <w:rPr>
          <w:b w:val="0"/>
          <w:bCs w:val="0"/>
        </w:rPr>
      </w:r>
    </w:p>
    <w:p>
      <w:pPr>
        <w:spacing w:line="240" w:lineRule="auto" w:before="10"/>
        <w:rPr>
          <w:rFonts w:ascii="宋体" w:hAnsi="宋体" w:cs="宋体" w:eastAsia="宋体" w:hint="default"/>
          <w:b/>
          <w:bCs/>
          <w:sz w:val="15"/>
          <w:szCs w:val="15"/>
        </w:rPr>
      </w:pPr>
    </w:p>
    <w:p>
      <w:pPr>
        <w:pStyle w:val="Heading3"/>
        <w:spacing w:line="240" w:lineRule="auto"/>
        <w:ind w:left="535" w:right="0"/>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w:t>
      </w:r>
      <w:r>
        <w:rPr/>
        <w:t>北京市法人一证通</w:t>
      </w:r>
      <w:r>
        <w:rPr>
          <w:rFonts w:ascii="Times New Roman" w:hAnsi="Times New Roman" w:cs="Times New Roman" w:eastAsia="Times New Roman" w:hint="default"/>
        </w:rPr>
        <w:t>”</w:t>
      </w:r>
      <w:r>
        <w:rPr/>
        <w:t>项目风险</w:t>
      </w:r>
      <w:r>
        <w:rPr>
          <w:b w:val="0"/>
          <w:bCs w:val="0"/>
        </w:rPr>
      </w:r>
    </w:p>
    <w:p>
      <w:pPr>
        <w:pStyle w:val="BodyText"/>
        <w:spacing w:line="295" w:lineRule="auto" w:before="187"/>
        <w:ind w:right="206" w:firstLine="420"/>
        <w:jc w:val="both"/>
      </w:pPr>
      <w:r>
        <w:rPr>
          <w:rFonts w:ascii="Times New Roman" w:hAnsi="Times New Roman" w:cs="Times New Roman" w:eastAsia="Times New Roman" w:hint="default"/>
        </w:rPr>
        <w:t>2015 </w:t>
      </w:r>
      <w:r>
        <w:rPr/>
        <w:t>年底公司在北京市经信委举办的公开招标中成功中标，取得北京市</w:t>
      </w:r>
      <w:r>
        <w:rPr>
          <w:rFonts w:ascii="Times New Roman" w:hAnsi="Times New Roman" w:cs="Times New Roman" w:eastAsia="Times New Roman" w:hint="default"/>
        </w:rPr>
        <w:t>2016-2018</w:t>
      </w:r>
      <w:r>
        <w:rPr>
          <w:rFonts w:ascii="Times New Roman" w:hAnsi="Times New Roman" w:cs="Times New Roman" w:eastAsia="Times New Roman" w:hint="default"/>
          <w:spacing w:val="30"/>
        </w:rPr>
        <w:t> </w:t>
      </w:r>
      <w:r>
        <w:rPr/>
        <w:t>年</w:t>
      </w:r>
      <w:r>
        <w:rPr>
          <w:rFonts w:ascii="Times New Roman" w:hAnsi="Times New Roman" w:cs="Times New Roman" w:eastAsia="Times New Roman" w:hint="default"/>
        </w:rPr>
        <w:t>“</w:t>
      </w:r>
      <w:r>
        <w:rPr/>
        <w:t>法人一证通</w:t>
      </w:r>
      <w:r>
        <w:rPr>
          <w:rFonts w:ascii="Times New Roman" w:hAnsi="Times New Roman" w:cs="Times New Roman" w:eastAsia="Times New Roman" w:hint="default"/>
        </w:rPr>
        <w:t>”</w:t>
      </w:r>
      <w:r>
        <w:rPr/>
        <w:t>数</w:t>
      </w:r>
      <w:r>
        <w:rPr>
          <w:w w:val="100"/>
        </w:rPr>
        <w:t> </w:t>
      </w:r>
      <w:r>
        <w:rPr>
          <w:spacing w:val="-2"/>
        </w:rPr>
        <w:t>字证书服务商资格。</w:t>
      </w:r>
      <w:r>
        <w:rPr>
          <w:rFonts w:ascii="Times New Roman" w:hAnsi="Times New Roman" w:cs="Times New Roman" w:eastAsia="Times New Roman" w:hint="default"/>
          <w:spacing w:val="-2"/>
        </w:rPr>
        <w:t>“</w:t>
      </w:r>
      <w:r>
        <w:rPr>
          <w:spacing w:val="-2"/>
        </w:rPr>
        <w:t>法人一证通</w:t>
      </w:r>
      <w:r>
        <w:rPr>
          <w:rFonts w:ascii="Times New Roman" w:hAnsi="Times New Roman" w:cs="Times New Roman" w:eastAsia="Times New Roman" w:hint="default"/>
          <w:spacing w:val="-2"/>
        </w:rPr>
        <w:t>”</w:t>
      </w:r>
      <w:r>
        <w:rPr>
          <w:spacing w:val="-2"/>
        </w:rPr>
        <w:t>项目在为公司带来经济效益的同时，也相应增加了经营风险。未来公司</w:t>
      </w:r>
      <w:r>
        <w:rPr>
          <w:spacing w:val="-19"/>
        </w:rPr>
        <w:t> </w:t>
      </w:r>
      <w:r>
        <w:rPr>
          <w:spacing w:val="-19"/>
        </w:rPr>
      </w:r>
      <w:r>
        <w:rPr/>
        <w:t>将再次投标北京市</w:t>
      </w:r>
      <w:r>
        <w:rPr>
          <w:rFonts w:ascii="Times New Roman" w:hAnsi="Times New Roman" w:cs="Times New Roman" w:eastAsia="Times New Roman" w:hint="default"/>
        </w:rPr>
        <w:t>“</w:t>
      </w:r>
      <w:r>
        <w:rPr/>
        <w:t>法人一证通</w:t>
      </w:r>
      <w:r>
        <w:rPr>
          <w:rFonts w:ascii="Times New Roman" w:hAnsi="Times New Roman" w:cs="Times New Roman" w:eastAsia="Times New Roman" w:hint="default"/>
        </w:rPr>
        <w:t>”</w:t>
      </w:r>
      <w:r>
        <w:rPr/>
        <w:t>项目，存在无法中标或项目收益下降的风险。</w:t>
      </w:r>
    </w:p>
    <w:p>
      <w:pPr>
        <w:pStyle w:val="BodyText"/>
        <w:spacing w:line="312" w:lineRule="auto" w:before="136"/>
        <w:ind w:right="206" w:firstLine="420"/>
        <w:jc w:val="both"/>
      </w:pPr>
      <w:r>
        <w:rPr>
          <w:spacing w:val="-2"/>
        </w:rPr>
        <w:t>应对措施：公司将进一步深化法人一证通的应用范围，增加企业和政府业务部门的使用粘性，争取再</w:t>
      </w:r>
      <w:r>
        <w:rPr>
          <w:w w:val="100"/>
        </w:rPr>
        <w:t> </w:t>
      </w:r>
      <w:r>
        <w:rPr/>
        <w:t>次成功中标，同时将探索法人一证通的增值服务，从整体角度提升项目收益。</w:t>
      </w:r>
    </w:p>
    <w:p>
      <w:pPr>
        <w:spacing w:line="393" w:lineRule="auto" w:before="142"/>
        <w:ind w:left="53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、信息技术快速进步带来的风险</w:t>
      </w:r>
      <w:r>
        <w:rPr>
          <w:rFonts w:ascii="宋体" w:hAnsi="宋体" w:cs="宋体" w:eastAsia="宋体" w:hint="default"/>
          <w:b/>
          <w:bCs/>
          <w:w w:val="100"/>
          <w:sz w:val="21"/>
          <w:szCs w:val="21"/>
        </w:rPr>
        <w:t> </w:t>
      </w:r>
      <w:r>
        <w:rPr>
          <w:rFonts w:ascii="宋体" w:hAnsi="宋体" w:cs="宋体" w:eastAsia="宋体" w:hint="default"/>
          <w:spacing w:val="-2"/>
          <w:sz w:val="21"/>
          <w:szCs w:val="21"/>
        </w:rPr>
        <w:t>目前，随着云计算、物联网、移动化、大数据、智慧化城市等新技术的大规模应用，固定防御边界的</w:t>
      </w:r>
    </w:p>
    <w:p>
      <w:pPr>
        <w:pStyle w:val="BodyText"/>
        <w:spacing w:line="226" w:lineRule="exact"/>
        <w:ind w:right="0"/>
        <w:jc w:val="both"/>
      </w:pPr>
      <w:r>
        <w:rPr/>
        <w:t>网络安全解决方案已难以应对新的网络安全威胁，网络安全市场对产品形式的需求将逐渐减少，对服务形</w:t>
      </w:r>
    </w:p>
    <w:p>
      <w:pPr>
        <w:pStyle w:val="BodyText"/>
        <w:spacing w:line="240" w:lineRule="auto" w:before="82"/>
        <w:ind w:right="0"/>
        <w:jc w:val="both"/>
      </w:pPr>
      <w:r>
        <w:rPr/>
        <w:t>式的需求将逐渐增多，网络安全产业现有业务模式需要优化改进，以逐步适应新形态信息系统的要求。</w:t>
      </w:r>
    </w:p>
    <w:p>
      <w:pPr>
        <w:spacing w:line="240" w:lineRule="auto" w:before="9"/>
        <w:rPr>
          <w:rFonts w:ascii="宋体" w:hAnsi="宋体" w:cs="宋体" w:eastAsia="宋体" w:hint="default"/>
          <w:sz w:val="15"/>
          <w:szCs w:val="15"/>
        </w:rPr>
      </w:pPr>
    </w:p>
    <w:p>
      <w:pPr>
        <w:pStyle w:val="BodyText"/>
        <w:spacing w:line="314" w:lineRule="auto"/>
        <w:ind w:right="184" w:firstLine="420"/>
        <w:jc w:val="both"/>
      </w:pPr>
      <w:r>
        <w:rPr>
          <w:spacing w:val="-2"/>
        </w:rPr>
        <w:t>应对措施：公司将持续加大新的产品服务的设计研发及推广力度，以适应新技术环境下的业务变化。</w:t>
      </w:r>
      <w:r>
        <w:rPr>
          <w:w w:val="100"/>
        </w:rPr>
        <w:t> </w:t>
      </w:r>
      <w:r>
        <w:rPr>
          <w:spacing w:val="-2"/>
        </w:rPr>
        <w:t>公司将在物联网方面展开积极探索，寻找公司业务新的应用场景；同时加大电子签名服务的资源投入，丰</w:t>
      </w:r>
      <w:r>
        <w:rPr>
          <w:spacing w:val="-44"/>
        </w:rPr>
        <w:t> </w:t>
      </w:r>
      <w:r>
        <w:rPr>
          <w:spacing w:val="-44"/>
        </w:rPr>
      </w:r>
      <w:r>
        <w:rPr/>
        <w:t>富功能、提升性能，不断完善云签名及认证服务体系建设。</w:t>
      </w:r>
    </w:p>
    <w:p>
      <w:pPr>
        <w:spacing w:line="396" w:lineRule="auto" w:before="137"/>
        <w:ind w:left="53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、业务收入季节性波动风险</w:t>
      </w:r>
      <w:r>
        <w:rPr>
          <w:rFonts w:ascii="宋体" w:hAnsi="宋体" w:cs="宋体" w:eastAsia="宋体" w:hint="default"/>
          <w:b/>
          <w:bCs/>
          <w:w w:val="100"/>
          <w:sz w:val="21"/>
          <w:szCs w:val="21"/>
        </w:rPr>
        <w:t> </w:t>
      </w:r>
      <w:r>
        <w:rPr>
          <w:rFonts w:ascii="宋体" w:hAnsi="宋体" w:cs="宋体" w:eastAsia="宋体" w:hint="default"/>
          <w:spacing w:val="-2"/>
          <w:sz w:val="21"/>
          <w:szCs w:val="21"/>
        </w:rPr>
        <w:t>政府部门是公司目前集成业务的主要客户群体，此类客户大多在上半年对全年投资和采购进行规划，</w:t>
      </w:r>
    </w:p>
    <w:p>
      <w:pPr>
        <w:pStyle w:val="BodyText"/>
        <w:spacing w:line="237" w:lineRule="exact"/>
        <w:ind w:right="0"/>
        <w:jc w:val="both"/>
      </w:pPr>
      <w:r>
        <w:rPr/>
        <w:t>下半年甚至第四季度进行招标、项目验收和项目结算，公司业务收入也随之呈现季节性波动，</w:t>
      </w:r>
      <w:r>
        <w:rPr>
          <w:rFonts w:ascii="Times New Roman" w:hAnsi="Times New Roman" w:cs="Times New Roman" w:eastAsia="Times New Roman" w:hint="default"/>
        </w:rPr>
        <w:t>2017</w:t>
      </w:r>
      <w:r>
        <w:rPr/>
        <w:t>年公司</w:t>
      </w:r>
    </w:p>
    <w:p>
      <w:pPr>
        <w:pStyle w:val="BodyText"/>
        <w:spacing w:line="393" w:lineRule="auto" w:before="70"/>
        <w:ind w:left="533" w:right="0" w:hanging="421"/>
        <w:jc w:val="left"/>
      </w:pPr>
      <w:r>
        <w:rPr/>
        <w:t>第四季度营业收入占全年营业收入</w:t>
      </w:r>
      <w:r>
        <w:rPr>
          <w:rFonts w:ascii="Times New Roman" w:hAnsi="Times New Roman" w:cs="Times New Roman" w:eastAsia="Times New Roman" w:hint="default"/>
        </w:rPr>
        <w:t>47.97%</w:t>
      </w:r>
      <w:r>
        <w:rPr/>
        <w:t>。</w:t>
      </w:r>
      <w:r>
        <w:rPr>
          <w:w w:val="100"/>
        </w:rPr>
        <w:t> </w:t>
      </w:r>
      <w:r>
        <w:rPr>
          <w:spacing w:val="-2"/>
        </w:rPr>
        <w:t>应对措施：公司将进一步加强业务拓展领域，积极开发不同领域的优质客户，从而减少季节性波动对</w:t>
      </w:r>
    </w:p>
    <w:p>
      <w:pPr>
        <w:pStyle w:val="BodyText"/>
        <w:spacing w:line="226" w:lineRule="exact"/>
        <w:ind w:right="0"/>
        <w:jc w:val="both"/>
      </w:pPr>
      <w:r>
        <w:rPr/>
        <w:t>生产经营的不利影响。</w:t>
      </w:r>
    </w:p>
    <w:p>
      <w:pPr>
        <w:pStyle w:val="BodyText"/>
        <w:spacing w:line="480" w:lineRule="atLeast" w:before="13"/>
        <w:ind w:left="533" w:right="0" w:firstLine="2"/>
        <w:jc w:val="left"/>
      </w:pPr>
      <w:r>
        <w:rPr>
          <w:rFonts w:ascii="Times New Roman" w:hAnsi="Times New Roman" w:cs="Times New Roman" w:eastAsia="Times New Roman" w:hint="default"/>
          <w:b/>
          <w:bCs/>
        </w:rPr>
        <w:t>4</w:t>
      </w:r>
      <w:r>
        <w:rPr>
          <w:rFonts w:ascii="宋体" w:hAnsi="宋体" w:cs="宋体" w:eastAsia="宋体" w:hint="default"/>
          <w:b/>
          <w:bCs/>
        </w:rPr>
        <w:t>、应收账款较高风险</w:t>
      </w:r>
      <w:r>
        <w:rPr>
          <w:rFonts w:ascii="宋体" w:hAnsi="宋体" w:cs="宋体" w:eastAsia="宋体" w:hint="default"/>
          <w:b/>
          <w:bCs/>
          <w:w w:val="100"/>
        </w:rPr>
        <w:t> </w:t>
      </w:r>
      <w:r>
        <w:rPr>
          <w:spacing w:val="-4"/>
        </w:rPr>
        <w:t>随着经营规模持续扩大，公司应收账款余额呈增加趋势。报告期末，公司应收账款总额</w:t>
      </w:r>
      <w:r>
        <w:rPr>
          <w:rFonts w:ascii="Times New Roman" w:hAnsi="Times New Roman" w:cs="Times New Roman" w:eastAsia="Times New Roman" w:hint="default"/>
          <w:spacing w:val="-4"/>
        </w:rPr>
        <w:t>18,186.27</w:t>
      </w:r>
      <w:r>
        <w:rPr>
          <w:spacing w:val="-4"/>
        </w:rPr>
        <w:t>万元，</w:t>
      </w:r>
    </w:p>
    <w:p>
      <w:pPr>
        <w:pStyle w:val="BodyText"/>
        <w:spacing w:line="304" w:lineRule="auto" w:before="67"/>
        <w:ind w:right="206"/>
        <w:jc w:val="both"/>
      </w:pPr>
      <w:r>
        <w:rPr>
          <w:spacing w:val="-3"/>
        </w:rPr>
        <w:t>比期初增长</w:t>
      </w:r>
      <w:r>
        <w:rPr>
          <w:rFonts w:ascii="Times New Roman" w:hAnsi="Times New Roman" w:cs="Times New Roman" w:eastAsia="Times New Roman" w:hint="default"/>
          <w:spacing w:val="-3"/>
        </w:rPr>
        <w:t>12.59%</w:t>
      </w:r>
      <w:r>
        <w:rPr>
          <w:spacing w:val="-3"/>
        </w:rPr>
        <w:t>。其中账龄为</w:t>
      </w:r>
      <w:r>
        <w:rPr>
          <w:rFonts w:ascii="Times New Roman" w:hAnsi="Times New Roman" w:cs="Times New Roman" w:eastAsia="Times New Roman" w:hint="default"/>
          <w:spacing w:val="-3"/>
        </w:rPr>
        <w:t>1</w:t>
      </w:r>
      <w:r>
        <w:rPr>
          <w:spacing w:val="-3"/>
        </w:rPr>
        <w:t>年以上的应收账款金额为</w:t>
      </w:r>
      <w:r>
        <w:rPr>
          <w:rFonts w:ascii="Times New Roman" w:hAnsi="Times New Roman" w:cs="Times New Roman" w:eastAsia="Times New Roman" w:hint="default"/>
          <w:spacing w:val="-3"/>
        </w:rPr>
        <w:t>9,678.36</w:t>
      </w:r>
      <w:r>
        <w:rPr>
          <w:spacing w:val="-3"/>
        </w:rPr>
        <w:t>万元，比期初增长</w:t>
      </w:r>
      <w:r>
        <w:rPr>
          <w:rFonts w:ascii="Times New Roman" w:hAnsi="Times New Roman" w:cs="Times New Roman" w:eastAsia="Times New Roman" w:hint="default"/>
          <w:spacing w:val="-3"/>
        </w:rPr>
        <w:t>31.47%</w:t>
      </w:r>
      <w:r>
        <w:rPr>
          <w:spacing w:val="-3"/>
        </w:rPr>
        <w:t>。如客户资信 </w:t>
      </w:r>
      <w:r>
        <w:rPr>
          <w:spacing w:val="-2"/>
        </w:rPr>
        <w:t>状况发生变化，公司可能面临部分应收账款不能及时回收的风险，进而影响经营性现金流入，对经营产生</w:t>
      </w:r>
      <w:r>
        <w:rPr>
          <w:spacing w:val="-45"/>
        </w:rPr>
        <w:t> </w:t>
      </w:r>
      <w:r>
        <w:rPr>
          <w:spacing w:val="-45"/>
        </w:rPr>
      </w:r>
      <w:r>
        <w:rPr/>
        <w:t>不利影响。</w:t>
      </w:r>
    </w:p>
    <w:p>
      <w:pPr>
        <w:pStyle w:val="BodyText"/>
        <w:spacing w:line="312" w:lineRule="auto" w:before="149"/>
        <w:ind w:right="208" w:firstLine="420"/>
        <w:jc w:val="both"/>
      </w:pPr>
      <w:r>
        <w:rPr>
          <w:spacing w:val="-2"/>
        </w:rPr>
        <w:t>应对措施：公司将进一步完善应收账款管理制度，采取相应措施对应收账款持续跟进、及时催收，对</w:t>
      </w:r>
      <w:r>
        <w:rPr>
          <w:w w:val="100"/>
        </w:rPr>
        <w:t> </w:t>
      </w:r>
      <w:r>
        <w:rPr/>
        <w:t>资金风险及时预警，缩短回款周期，提高资金周转率，及时控制应收账款风险。</w:t>
      </w:r>
    </w:p>
    <w:p>
      <w:pPr>
        <w:spacing w:after="0" w:line="312" w:lineRule="auto"/>
        <w:jc w:val="both"/>
        <w:sectPr>
          <w:footerReference w:type="default" r:id="rId12"/>
          <w:pgSz w:w="11910" w:h="16840"/>
          <w:pgMar w:footer="979" w:header="867" w:top="1060" w:bottom="1160" w:left="1020" w:right="920"/>
          <w:pgNumType w:start="26"/>
        </w:sectPr>
      </w:pPr>
    </w:p>
    <w:p>
      <w:pPr>
        <w:spacing w:line="240" w:lineRule="auto" w:before="11"/>
        <w:rPr>
          <w:rFonts w:ascii="宋体" w:hAnsi="宋体" w:cs="宋体" w:eastAsia="宋体" w:hint="default"/>
          <w:sz w:val="23"/>
          <w:szCs w:val="23"/>
        </w:rPr>
      </w:pPr>
    </w:p>
    <w:p>
      <w:pPr>
        <w:pStyle w:val="Heading2"/>
        <w:spacing w:line="240" w:lineRule="auto" w:before="26"/>
        <w:ind w:left="532" w:right="0"/>
        <w:jc w:val="left"/>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532"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spacing w:before="0"/>
        <w:ind w:left="5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1563"/>
        <w:gridCol w:w="991"/>
        <w:gridCol w:w="850"/>
        <w:gridCol w:w="7088"/>
      </w:tblGrid>
      <w:tr>
        <w:trPr>
          <w:trHeight w:val="713" w:hRule="exact"/>
        </w:trPr>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9" w:right="58" w:hanging="180"/>
              <w:jc w:val="left"/>
              <w:rPr>
                <w:rFonts w:ascii="宋体" w:hAnsi="宋体" w:cs="宋体" w:eastAsia="宋体" w:hint="default"/>
                <w:sz w:val="18"/>
                <w:szCs w:val="18"/>
              </w:rPr>
            </w:pPr>
            <w:r>
              <w:rPr>
                <w:rFonts w:ascii="宋体" w:hAnsi="宋体" w:cs="宋体" w:eastAsia="宋体" w:hint="default"/>
                <w:sz w:val="18"/>
                <w:szCs w:val="18"/>
              </w:rPr>
              <w:t>接待对象 类型</w:t>
            </w:r>
          </w:p>
        </w:tc>
        <w:tc>
          <w:tcPr>
            <w:tcW w:w="7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7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w:t>
              </w:r>
            </w:hyperlink>
            <w:r>
              <w:rPr>
                <w:rFonts w:ascii="Times New Roman" w:hAnsi="Times New Roman" w:cs="Times New Roman" w:eastAsia="Times New Roman" w:hint="default"/>
                <w:sz w:val="18"/>
                <w:szCs w:val="18"/>
              </w:rPr>
              <w:t>p</w:t>
            </w:r>
            <w:hyperlink r:id="rId13">
              <w:r>
                <w:rPr>
                  <w:rFonts w:ascii="Times New Roman" w:hAnsi="Times New Roman" w:cs="Times New Roman" w:eastAsia="Times New Roman" w:hint="default"/>
                  <w:sz w:val="18"/>
                  <w:szCs w:val="18"/>
                </w:rPr>
                <w:t>://www.cninfo.com.cn/information/companyinfo_n.html?fulltext?szcn300579)</w:t>
              </w:r>
            </w:hyperlink>
          </w:p>
        </w:tc>
      </w:tr>
      <w:tr>
        <w:trPr>
          <w:trHeight w:val="40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7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w:t>
              </w:r>
            </w:hyperlink>
            <w:r>
              <w:rPr>
                <w:rFonts w:ascii="Times New Roman" w:hAnsi="Times New Roman" w:cs="Times New Roman" w:eastAsia="Times New Roman" w:hint="default"/>
                <w:sz w:val="18"/>
                <w:szCs w:val="18"/>
              </w:rPr>
              <w:t>p</w:t>
            </w:r>
            <w:hyperlink r:id="rId13">
              <w:r>
                <w:rPr>
                  <w:rFonts w:ascii="Times New Roman" w:hAnsi="Times New Roman" w:cs="Times New Roman" w:eastAsia="Times New Roman" w:hint="default"/>
                  <w:sz w:val="18"/>
                  <w:szCs w:val="18"/>
                </w:rPr>
                <w:t>://www.cninfo.com.cn/information/companyinfo_n.html?fulltext?szcn300579)</w:t>
              </w:r>
            </w:hyperlink>
          </w:p>
        </w:tc>
      </w:tr>
      <w:tr>
        <w:trPr>
          <w:trHeight w:val="40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7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w:t>
              </w:r>
            </w:hyperlink>
            <w:r>
              <w:rPr>
                <w:rFonts w:ascii="Times New Roman" w:hAnsi="Times New Roman" w:cs="Times New Roman" w:eastAsia="Times New Roman" w:hint="default"/>
                <w:sz w:val="18"/>
                <w:szCs w:val="18"/>
              </w:rPr>
              <w:t>p</w:t>
            </w:r>
            <w:hyperlink r:id="rId13">
              <w:r>
                <w:rPr>
                  <w:rFonts w:ascii="Times New Roman" w:hAnsi="Times New Roman" w:cs="Times New Roman" w:eastAsia="Times New Roman" w:hint="default"/>
                  <w:sz w:val="18"/>
                  <w:szCs w:val="18"/>
                </w:rPr>
                <w:t>://www.cninfo.com.cn/information/companyinfo_n.html?fulltext?szcn300579)</w:t>
              </w:r>
            </w:hyperlink>
          </w:p>
        </w:tc>
      </w:tr>
      <w:tr>
        <w:trPr>
          <w:trHeight w:val="40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7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w:t>
              </w:r>
            </w:hyperlink>
            <w:r>
              <w:rPr>
                <w:rFonts w:ascii="Times New Roman" w:hAnsi="Times New Roman" w:cs="Times New Roman" w:eastAsia="Times New Roman" w:hint="default"/>
                <w:sz w:val="18"/>
                <w:szCs w:val="18"/>
              </w:rPr>
              <w:t>p</w:t>
            </w:r>
            <w:hyperlink r:id="rId13">
              <w:r>
                <w:rPr>
                  <w:rFonts w:ascii="Times New Roman" w:hAnsi="Times New Roman" w:cs="Times New Roman" w:eastAsia="Times New Roman" w:hint="default"/>
                  <w:sz w:val="18"/>
                  <w:szCs w:val="18"/>
                </w:rPr>
                <w:t>://www.cninfo.com.cn/information/companyinfo_n.html?fulltext?szcn300579)</w:t>
              </w:r>
            </w:hyperlink>
          </w:p>
        </w:tc>
      </w:tr>
      <w:tr>
        <w:trPr>
          <w:trHeight w:val="40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7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w:t>
              </w:r>
            </w:hyperlink>
            <w:r>
              <w:rPr>
                <w:rFonts w:ascii="Times New Roman" w:hAnsi="Times New Roman" w:cs="Times New Roman" w:eastAsia="Times New Roman" w:hint="default"/>
                <w:sz w:val="18"/>
                <w:szCs w:val="18"/>
              </w:rPr>
              <w:t>p</w:t>
            </w:r>
            <w:hyperlink r:id="rId13">
              <w:r>
                <w:rPr>
                  <w:rFonts w:ascii="Times New Roman" w:hAnsi="Times New Roman" w:cs="Times New Roman" w:eastAsia="Times New Roman" w:hint="default"/>
                  <w:sz w:val="18"/>
                  <w:szCs w:val="18"/>
                </w:rPr>
                <w:t>://www.cninfo.com.cn/information/companyinfo_n.html?fulltext?szcn300579)</w:t>
              </w:r>
            </w:hyperlink>
          </w:p>
        </w:tc>
      </w:tr>
      <w:tr>
        <w:trPr>
          <w:trHeight w:val="40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7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w:t>
              </w:r>
            </w:hyperlink>
            <w:r>
              <w:rPr>
                <w:rFonts w:ascii="Times New Roman" w:hAnsi="Times New Roman" w:cs="Times New Roman" w:eastAsia="Times New Roman" w:hint="default"/>
                <w:sz w:val="18"/>
                <w:szCs w:val="18"/>
              </w:rPr>
              <w:t>p</w:t>
            </w:r>
            <w:hyperlink r:id="rId13">
              <w:r>
                <w:rPr>
                  <w:rFonts w:ascii="Times New Roman" w:hAnsi="Times New Roman" w:cs="Times New Roman" w:eastAsia="Times New Roman" w:hint="default"/>
                  <w:sz w:val="18"/>
                  <w:szCs w:val="18"/>
                </w:rPr>
                <w:t>://www.cninfo.com.cn/information/companyinfo_n.html?fulltext?szcn300579)</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67" w:footer="979" w:top="1060" w:bottom="1160" w:left="600" w:right="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549"/>
        <w:jc w:val="center"/>
        <w:rPr>
          <w:b w:val="0"/>
          <w:bCs w:val="0"/>
        </w:rPr>
      </w:pPr>
      <w:bookmarkStart w:name="_bookmark3" w:id="4"/>
      <w:bookmarkEnd w:id="4"/>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59" w:lineRule="auto" w:before="159"/>
        <w:ind w:right="0" w:firstLine="420"/>
        <w:jc w:val="left"/>
      </w:pPr>
      <w:r>
        <w:rPr>
          <w:spacing w:val="-2"/>
        </w:rPr>
        <w:t>报告期内，董事会根据公司</w:t>
      </w:r>
      <w:r>
        <w:rPr>
          <w:rFonts w:ascii="Times New Roman" w:hAnsi="Times New Roman" w:cs="Times New Roman" w:eastAsia="Times New Roman" w:hint="default"/>
          <w:spacing w:val="-2"/>
        </w:rPr>
        <w:t>2016</w:t>
      </w:r>
      <w:r>
        <w:rPr>
          <w:spacing w:val="-2"/>
        </w:rPr>
        <w:t>年度的盈利情况以及《公司章程》的有关规定制定了公司</w:t>
      </w:r>
      <w:r>
        <w:rPr>
          <w:rFonts w:ascii="Times New Roman" w:hAnsi="Times New Roman" w:cs="Times New Roman" w:eastAsia="Times New Roman" w:hint="default"/>
          <w:spacing w:val="-2"/>
        </w:rPr>
        <w:t>2016</w:t>
      </w:r>
      <w:r>
        <w:rPr>
          <w:spacing w:val="-2"/>
        </w:rPr>
        <w:t>年度的</w:t>
      </w:r>
      <w:r>
        <w:rPr>
          <w:w w:val="100"/>
        </w:rPr>
        <w:t> </w:t>
      </w:r>
      <w:r>
        <w:rPr/>
        <w:t>利润分配方案。该方案具体为：以公司股本总数</w:t>
      </w:r>
      <w:r>
        <w:rPr>
          <w:rFonts w:ascii="Times New Roman" w:hAnsi="Times New Roman" w:cs="Times New Roman" w:eastAsia="Times New Roman" w:hint="default"/>
        </w:rPr>
        <w:t>8,000</w:t>
      </w:r>
      <w:r>
        <w:rPr/>
        <w:t>万股为基数，向全体股东每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3.0</w:t>
      </w:r>
      <w:r>
        <w:rPr/>
        <w:t>元</w:t>
      </w:r>
    </w:p>
    <w:p>
      <w:pPr>
        <w:pStyle w:val="BodyText"/>
        <w:spacing w:line="256" w:lineRule="auto" w:before="3"/>
        <w:ind w:right="0"/>
        <w:jc w:val="left"/>
      </w:pPr>
      <w:r>
        <w:rPr>
          <w:spacing w:val="-1"/>
        </w:rPr>
        <w:t>（含税），共计派发现金股利</w:t>
      </w:r>
      <w:r>
        <w:rPr>
          <w:rFonts w:ascii="Times New Roman" w:hAnsi="Times New Roman" w:cs="Times New Roman" w:eastAsia="Times New Roman" w:hint="default"/>
          <w:spacing w:val="-1"/>
        </w:rPr>
        <w:t>2,400</w:t>
      </w:r>
      <w:r>
        <w:rPr>
          <w:spacing w:val="-1"/>
        </w:rPr>
        <w:t>万元（含税）。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28</w:t>
      </w:r>
      <w:r>
        <w:rPr>
          <w:spacing w:val="-1"/>
        </w:rPr>
        <w:t>日，公司召开</w:t>
      </w:r>
      <w:r>
        <w:rPr>
          <w:rFonts w:ascii="Times New Roman" w:hAnsi="Times New Roman" w:cs="Times New Roman" w:eastAsia="Times New Roman" w:hint="default"/>
          <w:spacing w:val="-1"/>
        </w:rPr>
        <w:t>2016</w:t>
      </w:r>
      <w:r>
        <w:rPr>
          <w:spacing w:val="-1"/>
        </w:rPr>
        <w:t>年年度股东大会审议通</w:t>
      </w:r>
      <w:r>
        <w:rPr>
          <w:spacing w:val="-23"/>
        </w:rPr>
        <w:t> </w:t>
      </w:r>
      <w:r>
        <w:rPr>
          <w:spacing w:val="-23"/>
        </w:rPr>
      </w:r>
      <w:r>
        <w:rPr/>
        <w:t>过了该利润分配方案。报告期内，该利润分配方案已按股东大会决议执行完毕。</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未进行调整和变更</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9"/>
        <w:ind w:left="112" w:right="3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719"/>
        <w:gridCol w:w="5852"/>
      </w:tblGrid>
      <w:tr>
        <w:trPr>
          <w:trHeight w:val="401"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w:t>
            </w:r>
          </w:p>
        </w:tc>
      </w:tr>
      <w:tr>
        <w:trPr>
          <w:trHeight w:val="401"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01"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w:t>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147,277,611.80</w:t>
            </w:r>
          </w:p>
        </w:tc>
      </w:tr>
      <w:tr>
        <w:trPr>
          <w:trHeight w:val="401"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4"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6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根</w:t>
            </w:r>
            <w:r>
              <w:rPr>
                <w:rFonts w:ascii="宋体" w:hAnsi="宋体" w:cs="宋体" w:eastAsia="宋体" w:hint="default"/>
                <w:spacing w:val="-5"/>
                <w:sz w:val="18"/>
                <w:szCs w:val="18"/>
              </w:rPr>
              <w:t>据</w:t>
            </w:r>
            <w:r>
              <w:rPr>
                <w:rFonts w:ascii="宋体" w:hAnsi="宋体" w:cs="宋体" w:eastAsia="宋体" w:hint="default"/>
                <w:sz w:val="18"/>
                <w:szCs w:val="18"/>
              </w:rPr>
              <w:t>《中华人民共和国公司法</w:t>
            </w:r>
            <w:r>
              <w:rPr>
                <w:rFonts w:ascii="宋体" w:hAnsi="宋体" w:cs="宋体" w:eastAsia="宋体" w:hint="default"/>
                <w:spacing w:val="-92"/>
                <w:sz w:val="18"/>
                <w:szCs w:val="18"/>
              </w:rPr>
              <w:t>》</w:t>
            </w:r>
            <w:r>
              <w:rPr>
                <w:rFonts w:ascii="宋体" w:hAnsi="宋体" w:cs="宋体" w:eastAsia="宋体" w:hint="default"/>
                <w:spacing w:val="-96"/>
                <w:sz w:val="18"/>
                <w:szCs w:val="18"/>
              </w:rPr>
              <w:t>、</w:t>
            </w:r>
            <w:r>
              <w:rPr>
                <w:rFonts w:ascii="宋体" w:hAnsi="宋体" w:cs="宋体" w:eastAsia="宋体" w:hint="default"/>
                <w:sz w:val="18"/>
                <w:szCs w:val="18"/>
              </w:rPr>
              <w:t>《公司章程</w:t>
            </w:r>
            <w:r>
              <w:rPr>
                <w:rFonts w:ascii="宋体" w:hAnsi="宋体" w:cs="宋体" w:eastAsia="宋体" w:hint="default"/>
                <w:spacing w:val="-5"/>
                <w:sz w:val="18"/>
                <w:szCs w:val="18"/>
              </w:rPr>
              <w:t>》</w:t>
            </w:r>
            <w:r>
              <w:rPr>
                <w:rFonts w:ascii="宋体" w:hAnsi="宋体" w:cs="宋体" w:eastAsia="宋体" w:hint="default"/>
                <w:sz w:val="18"/>
                <w:szCs w:val="18"/>
              </w:rPr>
              <w:t>等有关规定及公司实际经营情况</w:t>
            </w:r>
            <w:r>
              <w:rPr>
                <w:rFonts w:ascii="宋体" w:hAnsi="宋体" w:cs="宋体" w:eastAsia="宋体" w:hint="default"/>
                <w:spacing w:val="-5"/>
                <w:sz w:val="18"/>
                <w:szCs w:val="18"/>
              </w:rPr>
              <w:t>，</w:t>
            </w:r>
            <w:r>
              <w:rPr>
                <w:rFonts w:ascii="宋体" w:hAnsi="宋体" w:cs="宋体" w:eastAsia="宋体" w:hint="default"/>
                <w:sz w:val="18"/>
                <w:szCs w:val="18"/>
              </w:rPr>
              <w:t>着眼于公司长远和可持续发展</w:t>
            </w:r>
            <w:r>
              <w:rPr>
                <w:rFonts w:ascii="宋体" w:hAnsi="宋体" w:cs="宋体" w:eastAsia="宋体" w:hint="default"/>
                <w:spacing w:val="-5"/>
                <w:sz w:val="18"/>
                <w:szCs w:val="18"/>
              </w:rPr>
              <w:t>、</w:t>
            </w:r>
            <w:r>
              <w:rPr>
                <w:rFonts w:ascii="宋体" w:hAnsi="宋体" w:cs="宋体" w:eastAsia="宋体" w:hint="default"/>
                <w:sz w:val="18"/>
                <w:szCs w:val="18"/>
              </w:rPr>
              <w:t>并兼顾全</w:t>
            </w:r>
          </w:p>
        </w:tc>
      </w:tr>
    </w:tbl>
    <w:p>
      <w:pPr>
        <w:spacing w:after="0" w:line="240" w:lineRule="auto"/>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11"/>
        <w:rPr>
          <w:rFonts w:ascii="宋体" w:hAnsi="宋体" w:cs="宋体" w:eastAsia="宋体" w:hint="default"/>
          <w:sz w:val="28"/>
          <w:szCs w:val="28"/>
        </w:rPr>
      </w:pPr>
    </w:p>
    <w:p>
      <w:pPr>
        <w:spacing w:line="674" w:lineRule="exact"/>
        <w:ind w:left="112"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478.55pt;height:33.75pt;mso-position-horizontal-relative:char;mso-position-vertical-relative:line" type="#_x0000_t202" filled="false" stroked="true" strokeweight=".47998pt" strokecolor="#000000">
            <w10:anchorlock/>
            <v:textbox inset="0,0,0,0">
              <w:txbxContent>
                <w:p>
                  <w:pPr>
                    <w:spacing w:before="11"/>
                    <w:ind w:left="24" w:right="0" w:firstLine="0"/>
                    <w:jc w:val="left"/>
                    <w:rPr>
                      <w:rFonts w:ascii="宋体" w:hAnsi="宋体" w:cs="宋体" w:eastAsia="宋体" w:hint="default"/>
                      <w:sz w:val="18"/>
                      <w:szCs w:val="18"/>
                    </w:rPr>
                  </w:pPr>
                  <w:r>
                    <w:rPr>
                      <w:rFonts w:ascii="宋体" w:hAnsi="宋体" w:cs="宋体" w:eastAsia="宋体" w:hint="default"/>
                      <w:sz w:val="18"/>
                      <w:szCs w:val="18"/>
                    </w:rPr>
                    <w:t>体股东的整体利益，公司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年度利润分配预案为：以公司股本总数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万股为基数，向全体股东每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股派发现金股</w:t>
                  </w:r>
                </w:p>
                <w:p>
                  <w:pPr>
                    <w:spacing w:before="63"/>
                    <w:ind w:left="24" w:right="0" w:firstLine="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，共计派发现金股利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，同时以资本公积向全体股东每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xbxContent>
            </v:textbox>
          </v:shape>
        </w:pict>
      </w:r>
      <w:r>
        <w:rPr>
          <w:rFonts w:ascii="宋体" w:hAnsi="宋体" w:cs="宋体" w:eastAsia="宋体" w:hint="default"/>
          <w:position w:val="-12"/>
          <w:sz w:val="20"/>
          <w:szCs w:val="20"/>
        </w:rPr>
      </w:r>
    </w:p>
    <w:p>
      <w:pPr>
        <w:spacing w:before="54"/>
        <w:ind w:left="112" w:right="0" w:firstLine="0"/>
        <w:jc w:val="both"/>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spacing w:line="240" w:lineRule="auto" w:before="5"/>
        <w:rPr>
          <w:rFonts w:ascii="宋体" w:hAnsi="宋体" w:cs="宋体" w:eastAsia="宋体" w:hint="default"/>
          <w:sz w:val="12"/>
          <w:szCs w:val="12"/>
        </w:rPr>
      </w:pPr>
    </w:p>
    <w:p>
      <w:pPr>
        <w:pStyle w:val="BodyText"/>
        <w:spacing w:line="240" w:lineRule="auto"/>
        <w:ind w:left="533" w:right="0"/>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2015</w:t>
      </w:r>
      <w:r>
        <w:rPr/>
        <w:t>年度利润分配方案情况</w:t>
      </w:r>
    </w:p>
    <w:p>
      <w:pPr>
        <w:pStyle w:val="BodyText"/>
        <w:spacing w:line="256" w:lineRule="auto" w:before="143"/>
        <w:ind w:right="206" w:firstLine="420"/>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4</w:t>
      </w:r>
      <w:r>
        <w:rPr>
          <w:spacing w:val="-1"/>
        </w:rPr>
        <w:t>月，公司召开</w:t>
      </w:r>
      <w:r>
        <w:rPr>
          <w:rFonts w:ascii="Times New Roman" w:hAnsi="Times New Roman" w:cs="Times New Roman" w:eastAsia="Times New Roman" w:hint="default"/>
          <w:spacing w:val="-1"/>
        </w:rPr>
        <w:t>2015</w:t>
      </w:r>
      <w:r>
        <w:rPr>
          <w:spacing w:val="-1"/>
        </w:rPr>
        <w:t>年度股东大会审议通过</w:t>
      </w:r>
      <w:r>
        <w:rPr>
          <w:rFonts w:ascii="Times New Roman" w:hAnsi="Times New Roman" w:cs="Times New Roman" w:eastAsia="Times New Roman" w:hint="default"/>
          <w:spacing w:val="-1"/>
        </w:rPr>
        <w:t>2015</w:t>
      </w:r>
      <w:r>
        <w:rPr>
          <w:spacing w:val="-1"/>
        </w:rPr>
        <w:t>年度利润分配方案，以公司股本总数</w:t>
      </w:r>
      <w:r>
        <w:rPr>
          <w:rFonts w:ascii="Times New Roman" w:hAnsi="Times New Roman" w:cs="Times New Roman" w:eastAsia="Times New Roman" w:hint="default"/>
          <w:spacing w:val="-1"/>
        </w:rPr>
        <w:t>6,000</w:t>
      </w:r>
      <w:r>
        <w:rPr>
          <w:spacing w:val="-1"/>
        </w:rPr>
        <w:t>万股</w:t>
      </w:r>
      <w:r>
        <w:rPr>
          <w:w w:val="100"/>
        </w:rPr>
        <w:t> </w:t>
      </w:r>
      <w:r>
        <w:rPr/>
        <w:t>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2.1</w:t>
      </w:r>
      <w:r>
        <w:rPr/>
        <w:t>元（含税），共计派发现金股利</w:t>
      </w:r>
      <w:r>
        <w:rPr>
          <w:rFonts w:ascii="Times New Roman" w:hAnsi="Times New Roman" w:cs="Times New Roman" w:eastAsia="Times New Roman" w:hint="default"/>
        </w:rPr>
        <w:t>1,260</w:t>
      </w:r>
      <w:r>
        <w:rPr/>
        <w:t>万元（含税）。该利润</w:t>
      </w:r>
      <w:r>
        <w:rPr>
          <w:spacing w:val="-28"/>
        </w:rPr>
        <w:t> </w:t>
      </w:r>
      <w:r>
        <w:rPr>
          <w:spacing w:val="-28"/>
        </w:rPr>
      </w:r>
      <w:r>
        <w:rPr/>
        <w:t>分配方案已在当年规定时间内实施完毕。</w:t>
      </w:r>
    </w:p>
    <w:p>
      <w:pPr>
        <w:pStyle w:val="BodyText"/>
        <w:spacing w:line="240" w:lineRule="auto" w:before="142"/>
        <w:ind w:left="617" w:right="0"/>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2016</w:t>
      </w:r>
      <w:r>
        <w:rPr/>
        <w:t>年度利润分配方案情况</w:t>
      </w:r>
    </w:p>
    <w:p>
      <w:pPr>
        <w:pStyle w:val="BodyText"/>
        <w:spacing w:line="256" w:lineRule="auto" w:before="141"/>
        <w:ind w:right="206" w:firstLine="42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月，公司召开</w:t>
      </w:r>
      <w:r>
        <w:rPr>
          <w:rFonts w:ascii="Times New Roman" w:hAnsi="Times New Roman" w:cs="Times New Roman" w:eastAsia="Times New Roman" w:hint="default"/>
          <w:spacing w:val="-1"/>
        </w:rPr>
        <w:t>2016</w:t>
      </w:r>
      <w:r>
        <w:rPr>
          <w:spacing w:val="-1"/>
        </w:rPr>
        <w:t>年度股东大会审议通过</w:t>
      </w:r>
      <w:r>
        <w:rPr>
          <w:rFonts w:ascii="Times New Roman" w:hAnsi="Times New Roman" w:cs="Times New Roman" w:eastAsia="Times New Roman" w:hint="default"/>
          <w:spacing w:val="-1"/>
        </w:rPr>
        <w:t>2016</w:t>
      </w:r>
      <w:r>
        <w:rPr>
          <w:spacing w:val="-1"/>
        </w:rPr>
        <w:t>年度利润分配方案，以公司股本总数</w:t>
      </w:r>
      <w:r>
        <w:rPr>
          <w:rFonts w:ascii="Times New Roman" w:hAnsi="Times New Roman" w:cs="Times New Roman" w:eastAsia="Times New Roman" w:hint="default"/>
          <w:spacing w:val="-1"/>
        </w:rPr>
        <w:t>8,000</w:t>
      </w:r>
      <w:r>
        <w:rPr>
          <w:spacing w:val="-1"/>
        </w:rPr>
        <w:t>万股</w:t>
      </w:r>
      <w:r>
        <w:rPr>
          <w:w w:val="100"/>
        </w:rPr>
        <w:t> </w:t>
      </w:r>
      <w:r>
        <w:rPr/>
        <w:t>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3.0</w:t>
      </w:r>
      <w:r>
        <w:rPr/>
        <w:t>元（含税），共计派发现金股利</w:t>
      </w:r>
      <w:r>
        <w:rPr>
          <w:rFonts w:ascii="Times New Roman" w:hAnsi="Times New Roman" w:cs="Times New Roman" w:eastAsia="Times New Roman" w:hint="default"/>
        </w:rPr>
        <w:t>2,400</w:t>
      </w:r>
      <w:r>
        <w:rPr/>
        <w:t>万元（含税）。该利润</w:t>
      </w:r>
      <w:r>
        <w:rPr>
          <w:spacing w:val="-28"/>
        </w:rPr>
        <w:t> </w:t>
      </w:r>
      <w:r>
        <w:rPr>
          <w:spacing w:val="-28"/>
        </w:rPr>
      </w:r>
      <w:r>
        <w:rPr/>
        <w:t>分配方案已在当年规定时间内实施完毕。</w:t>
      </w:r>
    </w:p>
    <w:p>
      <w:pPr>
        <w:pStyle w:val="BodyText"/>
        <w:spacing w:line="430" w:lineRule="atLeast" w:before="3"/>
        <w:ind w:left="533" w:right="0" w:firstLine="84"/>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2017</w:t>
      </w:r>
      <w:r>
        <w:rPr/>
        <w:t>年度利润分配预案情况</w:t>
      </w:r>
      <w:r>
        <w:rPr>
          <w:w w:val="100"/>
        </w:rPr>
        <w:t> </w:t>
      </w:r>
      <w:r>
        <w:rPr>
          <w:spacing w:val="-2"/>
        </w:rPr>
        <w:t>经致同会计师事务所（特殊普通合伙）审计，北京数字认证股份有限公司（母公司口径）</w:t>
      </w:r>
      <w:r>
        <w:rPr>
          <w:rFonts w:ascii="Times New Roman" w:hAnsi="Times New Roman" w:cs="Times New Roman" w:eastAsia="Times New Roman" w:hint="default"/>
          <w:spacing w:val="-2"/>
        </w:rPr>
        <w:t>2017</w:t>
      </w:r>
      <w:r>
        <w:rPr>
          <w:spacing w:val="-2"/>
        </w:rPr>
        <w:t>年度实</w:t>
      </w:r>
    </w:p>
    <w:p>
      <w:pPr>
        <w:pStyle w:val="BodyText"/>
        <w:spacing w:line="256" w:lineRule="auto" w:before="21"/>
        <w:ind w:right="108"/>
        <w:jc w:val="both"/>
      </w:pPr>
      <w:r>
        <w:rPr>
          <w:spacing w:val="-1"/>
        </w:rPr>
        <w:t>现净利润</w:t>
      </w:r>
      <w:r>
        <w:rPr>
          <w:rFonts w:ascii="Times New Roman" w:hAnsi="Times New Roman" w:cs="Times New Roman" w:eastAsia="Times New Roman" w:hint="default"/>
          <w:spacing w:val="-1"/>
        </w:rPr>
        <w:t>56,259,112.01</w:t>
      </w:r>
      <w:r>
        <w:rPr>
          <w:spacing w:val="-1"/>
        </w:rPr>
        <w:t>元，提取</w:t>
      </w:r>
      <w:r>
        <w:rPr>
          <w:rFonts w:ascii="Times New Roman" w:hAnsi="Times New Roman" w:cs="Times New Roman" w:eastAsia="Times New Roman" w:hint="default"/>
          <w:spacing w:val="-1"/>
        </w:rPr>
        <w:t>10%</w:t>
      </w:r>
      <w:r>
        <w:rPr>
          <w:spacing w:val="-1"/>
        </w:rPr>
        <w:t>法定盈余公积金</w:t>
      </w:r>
      <w:r>
        <w:rPr>
          <w:rFonts w:ascii="Times New Roman" w:hAnsi="Times New Roman" w:cs="Times New Roman" w:eastAsia="Times New Roman" w:hint="default"/>
          <w:spacing w:val="-1"/>
        </w:rPr>
        <w:t>5,625,911.20</w:t>
      </w:r>
      <w:r>
        <w:rPr>
          <w:spacing w:val="-1"/>
        </w:rPr>
        <w:t>元，加年初未分配利润</w:t>
      </w:r>
      <w:r>
        <w:rPr>
          <w:rFonts w:ascii="Times New Roman" w:hAnsi="Times New Roman" w:cs="Times New Roman" w:eastAsia="Times New Roman" w:hint="default"/>
          <w:spacing w:val="-1"/>
        </w:rPr>
        <w:t>123,194,410.99</w:t>
      </w:r>
      <w:r>
        <w:rPr>
          <w:spacing w:val="-1"/>
        </w:rPr>
        <w:t>元，</w:t>
      </w:r>
      <w:r>
        <w:rPr>
          <w:spacing w:val="-49"/>
        </w:rPr>
        <w:t> </w:t>
      </w:r>
      <w:r>
        <w:rPr>
          <w:spacing w:val="-3"/>
        </w:rPr>
        <w:t>减分配现金股利</w:t>
      </w:r>
      <w:r>
        <w:rPr>
          <w:rFonts w:ascii="Times New Roman" w:hAnsi="Times New Roman" w:cs="Times New Roman" w:eastAsia="Times New Roman" w:hint="default"/>
          <w:spacing w:val="-3"/>
        </w:rPr>
        <w:t>24,000,000</w:t>
      </w:r>
      <w:r>
        <w:rPr>
          <w:spacing w:val="-3"/>
        </w:rPr>
        <w:t>元，减去长期股权投资由成本法核算转换为权益法核算而减少的</w:t>
      </w:r>
      <w:r>
        <w:rPr>
          <w:rFonts w:ascii="Times New Roman" w:hAnsi="Times New Roman" w:cs="Times New Roman" w:eastAsia="Times New Roman" w:hint="default"/>
          <w:spacing w:val="-3"/>
        </w:rPr>
        <w:t>2,550,000.00</w:t>
      </w:r>
      <w:r>
        <w:rPr>
          <w:spacing w:val="-3"/>
        </w:rPr>
        <w:t>元，</w:t>
      </w:r>
      <w:r>
        <w:rPr>
          <w:spacing w:val="-17"/>
        </w:rPr>
        <w:t> </w:t>
      </w:r>
      <w:r>
        <w:rPr/>
        <w:t>期末可供股东分配利润为</w:t>
      </w:r>
      <w:r>
        <w:rPr>
          <w:rFonts w:ascii="Times New Roman" w:hAnsi="Times New Roman" w:cs="Times New Roman" w:eastAsia="Times New Roman" w:hint="default"/>
        </w:rPr>
        <w:t>147,277,611.80</w:t>
      </w:r>
      <w:r>
        <w:rPr/>
        <w:t>元。</w:t>
      </w:r>
    </w:p>
    <w:p>
      <w:pPr>
        <w:pStyle w:val="BodyText"/>
        <w:spacing w:line="256" w:lineRule="auto" w:before="125"/>
        <w:ind w:right="204" w:firstLine="420"/>
        <w:jc w:val="both"/>
      </w:pPr>
      <w:r>
        <w:rPr/>
        <w:t>公司</w:t>
      </w:r>
      <w:r>
        <w:rPr>
          <w:rFonts w:ascii="Times New Roman" w:hAnsi="Times New Roman" w:cs="Times New Roman" w:eastAsia="Times New Roman" w:hint="default"/>
        </w:rPr>
        <w:t>2017</w:t>
      </w:r>
      <w:r>
        <w:rPr/>
        <w:t>年度利润分配预案为：以公司股本总数</w:t>
      </w:r>
      <w:r>
        <w:rPr>
          <w:rFonts w:ascii="Times New Roman" w:hAnsi="Times New Roman" w:cs="Times New Roman" w:eastAsia="Times New Roman" w:hint="default"/>
        </w:rPr>
        <w:t>8,000</w:t>
      </w:r>
      <w:r>
        <w:rPr/>
        <w:t>万股为基数，向全体股东每</w:t>
      </w:r>
      <w:r>
        <w:rPr>
          <w:rFonts w:ascii="Times New Roman" w:hAnsi="Times New Roman" w:cs="Times New Roman" w:eastAsia="Times New Roman" w:hint="default"/>
        </w:rPr>
        <w:t>10</w:t>
      </w:r>
      <w:r>
        <w:rPr/>
        <w:t>股派发现金股利</w:t>
      </w:r>
      <w:r>
        <w:rPr>
          <w:spacing w:val="2"/>
          <w:w w:val="100"/>
        </w:rPr>
        <w:t> </w:t>
      </w:r>
      <w:r>
        <w:rPr>
          <w:rFonts w:ascii="Times New Roman" w:hAnsi="Times New Roman" w:cs="Times New Roman" w:eastAsia="Times New Roman" w:hint="default"/>
        </w:rPr>
        <w:t>3.00</w:t>
      </w:r>
      <w:r>
        <w:rPr/>
        <w:t>元（含税），共计派发现金股利</w:t>
      </w:r>
      <w:r>
        <w:rPr>
          <w:rFonts w:ascii="Times New Roman" w:hAnsi="Times New Roman" w:cs="Times New Roman" w:eastAsia="Times New Roman" w:hint="default"/>
        </w:rPr>
        <w:t>24,000,000</w:t>
      </w:r>
      <w:r>
        <w:rPr/>
        <w:t>元（含税），剩余未分配利润结转至下一年度；截至</w:t>
      </w:r>
      <w:r>
        <w:rPr>
          <w:rFonts w:ascii="Times New Roman" w:hAnsi="Times New Roman" w:cs="Times New Roman" w:eastAsia="Times New Roman" w:hint="default"/>
        </w:rPr>
        <w:t>2017</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日，公司资本公积金为</w:t>
      </w:r>
      <w:r>
        <w:rPr>
          <w:rFonts w:ascii="Times New Roman" w:hAnsi="Times New Roman" w:cs="Times New Roman" w:eastAsia="Times New Roman" w:hint="default"/>
        </w:rPr>
        <w:t>242,254,231.31</w:t>
      </w:r>
      <w:r>
        <w:rPr/>
        <w:t>元，以公司股本总数</w:t>
      </w:r>
      <w:r>
        <w:rPr>
          <w:rFonts w:ascii="Times New Roman" w:hAnsi="Times New Roman" w:cs="Times New Roman" w:eastAsia="Times New Roman" w:hint="default"/>
        </w:rPr>
        <w:t>8,000</w:t>
      </w:r>
      <w:r>
        <w:rPr/>
        <w:t>万股为基数，向全体股东每</w:t>
      </w:r>
      <w:r>
        <w:rPr>
          <w:rFonts w:ascii="Times New Roman" w:hAnsi="Times New Roman" w:cs="Times New Roman" w:eastAsia="Times New Roman" w:hint="default"/>
        </w:rPr>
        <w:t>10</w:t>
      </w:r>
      <w:r>
        <w:rPr/>
        <w:t>股</w:t>
      </w:r>
      <w:r>
        <w:rPr>
          <w:spacing w:val="-27"/>
        </w:rPr>
        <w:t> </w:t>
      </w:r>
      <w:r>
        <w:rPr/>
        <w:t>转增</w:t>
      </w:r>
      <w:r>
        <w:rPr>
          <w:rFonts w:ascii="Times New Roman" w:hAnsi="Times New Roman" w:cs="Times New Roman" w:eastAsia="Times New Roman" w:hint="default"/>
        </w:rPr>
        <w:t>5</w:t>
      </w:r>
      <w:r>
        <w:rPr/>
        <w:t>股。</w:t>
      </w:r>
    </w:p>
    <w:p>
      <w:pPr>
        <w:spacing w:before="64"/>
        <w:ind w:left="112" w:right="0" w:firstLine="0"/>
        <w:jc w:val="both"/>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33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84,245,509.94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59,960,793.41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47,769,033.37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6" w:lineRule="auto"/>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76"/>
        <w:gridCol w:w="1419"/>
        <w:gridCol w:w="991"/>
        <w:gridCol w:w="3401"/>
        <w:gridCol w:w="853"/>
        <w:gridCol w:w="850"/>
        <w:gridCol w:w="778"/>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2"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bl>
    <w:p>
      <w:pPr>
        <w:spacing w:after="0" w:line="240" w:lineRule="auto"/>
        <w:jc w:val="left"/>
        <w:rPr>
          <w:rFonts w:ascii="宋体" w:hAnsi="宋体" w:cs="宋体" w:eastAsia="宋体" w:hint="default"/>
          <w:sz w:val="18"/>
          <w:szCs w:val="18"/>
        </w:rPr>
        <w:sectPr>
          <w:pgSz w:w="11910" w:h="16840"/>
          <w:pgMar w:header="867" w:footer="979" w:top="1060" w:bottom="1160" w:left="1020" w:right="920"/>
        </w:sectPr>
      </w:pPr>
    </w:p>
    <w:p>
      <w:pPr>
        <w:spacing w:line="240" w:lineRule="auto" w:before="0"/>
        <w:rPr>
          <w:rFonts w:ascii="Times New Roman" w:hAnsi="Times New Roman" w:cs="Times New Roman" w:eastAsia="Times New Roman" w:hint="default"/>
          <w:sz w:val="20"/>
          <w:szCs w:val="20"/>
        </w:rPr>
      </w:pPr>
      <w:r>
        <w:rPr/>
        <w:pict>
          <v:group style="position:absolute;margin-left:411.429993pt;margin-top:159.509979pt;width:42.05pt;height:191.2pt;mso-position-horizontal-relative:page;mso-position-vertical-relative:page;z-index:-832720" coordorigin="8229,3190" coordsize="841,3824">
            <v:group style="position:absolute;left:8229;top:3190;width:841;height:3824" coordorigin="8229,3190" coordsize="841,3824">
              <v:shape style="position:absolute;left:8229;top:3190;width:841;height:3824" coordorigin="8229,3190" coordsize="841,3824" path="m8229,7014l9069,7014,9069,3190,8229,3190,8229,7014xe" filled="true" fillcolor="#ffffff" stroked="false">
                <v:path arrowok="t"/>
                <v:fill type="solid"/>
              </v:shape>
            </v:group>
            <v:group style="position:absolute;left:8250;top:4750;width:795;height:354" coordorigin="8250,4750" coordsize="795,354">
              <v:shape style="position:absolute;left:8250;top:4750;width:795;height:354" coordorigin="8250,4750" coordsize="795,354" path="m8250,5103l9045,5103,9045,4750,8250,4750,8250,5103xe" filled="true" fillcolor="#ffffff" stroked="false">
                <v:path arrowok="t"/>
                <v:fill type="solid"/>
              </v:shape>
            </v:group>
            <v:group style="position:absolute;left:8250;top:5103;width:795;height:351" coordorigin="8250,5103" coordsize="795,351">
              <v:shape style="position:absolute;left:8250;top:5103;width:795;height:351" coordorigin="8250,5103" coordsize="795,351" path="m8250,5454l9045,5454,9045,5103,8250,5103,8250,5454xe" filled="true" fillcolor="#ffffff" stroked="false">
                <v:path arrowok="t"/>
                <v:fill type="solid"/>
              </v:shape>
            </v:group>
            <w10:wrap type="none"/>
          </v:group>
        </w:pict>
      </w:r>
      <w:r>
        <w:rPr/>
        <w:pict>
          <v:group style="position:absolute;margin-left:411.429993pt;margin-top:527.355957pt;width:42.05pt;height:82pt;mso-position-horizontal-relative:page;mso-position-vertical-relative:page;z-index:-832696" coordorigin="8229,10547" coordsize="841,1640">
            <v:group style="position:absolute;left:8229;top:10547;width:841;height:1640" coordorigin="8229,10547" coordsize="841,1640">
              <v:shape style="position:absolute;left:8229;top:10547;width:841;height:1640" coordorigin="8229,10547" coordsize="841,1640" path="m8229,12187l9069,12187,9069,10547,8229,10547,8229,12187xe" filled="true" fillcolor="#ffffff" stroked="false">
                <v:path arrowok="t"/>
                <v:fill type="solid"/>
              </v:shape>
            </v:group>
            <v:group style="position:absolute;left:8250;top:11015;width:795;height:354" coordorigin="8250,11015" coordsize="795,354">
              <v:shape style="position:absolute;left:8250;top:11015;width:795;height:354" coordorigin="8250,11015" coordsize="795,354" path="m8250,11368l9045,11368,9045,11015,8250,11015,8250,11368xe" filled="true" fillcolor="#ffffff" stroked="false">
                <v:path arrowok="t"/>
                <v:fill type="solid"/>
              </v:shape>
            </v:group>
            <v:group style="position:absolute;left:8250;top:11368;width:795;height:351" coordorigin="8250,11368" coordsize="795,351">
              <v:shape style="position:absolute;left:8250;top:11368;width:795;height:351" coordorigin="8250,11368" coordsize="795,351" path="m8250,11719l9045,11719,9045,11368,8250,11368,8250,1171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76"/>
        <w:gridCol w:w="1419"/>
        <w:gridCol w:w="991"/>
        <w:gridCol w:w="3401"/>
        <w:gridCol w:w="853"/>
        <w:gridCol w:w="850"/>
        <w:gridCol w:w="778"/>
      </w:tblGrid>
      <w:tr>
        <w:trPr>
          <w:trHeight w:val="102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161"/>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3833"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3" w:right="123"/>
              <w:jc w:val="both"/>
              <w:rPr>
                <w:rFonts w:ascii="宋体" w:hAnsi="宋体" w:cs="宋体" w:eastAsia="宋体" w:hint="default"/>
                <w:sz w:val="18"/>
                <w:szCs w:val="18"/>
              </w:rPr>
            </w:pPr>
            <w:r>
              <w:rPr>
                <w:rFonts w:ascii="宋体" w:hAnsi="宋体" w:cs="宋体" w:eastAsia="宋体" w:hint="default"/>
                <w:sz w:val="18"/>
                <w:szCs w:val="18"/>
              </w:rPr>
              <w:t>北京市国有资产 经营有限责任公 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pacing w:val="-4"/>
                <w:sz w:val="18"/>
                <w:szCs w:val="18"/>
              </w:rPr>
              <w:t>自公司股票上市之日起三十六个月内，公司</w:t>
            </w:r>
            <w:r>
              <w:rPr>
                <w:rFonts w:ascii="宋体" w:hAnsi="宋体" w:cs="宋体" w:eastAsia="宋体" w:hint="default"/>
                <w:sz w:val="18"/>
                <w:szCs w:val="18"/>
              </w:rPr>
              <w:t> 控股股东及实际控制人北京国资公司不转 让或者委托他人管理其直接或者间接持有 </w:t>
            </w:r>
            <w:r>
              <w:rPr>
                <w:rFonts w:ascii="宋体" w:hAnsi="宋体" w:cs="宋体" w:eastAsia="宋体" w:hint="default"/>
                <w:spacing w:val="-4"/>
                <w:sz w:val="18"/>
                <w:szCs w:val="18"/>
              </w:rPr>
              <w:t>的公司公开发行股票前已发行的股份，也不</w:t>
            </w:r>
            <w:r>
              <w:rPr>
                <w:rFonts w:ascii="宋体" w:hAnsi="宋体" w:cs="宋体" w:eastAsia="宋体" w:hint="default"/>
                <w:sz w:val="18"/>
                <w:szCs w:val="18"/>
              </w:rPr>
              <w:t> 由公司回购其直接或者间接持有的公开发 </w:t>
            </w:r>
            <w:r>
              <w:rPr>
                <w:rFonts w:ascii="宋体" w:hAnsi="宋体" w:cs="宋体" w:eastAsia="宋体" w:hint="default"/>
                <w:spacing w:val="-4"/>
                <w:sz w:val="18"/>
                <w:szCs w:val="18"/>
              </w:rPr>
              <w:t>行股票前已发行的股份。公司首次公开发行</w:t>
            </w:r>
            <w:r>
              <w:rPr>
                <w:rFonts w:ascii="宋体" w:hAnsi="宋体" w:cs="宋体" w:eastAsia="宋体" w:hint="default"/>
                <w:sz w:val="18"/>
                <w:szCs w:val="18"/>
              </w:rPr>
              <w:t> </w:t>
            </w:r>
            <w:r>
              <w:rPr>
                <w:rFonts w:ascii="宋体" w:hAnsi="宋体" w:cs="宋体" w:eastAsia="宋体" w:hint="default"/>
                <w:spacing w:val="-4"/>
                <w:sz w:val="18"/>
                <w:szCs w:val="18"/>
              </w:rPr>
              <w:t>并上市后，北京国资公司所持的股票在锁定</w:t>
            </w:r>
            <w:r>
              <w:rPr>
                <w:rFonts w:ascii="宋体" w:hAnsi="宋体" w:cs="宋体" w:eastAsia="宋体" w:hint="default"/>
                <w:sz w:val="18"/>
                <w:szCs w:val="18"/>
              </w:rPr>
              <w:t> </w:t>
            </w:r>
            <w:r>
              <w:rPr>
                <w:rFonts w:ascii="宋体" w:hAnsi="宋体" w:cs="宋体" w:eastAsia="宋体" w:hint="default"/>
                <w:spacing w:val="-4"/>
                <w:sz w:val="18"/>
                <w:szCs w:val="18"/>
              </w:rPr>
              <w:t>期满后两年内减持的，减持价格不低于发行</w:t>
            </w:r>
            <w:r>
              <w:rPr>
                <w:rFonts w:ascii="宋体" w:hAnsi="宋体" w:cs="宋体" w:eastAsia="宋体" w:hint="default"/>
                <w:sz w:val="18"/>
                <w:szCs w:val="18"/>
              </w:rPr>
              <w:t> 价；公司上市后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 </w:t>
            </w:r>
            <w:r>
              <w:rPr>
                <w:rFonts w:ascii="宋体" w:hAnsi="宋体" w:cs="宋体" w:eastAsia="宋体" w:hint="default"/>
                <w:spacing w:val="-4"/>
                <w:sz w:val="18"/>
                <w:szCs w:val="18"/>
              </w:rPr>
              <w:t>交易日的收盘价均低于发行价，或者上市后</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个月期末收盘价低于发行价，北京国资公</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司持有股票的锁定期限将自动延长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3" w:right="23"/>
              <w:jc w:val="left"/>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r>
        <w:trPr>
          <w:trHeight w:val="3524" w:hRule="exact"/>
        </w:trPr>
        <w:tc>
          <w:tcPr>
            <w:tcW w:w="1276"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4" w:lineRule="auto"/>
              <w:ind w:left="23" w:right="123"/>
              <w:jc w:val="left"/>
              <w:rPr>
                <w:rFonts w:ascii="宋体" w:hAnsi="宋体" w:cs="宋体" w:eastAsia="宋体" w:hint="default"/>
                <w:sz w:val="18"/>
                <w:szCs w:val="18"/>
              </w:rPr>
            </w:pPr>
            <w:r>
              <w:rPr>
                <w:rFonts w:ascii="宋体" w:hAnsi="宋体" w:cs="宋体" w:eastAsia="宋体" w:hint="default"/>
                <w:sz w:val="18"/>
                <w:szCs w:val="18"/>
              </w:rPr>
              <w:t>首都信息发展股 份有限公司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4" w:lineRule="auto"/>
              <w:ind w:left="23" w:right="55"/>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
              <w:jc w:val="left"/>
              <w:rPr>
                <w:rFonts w:ascii="宋体" w:hAnsi="宋体" w:cs="宋体" w:eastAsia="宋体" w:hint="default"/>
                <w:sz w:val="18"/>
                <w:szCs w:val="18"/>
              </w:rPr>
            </w:pPr>
            <w:r>
              <w:rPr>
                <w:rFonts w:ascii="宋体" w:hAnsi="宋体" w:cs="宋体" w:eastAsia="宋体" w:hint="default"/>
                <w:spacing w:val="-4"/>
                <w:sz w:val="18"/>
                <w:szCs w:val="18"/>
              </w:rPr>
              <w:t>自公司股票上市之日起三十六个月内，公司</w:t>
            </w:r>
            <w:r>
              <w:rPr>
                <w:rFonts w:ascii="宋体" w:hAnsi="宋体" w:cs="宋体" w:eastAsia="宋体" w:hint="default"/>
                <w:sz w:val="18"/>
                <w:szCs w:val="18"/>
              </w:rPr>
              <w:t> 股东首信股份不转让或者委托他人管理其 直接或者间接持有的公开发行股票前已发 </w:t>
            </w:r>
            <w:r>
              <w:rPr>
                <w:rFonts w:ascii="宋体" w:hAnsi="宋体" w:cs="宋体" w:eastAsia="宋体" w:hint="default"/>
                <w:spacing w:val="-4"/>
                <w:sz w:val="18"/>
                <w:szCs w:val="18"/>
              </w:rPr>
              <w:t>行的股份，也不由公司回购其直接或者间接</w:t>
            </w:r>
            <w:r>
              <w:rPr>
                <w:rFonts w:ascii="宋体" w:hAnsi="宋体" w:cs="宋体" w:eastAsia="宋体" w:hint="default"/>
                <w:sz w:val="18"/>
                <w:szCs w:val="18"/>
              </w:rPr>
              <w:t> </w:t>
            </w:r>
            <w:r>
              <w:rPr>
                <w:rFonts w:ascii="宋体" w:hAnsi="宋体" w:cs="宋体" w:eastAsia="宋体" w:hint="default"/>
                <w:spacing w:val="-4"/>
                <w:sz w:val="18"/>
                <w:szCs w:val="18"/>
              </w:rPr>
              <w:t>持有的公开发行股票前已发行的股份。首次</w:t>
            </w:r>
            <w:r>
              <w:rPr>
                <w:rFonts w:ascii="宋体" w:hAnsi="宋体" w:cs="宋体" w:eastAsia="宋体" w:hint="default"/>
                <w:sz w:val="18"/>
                <w:szCs w:val="18"/>
              </w:rPr>
              <w:t> </w:t>
            </w:r>
            <w:r>
              <w:rPr>
                <w:rFonts w:ascii="宋体" w:hAnsi="宋体" w:cs="宋体" w:eastAsia="宋体" w:hint="default"/>
                <w:spacing w:val="-4"/>
                <w:sz w:val="18"/>
                <w:szCs w:val="18"/>
              </w:rPr>
              <w:t>公开发行并上市后，首信股份所持股票在锁</w:t>
            </w:r>
            <w:r>
              <w:rPr>
                <w:rFonts w:ascii="宋体" w:hAnsi="宋体" w:cs="宋体" w:eastAsia="宋体" w:hint="default"/>
                <w:sz w:val="18"/>
                <w:szCs w:val="18"/>
              </w:rPr>
              <w:t> </w:t>
            </w:r>
            <w:r>
              <w:rPr>
                <w:rFonts w:ascii="宋体" w:hAnsi="宋体" w:cs="宋体" w:eastAsia="宋体" w:hint="default"/>
                <w:spacing w:val="-4"/>
                <w:sz w:val="18"/>
                <w:szCs w:val="18"/>
              </w:rPr>
              <w:t>定期满后两年内减持的，减持价格不低于发</w:t>
            </w:r>
            <w:r>
              <w:rPr>
                <w:rFonts w:ascii="宋体" w:hAnsi="宋体" w:cs="宋体" w:eastAsia="宋体" w:hint="default"/>
                <w:sz w:val="18"/>
                <w:szCs w:val="18"/>
              </w:rPr>
              <w:t> 行价；公司上市后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个月内如股票连续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个交易日的收盘价均低于发行价，或者上市</w:t>
            </w:r>
            <w:r>
              <w:rPr>
                <w:rFonts w:ascii="宋体" w:hAnsi="宋体" w:cs="宋体" w:eastAsia="宋体" w:hint="default"/>
                <w:sz w:val="18"/>
                <w:szCs w:val="18"/>
              </w:rPr>
              <w:t> 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个月期末收盘价低于发行价，首信股份</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持有股票的锁定期限将自动延长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r>
        <w:trPr>
          <w:trHeight w:val="1649" w:hRule="exact"/>
        </w:trPr>
        <w:tc>
          <w:tcPr>
            <w:tcW w:w="1276"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123"/>
              <w:jc w:val="both"/>
              <w:rPr>
                <w:rFonts w:ascii="宋体" w:hAnsi="宋体" w:cs="宋体" w:eastAsia="宋体" w:hint="default"/>
                <w:sz w:val="18"/>
                <w:szCs w:val="18"/>
              </w:rPr>
            </w:pPr>
            <w:r>
              <w:rPr>
                <w:rFonts w:ascii="宋体" w:hAnsi="宋体" w:cs="宋体" w:eastAsia="宋体" w:hint="default"/>
                <w:sz w:val="18"/>
                <w:szCs w:val="18"/>
              </w:rPr>
              <w:t>北京科桥创业投 资中心（有限合 伙）</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3" w:right="55"/>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
              <w:jc w:val="left"/>
              <w:rPr>
                <w:rFonts w:ascii="宋体" w:hAnsi="宋体" w:cs="宋体" w:eastAsia="宋体" w:hint="default"/>
                <w:sz w:val="18"/>
                <w:szCs w:val="18"/>
              </w:rPr>
            </w:pPr>
            <w:r>
              <w:rPr>
                <w:rFonts w:ascii="宋体" w:hAnsi="宋体" w:cs="宋体" w:eastAsia="宋体" w:hint="default"/>
                <w:spacing w:val="-4"/>
                <w:sz w:val="18"/>
                <w:szCs w:val="18"/>
              </w:rPr>
              <w:t>公司股东科桥投资承诺：自公司股票上市之</w:t>
            </w:r>
            <w:r>
              <w:rPr>
                <w:rFonts w:ascii="宋体" w:hAnsi="宋体" w:cs="宋体" w:eastAsia="宋体" w:hint="default"/>
                <w:sz w:val="18"/>
                <w:szCs w:val="18"/>
              </w:rPr>
              <w:t> </w:t>
            </w:r>
            <w:r>
              <w:rPr>
                <w:rFonts w:ascii="宋体" w:hAnsi="宋体" w:cs="宋体" w:eastAsia="宋体" w:hint="default"/>
                <w:spacing w:val="-4"/>
                <w:sz w:val="18"/>
                <w:szCs w:val="18"/>
              </w:rPr>
              <w:t>日起三十六个月内，不转让或者委托他人管</w:t>
            </w:r>
            <w:r>
              <w:rPr>
                <w:rFonts w:ascii="宋体" w:hAnsi="宋体" w:cs="宋体" w:eastAsia="宋体" w:hint="default"/>
                <w:sz w:val="18"/>
                <w:szCs w:val="18"/>
              </w:rPr>
              <w:t> 理其直接或者间接持有的公开发行股票前 </w:t>
            </w:r>
            <w:r>
              <w:rPr>
                <w:rFonts w:ascii="宋体" w:hAnsi="宋体" w:cs="宋体" w:eastAsia="宋体" w:hint="default"/>
                <w:spacing w:val="-4"/>
                <w:sz w:val="18"/>
                <w:szCs w:val="18"/>
              </w:rPr>
              <w:t>已发行的股份，也不由公司回购其直接或者</w:t>
            </w:r>
            <w:r>
              <w:rPr>
                <w:rFonts w:ascii="宋体" w:hAnsi="宋体" w:cs="宋体" w:eastAsia="宋体" w:hint="default"/>
                <w:sz w:val="18"/>
                <w:szCs w:val="18"/>
              </w:rPr>
              <w:t> 间接持有的公开发行股票前已发行的股份</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r>
        <w:trPr>
          <w:trHeight w:val="317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3"/>
              <w:ind w:left="23" w:right="22"/>
              <w:jc w:val="left"/>
              <w:rPr>
                <w:rFonts w:ascii="宋体" w:hAnsi="宋体" w:cs="宋体" w:eastAsia="宋体" w:hint="default"/>
                <w:sz w:val="18"/>
                <w:szCs w:val="18"/>
              </w:rPr>
            </w:pPr>
            <w:r>
              <w:rPr>
                <w:rFonts w:ascii="宋体" w:hAnsi="宋体" w:cs="宋体" w:eastAsia="宋体" w:hint="default"/>
                <w:sz w:val="18"/>
                <w:szCs w:val="18"/>
              </w:rPr>
              <w:t>程小茁</w:t>
            </w:r>
            <w:r>
              <w:rPr>
                <w:rFonts w:ascii="Times New Roman" w:hAnsi="Times New Roman" w:cs="Times New Roman" w:eastAsia="Times New Roman" w:hint="default"/>
                <w:sz w:val="18"/>
                <w:szCs w:val="18"/>
              </w:rPr>
              <w:t>;</w:t>
            </w:r>
            <w:r>
              <w:rPr>
                <w:rFonts w:ascii="宋体" w:hAnsi="宋体" w:cs="宋体" w:eastAsia="宋体" w:hint="default"/>
                <w:sz w:val="18"/>
                <w:szCs w:val="18"/>
              </w:rPr>
              <w:t>董峰</w:t>
            </w:r>
            <w:r>
              <w:rPr>
                <w:rFonts w:ascii="Times New Roman" w:hAnsi="Times New Roman" w:cs="Times New Roman" w:eastAsia="Times New Roman" w:hint="default"/>
                <w:sz w:val="18"/>
                <w:szCs w:val="18"/>
              </w:rPr>
              <w:t>;</w:t>
            </w:r>
            <w:r>
              <w:rPr>
                <w:rFonts w:ascii="宋体" w:hAnsi="宋体" w:cs="宋体" w:eastAsia="宋体" w:hint="default"/>
                <w:sz w:val="18"/>
                <w:szCs w:val="18"/>
              </w:rPr>
              <w:t>冯承 勇</w:t>
            </w:r>
            <w:r>
              <w:rPr>
                <w:rFonts w:ascii="Times New Roman" w:hAnsi="Times New Roman" w:cs="Times New Roman" w:eastAsia="Times New Roman" w:hint="default"/>
                <w:sz w:val="18"/>
                <w:szCs w:val="18"/>
              </w:rPr>
              <w:t>;</w:t>
            </w:r>
            <w:r>
              <w:rPr>
                <w:rFonts w:ascii="宋体" w:hAnsi="宋体" w:cs="宋体" w:eastAsia="宋体" w:hint="default"/>
                <w:sz w:val="18"/>
                <w:szCs w:val="18"/>
              </w:rPr>
              <w:t>古定健</w:t>
            </w:r>
            <w:r>
              <w:rPr>
                <w:rFonts w:ascii="Times New Roman" w:hAnsi="Times New Roman" w:cs="Times New Roman" w:eastAsia="Times New Roman" w:hint="default"/>
                <w:sz w:val="18"/>
                <w:szCs w:val="18"/>
              </w:rPr>
              <w:t>;</w:t>
            </w:r>
            <w:r>
              <w:rPr>
                <w:rFonts w:ascii="宋体" w:hAnsi="宋体" w:cs="宋体" w:eastAsia="宋体" w:hint="default"/>
                <w:sz w:val="18"/>
                <w:szCs w:val="18"/>
              </w:rPr>
              <w:t>何萌</w:t>
            </w:r>
            <w:r>
              <w:rPr>
                <w:rFonts w:ascii="Times New Roman" w:hAnsi="Times New Roman" w:cs="Times New Roman" w:eastAsia="Times New Roman" w:hint="default"/>
                <w:sz w:val="18"/>
                <w:szCs w:val="18"/>
              </w:rPr>
              <w:t>; </w:t>
            </w:r>
            <w:r>
              <w:rPr>
                <w:rFonts w:ascii="宋体" w:hAnsi="宋体" w:cs="宋体" w:eastAsia="宋体" w:hint="default"/>
                <w:sz w:val="18"/>
                <w:szCs w:val="18"/>
              </w:rPr>
              <w:t>贺禀作</w:t>
            </w:r>
            <w:r>
              <w:rPr>
                <w:rFonts w:ascii="Times New Roman" w:hAnsi="Times New Roman" w:cs="Times New Roman" w:eastAsia="Times New Roman" w:hint="default"/>
                <w:sz w:val="18"/>
                <w:szCs w:val="18"/>
              </w:rPr>
              <w:t>;</w:t>
            </w:r>
            <w:r>
              <w:rPr>
                <w:rFonts w:ascii="宋体" w:hAnsi="宋体" w:cs="宋体" w:eastAsia="宋体" w:hint="default"/>
                <w:sz w:val="18"/>
                <w:szCs w:val="18"/>
              </w:rPr>
              <w:t>黄德生</w:t>
            </w:r>
            <w:r>
              <w:rPr>
                <w:rFonts w:ascii="Times New Roman" w:hAnsi="Times New Roman" w:cs="Times New Roman" w:eastAsia="Times New Roman" w:hint="default"/>
                <w:sz w:val="18"/>
                <w:szCs w:val="18"/>
              </w:rPr>
              <w:t>;</w:t>
            </w:r>
            <w:r>
              <w:rPr>
                <w:rFonts w:ascii="宋体" w:hAnsi="宋体" w:cs="宋体" w:eastAsia="宋体" w:hint="default"/>
                <w:sz w:val="18"/>
                <w:szCs w:val="18"/>
              </w:rPr>
              <w:t>蒋 川</w:t>
            </w:r>
            <w:r>
              <w:rPr>
                <w:rFonts w:ascii="Times New Roman" w:hAnsi="Times New Roman" w:cs="Times New Roman" w:eastAsia="Times New Roman" w:hint="default"/>
                <w:sz w:val="18"/>
                <w:szCs w:val="18"/>
              </w:rPr>
              <w:t>;</w:t>
            </w:r>
            <w:r>
              <w:rPr>
                <w:rFonts w:ascii="宋体" w:hAnsi="宋体" w:cs="宋体" w:eastAsia="宋体" w:hint="default"/>
                <w:sz w:val="18"/>
                <w:szCs w:val="18"/>
              </w:rPr>
              <w:t>李德全</w:t>
            </w:r>
            <w:r>
              <w:rPr>
                <w:rFonts w:ascii="Times New Roman" w:hAnsi="Times New Roman" w:cs="Times New Roman" w:eastAsia="Times New Roman" w:hint="default"/>
                <w:sz w:val="18"/>
                <w:szCs w:val="18"/>
              </w:rPr>
              <w:t>;</w:t>
            </w:r>
            <w:r>
              <w:rPr>
                <w:rFonts w:ascii="宋体" w:hAnsi="宋体" w:cs="宋体" w:eastAsia="宋体" w:hint="default"/>
                <w:sz w:val="18"/>
                <w:szCs w:val="18"/>
              </w:rPr>
              <w:t>李述 胜</w:t>
            </w:r>
            <w:r>
              <w:rPr>
                <w:rFonts w:ascii="Times New Roman" w:hAnsi="Times New Roman" w:cs="Times New Roman" w:eastAsia="Times New Roman" w:hint="default"/>
                <w:sz w:val="18"/>
                <w:szCs w:val="18"/>
              </w:rPr>
              <w:t>;</w:t>
            </w:r>
            <w:r>
              <w:rPr>
                <w:rFonts w:ascii="宋体" w:hAnsi="宋体" w:cs="宋体" w:eastAsia="宋体" w:hint="default"/>
                <w:sz w:val="18"/>
                <w:szCs w:val="18"/>
              </w:rPr>
              <w:t>林雪焰</w:t>
            </w:r>
            <w:r>
              <w:rPr>
                <w:rFonts w:ascii="Times New Roman" w:hAnsi="Times New Roman" w:cs="Times New Roman" w:eastAsia="Times New Roman" w:hint="default"/>
                <w:sz w:val="18"/>
                <w:szCs w:val="18"/>
              </w:rPr>
              <w:t>;</w:t>
            </w:r>
            <w:r>
              <w:rPr>
                <w:rFonts w:ascii="宋体" w:hAnsi="宋体" w:cs="宋体" w:eastAsia="宋体" w:hint="default"/>
                <w:sz w:val="18"/>
                <w:szCs w:val="18"/>
              </w:rPr>
              <w:t>刘琦</w:t>
            </w:r>
            <w:r>
              <w:rPr>
                <w:rFonts w:ascii="Times New Roman" w:hAnsi="Times New Roman" w:cs="Times New Roman" w:eastAsia="Times New Roman" w:hint="default"/>
                <w:sz w:val="18"/>
                <w:szCs w:val="18"/>
              </w:rPr>
              <w:t>; </w:t>
            </w:r>
            <w:r>
              <w:rPr>
                <w:rFonts w:ascii="宋体" w:hAnsi="宋体" w:cs="宋体" w:eastAsia="宋体" w:hint="default"/>
                <w:sz w:val="18"/>
                <w:szCs w:val="18"/>
              </w:rPr>
              <w:t>马臣云</w:t>
            </w:r>
            <w:r>
              <w:rPr>
                <w:rFonts w:ascii="Times New Roman" w:hAnsi="Times New Roman" w:cs="Times New Roman" w:eastAsia="Times New Roman" w:hint="default"/>
                <w:sz w:val="18"/>
                <w:szCs w:val="18"/>
              </w:rPr>
              <w:t>;</w:t>
            </w:r>
            <w:r>
              <w:rPr>
                <w:rFonts w:ascii="宋体" w:hAnsi="宋体" w:cs="宋体" w:eastAsia="宋体" w:hint="default"/>
                <w:sz w:val="18"/>
                <w:szCs w:val="18"/>
              </w:rPr>
              <w:t>孟戈松</w:t>
            </w:r>
            <w:r>
              <w:rPr>
                <w:rFonts w:ascii="Times New Roman" w:hAnsi="Times New Roman" w:cs="Times New Roman" w:eastAsia="Times New Roman" w:hint="default"/>
                <w:sz w:val="18"/>
                <w:szCs w:val="18"/>
              </w:rPr>
              <w:t>;</w:t>
            </w:r>
            <w:r>
              <w:rPr>
                <w:rFonts w:ascii="宋体" w:hAnsi="宋体" w:cs="宋体" w:eastAsia="宋体" w:hint="default"/>
                <w:sz w:val="18"/>
                <w:szCs w:val="18"/>
              </w:rPr>
              <w:t>上 海市数字证书认 证中心有限公司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沈雷</w:t>
            </w:r>
            <w:r>
              <w:rPr>
                <w:rFonts w:ascii="Times New Roman" w:hAnsi="Times New Roman" w:cs="Times New Roman" w:eastAsia="Times New Roman" w:hint="default"/>
                <w:sz w:val="18"/>
                <w:szCs w:val="18"/>
              </w:rPr>
              <w:t>;</w:t>
            </w:r>
            <w:r>
              <w:rPr>
                <w:rFonts w:ascii="宋体" w:hAnsi="宋体" w:cs="宋体" w:eastAsia="宋体" w:hint="default"/>
                <w:sz w:val="18"/>
                <w:szCs w:val="18"/>
              </w:rPr>
              <w:t>沈兆刚</w:t>
            </w:r>
            <w:r>
              <w:rPr>
                <w:rFonts w:ascii="Times New Roman" w:hAnsi="Times New Roman" w:cs="Times New Roman" w:eastAsia="Times New Roman" w:hint="default"/>
                <w:sz w:val="18"/>
                <w:szCs w:val="18"/>
              </w:rPr>
              <w:t>;</w:t>
            </w:r>
            <w:r>
              <w:rPr>
                <w:rFonts w:ascii="宋体" w:hAnsi="宋体" w:cs="宋体" w:eastAsia="宋体" w:hint="default"/>
                <w:sz w:val="18"/>
                <w:szCs w:val="18"/>
              </w:rPr>
              <w:t>孙鸿 斌</w:t>
            </w:r>
            <w:r>
              <w:rPr>
                <w:rFonts w:ascii="Times New Roman" w:hAnsi="Times New Roman" w:cs="Times New Roman" w:eastAsia="Times New Roman" w:hint="default"/>
                <w:sz w:val="18"/>
                <w:szCs w:val="18"/>
              </w:rPr>
              <w:t>;</w:t>
            </w:r>
            <w:r>
              <w:rPr>
                <w:rFonts w:ascii="宋体" w:hAnsi="宋体" w:cs="宋体" w:eastAsia="宋体" w:hint="default"/>
                <w:sz w:val="18"/>
                <w:szCs w:val="18"/>
              </w:rPr>
              <w:t>王春芝</w:t>
            </w:r>
            <w:r>
              <w:rPr>
                <w:rFonts w:ascii="Times New Roman" w:hAnsi="Times New Roman" w:cs="Times New Roman" w:eastAsia="Times New Roman" w:hint="default"/>
                <w:sz w:val="18"/>
                <w:szCs w:val="18"/>
              </w:rPr>
              <w:t>;</w:t>
            </w:r>
            <w:r>
              <w:rPr>
                <w:rFonts w:ascii="宋体" w:hAnsi="宋体" w:cs="宋体" w:eastAsia="宋体" w:hint="default"/>
                <w:sz w:val="18"/>
                <w:szCs w:val="18"/>
              </w:rPr>
              <w:t>王新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4"/>
                <w:sz w:val="18"/>
                <w:szCs w:val="18"/>
              </w:rPr>
              <w:t>自公司股票上市之日起十二个月内，不转让</w:t>
            </w:r>
            <w:r>
              <w:rPr>
                <w:rFonts w:ascii="宋体" w:hAnsi="宋体" w:cs="宋体" w:eastAsia="宋体" w:hint="default"/>
                <w:sz w:val="18"/>
                <w:szCs w:val="18"/>
              </w:rPr>
              <w:t> 或者委托他人管理其直接或者间接持有的 </w:t>
            </w:r>
            <w:r>
              <w:rPr>
                <w:rFonts w:ascii="宋体" w:hAnsi="宋体" w:cs="宋体" w:eastAsia="宋体" w:hint="default"/>
                <w:spacing w:val="-4"/>
                <w:sz w:val="18"/>
                <w:szCs w:val="18"/>
              </w:rPr>
              <w:t>公开发行股票前已发行的股份，也不由公司</w:t>
            </w:r>
            <w:r>
              <w:rPr>
                <w:rFonts w:ascii="宋体" w:hAnsi="宋体" w:cs="宋体" w:eastAsia="宋体" w:hint="default"/>
                <w:sz w:val="18"/>
                <w:szCs w:val="18"/>
              </w:rPr>
              <w:t> 回购其直接或者间接持有的公开发行股票 前已发行的股份。</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已履行完 毕。</w:t>
            </w:r>
          </w:p>
        </w:tc>
      </w:tr>
    </w:tbl>
    <w:p>
      <w:pPr>
        <w:spacing w:after="0" w:line="316" w:lineRule="auto"/>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76"/>
        <w:gridCol w:w="1419"/>
        <w:gridCol w:w="991"/>
        <w:gridCol w:w="3401"/>
        <w:gridCol w:w="853"/>
        <w:gridCol w:w="850"/>
        <w:gridCol w:w="780"/>
      </w:tblGrid>
      <w:tr>
        <w:trPr>
          <w:trHeight w:val="410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23" w:right="22"/>
              <w:jc w:val="left"/>
              <w:rPr>
                <w:rFonts w:ascii="宋体" w:hAnsi="宋体" w:cs="宋体" w:eastAsia="宋体" w:hint="default"/>
                <w:sz w:val="18"/>
                <w:szCs w:val="18"/>
              </w:rPr>
            </w:pPr>
            <w:r>
              <w:rPr>
                <w:rFonts w:ascii="宋体" w:hAnsi="宋体" w:cs="宋体" w:eastAsia="宋体" w:hint="default"/>
                <w:sz w:val="18"/>
                <w:szCs w:val="18"/>
              </w:rPr>
              <w:t>华</w:t>
            </w:r>
            <w:r>
              <w:rPr>
                <w:rFonts w:ascii="Times New Roman" w:hAnsi="Times New Roman" w:cs="Times New Roman" w:eastAsia="Times New Roman" w:hint="default"/>
                <w:sz w:val="18"/>
                <w:szCs w:val="18"/>
              </w:rPr>
              <w:t>;</w:t>
            </w:r>
            <w:r>
              <w:rPr>
                <w:rFonts w:ascii="宋体" w:hAnsi="宋体" w:cs="宋体" w:eastAsia="宋体" w:hint="default"/>
                <w:sz w:val="18"/>
                <w:szCs w:val="18"/>
              </w:rPr>
              <w:t>吴臣华</w:t>
            </w:r>
            <w:r>
              <w:rPr>
                <w:rFonts w:ascii="Times New Roman" w:hAnsi="Times New Roman" w:cs="Times New Roman" w:eastAsia="Times New Roman" w:hint="default"/>
                <w:sz w:val="18"/>
                <w:szCs w:val="18"/>
              </w:rPr>
              <w:t>;</w:t>
            </w:r>
            <w:r>
              <w:rPr>
                <w:rFonts w:ascii="宋体" w:hAnsi="宋体" w:cs="宋体" w:eastAsia="宋体" w:hint="default"/>
                <w:sz w:val="18"/>
                <w:szCs w:val="18"/>
              </w:rPr>
              <w:t>吴舜 皋</w:t>
            </w:r>
            <w:r>
              <w:rPr>
                <w:rFonts w:ascii="Times New Roman" w:hAnsi="Times New Roman" w:cs="Times New Roman" w:eastAsia="Times New Roman" w:hint="default"/>
                <w:sz w:val="18"/>
                <w:szCs w:val="18"/>
              </w:rPr>
              <w:t>;</w:t>
            </w:r>
            <w:r>
              <w:rPr>
                <w:rFonts w:ascii="宋体" w:hAnsi="宋体" w:cs="宋体" w:eastAsia="宋体" w:hint="default"/>
                <w:sz w:val="18"/>
                <w:szCs w:val="18"/>
              </w:rPr>
              <w:t>闫实</w:t>
            </w:r>
            <w:r>
              <w:rPr>
                <w:rFonts w:ascii="Times New Roman" w:hAnsi="Times New Roman" w:cs="Times New Roman" w:eastAsia="Times New Roman" w:hint="default"/>
                <w:sz w:val="18"/>
                <w:szCs w:val="18"/>
              </w:rPr>
              <w:t>;</w:t>
            </w:r>
            <w:r>
              <w:rPr>
                <w:rFonts w:ascii="宋体" w:hAnsi="宋体" w:cs="宋体" w:eastAsia="宋体" w:hint="default"/>
                <w:sz w:val="18"/>
                <w:szCs w:val="18"/>
              </w:rPr>
              <w:t>阳俊彪</w:t>
            </w:r>
            <w:r>
              <w:rPr>
                <w:rFonts w:ascii="Times New Roman" w:hAnsi="Times New Roman" w:cs="Times New Roman" w:eastAsia="Times New Roman" w:hint="default"/>
                <w:sz w:val="18"/>
                <w:szCs w:val="18"/>
              </w:rPr>
              <w:t>; </w:t>
            </w:r>
            <w:r>
              <w:rPr>
                <w:rFonts w:ascii="宋体" w:hAnsi="宋体" w:cs="宋体" w:eastAsia="宋体" w:hint="default"/>
                <w:sz w:val="18"/>
                <w:szCs w:val="18"/>
              </w:rPr>
              <w:t>翟建军</w:t>
            </w:r>
            <w:r>
              <w:rPr>
                <w:rFonts w:ascii="Times New Roman" w:hAnsi="Times New Roman" w:cs="Times New Roman" w:eastAsia="Times New Roman" w:hint="default"/>
                <w:sz w:val="18"/>
                <w:szCs w:val="18"/>
              </w:rPr>
              <w:t>;</w:t>
            </w:r>
            <w:r>
              <w:rPr>
                <w:rFonts w:ascii="宋体" w:hAnsi="宋体" w:cs="宋体" w:eastAsia="宋体" w:hint="default"/>
                <w:sz w:val="18"/>
                <w:szCs w:val="18"/>
              </w:rPr>
              <w:t>詹榜华</w:t>
            </w:r>
            <w:r>
              <w:rPr>
                <w:rFonts w:ascii="Times New Roman" w:hAnsi="Times New Roman" w:cs="Times New Roman" w:eastAsia="Times New Roman" w:hint="default"/>
                <w:sz w:val="18"/>
                <w:szCs w:val="18"/>
              </w:rPr>
              <w:t>;</w:t>
            </w:r>
            <w:r>
              <w:rPr>
                <w:rFonts w:ascii="宋体" w:hAnsi="宋体" w:cs="宋体" w:eastAsia="宋体" w:hint="default"/>
                <w:sz w:val="18"/>
                <w:szCs w:val="18"/>
              </w:rPr>
              <w:t>张 继东</w:t>
            </w:r>
            <w:r>
              <w:rPr>
                <w:rFonts w:ascii="Times New Roman" w:hAnsi="Times New Roman" w:cs="Times New Roman" w:eastAsia="Times New Roman" w:hint="default"/>
                <w:sz w:val="18"/>
                <w:szCs w:val="18"/>
              </w:rPr>
              <w:t>;</w:t>
            </w:r>
            <w:r>
              <w:rPr>
                <w:rFonts w:ascii="宋体" w:hAnsi="宋体" w:cs="宋体" w:eastAsia="宋体" w:hint="default"/>
                <w:sz w:val="18"/>
                <w:szCs w:val="18"/>
              </w:rPr>
              <w:t>张益谦</w:t>
            </w:r>
            <w:r>
              <w:rPr>
                <w:rFonts w:ascii="Times New Roman" w:hAnsi="Times New Roman" w:cs="Times New Roman" w:eastAsia="Times New Roman" w:hint="default"/>
                <w:sz w:val="18"/>
                <w:szCs w:val="18"/>
              </w:rPr>
              <w:t>;</w:t>
            </w:r>
            <w:r>
              <w:rPr>
                <w:rFonts w:ascii="宋体" w:hAnsi="宋体" w:cs="宋体" w:eastAsia="宋体" w:hint="default"/>
                <w:sz w:val="18"/>
                <w:szCs w:val="18"/>
              </w:rPr>
              <w:t>周喜 东</w:t>
            </w:r>
            <w:r>
              <w:rPr>
                <w:rFonts w:ascii="Times New Roman" w:hAnsi="Times New Roman" w:cs="Times New Roman" w:eastAsia="Times New Roman" w:hint="default"/>
                <w:sz w:val="18"/>
                <w:szCs w:val="18"/>
              </w:rPr>
              <w:t>;</w:t>
            </w:r>
            <w:r>
              <w:rPr>
                <w:rFonts w:ascii="宋体" w:hAnsi="宋体" w:cs="宋体" w:eastAsia="宋体" w:hint="default"/>
                <w:sz w:val="18"/>
                <w:szCs w:val="18"/>
              </w:rPr>
              <w:t>陈本兰</w:t>
            </w:r>
            <w:r>
              <w:rPr>
                <w:rFonts w:ascii="Times New Roman" w:hAnsi="Times New Roman" w:cs="Times New Roman" w:eastAsia="Times New Roman" w:hint="default"/>
                <w:sz w:val="18"/>
                <w:szCs w:val="18"/>
              </w:rPr>
              <w:t>;</w:t>
            </w:r>
            <w:r>
              <w:rPr>
                <w:rFonts w:ascii="宋体" w:hAnsi="宋体" w:cs="宋体" w:eastAsia="宋体" w:hint="default"/>
                <w:sz w:val="18"/>
                <w:szCs w:val="18"/>
              </w:rPr>
              <w:t>邓铭</w:t>
            </w:r>
            <w:r>
              <w:rPr>
                <w:rFonts w:ascii="Times New Roman" w:hAnsi="Times New Roman" w:cs="Times New Roman" w:eastAsia="Times New Roman" w:hint="default"/>
                <w:sz w:val="18"/>
                <w:szCs w:val="18"/>
              </w:rPr>
              <w:t>; </w:t>
            </w:r>
            <w:r>
              <w:rPr>
                <w:rFonts w:ascii="宋体" w:hAnsi="宋体" w:cs="宋体" w:eastAsia="宋体" w:hint="default"/>
                <w:sz w:val="18"/>
                <w:szCs w:val="18"/>
              </w:rPr>
              <w:t>龚兵</w:t>
            </w:r>
            <w:r>
              <w:rPr>
                <w:rFonts w:ascii="Times New Roman" w:hAnsi="Times New Roman" w:cs="Times New Roman" w:eastAsia="Times New Roman" w:hint="default"/>
                <w:sz w:val="18"/>
                <w:szCs w:val="18"/>
              </w:rPr>
              <w:t>;</w:t>
            </w:r>
            <w:r>
              <w:rPr>
                <w:rFonts w:ascii="宋体" w:hAnsi="宋体" w:cs="宋体" w:eastAsia="宋体" w:hint="default"/>
                <w:sz w:val="18"/>
                <w:szCs w:val="18"/>
              </w:rPr>
              <w:t>郝连婧</w:t>
            </w:r>
            <w:r>
              <w:rPr>
                <w:rFonts w:ascii="Times New Roman" w:hAnsi="Times New Roman" w:cs="Times New Roman" w:eastAsia="Times New Roman" w:hint="default"/>
                <w:sz w:val="18"/>
                <w:szCs w:val="18"/>
              </w:rPr>
              <w:t>;</w:t>
            </w:r>
            <w:r>
              <w:rPr>
                <w:rFonts w:ascii="宋体" w:hAnsi="宋体" w:cs="宋体" w:eastAsia="宋体" w:hint="default"/>
                <w:sz w:val="18"/>
                <w:szCs w:val="18"/>
              </w:rPr>
              <w:t>齐志 彬</w:t>
            </w:r>
            <w:r>
              <w:rPr>
                <w:rFonts w:ascii="Times New Roman" w:hAnsi="Times New Roman" w:cs="Times New Roman" w:eastAsia="Times New Roman" w:hint="default"/>
                <w:sz w:val="18"/>
                <w:szCs w:val="18"/>
              </w:rPr>
              <w:t>;</w:t>
            </w:r>
            <w:r>
              <w:rPr>
                <w:rFonts w:ascii="宋体" w:hAnsi="宋体" w:cs="宋体" w:eastAsia="宋体" w:hint="default"/>
                <w:sz w:val="18"/>
                <w:szCs w:val="18"/>
              </w:rPr>
              <w:t>邵淼</w:t>
            </w:r>
            <w:r>
              <w:rPr>
                <w:rFonts w:ascii="Times New Roman" w:hAnsi="Times New Roman" w:cs="Times New Roman" w:eastAsia="Times New Roman" w:hint="default"/>
                <w:sz w:val="18"/>
                <w:szCs w:val="18"/>
              </w:rPr>
              <w:t>;</w:t>
            </w:r>
            <w:r>
              <w:rPr>
                <w:rFonts w:ascii="宋体" w:hAnsi="宋体" w:cs="宋体" w:eastAsia="宋体" w:hint="default"/>
                <w:sz w:val="18"/>
                <w:szCs w:val="18"/>
              </w:rPr>
              <w:t>田建彤</w:t>
            </w:r>
            <w:r>
              <w:rPr>
                <w:rFonts w:ascii="Times New Roman" w:hAnsi="Times New Roman" w:cs="Times New Roman" w:eastAsia="Times New Roman" w:hint="default"/>
                <w:sz w:val="18"/>
                <w:szCs w:val="18"/>
              </w:rPr>
              <w:t>; </w:t>
            </w:r>
            <w:r>
              <w:rPr>
                <w:rFonts w:ascii="宋体" w:hAnsi="宋体" w:cs="宋体" w:eastAsia="宋体" w:hint="default"/>
                <w:sz w:val="18"/>
                <w:szCs w:val="18"/>
              </w:rPr>
              <w:t>涂元浩</w:t>
            </w:r>
            <w:r>
              <w:rPr>
                <w:rFonts w:ascii="Times New Roman" w:hAnsi="Times New Roman" w:cs="Times New Roman" w:eastAsia="Times New Roman" w:hint="default"/>
                <w:sz w:val="18"/>
                <w:szCs w:val="18"/>
              </w:rPr>
              <w:t>;</w:t>
            </w:r>
            <w:r>
              <w:rPr>
                <w:rFonts w:ascii="宋体" w:hAnsi="宋体" w:cs="宋体" w:eastAsia="宋体" w:hint="default"/>
                <w:sz w:val="18"/>
                <w:szCs w:val="18"/>
              </w:rPr>
              <w:t>王浩</w:t>
            </w:r>
            <w:r>
              <w:rPr>
                <w:rFonts w:ascii="Times New Roman" w:hAnsi="Times New Roman" w:cs="Times New Roman" w:eastAsia="Times New Roman" w:hint="default"/>
                <w:sz w:val="18"/>
                <w:szCs w:val="18"/>
              </w:rPr>
              <w:t>;</w:t>
            </w:r>
            <w:r>
              <w:rPr>
                <w:rFonts w:ascii="宋体" w:hAnsi="宋体" w:cs="宋体" w:eastAsia="宋体" w:hint="default"/>
                <w:sz w:val="18"/>
                <w:szCs w:val="18"/>
              </w:rPr>
              <w:t>王威 威</w:t>
            </w:r>
            <w:r>
              <w:rPr>
                <w:rFonts w:ascii="Times New Roman" w:hAnsi="Times New Roman" w:cs="Times New Roman" w:eastAsia="Times New Roman" w:hint="default"/>
                <w:sz w:val="18"/>
                <w:szCs w:val="18"/>
              </w:rPr>
              <w:t>;</w:t>
            </w:r>
            <w:r>
              <w:rPr>
                <w:rFonts w:ascii="宋体" w:hAnsi="宋体" w:cs="宋体" w:eastAsia="宋体" w:hint="default"/>
                <w:sz w:val="18"/>
                <w:szCs w:val="18"/>
              </w:rPr>
              <w:t>吴郇</w:t>
            </w:r>
            <w:r>
              <w:rPr>
                <w:rFonts w:ascii="Times New Roman" w:hAnsi="Times New Roman" w:cs="Times New Roman" w:eastAsia="Times New Roman" w:hint="default"/>
                <w:sz w:val="18"/>
                <w:szCs w:val="18"/>
              </w:rPr>
              <w:t>;</w:t>
            </w:r>
            <w:r>
              <w:rPr>
                <w:rFonts w:ascii="宋体" w:hAnsi="宋体" w:cs="宋体" w:eastAsia="宋体" w:hint="default"/>
                <w:sz w:val="18"/>
                <w:szCs w:val="18"/>
              </w:rPr>
              <w:t>项艳</w:t>
            </w:r>
            <w:r>
              <w:rPr>
                <w:rFonts w:ascii="Times New Roman" w:hAnsi="Times New Roman" w:cs="Times New Roman" w:eastAsia="Times New Roman" w:hint="default"/>
                <w:sz w:val="18"/>
                <w:szCs w:val="18"/>
              </w:rPr>
              <w:t>;</w:t>
            </w:r>
            <w:r>
              <w:rPr>
                <w:rFonts w:ascii="宋体" w:hAnsi="宋体" w:cs="宋体" w:eastAsia="宋体" w:hint="default"/>
                <w:sz w:val="18"/>
                <w:szCs w:val="18"/>
              </w:rPr>
              <w:t>张 红霞</w:t>
            </w:r>
            <w:r>
              <w:rPr>
                <w:rFonts w:ascii="Times New Roman" w:hAnsi="Times New Roman" w:cs="Times New Roman" w:eastAsia="Times New Roman" w:hint="default"/>
                <w:sz w:val="18"/>
                <w:szCs w:val="18"/>
              </w:rPr>
              <w:t>;</w:t>
            </w:r>
            <w:r>
              <w:rPr>
                <w:rFonts w:ascii="宋体" w:hAnsi="宋体" w:cs="宋体" w:eastAsia="宋体" w:hint="default"/>
                <w:sz w:val="18"/>
                <w:szCs w:val="18"/>
              </w:rPr>
              <w:t>张淑皓</w:t>
            </w:r>
            <w:r>
              <w:rPr>
                <w:rFonts w:ascii="Times New Roman" w:hAnsi="Times New Roman" w:cs="Times New Roman" w:eastAsia="Times New Roman" w:hint="default"/>
                <w:sz w:val="18"/>
                <w:szCs w:val="18"/>
              </w:rPr>
              <w:t>;</w:t>
            </w:r>
            <w:r>
              <w:rPr>
                <w:rFonts w:ascii="宋体" w:hAnsi="宋体" w:cs="宋体" w:eastAsia="宋体" w:hint="default"/>
                <w:sz w:val="18"/>
                <w:szCs w:val="18"/>
              </w:rPr>
              <w:t>张雪 彬</w:t>
            </w:r>
            <w:r>
              <w:rPr>
                <w:rFonts w:ascii="Times New Roman" w:hAnsi="Times New Roman" w:cs="Times New Roman" w:eastAsia="Times New Roman" w:hint="default"/>
                <w:sz w:val="18"/>
                <w:szCs w:val="18"/>
              </w:rPr>
              <w:t>;</w:t>
            </w:r>
            <w:r>
              <w:rPr>
                <w:rFonts w:ascii="宋体" w:hAnsi="宋体" w:cs="宋体" w:eastAsia="宋体" w:hint="default"/>
                <w:sz w:val="18"/>
                <w:szCs w:val="18"/>
              </w:rPr>
              <w:t>张振来</w:t>
            </w:r>
            <w:r>
              <w:rPr>
                <w:rFonts w:ascii="Times New Roman" w:hAnsi="Times New Roman" w:cs="Times New Roman" w:eastAsia="Times New Roman" w:hint="default"/>
                <w:sz w:val="18"/>
                <w:szCs w:val="18"/>
              </w:rPr>
              <w:t>;</w:t>
            </w:r>
            <w:r>
              <w:rPr>
                <w:rFonts w:ascii="宋体" w:hAnsi="宋体" w:cs="宋体" w:eastAsia="宋体" w:hint="default"/>
                <w:sz w:val="18"/>
                <w:szCs w:val="18"/>
              </w:rPr>
              <w:t>张政</w:t>
            </w:r>
            <w:r>
              <w:rPr>
                <w:rFonts w:ascii="Times New Roman" w:hAnsi="Times New Roman" w:cs="Times New Roman" w:eastAsia="Times New Roman" w:hint="default"/>
                <w:sz w:val="18"/>
                <w:szCs w:val="18"/>
              </w:rPr>
              <w:t>; </w:t>
            </w:r>
            <w:r>
              <w:rPr>
                <w:rFonts w:ascii="宋体" w:hAnsi="宋体" w:cs="宋体" w:eastAsia="宋体" w:hint="default"/>
                <w:sz w:val="18"/>
                <w:szCs w:val="18"/>
              </w:rPr>
              <w:t>张智锋</w:t>
            </w:r>
            <w:r>
              <w:rPr>
                <w:rFonts w:ascii="Times New Roman" w:hAnsi="Times New Roman" w:cs="Times New Roman" w:eastAsia="Times New Roman" w:hint="default"/>
                <w:sz w:val="18"/>
                <w:szCs w:val="18"/>
              </w:rPr>
              <w:t>;</w:t>
            </w:r>
            <w:r>
              <w:rPr>
                <w:rFonts w:ascii="宋体" w:hAnsi="宋体" w:cs="宋体" w:eastAsia="宋体" w:hint="default"/>
                <w:sz w:val="18"/>
                <w:szCs w:val="18"/>
              </w:rPr>
              <w:t>赵盛荣</w:t>
            </w:r>
            <w:r>
              <w:rPr>
                <w:rFonts w:ascii="Times New Roman" w:hAnsi="Times New Roman" w:cs="Times New Roman" w:eastAsia="Times New Roman" w:hint="default"/>
                <w:sz w:val="18"/>
                <w:szCs w:val="18"/>
              </w:rPr>
              <w:t>;</w:t>
            </w:r>
            <w:r>
              <w:rPr>
                <w:rFonts w:ascii="宋体" w:hAnsi="宋体" w:cs="宋体" w:eastAsia="宋体" w:hint="default"/>
                <w:sz w:val="18"/>
                <w:szCs w:val="18"/>
              </w:rPr>
              <w:t>赵 钰昆</w:t>
            </w:r>
          </w:p>
        </w:tc>
        <w:tc>
          <w:tcPr>
            <w:tcW w:w="991"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276"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刘汉莎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55"/>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pacing w:val="-4"/>
                <w:sz w:val="18"/>
                <w:szCs w:val="18"/>
              </w:rPr>
              <w:t>自公司股票上市之日起十二个月内，不转让</w:t>
            </w:r>
            <w:r>
              <w:rPr>
                <w:rFonts w:ascii="宋体" w:hAnsi="宋体" w:cs="宋体" w:eastAsia="宋体" w:hint="default"/>
                <w:sz w:val="18"/>
                <w:szCs w:val="18"/>
              </w:rPr>
              <w:t> 或者委托他人管理其直接或者间接持有的 </w:t>
            </w:r>
            <w:r>
              <w:rPr>
                <w:rFonts w:ascii="宋体" w:hAnsi="宋体" w:cs="宋体" w:eastAsia="宋体" w:hint="default"/>
                <w:spacing w:val="-4"/>
                <w:sz w:val="18"/>
                <w:szCs w:val="18"/>
              </w:rPr>
              <w:t>公开发行股票前已发行的股份，也不由公司</w:t>
            </w:r>
            <w:r>
              <w:rPr>
                <w:rFonts w:ascii="宋体" w:hAnsi="宋体" w:cs="宋体" w:eastAsia="宋体" w:hint="default"/>
                <w:sz w:val="18"/>
                <w:szCs w:val="18"/>
              </w:rPr>
              <w:t> 回购其直接或者间接持有的公开发行股票 前已发行的股份。</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4"/>
              <w:jc w:val="left"/>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r>
        <w:trPr>
          <w:trHeight w:val="4148" w:hRule="exact"/>
        </w:trPr>
        <w:tc>
          <w:tcPr>
            <w:tcW w:w="1276"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2"/>
              <w:ind w:left="23" w:right="22"/>
              <w:jc w:val="left"/>
              <w:rPr>
                <w:rFonts w:ascii="宋体" w:hAnsi="宋体" w:cs="宋体" w:eastAsia="宋体" w:hint="default"/>
                <w:sz w:val="18"/>
                <w:szCs w:val="18"/>
              </w:rPr>
            </w:pPr>
            <w:r>
              <w:rPr>
                <w:rFonts w:ascii="宋体" w:hAnsi="宋体" w:cs="宋体" w:eastAsia="宋体" w:hint="default"/>
                <w:sz w:val="18"/>
                <w:szCs w:val="18"/>
              </w:rPr>
              <w:t>林雪焰</w:t>
            </w:r>
            <w:r>
              <w:rPr>
                <w:rFonts w:ascii="Times New Roman" w:hAnsi="Times New Roman" w:cs="Times New Roman" w:eastAsia="Times New Roman" w:hint="default"/>
                <w:sz w:val="18"/>
                <w:szCs w:val="18"/>
              </w:rPr>
              <w:t>;</w:t>
            </w:r>
            <w:r>
              <w:rPr>
                <w:rFonts w:ascii="宋体" w:hAnsi="宋体" w:cs="宋体" w:eastAsia="宋体" w:hint="default"/>
                <w:sz w:val="18"/>
                <w:szCs w:val="18"/>
              </w:rPr>
              <w:t>刘汉莎</w:t>
            </w:r>
            <w:r>
              <w:rPr>
                <w:rFonts w:ascii="Times New Roman" w:hAnsi="Times New Roman" w:cs="Times New Roman" w:eastAsia="Times New Roman" w:hint="default"/>
                <w:sz w:val="18"/>
                <w:szCs w:val="18"/>
              </w:rPr>
              <w:t>;</w:t>
            </w:r>
            <w:r>
              <w:rPr>
                <w:rFonts w:ascii="宋体" w:hAnsi="宋体" w:cs="宋体" w:eastAsia="宋体" w:hint="default"/>
                <w:sz w:val="18"/>
                <w:szCs w:val="18"/>
              </w:rPr>
              <w:t>詹 榜华</w:t>
            </w:r>
            <w:r>
              <w:rPr>
                <w:rFonts w:ascii="Times New Roman" w:hAnsi="Times New Roman" w:cs="Times New Roman" w:eastAsia="Times New Roman" w:hint="default"/>
                <w:sz w:val="18"/>
                <w:szCs w:val="18"/>
              </w:rPr>
              <w:t>;</w:t>
            </w:r>
            <w:r>
              <w:rPr>
                <w:rFonts w:ascii="宋体" w:hAnsi="宋体" w:cs="宋体" w:eastAsia="宋体" w:hint="default"/>
                <w:sz w:val="18"/>
                <w:szCs w:val="18"/>
              </w:rPr>
              <w:t>张益谦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55"/>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、自公司股票上市之日起十二个月内，不 转让或者委托他人管理其直接或者间接持 </w:t>
            </w:r>
            <w:r>
              <w:rPr>
                <w:rFonts w:ascii="宋体" w:hAnsi="宋体" w:cs="宋体" w:eastAsia="宋体" w:hint="default"/>
                <w:spacing w:val="-4"/>
                <w:sz w:val="18"/>
                <w:szCs w:val="18"/>
              </w:rPr>
              <w:t>有的公开发行股票前已发行的股份，也不由</w:t>
            </w:r>
            <w:r>
              <w:rPr>
                <w:rFonts w:ascii="宋体" w:hAnsi="宋体" w:cs="宋体" w:eastAsia="宋体" w:hint="default"/>
                <w:sz w:val="18"/>
                <w:szCs w:val="18"/>
              </w:rPr>
              <w:t> 公司回购其直接或者间接持有的公开发行 股票前已发行的股份。</w:t>
            </w:r>
            <w:r>
              <w:rPr>
                <w:rFonts w:ascii="Times New Roman" w:hAnsi="Times New Roman" w:cs="Times New Roman" w:eastAsia="Times New Roman" w:hint="default"/>
                <w:sz w:val="18"/>
                <w:szCs w:val="18"/>
              </w:rPr>
              <w:t>2</w:t>
            </w:r>
            <w:r>
              <w:rPr>
                <w:rFonts w:ascii="宋体" w:hAnsi="宋体" w:cs="宋体" w:eastAsia="宋体" w:hint="default"/>
                <w:sz w:val="18"/>
                <w:szCs w:val="18"/>
              </w:rPr>
              <w:t>、公司首次公开发 </w:t>
            </w:r>
            <w:r>
              <w:rPr>
                <w:rFonts w:ascii="宋体" w:hAnsi="宋体" w:cs="宋体" w:eastAsia="宋体" w:hint="default"/>
                <w:spacing w:val="-4"/>
                <w:sz w:val="18"/>
                <w:szCs w:val="18"/>
              </w:rPr>
              <w:t>行并上市后，所持股票在锁定期满后两年内</w:t>
            </w:r>
            <w:r>
              <w:rPr>
                <w:rFonts w:ascii="宋体" w:hAnsi="宋体" w:cs="宋体" w:eastAsia="宋体" w:hint="default"/>
                <w:sz w:val="18"/>
                <w:szCs w:val="18"/>
              </w:rPr>
              <w:t> </w:t>
            </w:r>
            <w:r>
              <w:rPr>
                <w:rFonts w:ascii="宋体" w:hAnsi="宋体" w:cs="宋体" w:eastAsia="宋体" w:hint="default"/>
                <w:spacing w:val="-4"/>
                <w:sz w:val="18"/>
                <w:szCs w:val="18"/>
              </w:rPr>
              <w:t>减持的，减持价格不低于发行价；公司上市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个月内如股票连续</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w:t>
            </w:r>
          </w:p>
          <w:p>
            <w:pPr>
              <w:pStyle w:val="TableParagraph"/>
              <w:spacing w:line="309" w:lineRule="auto" w:before="3"/>
              <w:ind w:left="23" w:right="17"/>
              <w:jc w:val="both"/>
              <w:rPr>
                <w:rFonts w:ascii="宋体" w:hAnsi="宋体" w:cs="宋体" w:eastAsia="宋体" w:hint="default"/>
                <w:sz w:val="18"/>
                <w:szCs w:val="18"/>
              </w:rPr>
            </w:pPr>
            <w:r>
              <w:rPr>
                <w:rFonts w:ascii="宋体" w:hAnsi="宋体" w:cs="宋体" w:eastAsia="宋体" w:hint="default"/>
                <w:spacing w:val="-6"/>
                <w:sz w:val="18"/>
                <w:szCs w:val="18"/>
              </w:rPr>
              <w:t>价均低于发行价，或者上市后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个月期末收 </w:t>
            </w:r>
            <w:r>
              <w:rPr>
                <w:rFonts w:ascii="宋体" w:hAnsi="宋体" w:cs="宋体" w:eastAsia="宋体" w:hint="default"/>
                <w:spacing w:val="-4"/>
                <w:sz w:val="18"/>
                <w:szCs w:val="18"/>
              </w:rPr>
              <w:t>盘价低于发行价，持有公司股票的锁定期限</w:t>
            </w:r>
            <w:r>
              <w:rPr>
                <w:rFonts w:ascii="宋体" w:hAnsi="宋体" w:cs="宋体" w:eastAsia="宋体" w:hint="default"/>
                <w:sz w:val="18"/>
                <w:szCs w:val="18"/>
              </w:rPr>
              <w:t> 将自动延长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个月。公司董事、高级管理人</w:t>
            </w:r>
            <w:r>
              <w:rPr>
                <w:rFonts w:ascii="宋体" w:hAnsi="宋体" w:cs="宋体" w:eastAsia="宋体" w:hint="default"/>
                <w:sz w:val="18"/>
                <w:szCs w:val="18"/>
              </w:rPr>
              <w:t> </w:t>
            </w:r>
            <w:r>
              <w:rPr>
                <w:rFonts w:ascii="宋体" w:hAnsi="宋体" w:cs="宋体" w:eastAsia="宋体" w:hint="default"/>
                <w:spacing w:val="-4"/>
                <w:sz w:val="18"/>
                <w:szCs w:val="18"/>
              </w:rPr>
              <w:t>员不会因职务变更、离职等原因，而放弃履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行该承诺。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r>
        <w:trPr>
          <w:trHeight w:val="1961" w:hRule="exact"/>
        </w:trPr>
        <w:tc>
          <w:tcPr>
            <w:tcW w:w="1276"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23"/>
              <w:jc w:val="both"/>
              <w:rPr>
                <w:rFonts w:ascii="宋体" w:hAnsi="宋体" w:cs="宋体" w:eastAsia="宋体" w:hint="default"/>
                <w:sz w:val="18"/>
                <w:szCs w:val="18"/>
              </w:rPr>
            </w:pPr>
            <w:r>
              <w:rPr>
                <w:rFonts w:ascii="宋体" w:hAnsi="宋体" w:cs="宋体" w:eastAsia="宋体" w:hint="default"/>
                <w:sz w:val="18"/>
                <w:szCs w:val="18"/>
              </w:rPr>
              <w:t>北京市国有资产 经营有限责任公 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both"/>
              <w:rPr>
                <w:rFonts w:ascii="宋体" w:hAnsi="宋体" w:cs="宋体" w:eastAsia="宋体" w:hint="default"/>
                <w:sz w:val="18"/>
                <w:szCs w:val="18"/>
              </w:rPr>
            </w:pPr>
            <w:r>
              <w:rPr>
                <w:rFonts w:ascii="宋体" w:hAnsi="宋体" w:cs="宋体" w:eastAsia="宋体" w:hint="default"/>
                <w:spacing w:val="-4"/>
                <w:sz w:val="18"/>
                <w:szCs w:val="18"/>
              </w:rPr>
              <w:t>在锁定期届满后两年内无减持意向。此后拟</w:t>
            </w:r>
            <w:r>
              <w:rPr>
                <w:rFonts w:ascii="宋体" w:hAnsi="宋体" w:cs="宋体" w:eastAsia="宋体" w:hint="default"/>
                <w:sz w:val="18"/>
                <w:szCs w:val="18"/>
              </w:rPr>
              <w:t> </w:t>
            </w:r>
            <w:r>
              <w:rPr>
                <w:rFonts w:ascii="宋体" w:hAnsi="宋体" w:cs="宋体" w:eastAsia="宋体" w:hint="default"/>
                <w:spacing w:val="-4"/>
                <w:sz w:val="18"/>
                <w:szCs w:val="18"/>
              </w:rPr>
              <w:t>减持股票的，北京国资公司将提前三个交易</w:t>
            </w:r>
            <w:r>
              <w:rPr>
                <w:rFonts w:ascii="宋体" w:hAnsi="宋体" w:cs="宋体" w:eastAsia="宋体" w:hint="default"/>
                <w:sz w:val="18"/>
                <w:szCs w:val="18"/>
              </w:rPr>
              <w:t> </w:t>
            </w:r>
            <w:r>
              <w:rPr>
                <w:rFonts w:ascii="宋体" w:hAnsi="宋体" w:cs="宋体" w:eastAsia="宋体" w:hint="default"/>
                <w:spacing w:val="-4"/>
                <w:sz w:val="18"/>
                <w:szCs w:val="18"/>
              </w:rPr>
              <w:t>日通知公司并公告拟减持的数量、减持价格</w:t>
            </w:r>
            <w:r>
              <w:rPr>
                <w:rFonts w:ascii="宋体" w:hAnsi="宋体" w:cs="宋体" w:eastAsia="宋体" w:hint="default"/>
                <w:sz w:val="18"/>
                <w:szCs w:val="18"/>
              </w:rPr>
              <w:t> </w:t>
            </w:r>
            <w:r>
              <w:rPr>
                <w:rFonts w:ascii="宋体" w:hAnsi="宋体" w:cs="宋体" w:eastAsia="宋体" w:hint="default"/>
                <w:spacing w:val="-4"/>
                <w:sz w:val="18"/>
                <w:szCs w:val="18"/>
              </w:rPr>
              <w:t>区间、减持时间区间等。如果北京国资公司</w:t>
            </w:r>
            <w:r>
              <w:rPr>
                <w:rFonts w:ascii="宋体" w:hAnsi="宋体" w:cs="宋体" w:eastAsia="宋体" w:hint="default"/>
                <w:sz w:val="18"/>
                <w:szCs w:val="18"/>
              </w:rPr>
              <w:t> </w:t>
            </w:r>
            <w:r>
              <w:rPr>
                <w:rFonts w:ascii="宋体" w:hAnsi="宋体" w:cs="宋体" w:eastAsia="宋体" w:hint="default"/>
                <w:spacing w:val="-4"/>
                <w:sz w:val="18"/>
                <w:szCs w:val="18"/>
              </w:rPr>
              <w:t>未能履行关于股份锁定期的所有承诺，则违</w:t>
            </w:r>
            <w:r>
              <w:rPr>
                <w:rFonts w:ascii="宋体" w:hAnsi="宋体" w:cs="宋体" w:eastAsia="宋体" w:hint="default"/>
                <w:sz w:val="18"/>
                <w:szCs w:val="18"/>
              </w:rPr>
              <w:t> 规减持的收入将归公司所有。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r>
        <w:trPr>
          <w:trHeight w:val="1923"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3" w:right="123"/>
              <w:jc w:val="left"/>
              <w:rPr>
                <w:rFonts w:ascii="宋体" w:hAnsi="宋体" w:cs="宋体" w:eastAsia="宋体" w:hint="default"/>
                <w:sz w:val="18"/>
                <w:szCs w:val="18"/>
              </w:rPr>
            </w:pPr>
            <w:r>
              <w:rPr>
                <w:rFonts w:ascii="宋体" w:hAnsi="宋体" w:cs="宋体" w:eastAsia="宋体" w:hint="default"/>
                <w:sz w:val="18"/>
                <w:szCs w:val="18"/>
              </w:rPr>
              <w:t>首都信息发展股 份有限公司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在锁定期满后两年内每年减持的股份数量 不超过上一年末其所持公司股份的</w:t>
            </w:r>
            <w:r>
              <w:rPr>
                <w:rFonts w:ascii="宋体" w:hAnsi="宋体" w:cs="宋体" w:eastAsia="宋体" w:hint="default"/>
                <w:spacing w:val="-44"/>
                <w:sz w:val="18"/>
                <w:szCs w:val="18"/>
              </w:rPr>
              <w:t> </w:t>
            </w:r>
            <w:r>
              <w:rPr>
                <w:rFonts w:ascii="Times New Roman" w:hAnsi="Times New Roman" w:cs="Times New Roman" w:eastAsia="Times New Roman" w:hint="default"/>
                <w:spacing w:val="-36"/>
                <w:sz w:val="18"/>
                <w:szCs w:val="18"/>
              </w:rPr>
              <w:t>25%</w:t>
            </w:r>
            <w:r>
              <w:rPr>
                <w:rFonts w:ascii="宋体" w:hAnsi="宋体" w:cs="宋体" w:eastAsia="宋体" w:hint="default"/>
                <w:spacing w:val="-36"/>
                <w:sz w:val="18"/>
                <w:szCs w:val="18"/>
              </w:rPr>
              <w:t>。首</w:t>
            </w:r>
            <w:r>
              <w:rPr>
                <w:rFonts w:ascii="宋体" w:hAnsi="宋体" w:cs="宋体" w:eastAsia="宋体" w:hint="default"/>
                <w:spacing w:val="-89"/>
                <w:sz w:val="18"/>
                <w:szCs w:val="18"/>
              </w:rPr>
              <w:t> </w:t>
            </w:r>
            <w:r>
              <w:rPr>
                <w:rFonts w:ascii="宋体" w:hAnsi="宋体" w:cs="宋体" w:eastAsia="宋体" w:hint="default"/>
                <w:sz w:val="18"/>
                <w:szCs w:val="18"/>
              </w:rPr>
              <w:t>信股份所持公司股票在锁定期满后两年内</w:t>
            </w:r>
            <w:r>
              <w:rPr>
                <w:rFonts w:ascii="宋体" w:hAnsi="宋体" w:cs="宋体" w:eastAsia="宋体" w:hint="default"/>
                <w:sz w:val="18"/>
                <w:szCs w:val="18"/>
              </w:rPr>
              <w:t> </w:t>
            </w:r>
            <w:r>
              <w:rPr>
                <w:rFonts w:ascii="宋体" w:hAnsi="宋体" w:cs="宋体" w:eastAsia="宋体" w:hint="default"/>
                <w:spacing w:val="-4"/>
                <w:sz w:val="18"/>
                <w:szCs w:val="18"/>
              </w:rPr>
              <w:t>减持的，其减持价格不低于发行价。首信股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份拟减持股票的，将提前三个交易日通知公</w:t>
            </w:r>
            <w:r>
              <w:rPr>
                <w:rFonts w:ascii="宋体" w:hAnsi="宋体" w:cs="宋体" w:eastAsia="宋体" w:hint="default"/>
                <w:sz w:val="18"/>
                <w:szCs w:val="18"/>
              </w:rPr>
              <w:t> </w:t>
            </w:r>
            <w:r>
              <w:rPr>
                <w:rFonts w:ascii="宋体" w:hAnsi="宋体" w:cs="宋体" w:eastAsia="宋体" w:hint="default"/>
                <w:spacing w:val="-4"/>
                <w:sz w:val="18"/>
                <w:szCs w:val="18"/>
              </w:rPr>
              <w:t>司并公告拟减持的数量、减持价格区间、减</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9"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bl>
    <w:p>
      <w:pPr>
        <w:spacing w:after="0" w:line="319" w:lineRule="auto"/>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0"/>
        <w:rPr>
          <w:rFonts w:ascii="Times New Roman" w:hAnsi="Times New Roman" w:cs="Times New Roman" w:eastAsia="Times New Roman" w:hint="default"/>
          <w:sz w:val="20"/>
          <w:szCs w:val="20"/>
        </w:rPr>
      </w:pPr>
      <w:r>
        <w:rPr/>
        <w:pict>
          <v:shape style="position:absolute;margin-left:360.296021pt;margin-top:297.889984pt;width:93.2pt;height:378.55pt;mso-position-horizontal-relative:page;mso-position-vertical-relative:page;z-index:-8326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spacing w:before="0"/>
                    <w:ind w:left="0" w:right="0" w:firstLine="540"/>
                    <w:jc w:val="left"/>
                    <w:rPr>
                      <w:rFonts w:ascii="宋体" w:hAnsi="宋体" w:cs="宋体" w:eastAsia="宋体" w:hint="default"/>
                      <w:sz w:val="18"/>
                      <w:szCs w:val="18"/>
                    </w:rPr>
                  </w:pPr>
                  <w:r>
                    <w:rPr>
                      <w:rFonts w:ascii="宋体" w:hAnsi="宋体" w:cs="宋体" w:eastAsia="宋体" w:hint="default"/>
                      <w:sz w:val="18"/>
                      <w:szCs w:val="18"/>
                    </w:rPr>
                    <w:t>参股、</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本企业承诺：</w:t>
                  </w:r>
                </w:p>
              </w:txbxContent>
            </v:textbox>
            <w10:wrap type="none"/>
          </v:shape>
        </w:pict>
      </w:r>
      <w:r>
        <w:rPr/>
        <w:pict>
          <v:group style="position:absolute;margin-left:411.429993pt;margin-top:121.829987pt;width:42.05pt;height:554.6pt;mso-position-horizontal-relative:page;mso-position-vertical-relative:page;z-index:-832648" coordorigin="8229,2437" coordsize="841,11092">
            <v:group style="position:absolute;left:8229;top:2437;width:841;height:3512" coordorigin="8229,2437" coordsize="841,3512">
              <v:shape style="position:absolute;left:8229;top:2437;width:841;height:3512" coordorigin="8229,2437" coordsize="841,3512" path="m8229,5948l9069,5948,9069,2437,8229,2437,8229,5948xe" filled="true" fillcolor="#ffffff" stroked="false">
                <v:path arrowok="t"/>
                <v:fill type="solid"/>
              </v:shape>
            </v:group>
            <v:group style="position:absolute;left:8250;top:3840;width:795;height:353" coordorigin="8250,3840" coordsize="795,353">
              <v:shape style="position:absolute;left:8250;top:3840;width:795;height:353" coordorigin="8250,3840" coordsize="795,353" path="m8250,4193l9045,4193,9045,3840,8250,3840,8250,4193xe" filled="true" fillcolor="#ffffff" stroked="false">
                <v:path arrowok="t"/>
                <v:fill type="solid"/>
              </v:shape>
            </v:group>
            <v:group style="position:absolute;left:8250;top:4193;width:795;height:351" coordorigin="8250,4193" coordsize="795,351">
              <v:shape style="position:absolute;left:8250;top:4193;width:795;height:351" coordorigin="8250,4193" coordsize="795,351" path="m8250,4544l9045,4544,9045,4193,8250,4193,8250,4544xe" filled="true" fillcolor="#ffffff" stroked="false">
                <v:path arrowok="t"/>
                <v:fill type="solid"/>
              </v:shape>
            </v:group>
            <v:group style="position:absolute;left:8229;top:5958;width:841;height:7571" coordorigin="8229,5958" coordsize="841,7571">
              <v:shape style="position:absolute;left:8229;top:5958;width:841;height:7571" coordorigin="8229,5958" coordsize="841,7571" path="m8229,13528l9069,13528,9069,5958,8229,5958,8229,13528xe" filled="true" fillcolor="#ffffff" stroked="false">
                <v:path arrowok="t"/>
                <v:fill type="solid"/>
              </v:shape>
            </v:group>
            <v:group style="position:absolute;left:8250;top:9390;width:795;height:353" coordorigin="8250,9390" coordsize="795,353">
              <v:shape style="position:absolute;left:8250;top:9390;width:795;height:353" coordorigin="8250,9390" coordsize="795,353" path="m8250,9743l9045,9743,9045,9390,8250,9390,8250,9743xe" filled="true" fillcolor="#ffffff" stroked="false">
                <v:path arrowok="t"/>
                <v:fill type="solid"/>
              </v:shape>
            </v:group>
            <v:group style="position:absolute;left:8250;top:9743;width:795;height:353" coordorigin="8250,9743" coordsize="795,353">
              <v:shape style="position:absolute;left:8250;top:9743;width:795;height:353" coordorigin="8250,9743" coordsize="795,353" path="m8250,10096l9045,10096,9045,9743,8250,9743,8250,1009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76"/>
        <w:gridCol w:w="1419"/>
        <w:gridCol w:w="991"/>
        <w:gridCol w:w="3401"/>
        <w:gridCol w:w="853"/>
        <w:gridCol w:w="850"/>
        <w:gridCol w:w="778"/>
      </w:tblGrid>
      <w:tr>
        <w:trPr>
          <w:trHeight w:val="31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34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持时间区间等</w:t>
            </w:r>
            <w:r>
              <w:rPr>
                <w:rFonts w:ascii="宋体" w:hAnsi="宋体" w:cs="宋体" w:eastAsia="宋体" w:hint="default"/>
                <w:spacing w:val="-75"/>
                <w:sz w:val="18"/>
                <w:szCs w:val="18"/>
              </w:rPr>
              <w:t>。</w:t>
            </w:r>
            <w:r>
              <w:rPr>
                <w:rFonts w:ascii="宋体" w:hAnsi="宋体" w:cs="宋体" w:eastAsia="宋体" w:hint="default"/>
                <w:sz w:val="18"/>
                <w:szCs w:val="18"/>
              </w:rPr>
              <w:t>如果首信股份未能履行关于</w:t>
            </w:r>
          </w:p>
        </w:tc>
        <w:tc>
          <w:tcPr>
            <w:tcW w:w="853"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股份锁定期的所有承诺</w:t>
            </w:r>
            <w:r>
              <w:rPr>
                <w:rFonts w:ascii="宋体" w:hAnsi="宋体" w:cs="宋体" w:eastAsia="宋体" w:hint="default"/>
                <w:spacing w:val="-75"/>
                <w:sz w:val="18"/>
                <w:szCs w:val="18"/>
              </w:rPr>
              <w:t>，</w:t>
            </w:r>
            <w:r>
              <w:rPr>
                <w:rFonts w:ascii="宋体" w:hAnsi="宋体" w:cs="宋体" w:eastAsia="宋体" w:hint="default"/>
                <w:sz w:val="18"/>
                <w:szCs w:val="18"/>
              </w:rPr>
              <w:t>则违规减持的收入</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4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将归公司所有。</w:t>
            </w: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58" w:hRule="exact"/>
        </w:trPr>
        <w:tc>
          <w:tcPr>
            <w:tcW w:w="1276"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34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在股份锁定期届满后</w:t>
            </w:r>
            <w:r>
              <w:rPr>
                <w:rFonts w:ascii="宋体" w:hAnsi="宋体" w:cs="宋体" w:eastAsia="宋体" w:hint="default"/>
                <w:spacing w:val="-75"/>
                <w:sz w:val="18"/>
                <w:szCs w:val="18"/>
              </w:rPr>
              <w:t>，</w:t>
            </w:r>
            <w:r>
              <w:rPr>
                <w:rFonts w:ascii="宋体" w:hAnsi="宋体" w:cs="宋体" w:eastAsia="宋体" w:hint="default"/>
                <w:sz w:val="18"/>
                <w:szCs w:val="18"/>
              </w:rPr>
              <w:t>将结合其自身资金需</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求并综合考虑公司实际经营状况决定持股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情况。如果科桥投资拟减持公司股票的，将</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提前三个交易日通知发行人并公告拟减持</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正常履</w:t>
            </w:r>
          </w:p>
        </w:tc>
      </w:tr>
      <w:tr>
        <w:trPr>
          <w:trHeight w:val="936"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23"/>
              <w:jc w:val="both"/>
              <w:rPr>
                <w:rFonts w:ascii="宋体" w:hAnsi="宋体" w:cs="宋体" w:eastAsia="宋体" w:hint="default"/>
                <w:sz w:val="18"/>
                <w:szCs w:val="18"/>
              </w:rPr>
            </w:pPr>
            <w:r>
              <w:rPr>
                <w:rFonts w:ascii="宋体" w:hAnsi="宋体" w:cs="宋体" w:eastAsia="宋体" w:hint="default"/>
                <w:sz w:val="18"/>
                <w:szCs w:val="18"/>
              </w:rPr>
              <w:t>北京科桥创业投 资中心（有限合 伙）</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3" w:right="33"/>
              <w:jc w:val="left"/>
              <w:rPr>
                <w:rFonts w:ascii="宋体" w:hAnsi="宋体" w:cs="宋体" w:eastAsia="宋体" w:hint="default"/>
                <w:sz w:val="18"/>
                <w:szCs w:val="18"/>
              </w:rPr>
            </w:pPr>
            <w:r>
              <w:rPr>
                <w:rFonts w:ascii="宋体" w:hAnsi="宋体" w:cs="宋体" w:eastAsia="宋体" w:hint="default"/>
                <w:sz w:val="18"/>
                <w:szCs w:val="18"/>
              </w:rPr>
              <w:t>的数量、减持价格区间、减持时间区间等 科桥投资在锁定期届满后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个月内减持数 量将不超过其目前所持公司股份数量的</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196" w:lineRule="exact" w:before="10"/>
              <w:ind w:left="-13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3"/>
              <w:jc w:val="both"/>
              <w:rPr>
                <w:rFonts w:ascii="宋体" w:hAnsi="宋体" w:cs="宋体" w:eastAsia="宋体" w:hint="default"/>
                <w:sz w:val="18"/>
                <w:szCs w:val="18"/>
              </w:rPr>
            </w:pPr>
            <w:r>
              <w:rPr>
                <w:rFonts w:ascii="宋体" w:hAnsi="宋体" w:cs="宋体" w:eastAsia="宋体" w:hint="default"/>
                <w:sz w:val="18"/>
                <w:szCs w:val="18"/>
              </w:rPr>
              <w:t>行，不存 在违反该 承诺情</w:t>
            </w: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12-24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个月内减持数量将不超过其目</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形。</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前所持公司股份数量的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50</w:t>
            </w:r>
            <w:r>
              <w:rPr>
                <w:rFonts w:ascii="Times New Roman" w:hAnsi="Times New Roman" w:cs="Times New Roman" w:eastAsia="Times New Roman" w:hint="default"/>
                <w:spacing w:val="-2"/>
                <w:sz w:val="18"/>
                <w:szCs w:val="18"/>
              </w:rPr>
              <w:t>%</w:t>
            </w:r>
            <w:r>
              <w:rPr>
                <w:rFonts w:ascii="宋体" w:hAnsi="宋体" w:cs="宋体" w:eastAsia="宋体" w:hint="default"/>
                <w:spacing w:val="-89"/>
                <w:sz w:val="18"/>
                <w:szCs w:val="18"/>
              </w:rPr>
              <w:t>。</w:t>
            </w:r>
            <w:r>
              <w:rPr>
                <w:rFonts w:ascii="宋体" w:hAnsi="宋体" w:cs="宋体" w:eastAsia="宋体" w:hint="default"/>
                <w:spacing w:val="-3"/>
                <w:sz w:val="18"/>
                <w:szCs w:val="18"/>
              </w:rPr>
              <w:t>如</w:t>
            </w:r>
            <w:r>
              <w:rPr>
                <w:rFonts w:ascii="宋体" w:hAnsi="宋体" w:cs="宋体" w:eastAsia="宋体" w:hint="default"/>
                <w:sz w:val="18"/>
                <w:szCs w:val="18"/>
              </w:rPr>
              <w:t>科桥投资未</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能履行关于股份锁定期的所有承诺</w:t>
            </w:r>
            <w:r>
              <w:rPr>
                <w:rFonts w:ascii="宋体" w:hAnsi="宋体" w:cs="宋体" w:eastAsia="宋体" w:hint="default"/>
                <w:spacing w:val="-75"/>
                <w:sz w:val="18"/>
                <w:szCs w:val="18"/>
              </w:rPr>
              <w:t>，</w:t>
            </w:r>
            <w:r>
              <w:rPr>
                <w:rFonts w:ascii="宋体" w:hAnsi="宋体" w:cs="宋体" w:eastAsia="宋体" w:hint="default"/>
                <w:sz w:val="18"/>
                <w:szCs w:val="18"/>
              </w:rPr>
              <w:t>则违规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34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减持的收入将归公司所有。</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276"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34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本企业目前不存在且不从事与北京数字认</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证股份有限公司及其子公司主营业务相同</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或构成竞争的业务</w:t>
            </w:r>
            <w:r>
              <w:rPr>
                <w:rFonts w:ascii="宋体" w:hAnsi="宋体" w:cs="宋体" w:eastAsia="宋体" w:hint="default"/>
                <w:spacing w:val="-82"/>
                <w:sz w:val="18"/>
                <w:szCs w:val="18"/>
              </w:rPr>
              <w:t>，</w:t>
            </w:r>
            <w:r>
              <w:rPr>
                <w:rFonts w:ascii="宋体" w:hAnsi="宋体" w:cs="宋体" w:eastAsia="宋体" w:hint="default"/>
                <w:sz w:val="18"/>
                <w:szCs w:val="18"/>
              </w:rPr>
              <w:t>也未以投资控股、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合资</w:t>
            </w:r>
            <w:r>
              <w:rPr>
                <w:rFonts w:ascii="宋体" w:hAnsi="宋体" w:cs="宋体" w:eastAsia="宋体" w:hint="default"/>
                <w:spacing w:val="-75"/>
                <w:sz w:val="18"/>
                <w:szCs w:val="18"/>
              </w:rPr>
              <w:t>、</w:t>
            </w:r>
            <w:r>
              <w:rPr>
                <w:rFonts w:ascii="宋体" w:hAnsi="宋体" w:cs="宋体" w:eastAsia="宋体" w:hint="default"/>
                <w:sz w:val="18"/>
                <w:szCs w:val="18"/>
              </w:rPr>
              <w:t>联营或其它形式经营或为他人经营任</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33"/>
              <w:jc w:val="left"/>
              <w:rPr>
                <w:rFonts w:ascii="宋体" w:hAnsi="宋体" w:cs="宋体" w:eastAsia="宋体" w:hint="default"/>
                <w:sz w:val="18"/>
                <w:szCs w:val="18"/>
              </w:rPr>
            </w:pPr>
            <w:r>
              <w:rPr>
                <w:rFonts w:ascii="宋体" w:hAnsi="宋体" w:cs="宋体" w:eastAsia="宋体" w:hint="default"/>
                <w:sz w:val="18"/>
                <w:szCs w:val="18"/>
              </w:rPr>
              <w:t>何与北京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及其子公司的主营业务相同、</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相近或构成竞争的业务</w:t>
            </w:r>
            <w:r>
              <w:rPr>
                <w:rFonts w:ascii="宋体" w:hAnsi="宋体" w:cs="宋体" w:eastAsia="宋体" w:hint="default"/>
                <w:spacing w:val="-82"/>
                <w:sz w:val="18"/>
                <w:szCs w:val="18"/>
              </w:rPr>
              <w:t>。</w:t>
            </w:r>
            <w:r>
              <w:rPr>
                <w:rFonts w:ascii="宋体" w:hAnsi="宋体" w:cs="宋体" w:eastAsia="宋体" w:hint="default"/>
                <w:sz w:val="18"/>
                <w:szCs w:val="18"/>
              </w:rPr>
              <w:t>同时，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将来不以任何方式从事</w:t>
            </w:r>
            <w:r>
              <w:rPr>
                <w:rFonts w:ascii="宋体" w:hAnsi="宋体" w:cs="宋体" w:eastAsia="宋体" w:hint="default"/>
                <w:spacing w:val="-75"/>
                <w:sz w:val="18"/>
                <w:szCs w:val="18"/>
              </w:rPr>
              <w:t>，</w:t>
            </w:r>
            <w:r>
              <w:rPr>
                <w:rFonts w:ascii="宋体" w:hAnsi="宋体" w:cs="宋体" w:eastAsia="宋体" w:hint="default"/>
                <w:sz w:val="18"/>
                <w:szCs w:val="18"/>
              </w:rPr>
              <w:t>包括与他人合作直</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34"/>
              <w:jc w:val="left"/>
              <w:rPr>
                <w:rFonts w:ascii="宋体" w:hAnsi="宋体" w:cs="宋体" w:eastAsia="宋体" w:hint="default"/>
                <w:sz w:val="18"/>
                <w:szCs w:val="18"/>
              </w:rPr>
            </w:pPr>
            <w:r>
              <w:rPr>
                <w:rFonts w:ascii="宋体" w:hAnsi="宋体" w:cs="宋体" w:eastAsia="宋体" w:hint="default"/>
                <w:sz w:val="18"/>
                <w:szCs w:val="18"/>
              </w:rPr>
              <w:t>接或间接从事与北京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及其子公司相同、</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相似或在任何方面构成竞争的业务</w:t>
            </w:r>
            <w:r>
              <w:rPr>
                <w:rFonts w:ascii="宋体" w:hAnsi="宋体" w:cs="宋体" w:eastAsia="宋体" w:hint="default"/>
                <w:spacing w:val="-75"/>
                <w:sz w:val="18"/>
                <w:szCs w:val="18"/>
              </w:rPr>
              <w:t>；</w:t>
            </w:r>
            <w:r>
              <w:rPr>
                <w:rFonts w:ascii="宋体" w:hAnsi="宋体" w:cs="宋体" w:eastAsia="宋体" w:hint="default"/>
                <w:sz w:val="18"/>
                <w:szCs w:val="18"/>
              </w:rPr>
              <w:t>将来不</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23"/>
              <w:jc w:val="both"/>
              <w:rPr>
                <w:rFonts w:ascii="宋体" w:hAnsi="宋体" w:cs="宋体" w:eastAsia="宋体" w:hint="default"/>
                <w:sz w:val="18"/>
                <w:szCs w:val="18"/>
              </w:rPr>
            </w:pPr>
            <w:r>
              <w:rPr>
                <w:rFonts w:ascii="宋体" w:hAnsi="宋体" w:cs="宋体" w:eastAsia="宋体" w:hint="default"/>
                <w:sz w:val="18"/>
                <w:szCs w:val="18"/>
              </w:rPr>
              <w:t>北京市国有资产 经营有限责任公 司</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55"/>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直接或间接投资于业务与北京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及其子 </w:t>
            </w:r>
            <w:r>
              <w:rPr>
                <w:rFonts w:ascii="宋体" w:hAnsi="宋体" w:cs="宋体" w:eastAsia="宋体" w:hint="default"/>
                <w:spacing w:val="-4"/>
                <w:sz w:val="18"/>
                <w:szCs w:val="18"/>
              </w:rPr>
              <w:t>公司相同、类似或在任何方面构成竞争的公</w:t>
            </w:r>
            <w:r>
              <w:rPr>
                <w:rFonts w:ascii="宋体" w:hAnsi="宋体" w:cs="宋体" w:eastAsia="宋体" w:hint="default"/>
                <w:sz w:val="18"/>
                <w:szCs w:val="18"/>
              </w:rPr>
              <w:t> </w:t>
            </w:r>
            <w:r>
              <w:rPr>
                <w:rFonts w:ascii="宋体" w:hAnsi="宋体" w:cs="宋体" w:eastAsia="宋体" w:hint="default"/>
                <w:spacing w:val="-4"/>
                <w:sz w:val="18"/>
                <w:szCs w:val="18"/>
              </w:rPr>
              <w:t>司、企业或其他机构、组织；将来不向其他</w:t>
            </w:r>
            <w:r>
              <w:rPr>
                <w:rFonts w:ascii="宋体" w:hAnsi="宋体" w:cs="宋体" w:eastAsia="宋体" w:hint="default"/>
                <w:sz w:val="18"/>
                <w:szCs w:val="18"/>
              </w:rPr>
              <w:t> 业务与北京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及其子公司相同、类似或在</w:t>
            </w:r>
            <w:r>
              <w:rPr>
                <w:rFonts w:ascii="宋体" w:hAnsi="宋体" w:cs="宋体" w:eastAsia="宋体" w:hint="default"/>
                <w:sz w:val="18"/>
                <w:szCs w:val="18"/>
              </w:rPr>
              <w:t> 任何方面构成竞争的公司、企业或其他机 </w:t>
            </w:r>
            <w:r>
              <w:rPr>
                <w:rFonts w:ascii="宋体" w:hAnsi="宋体" w:cs="宋体" w:eastAsia="宋体" w:hint="default"/>
                <w:spacing w:val="-4"/>
                <w:sz w:val="18"/>
                <w:szCs w:val="18"/>
              </w:rPr>
              <w:t>构、组织或个人提供专有技术或提供销售渠</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道、客户信息等商业机密；如果未来本企业</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拟从事的业务可能与北京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及其子公司</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4"/>
                <w:sz w:val="18"/>
                <w:szCs w:val="18"/>
              </w:rPr>
              <w:t>存在同业竞争，本企业将本着北京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子公司优先的原则与北京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协商解决。本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承诺函自盖章之日起生效</w:t>
            </w:r>
            <w:r>
              <w:rPr>
                <w:rFonts w:ascii="宋体" w:hAnsi="宋体" w:cs="宋体" w:eastAsia="宋体" w:hint="default"/>
                <w:spacing w:val="-75"/>
                <w:sz w:val="18"/>
                <w:szCs w:val="18"/>
              </w:rPr>
              <w:t>，</w:t>
            </w:r>
            <w:r>
              <w:rPr>
                <w:rFonts w:ascii="宋体" w:hAnsi="宋体" w:cs="宋体" w:eastAsia="宋体" w:hint="default"/>
                <w:sz w:val="18"/>
                <w:szCs w:val="18"/>
              </w:rPr>
              <w:t>并在本企业作为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股东的整个期间持续有效。如出现</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因本企业违反上述承诺而导致北京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及</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其子公司权益受到损害的情况</w:t>
            </w:r>
            <w:r>
              <w:rPr>
                <w:rFonts w:ascii="宋体" w:hAnsi="宋体" w:cs="宋体" w:eastAsia="宋体" w:hint="default"/>
                <w:spacing w:val="-75"/>
                <w:sz w:val="18"/>
                <w:szCs w:val="18"/>
              </w:rPr>
              <w:t>，</w:t>
            </w:r>
            <w:r>
              <w:rPr>
                <w:rFonts w:ascii="宋体" w:hAnsi="宋体" w:cs="宋体" w:eastAsia="宋体" w:hint="default"/>
                <w:sz w:val="18"/>
                <w:szCs w:val="18"/>
              </w:rPr>
              <w:t>本企业愿意</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34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承担相应的赔偿责任。</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7" w:hRule="exact"/>
        </w:trPr>
        <w:tc>
          <w:tcPr>
            <w:tcW w:w="1276"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34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北京数字认证股份有限公司及其子公司的</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正常履</w:t>
            </w:r>
          </w:p>
        </w:tc>
      </w:tr>
      <w:tr>
        <w:trPr>
          <w:trHeight w:val="941"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3" w:right="123"/>
              <w:jc w:val="left"/>
              <w:rPr>
                <w:rFonts w:ascii="宋体" w:hAnsi="宋体" w:cs="宋体" w:eastAsia="宋体" w:hint="default"/>
                <w:sz w:val="18"/>
                <w:szCs w:val="18"/>
              </w:rPr>
            </w:pPr>
            <w:r>
              <w:rPr>
                <w:rFonts w:ascii="宋体" w:hAnsi="宋体" w:cs="宋体" w:eastAsia="宋体" w:hint="default"/>
                <w:sz w:val="18"/>
                <w:szCs w:val="18"/>
              </w:rPr>
              <w:t>首都信息发展股 份有限公司</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3" w:right="55"/>
              <w:jc w:val="both"/>
              <w:rPr>
                <w:rFonts w:ascii="宋体" w:hAnsi="宋体" w:cs="宋体" w:eastAsia="宋体" w:hint="default"/>
                <w:sz w:val="18"/>
                <w:szCs w:val="18"/>
              </w:rPr>
            </w:pPr>
            <w:r>
              <w:rPr>
                <w:rFonts w:ascii="宋体" w:hAnsi="宋体" w:cs="宋体" w:eastAsia="宋体" w:hint="default"/>
                <w:sz w:val="18"/>
                <w:szCs w:val="18"/>
              </w:rPr>
              <w:t>争、关联交 易、资金占 用方面的承</w:t>
            </w: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309" w:lineRule="auto" w:before="20"/>
              <w:ind w:left="23" w:right="19"/>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主营业务为提供电子认证服务、电子认证产</w:t>
            </w:r>
            <w:r>
              <w:rPr>
                <w:rFonts w:ascii="宋体" w:hAnsi="宋体" w:cs="宋体" w:eastAsia="宋体" w:hint="default"/>
                <w:sz w:val="18"/>
                <w:szCs w:val="18"/>
              </w:rPr>
              <w:t> 品及信息安全服务。除持有北京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股份 外，本公司目前不存在且不从事与北京</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CA</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3" w:right="23"/>
              <w:jc w:val="both"/>
              <w:rPr>
                <w:rFonts w:ascii="宋体" w:hAnsi="宋体" w:cs="宋体" w:eastAsia="宋体" w:hint="default"/>
                <w:sz w:val="18"/>
                <w:szCs w:val="18"/>
              </w:rPr>
            </w:pPr>
            <w:r>
              <w:rPr>
                <w:rFonts w:ascii="宋体" w:hAnsi="宋体" w:cs="宋体" w:eastAsia="宋体" w:hint="default"/>
                <w:sz w:val="18"/>
                <w:szCs w:val="18"/>
              </w:rPr>
              <w:t>行，不存 在违反该 承诺情</w:t>
            </w:r>
          </w:p>
        </w:tc>
      </w:tr>
      <w:tr>
        <w:trPr>
          <w:trHeight w:val="34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4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及其子公司上述主营业务相同或构成竞争</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形。</w:t>
            </w:r>
          </w:p>
        </w:tc>
      </w:tr>
    </w:tbl>
    <w:p>
      <w:pPr>
        <w:spacing w:after="0" w:line="231" w:lineRule="exact"/>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0"/>
        <w:rPr>
          <w:rFonts w:ascii="Times New Roman" w:hAnsi="Times New Roman" w:cs="Times New Roman" w:eastAsia="Times New Roman" w:hint="default"/>
          <w:sz w:val="20"/>
          <w:szCs w:val="20"/>
        </w:rPr>
      </w:pPr>
      <w:r>
        <w:rPr/>
        <w:pict>
          <v:shape style="position:absolute;margin-left:297.29599pt;margin-top:72.47998pt;width:156.2pt;height:236.1pt;mso-position-horizontal-relative:page;mso-position-vertical-relative:page;z-index:-8326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本承诺函自盖章之日起生效，</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76"/>
        <w:gridCol w:w="1419"/>
        <w:gridCol w:w="991"/>
        <w:gridCol w:w="3401"/>
        <w:gridCol w:w="853"/>
        <w:gridCol w:w="850"/>
        <w:gridCol w:w="780"/>
      </w:tblGrid>
      <w:tr>
        <w:trPr>
          <w:trHeight w:val="4731"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
              <w:ind w:left="23" w:right="17"/>
              <w:jc w:val="left"/>
              <w:rPr>
                <w:rFonts w:ascii="宋体" w:hAnsi="宋体" w:cs="宋体" w:eastAsia="宋体" w:hint="default"/>
                <w:sz w:val="18"/>
                <w:szCs w:val="18"/>
              </w:rPr>
            </w:pPr>
            <w:r>
              <w:rPr>
                <w:rFonts w:ascii="宋体" w:hAnsi="宋体" w:cs="宋体" w:eastAsia="宋体" w:hint="default"/>
                <w:spacing w:val="-5"/>
                <w:sz w:val="18"/>
                <w:szCs w:val="18"/>
              </w:rPr>
              <w:t>的业务，也未以投资控股、参股、合资、联</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营或其它形式经营或为他人经营任何与北 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CA </w:t>
            </w:r>
            <w:r>
              <w:rPr>
                <w:rFonts w:ascii="宋体" w:hAnsi="宋体" w:cs="宋体" w:eastAsia="宋体" w:hint="default"/>
                <w:spacing w:val="-4"/>
                <w:sz w:val="18"/>
                <w:szCs w:val="18"/>
              </w:rPr>
              <w:t>及其子公司上述主营业务相同、相近</w:t>
            </w:r>
            <w:r>
              <w:rPr>
                <w:rFonts w:ascii="宋体" w:hAnsi="宋体" w:cs="宋体" w:eastAsia="宋体" w:hint="default"/>
                <w:sz w:val="18"/>
                <w:szCs w:val="18"/>
              </w:rPr>
              <w:t> </w:t>
            </w:r>
            <w:r>
              <w:rPr>
                <w:rFonts w:ascii="宋体" w:hAnsi="宋体" w:cs="宋体" w:eastAsia="宋体" w:hint="default"/>
                <w:spacing w:val="-4"/>
                <w:sz w:val="18"/>
                <w:szCs w:val="18"/>
              </w:rPr>
              <w:t>或构成竞争的业务。本公司承诺：本公司将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来不以任何方式从事，包括与他人合作直接</w:t>
            </w:r>
            <w:r>
              <w:rPr>
                <w:rFonts w:ascii="宋体" w:hAnsi="宋体" w:cs="宋体" w:eastAsia="宋体" w:hint="default"/>
                <w:sz w:val="18"/>
                <w:szCs w:val="18"/>
              </w:rPr>
              <w:t> 或间接从事与北京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及其子公司上述主 </w:t>
            </w:r>
            <w:r>
              <w:rPr>
                <w:rFonts w:ascii="宋体" w:hAnsi="宋体" w:cs="宋体" w:eastAsia="宋体" w:hint="default"/>
                <w:spacing w:val="-4"/>
                <w:sz w:val="18"/>
                <w:szCs w:val="18"/>
              </w:rPr>
              <w:t>营业务相同、相似或在任何方面构成竞争的</w:t>
            </w:r>
            <w:r>
              <w:rPr>
                <w:rFonts w:ascii="宋体" w:hAnsi="宋体" w:cs="宋体" w:eastAsia="宋体" w:hint="default"/>
                <w:sz w:val="18"/>
                <w:szCs w:val="18"/>
              </w:rPr>
              <w:t> </w:t>
            </w:r>
            <w:r>
              <w:rPr>
                <w:rFonts w:ascii="宋体" w:hAnsi="宋体" w:cs="宋体" w:eastAsia="宋体" w:hint="default"/>
                <w:spacing w:val="-4"/>
                <w:sz w:val="18"/>
                <w:szCs w:val="18"/>
              </w:rPr>
              <w:t>业务；本公司将不直接或间接投资于业务与</w:t>
            </w:r>
            <w:r>
              <w:rPr>
                <w:rFonts w:ascii="宋体" w:hAnsi="宋体" w:cs="宋体" w:eastAsia="宋体" w:hint="default"/>
                <w:sz w:val="18"/>
                <w:szCs w:val="18"/>
              </w:rPr>
              <w:t> 北京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及其子公司上述主营业务相同、类</w:t>
            </w:r>
            <w:r>
              <w:rPr>
                <w:rFonts w:ascii="宋体" w:hAnsi="宋体" w:cs="宋体" w:eastAsia="宋体" w:hint="default"/>
                <w:sz w:val="18"/>
                <w:szCs w:val="18"/>
              </w:rPr>
              <w:t> </w:t>
            </w:r>
            <w:r>
              <w:rPr>
                <w:rFonts w:ascii="宋体" w:hAnsi="宋体" w:cs="宋体" w:eastAsia="宋体" w:hint="default"/>
                <w:spacing w:val="-4"/>
                <w:sz w:val="18"/>
                <w:szCs w:val="18"/>
              </w:rPr>
              <w:t>似或在任何方面构成竞争的公司、企业或其</w:t>
            </w:r>
            <w:r>
              <w:rPr>
                <w:rFonts w:ascii="宋体" w:hAnsi="宋体" w:cs="宋体" w:eastAsia="宋体" w:hint="default"/>
                <w:sz w:val="18"/>
                <w:szCs w:val="18"/>
              </w:rPr>
              <w:t> </w:t>
            </w:r>
            <w:r>
              <w:rPr>
                <w:rFonts w:ascii="宋体" w:hAnsi="宋体" w:cs="宋体" w:eastAsia="宋体" w:hint="default"/>
                <w:spacing w:val="-12"/>
                <w:sz w:val="18"/>
                <w:szCs w:val="18"/>
              </w:rPr>
              <w:t>他机构、组织。</w:t>
            </w:r>
          </w:p>
          <w:p>
            <w:pPr>
              <w:pStyle w:val="TableParagraph"/>
              <w:spacing w:line="307" w:lineRule="auto" w:before="23"/>
              <w:ind w:left="23" w:right="19"/>
              <w:jc w:val="left"/>
              <w:rPr>
                <w:rFonts w:ascii="宋体" w:hAnsi="宋体" w:cs="宋体" w:eastAsia="宋体" w:hint="default"/>
                <w:sz w:val="18"/>
                <w:szCs w:val="18"/>
              </w:rPr>
            </w:pPr>
            <w:r>
              <w:rPr>
                <w:rFonts w:ascii="宋体" w:hAnsi="宋体" w:cs="宋体" w:eastAsia="宋体" w:hint="default"/>
                <w:sz w:val="18"/>
                <w:szCs w:val="18"/>
              </w:rPr>
              <w:t>并在本公司作为北京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股东的整个期间 </w:t>
            </w:r>
            <w:r>
              <w:rPr>
                <w:rFonts w:ascii="宋体" w:hAnsi="宋体" w:cs="宋体" w:eastAsia="宋体" w:hint="default"/>
                <w:spacing w:val="-4"/>
                <w:sz w:val="18"/>
                <w:szCs w:val="18"/>
              </w:rPr>
              <w:t>持续有效。如出现因本企业违反上述承诺而</w:t>
            </w:r>
            <w:r>
              <w:rPr>
                <w:rFonts w:ascii="宋体" w:hAnsi="宋体" w:cs="宋体" w:eastAsia="宋体" w:hint="default"/>
                <w:sz w:val="18"/>
                <w:szCs w:val="18"/>
              </w:rPr>
              <w:t> 导致北京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及其子公司权益受到损害的 情况，本企业愿意承担相应的赔偿责任。</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4721"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3"/>
                <w:sz w:val="20"/>
                <w:szCs w:val="20"/>
              </w:rPr>
              <w:pict>
                <v:group style="width:42.05pt;height:236.1pt;mso-position-horizontal-relative:char;mso-position-vertical-relative:line" coordorigin="0,0" coordsize="841,4722">
                  <v:group style="position:absolute;left:0;top:0;width:841;height:4722" coordorigin="0,0" coordsize="841,4722">
                    <v:shape style="position:absolute;left:0;top:0;width:841;height:4722" coordorigin="0,0" coordsize="841,4722" path="m0,4722l840,4722,840,0,0,0,0,4722xe" filled="true" fillcolor="#ffffff" stroked="false">
                      <v:path arrowok="t"/>
                      <v:fill type="solid"/>
                    </v:shape>
                  </v:group>
                </v:group>
              </w:pict>
            </w:r>
            <w:r>
              <w:rPr>
                <w:rFonts w:ascii="Times New Roman" w:hAnsi="Times New Roman" w:cs="Times New Roman" w:eastAsia="Times New Roman" w:hint="default"/>
                <w:position w:val="-93"/>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9100"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04" w:lineRule="auto"/>
              <w:ind w:left="23" w:right="22"/>
              <w:jc w:val="left"/>
              <w:rPr>
                <w:rFonts w:ascii="宋体" w:hAnsi="宋体" w:cs="宋体" w:eastAsia="宋体" w:hint="default"/>
                <w:sz w:val="18"/>
                <w:szCs w:val="18"/>
              </w:rPr>
            </w:pPr>
            <w:r>
              <w:rPr>
                <w:rFonts w:ascii="宋体" w:hAnsi="宋体" w:cs="宋体" w:eastAsia="宋体" w:hint="default"/>
                <w:sz w:val="18"/>
                <w:szCs w:val="18"/>
              </w:rPr>
              <w:t>北京市国有资产 经营有限责任公 司</w:t>
            </w:r>
            <w:r>
              <w:rPr>
                <w:rFonts w:ascii="Times New Roman" w:hAnsi="Times New Roman" w:cs="Times New Roman" w:eastAsia="Times New Roman" w:hint="default"/>
                <w:sz w:val="18"/>
                <w:szCs w:val="18"/>
              </w:rPr>
              <w:t>;</w:t>
            </w:r>
            <w:r>
              <w:rPr>
                <w:rFonts w:ascii="宋体" w:hAnsi="宋体" w:cs="宋体" w:eastAsia="宋体" w:hint="default"/>
                <w:sz w:val="18"/>
                <w:szCs w:val="18"/>
              </w:rPr>
              <w:t>北京数字认证 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詹 榜华</w:t>
            </w:r>
            <w:r>
              <w:rPr>
                <w:rFonts w:ascii="Times New Roman" w:hAnsi="Times New Roman" w:cs="Times New Roman" w:eastAsia="Times New Roman" w:hint="default"/>
                <w:sz w:val="18"/>
                <w:szCs w:val="18"/>
              </w:rPr>
              <w:t>;</w:t>
            </w:r>
            <w:r>
              <w:rPr>
                <w:rFonts w:ascii="宋体" w:hAnsi="宋体" w:cs="宋体" w:eastAsia="宋体" w:hint="default"/>
                <w:sz w:val="18"/>
                <w:szCs w:val="18"/>
              </w:rPr>
              <w:t>林雪焰</w:t>
            </w:r>
            <w:r>
              <w:rPr>
                <w:rFonts w:ascii="Times New Roman" w:hAnsi="Times New Roman" w:cs="Times New Roman" w:eastAsia="Times New Roman" w:hint="default"/>
                <w:sz w:val="18"/>
                <w:szCs w:val="18"/>
              </w:rPr>
              <w:t>;</w:t>
            </w:r>
            <w:r>
              <w:rPr>
                <w:rFonts w:ascii="宋体" w:hAnsi="宋体" w:cs="宋体" w:eastAsia="宋体" w:hint="default"/>
                <w:sz w:val="18"/>
                <w:szCs w:val="18"/>
              </w:rPr>
              <w:t>卢 磊</w:t>
            </w:r>
            <w:r>
              <w:rPr>
                <w:rFonts w:ascii="Times New Roman" w:hAnsi="Times New Roman" w:cs="Times New Roman" w:eastAsia="Times New Roman" w:hint="default"/>
                <w:sz w:val="18"/>
                <w:szCs w:val="18"/>
              </w:rPr>
              <w:t>;</w:t>
            </w:r>
            <w:r>
              <w:rPr>
                <w:rFonts w:ascii="宋体" w:hAnsi="宋体" w:cs="宋体" w:eastAsia="宋体" w:hint="default"/>
                <w:sz w:val="18"/>
                <w:szCs w:val="18"/>
              </w:rPr>
              <w:t>蒋峰</w:t>
            </w:r>
            <w:r>
              <w:rPr>
                <w:rFonts w:ascii="Times New Roman" w:hAnsi="Times New Roman" w:cs="Times New Roman" w:eastAsia="Times New Roman" w:hint="default"/>
                <w:sz w:val="18"/>
                <w:szCs w:val="18"/>
              </w:rPr>
              <w:t>;</w:t>
            </w:r>
            <w:r>
              <w:rPr>
                <w:rFonts w:ascii="宋体" w:hAnsi="宋体" w:cs="宋体" w:eastAsia="宋体" w:hint="default"/>
                <w:sz w:val="18"/>
                <w:szCs w:val="18"/>
              </w:rPr>
              <w:t>雷毅平</w:t>
            </w:r>
            <w:r>
              <w:rPr>
                <w:rFonts w:ascii="Times New Roman" w:hAnsi="Times New Roman" w:cs="Times New Roman" w:eastAsia="Times New Roman" w:hint="default"/>
                <w:sz w:val="18"/>
                <w:szCs w:val="18"/>
              </w:rPr>
              <w:t>; </w:t>
            </w:r>
            <w:r>
              <w:rPr>
                <w:rFonts w:ascii="宋体" w:hAnsi="宋体" w:cs="宋体" w:eastAsia="宋体" w:hint="default"/>
                <w:sz w:val="18"/>
                <w:szCs w:val="18"/>
              </w:rPr>
              <w:t>张益谦</w:t>
            </w:r>
            <w:r>
              <w:rPr>
                <w:rFonts w:ascii="Times New Roman" w:hAnsi="Times New Roman" w:cs="Times New Roman" w:eastAsia="Times New Roman" w:hint="default"/>
                <w:sz w:val="18"/>
                <w:szCs w:val="18"/>
              </w:rPr>
              <w:t>;</w:t>
            </w:r>
            <w:r>
              <w:rPr>
                <w:rFonts w:ascii="宋体" w:hAnsi="宋体" w:cs="宋体" w:eastAsia="宋体" w:hint="default"/>
                <w:sz w:val="18"/>
                <w:szCs w:val="18"/>
              </w:rPr>
              <w:t>侯鹏亮</w:t>
            </w:r>
            <w:r>
              <w:rPr>
                <w:rFonts w:ascii="Times New Roman" w:hAnsi="Times New Roman" w:cs="Times New Roman" w:eastAsia="Times New Roman" w:hint="default"/>
                <w:sz w:val="18"/>
                <w:szCs w:val="18"/>
              </w:rPr>
              <w:t>;</w:t>
            </w:r>
            <w:r>
              <w:rPr>
                <w:rFonts w:ascii="宋体" w:hAnsi="宋体" w:cs="宋体" w:eastAsia="宋体" w:hint="default"/>
                <w:sz w:val="18"/>
                <w:szCs w:val="18"/>
              </w:rPr>
              <w:t>齐 秀彬</w:t>
            </w:r>
            <w:r>
              <w:rPr>
                <w:rFonts w:ascii="Times New Roman" w:hAnsi="Times New Roman" w:cs="Times New Roman" w:eastAsia="Times New Roman" w:hint="default"/>
                <w:sz w:val="18"/>
                <w:szCs w:val="18"/>
              </w:rPr>
              <w:t>;</w:t>
            </w:r>
            <w:r>
              <w:rPr>
                <w:rFonts w:ascii="宋体" w:hAnsi="宋体" w:cs="宋体" w:eastAsia="宋体" w:hint="default"/>
                <w:sz w:val="18"/>
                <w:szCs w:val="18"/>
              </w:rPr>
              <w:t>吴伟东</w:t>
            </w:r>
            <w:r>
              <w:rPr>
                <w:rFonts w:ascii="Times New Roman" w:hAnsi="Times New Roman" w:cs="Times New Roman" w:eastAsia="Times New Roman" w:hint="default"/>
                <w:sz w:val="18"/>
                <w:szCs w:val="18"/>
              </w:rPr>
              <w:t>;</w:t>
            </w:r>
            <w:r>
              <w:rPr>
                <w:rFonts w:ascii="宋体" w:hAnsi="宋体" w:cs="宋体" w:eastAsia="宋体" w:hint="default"/>
                <w:sz w:val="18"/>
                <w:szCs w:val="18"/>
              </w:rPr>
              <w:t>高青 山</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05"/>
              <w:ind w:left="23"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 价承诺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4"/>
                <w:sz w:val="18"/>
                <w:szCs w:val="18"/>
              </w:rPr>
              <w:t>公司稳定股价的措施包括公司回购股票，控</w:t>
            </w:r>
            <w:r>
              <w:rPr>
                <w:rFonts w:ascii="宋体" w:hAnsi="宋体" w:cs="宋体" w:eastAsia="宋体" w:hint="default"/>
                <w:sz w:val="18"/>
                <w:szCs w:val="18"/>
              </w:rPr>
              <w:t> 股股东增持股票和公司董事（不含独立董 </w:t>
            </w:r>
            <w:r>
              <w:rPr>
                <w:rFonts w:ascii="宋体" w:hAnsi="宋体" w:cs="宋体" w:eastAsia="宋体" w:hint="default"/>
                <w:spacing w:val="-5"/>
                <w:sz w:val="18"/>
                <w:szCs w:val="18"/>
              </w:rPr>
              <w:t>事）、高级管理人员增持股票。在上市后三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年内每次触及启动条件时，公司每次稳定股</w:t>
            </w:r>
            <w:r>
              <w:rPr>
                <w:rFonts w:ascii="宋体" w:hAnsi="宋体" w:cs="宋体" w:eastAsia="宋体" w:hint="default"/>
                <w:sz w:val="18"/>
                <w:szCs w:val="18"/>
              </w:rPr>
              <w:t> </w:t>
            </w:r>
            <w:r>
              <w:rPr>
                <w:rFonts w:ascii="宋体" w:hAnsi="宋体" w:cs="宋体" w:eastAsia="宋体" w:hint="default"/>
                <w:spacing w:val="-4"/>
                <w:sz w:val="18"/>
                <w:szCs w:val="18"/>
              </w:rPr>
              <w:t>价的计划分两个阶段实施。第一阶段由公司</w:t>
            </w:r>
            <w:r>
              <w:rPr>
                <w:rFonts w:ascii="宋体" w:hAnsi="宋体" w:cs="宋体" w:eastAsia="宋体" w:hint="default"/>
                <w:sz w:val="18"/>
                <w:szCs w:val="18"/>
              </w:rPr>
              <w:t> </w:t>
            </w:r>
            <w:r>
              <w:rPr>
                <w:rFonts w:ascii="宋体" w:hAnsi="宋体" w:cs="宋体" w:eastAsia="宋体" w:hint="default"/>
                <w:spacing w:val="-4"/>
                <w:sz w:val="18"/>
                <w:szCs w:val="18"/>
              </w:rPr>
              <w:t>回购股票和控股股东增持公司股票，第二阶</w:t>
            </w:r>
            <w:r>
              <w:rPr>
                <w:rFonts w:ascii="宋体" w:hAnsi="宋体" w:cs="宋体" w:eastAsia="宋体" w:hint="default"/>
                <w:sz w:val="18"/>
                <w:szCs w:val="18"/>
              </w:rPr>
              <w:t> 段由公司董事和高级管理人员增持公司股 </w:t>
            </w:r>
            <w:r>
              <w:rPr>
                <w:rFonts w:ascii="宋体" w:hAnsi="宋体" w:cs="宋体" w:eastAsia="宋体" w:hint="default"/>
                <w:spacing w:val="-5"/>
                <w:sz w:val="18"/>
                <w:szCs w:val="18"/>
              </w:rPr>
              <w:t>票。</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、第一阶段的具体措施。（</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）公司回</w:t>
            </w:r>
            <w:r>
              <w:rPr>
                <w:rFonts w:ascii="宋体" w:hAnsi="宋体" w:cs="宋体" w:eastAsia="宋体" w:hint="default"/>
                <w:spacing w:val="-80"/>
                <w:sz w:val="18"/>
                <w:szCs w:val="18"/>
              </w:rPr>
              <w:t> </w:t>
            </w:r>
            <w:r>
              <w:rPr>
                <w:rFonts w:ascii="宋体" w:hAnsi="宋体" w:cs="宋体" w:eastAsia="宋体" w:hint="default"/>
                <w:spacing w:val="-4"/>
                <w:sz w:val="18"/>
                <w:szCs w:val="18"/>
              </w:rPr>
              <w:t>购股票。公司董事会应当于股价触及启动条</w:t>
            </w:r>
            <w:r>
              <w:rPr>
                <w:rFonts w:ascii="宋体" w:hAnsi="宋体" w:cs="宋体" w:eastAsia="宋体" w:hint="default"/>
                <w:sz w:val="18"/>
                <w:szCs w:val="18"/>
              </w:rPr>
              <w:t> 件后的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个交易日内制定股票回购预案并 公告。公司股票回购预案应当符合《公司 </w:t>
            </w:r>
            <w:r>
              <w:rPr>
                <w:rFonts w:ascii="宋体" w:hAnsi="宋体" w:cs="宋体" w:eastAsia="宋体" w:hint="default"/>
                <w:spacing w:val="-13"/>
                <w:sz w:val="18"/>
                <w:szCs w:val="18"/>
              </w:rPr>
              <w:t>法》、《上市公司回购社会公众股份管理办法</w:t>
            </w:r>
          </w:p>
          <w:p>
            <w:pPr>
              <w:pStyle w:val="TableParagraph"/>
              <w:spacing w:line="316" w:lineRule="auto" w:before="20"/>
              <w:ind w:left="23" w:right="17"/>
              <w:jc w:val="left"/>
              <w:rPr>
                <w:rFonts w:ascii="宋体" w:hAnsi="宋体" w:cs="宋体" w:eastAsia="宋体" w:hint="default"/>
                <w:sz w:val="18"/>
                <w:szCs w:val="18"/>
              </w:rPr>
            </w:pPr>
            <w:r>
              <w:rPr>
                <w:rFonts w:ascii="宋体" w:hAnsi="宋体" w:cs="宋体" w:eastAsia="宋体" w:hint="default"/>
                <w:spacing w:val="-5"/>
                <w:sz w:val="18"/>
                <w:szCs w:val="18"/>
              </w:rPr>
              <w:t>（试行）》和《关于上市公司以集中竞价交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易方式回购股份的补充规定》等法律法规的</w:t>
            </w:r>
            <w:r>
              <w:rPr>
                <w:rFonts w:ascii="宋体" w:hAnsi="宋体" w:cs="宋体" w:eastAsia="宋体" w:hint="default"/>
                <w:sz w:val="18"/>
                <w:szCs w:val="18"/>
              </w:rPr>
              <w:t> </w:t>
            </w:r>
            <w:r>
              <w:rPr>
                <w:rFonts w:ascii="宋体" w:hAnsi="宋体" w:cs="宋体" w:eastAsia="宋体" w:hint="default"/>
                <w:spacing w:val="-4"/>
                <w:sz w:val="18"/>
                <w:szCs w:val="18"/>
              </w:rPr>
              <w:t>要求。股票回购预案需经公司股东大会审议</w:t>
            </w:r>
            <w:r>
              <w:rPr>
                <w:rFonts w:ascii="宋体" w:hAnsi="宋体" w:cs="宋体" w:eastAsia="宋体" w:hint="default"/>
                <w:sz w:val="18"/>
                <w:szCs w:val="18"/>
              </w:rPr>
              <w:t> </w:t>
            </w:r>
            <w:r>
              <w:rPr>
                <w:rFonts w:ascii="宋体" w:hAnsi="宋体" w:cs="宋体" w:eastAsia="宋体" w:hint="default"/>
                <w:spacing w:val="-4"/>
                <w:sz w:val="18"/>
                <w:szCs w:val="18"/>
              </w:rPr>
              <w:t>通过，公司控股股东承诺就该等回购事宜在</w:t>
            </w:r>
            <w:r>
              <w:rPr>
                <w:rFonts w:ascii="宋体" w:hAnsi="宋体" w:cs="宋体" w:eastAsia="宋体" w:hint="default"/>
                <w:sz w:val="18"/>
                <w:szCs w:val="18"/>
              </w:rPr>
              <w:t> </w:t>
            </w:r>
            <w:r>
              <w:rPr>
                <w:rFonts w:ascii="宋体" w:hAnsi="宋体" w:cs="宋体" w:eastAsia="宋体" w:hint="default"/>
                <w:spacing w:val="-4"/>
                <w:sz w:val="18"/>
                <w:szCs w:val="18"/>
              </w:rPr>
              <w:t>股东大会中投赞成票。公司为稳定股价之目</w:t>
            </w:r>
            <w:r>
              <w:rPr>
                <w:rFonts w:ascii="宋体" w:hAnsi="宋体" w:cs="宋体" w:eastAsia="宋体" w:hint="default"/>
                <w:sz w:val="18"/>
                <w:szCs w:val="18"/>
              </w:rPr>
              <w:t> </w:t>
            </w:r>
            <w:r>
              <w:rPr>
                <w:rFonts w:ascii="宋体" w:hAnsi="宋体" w:cs="宋体" w:eastAsia="宋体" w:hint="default"/>
                <w:spacing w:val="-4"/>
                <w:sz w:val="18"/>
                <w:szCs w:val="18"/>
              </w:rPr>
              <w:t>的进行股票回购的，除应符合相关法律法规</w:t>
            </w:r>
            <w:r>
              <w:rPr>
                <w:rFonts w:ascii="宋体" w:hAnsi="宋体" w:cs="宋体" w:eastAsia="宋体" w:hint="default"/>
                <w:sz w:val="18"/>
                <w:szCs w:val="18"/>
              </w:rPr>
              <w:t> </w:t>
            </w:r>
            <w:r>
              <w:rPr>
                <w:rFonts w:ascii="宋体" w:hAnsi="宋体" w:cs="宋体" w:eastAsia="宋体" w:hint="default"/>
                <w:spacing w:val="-4"/>
                <w:sz w:val="18"/>
                <w:szCs w:val="18"/>
              </w:rPr>
              <w:t>之要求外，还应遵守下列各项约定：①公司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每次用于回购股票的资金不低于最近三年 实现的年均可分配利润的</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和</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 </w:t>
            </w:r>
            <w:r>
              <w:rPr>
                <w:rFonts w:ascii="宋体" w:hAnsi="宋体" w:cs="宋体" w:eastAsia="宋体" w:hint="default"/>
                <w:spacing w:val="-4"/>
                <w:sz w:val="18"/>
                <w:szCs w:val="18"/>
              </w:rPr>
              <w:t>之间的孰高者。②在股票上市后三年内用于</w:t>
            </w:r>
            <w:r>
              <w:rPr>
                <w:rFonts w:ascii="宋体" w:hAnsi="宋体" w:cs="宋体" w:eastAsia="宋体" w:hint="default"/>
                <w:sz w:val="18"/>
                <w:szCs w:val="18"/>
              </w:rPr>
              <w:t> 回购股票的资金总额不超过首次公开发行 </w:t>
            </w:r>
            <w:r>
              <w:rPr>
                <w:rFonts w:ascii="宋体" w:hAnsi="宋体" w:cs="宋体" w:eastAsia="宋体" w:hint="default"/>
                <w:spacing w:val="-4"/>
                <w:sz w:val="18"/>
                <w:szCs w:val="18"/>
              </w:rPr>
              <w:t>新股所募集资金的总额。③公司董事会经综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合考虑公司经营发展实际情况，认为公司不</w:t>
            </w:r>
            <w:r>
              <w:rPr>
                <w:rFonts w:ascii="宋体" w:hAnsi="宋体" w:cs="宋体" w:eastAsia="宋体" w:hint="default"/>
                <w:sz w:val="18"/>
                <w:szCs w:val="18"/>
              </w:rPr>
              <w:t> </w:t>
            </w:r>
            <w:r>
              <w:rPr>
                <w:rFonts w:ascii="宋体" w:hAnsi="宋体" w:cs="宋体" w:eastAsia="宋体" w:hint="default"/>
                <w:spacing w:val="-4"/>
                <w:sz w:val="18"/>
                <w:szCs w:val="18"/>
              </w:rPr>
              <w:t>宜或暂无须回购股票的，经董事会决议通过</w:t>
            </w:r>
            <w:r>
              <w:rPr>
                <w:rFonts w:ascii="宋体" w:hAnsi="宋体" w:cs="宋体" w:eastAsia="宋体" w:hint="default"/>
                <w:sz w:val="18"/>
                <w:szCs w:val="18"/>
              </w:rPr>
              <w:t> </w:t>
            </w:r>
            <w:r>
              <w:rPr>
                <w:rFonts w:ascii="宋体" w:hAnsi="宋体" w:cs="宋体" w:eastAsia="宋体" w:hint="default"/>
                <w:spacing w:val="-4"/>
                <w:sz w:val="18"/>
                <w:szCs w:val="18"/>
              </w:rPr>
              <w:t>并经半数以上独立董事同意后，应将不回购</w:t>
            </w:r>
            <w:r>
              <w:rPr>
                <w:rFonts w:ascii="宋体" w:hAnsi="宋体" w:cs="宋体" w:eastAsia="宋体" w:hint="default"/>
                <w:sz w:val="18"/>
                <w:szCs w:val="18"/>
              </w:rPr>
              <w:t> </w:t>
            </w:r>
            <w:r>
              <w:rPr>
                <w:rFonts w:ascii="宋体" w:hAnsi="宋体" w:cs="宋体" w:eastAsia="宋体" w:hint="default"/>
                <w:spacing w:val="-4"/>
                <w:sz w:val="18"/>
                <w:szCs w:val="18"/>
              </w:rPr>
              <w:t>股票事宜提交股东大会审议，并经出席会议</w:t>
            </w:r>
            <w:r>
              <w:rPr>
                <w:rFonts w:ascii="宋体" w:hAnsi="宋体" w:cs="宋体" w:eastAsia="宋体" w:hint="default"/>
                <w:sz w:val="18"/>
                <w:szCs w:val="18"/>
              </w:rPr>
              <w:t> 的股东所持表决权的三分之二以上通过。</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bl>
    <w:p>
      <w:pPr>
        <w:spacing w:after="0" w:line="316" w:lineRule="auto"/>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0"/>
        <w:rPr>
          <w:rFonts w:ascii="Times New Roman" w:hAnsi="Times New Roman" w:cs="Times New Roman" w:eastAsia="Times New Roman" w:hint="default"/>
          <w:sz w:val="20"/>
          <w:szCs w:val="20"/>
        </w:rPr>
      </w:pPr>
      <w:r>
        <w:rPr/>
        <w:pict>
          <v:shape style="position:absolute;margin-left:360.309998pt;margin-top:72.47998pt;width:93.15pt;height:686.55pt;mso-position-horizontal-relative:page;mso-position-vertical-relative:page;z-index:-83257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上述期间内，</w:t>
                  </w:r>
                </w:p>
              </w:txbxContent>
            </v:textbox>
            <w10:wrap type="none"/>
          </v:shape>
        </w:pict>
      </w:r>
      <w:r>
        <w:rPr/>
        <w:pict>
          <v:group style="position:absolute;margin-left:56.400002pt;margin-top:71.759964pt;width:478.9pt;height:688pt;mso-position-horizontal-relative:page;mso-position-vertical-relative:page;z-index:-832552" coordorigin="1128,1435" coordsize="9578,13760">
            <v:group style="position:absolute;left:1140;top:1450;width:1266;height:13731" coordorigin="1140,1450" coordsize="1266,13731">
              <v:shape style="position:absolute;left:1140;top:1450;width:1266;height:13731" coordorigin="1140,1450" coordsize="1266,13731" path="m1140,15180l2405,15180,2405,1450,1140,1450,1140,15180xe" filled="true" fillcolor="#d2d2d2" stroked="false">
                <v:path arrowok="t"/>
                <v:fill type="solid"/>
              </v:shape>
            </v:group>
            <v:group style="position:absolute;left:1138;top:1445;width:1268;height:2" coordorigin="1138,1445" coordsize="1268,2">
              <v:shape style="position:absolute;left:1138;top:1445;width:1268;height:2" coordorigin="1138,1445" coordsize="1268,0" path="m1138,1445l2405,1445e" filled="false" stroked="true" strokeweight=".48pt" strokecolor="#000000">
                <v:path arrowok="t"/>
              </v:shape>
            </v:group>
            <v:group style="position:absolute;left:2415;top:1445;width:1410;height:2" coordorigin="2415,1445" coordsize="1410,2">
              <v:shape style="position:absolute;left:2415;top:1445;width:1410;height:2" coordorigin="2415,1445" coordsize="1410,0" path="m2415,1445l3824,1445e" filled="false" stroked="true" strokeweight=".48pt" strokecolor="#000000">
                <v:path arrowok="t"/>
              </v:shape>
            </v:group>
            <v:group style="position:absolute;left:3834;top:1445;width:982;height:2" coordorigin="3834,1445" coordsize="982,2">
              <v:shape style="position:absolute;left:3834;top:1445;width:982;height:2" coordorigin="3834,1445" coordsize="982,0" path="m3834,1445l4815,1445e" filled="false" stroked="true" strokeweight=".48pt" strokecolor="#000000">
                <v:path arrowok="t"/>
              </v:shape>
            </v:group>
            <v:group style="position:absolute;left:8229;top:1450;width:841;height:13731" coordorigin="8229,1450" coordsize="841,13731">
              <v:shape style="position:absolute;left:8229;top:1450;width:841;height:13731" coordorigin="8229,1450" coordsize="841,13731" path="m8229,15180l9069,15180,9069,1450,8229,1450,8229,15180xe" filled="true" fillcolor="#ffffff" stroked="false">
                <v:path arrowok="t"/>
                <v:fill type="solid"/>
              </v:shape>
            </v:group>
            <v:group style="position:absolute;left:4825;top:1445;width:3392;height:2" coordorigin="4825,1445" coordsize="3392,2">
              <v:shape style="position:absolute;left:4825;top:1445;width:3392;height:2" coordorigin="4825,1445" coordsize="3392,0" path="m4825,1445l8217,1445e" filled="false" stroked="true" strokeweight=".48pt" strokecolor="#000000">
                <v:path arrowok="t"/>
              </v:shape>
            </v:group>
            <v:group style="position:absolute;left:8226;top:1445;width:843;height:2" coordorigin="8226,1445" coordsize="843,2">
              <v:shape style="position:absolute;left:8226;top:1445;width:843;height:2" coordorigin="8226,1445" coordsize="843,0" path="m8226,1445l9069,1445e" filled="false" stroked="true" strokeweight=".48pt" strokecolor="#000000">
                <v:path arrowok="t"/>
              </v:shape>
            </v:group>
            <v:group style="position:absolute;left:9079;top:1445;width:840;height:2" coordorigin="9079,1445" coordsize="840,2">
              <v:shape style="position:absolute;left:9079;top:1445;width:840;height:2" coordorigin="9079,1445" coordsize="840,0" path="m9079,1445l9919,1445e" filled="false" stroked="true" strokeweight=".48pt" strokecolor="#000000">
                <v:path arrowok="t"/>
              </v:shape>
            </v:group>
            <v:group style="position:absolute;left:9928;top:1445;width:768;height:2" coordorigin="9928,1445" coordsize="768,2">
              <v:shape style="position:absolute;left:9928;top:1445;width:768;height:2" coordorigin="9928,1445" coordsize="768,0" path="m9928,1445l10696,1445e" filled="false" stroked="true" strokeweight=".48pt" strokecolor="#000000">
                <v:path arrowok="t"/>
              </v:shape>
            </v:group>
            <v:group style="position:absolute;left:1133;top:1440;width:2;height:13750" coordorigin="1133,1440" coordsize="2,13750">
              <v:shape style="position:absolute;left:1133;top:1440;width:2;height:13750" coordorigin="1133,1440" coordsize="0,13750" path="m1133,1440l1133,15190e" filled="false" stroked="true" strokeweight=".48pt" strokecolor="#000000">
                <v:path arrowok="t"/>
              </v:shape>
            </v:group>
            <v:group style="position:absolute;left:1138;top:15185;width:1268;height:2" coordorigin="1138,15185" coordsize="1268,2">
              <v:shape style="position:absolute;left:1138;top:15185;width:1268;height:2" coordorigin="1138,15185" coordsize="1268,0" path="m1138,15185l2405,15185e" filled="false" stroked="true" strokeweight=".47998pt" strokecolor="#000000">
                <v:path arrowok="t"/>
              </v:shape>
            </v:group>
            <v:group style="position:absolute;left:2410;top:1440;width:2;height:13750" coordorigin="2410,1440" coordsize="2,13750">
              <v:shape style="position:absolute;left:2410;top:1440;width:2;height:13750" coordorigin="2410,1440" coordsize="0,13750" path="m2410,1440l2410,15190e" filled="false" stroked="true" strokeweight=".48pt" strokecolor="#000000">
                <v:path arrowok="t"/>
              </v:shape>
            </v:group>
            <v:group style="position:absolute;left:2415;top:15185;width:1410;height:2" coordorigin="2415,15185" coordsize="1410,2">
              <v:shape style="position:absolute;left:2415;top:15185;width:1410;height:2" coordorigin="2415,15185" coordsize="1410,0" path="m2415,15185l3824,15185e" filled="false" stroked="true" strokeweight=".47998pt" strokecolor="#000000">
                <v:path arrowok="t"/>
              </v:shape>
            </v:group>
            <v:group style="position:absolute;left:3829;top:1440;width:2;height:13750" coordorigin="3829,1440" coordsize="2,13750">
              <v:shape style="position:absolute;left:3829;top:1440;width:2;height:13750" coordorigin="3829,1440" coordsize="0,13750" path="m3829,1440l3829,15190e" filled="false" stroked="true" strokeweight=".48pt" strokecolor="#000000">
                <v:path arrowok="t"/>
              </v:shape>
            </v:group>
            <v:group style="position:absolute;left:3834;top:15185;width:982;height:2" coordorigin="3834,15185" coordsize="982,2">
              <v:shape style="position:absolute;left:3834;top:15185;width:982;height:2" coordorigin="3834,15185" coordsize="982,0" path="m3834,15185l4815,15185e" filled="false" stroked="true" strokeweight=".47998pt" strokecolor="#000000">
                <v:path arrowok="t"/>
              </v:shape>
            </v:group>
            <v:group style="position:absolute;left:4820;top:1440;width:2;height:13750" coordorigin="4820,1440" coordsize="2,13750">
              <v:shape style="position:absolute;left:4820;top:1440;width:2;height:13750" coordorigin="4820,1440" coordsize="0,13750" path="m4820,1440l4820,15190e" filled="false" stroked="true" strokeweight=".48pt" strokecolor="#000000">
                <v:path arrowok="t"/>
              </v:shape>
            </v:group>
            <v:group style="position:absolute;left:4825;top:15185;width:3392;height:2" coordorigin="4825,15185" coordsize="3392,2">
              <v:shape style="position:absolute;left:4825;top:15185;width:3392;height:2" coordorigin="4825,15185" coordsize="3392,0" path="m4825,15185l8217,15185e" filled="false" stroked="true" strokeweight=".47998pt" strokecolor="#000000">
                <v:path arrowok="t"/>
              </v:shape>
            </v:group>
            <v:group style="position:absolute;left:8221;top:1440;width:2;height:13750" coordorigin="8221,1440" coordsize="2,13750">
              <v:shape style="position:absolute;left:8221;top:1440;width:2;height:13750" coordorigin="8221,1440" coordsize="0,13750" path="m8221,1440l8221,15190e" filled="false" stroked="true" strokeweight=".48001pt" strokecolor="#000000">
                <v:path arrowok="t"/>
              </v:shape>
            </v:group>
            <v:group style="position:absolute;left:8226;top:15185;width:843;height:2" coordorigin="8226,15185" coordsize="843,2">
              <v:shape style="position:absolute;left:8226;top:15185;width:843;height:2" coordorigin="8226,15185" coordsize="843,0" path="m8226,15185l9069,15185e" filled="false" stroked="true" strokeweight=".47998pt" strokecolor="#000000">
                <v:path arrowok="t"/>
              </v:shape>
            </v:group>
            <v:group style="position:absolute;left:9074;top:1440;width:2;height:13750" coordorigin="9074,1440" coordsize="2,13750">
              <v:shape style="position:absolute;left:9074;top:1440;width:2;height:13750" coordorigin="9074,1440" coordsize="0,13750" path="m9074,1440l9074,15190e" filled="false" stroked="true" strokeweight=".48001pt" strokecolor="#000000">
                <v:path arrowok="t"/>
              </v:shape>
            </v:group>
            <v:group style="position:absolute;left:9079;top:15185;width:840;height:2" coordorigin="9079,15185" coordsize="840,2">
              <v:shape style="position:absolute;left:9079;top:15185;width:840;height:2" coordorigin="9079,15185" coordsize="840,0" path="m9079,15185l9919,15185e" filled="false" stroked="true" strokeweight=".47998pt" strokecolor="#000000">
                <v:path arrowok="t"/>
              </v:shape>
            </v:group>
            <v:group style="position:absolute;left:9924;top:1440;width:2;height:13750" coordorigin="9924,1440" coordsize="2,13750">
              <v:shape style="position:absolute;left:9924;top:1440;width:2;height:13750" coordorigin="9924,1440" coordsize="0,13750" path="m9924,1440l9924,15190e" filled="false" stroked="true" strokeweight=".48001pt" strokecolor="#000000">
                <v:path arrowok="t"/>
              </v:shape>
            </v:group>
            <v:group style="position:absolute;left:9928;top:15185;width:768;height:2" coordorigin="9928,15185" coordsize="768,2">
              <v:shape style="position:absolute;left:9928;top:15185;width:768;height:2" coordorigin="9928,15185" coordsize="768,0" path="m9928,15185l10696,15185e" filled="false" stroked="true" strokeweight=".47998pt" strokecolor="#000000">
                <v:path arrowok="t"/>
              </v:shape>
            </v:group>
            <v:group style="position:absolute;left:10701;top:1440;width:2;height:13750" coordorigin="10701,1440" coordsize="2,13750">
              <v:shape style="position:absolute;left:10701;top:1440;width:2;height:13750" coordorigin="10701,1440" coordsize="0,13750" path="m10701,1440l10701,15190e" filled="false" stroked="true" strokeweight=".48004pt" strokecolor="#000000">
                <v:path arrowok="t"/>
              </v:shape>
            </v:group>
            <w10:wrap type="none"/>
          </v:group>
        </w:pict>
      </w:r>
    </w:p>
    <w:p>
      <w:pPr>
        <w:spacing w:line="240" w:lineRule="auto" w:before="2"/>
        <w:rPr>
          <w:rFonts w:ascii="Times New Roman" w:hAnsi="Times New Roman" w:cs="Times New Roman" w:eastAsia="Times New Roman" w:hint="default"/>
          <w:sz w:val="14"/>
          <w:szCs w:val="14"/>
        </w:rPr>
      </w:pPr>
    </w:p>
    <w:p>
      <w:pPr>
        <w:spacing w:line="309" w:lineRule="auto" w:before="0"/>
        <w:ind w:left="3829" w:right="2615"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）控股股东增持。控股股东应当于股价 触及启动条件后的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个交易日内提出增持 </w:t>
      </w:r>
      <w:r>
        <w:rPr>
          <w:rFonts w:ascii="宋体" w:hAnsi="宋体" w:cs="宋体" w:eastAsia="宋体" w:hint="default"/>
          <w:spacing w:val="-4"/>
          <w:sz w:val="18"/>
          <w:szCs w:val="18"/>
        </w:rPr>
        <w:t>方案，同时将增持公司股票的具体计划书面</w:t>
      </w:r>
      <w:r>
        <w:rPr>
          <w:rFonts w:ascii="宋体" w:hAnsi="宋体" w:cs="宋体" w:eastAsia="宋体" w:hint="default"/>
          <w:sz w:val="18"/>
          <w:szCs w:val="18"/>
        </w:rPr>
        <w:t> </w:t>
      </w:r>
      <w:r>
        <w:rPr>
          <w:rFonts w:ascii="宋体" w:hAnsi="宋体" w:cs="宋体" w:eastAsia="宋体" w:hint="default"/>
          <w:spacing w:val="-4"/>
          <w:sz w:val="18"/>
          <w:szCs w:val="18"/>
        </w:rPr>
        <w:t>通知公司并公告。控股股东增持股票方案应</w:t>
      </w:r>
      <w:r>
        <w:rPr>
          <w:rFonts w:ascii="宋体" w:hAnsi="宋体" w:cs="宋体" w:eastAsia="宋体" w:hint="default"/>
          <w:sz w:val="18"/>
          <w:szCs w:val="18"/>
        </w:rPr>
        <w:t> </w:t>
      </w:r>
      <w:r>
        <w:rPr>
          <w:rFonts w:ascii="宋体" w:hAnsi="宋体" w:cs="宋体" w:eastAsia="宋体" w:hint="default"/>
          <w:spacing w:val="-13"/>
          <w:sz w:val="18"/>
          <w:szCs w:val="18"/>
        </w:rPr>
        <w:t>当符合《上市公司收购管理办法》、《创业板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信息披露业务备忘录第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号：股东及其一致</w:t>
      </w:r>
      <w:r>
        <w:rPr>
          <w:rFonts w:ascii="宋体" w:hAnsi="宋体" w:cs="宋体" w:eastAsia="宋体" w:hint="default"/>
          <w:sz w:val="18"/>
          <w:szCs w:val="18"/>
        </w:rPr>
        <w:t> </w:t>
      </w:r>
      <w:r>
        <w:rPr>
          <w:rFonts w:ascii="宋体" w:hAnsi="宋体" w:cs="宋体" w:eastAsia="宋体" w:hint="default"/>
          <w:spacing w:val="-4"/>
          <w:sz w:val="18"/>
          <w:szCs w:val="18"/>
        </w:rPr>
        <w:t>行动人增持股份业务管理》等法律法规的规</w:t>
      </w:r>
      <w:r>
        <w:rPr>
          <w:rFonts w:ascii="宋体" w:hAnsi="宋体" w:cs="宋体" w:eastAsia="宋体" w:hint="default"/>
          <w:sz w:val="18"/>
          <w:szCs w:val="18"/>
        </w:rPr>
        <w:t> </w:t>
      </w:r>
      <w:r>
        <w:rPr>
          <w:rFonts w:ascii="宋体" w:hAnsi="宋体" w:cs="宋体" w:eastAsia="宋体" w:hint="default"/>
          <w:spacing w:val="-4"/>
          <w:sz w:val="18"/>
          <w:szCs w:val="18"/>
        </w:rPr>
        <w:t>定。为稳定股价之目的进行股票增持的，除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应符合相关法律法规之要求外，控股股东同</w:t>
      </w:r>
      <w:r>
        <w:rPr>
          <w:rFonts w:ascii="宋体" w:hAnsi="宋体" w:cs="宋体" w:eastAsia="宋体" w:hint="default"/>
          <w:sz w:val="18"/>
          <w:szCs w:val="18"/>
        </w:rPr>
        <w:t> </w:t>
      </w:r>
      <w:r>
        <w:rPr>
          <w:rFonts w:ascii="宋体" w:hAnsi="宋体" w:cs="宋体" w:eastAsia="宋体" w:hint="default"/>
          <w:spacing w:val="-4"/>
          <w:sz w:val="18"/>
          <w:szCs w:val="18"/>
        </w:rPr>
        <w:t>时承诺：①每次用于增持公司股票的金额不</w:t>
      </w:r>
      <w:r>
        <w:rPr>
          <w:rFonts w:ascii="宋体" w:hAnsi="宋体" w:cs="宋体" w:eastAsia="宋体" w:hint="default"/>
          <w:sz w:val="18"/>
          <w:szCs w:val="18"/>
        </w:rPr>
        <w:t> 低于人民币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万元；②连续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个月增持 公司股份数量不超过公司总股本的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；如 上述第①项与本项冲突的，按照本项执行；</w:t>
      </w:r>
    </w:p>
    <w:p>
      <w:pPr>
        <w:spacing w:line="312" w:lineRule="auto" w:before="24"/>
        <w:ind w:left="3829" w:right="2597" w:firstLine="0"/>
        <w:jc w:val="left"/>
        <w:rPr>
          <w:rFonts w:ascii="宋体" w:hAnsi="宋体" w:cs="宋体" w:eastAsia="宋体" w:hint="default"/>
          <w:sz w:val="18"/>
          <w:szCs w:val="18"/>
        </w:rPr>
      </w:pPr>
      <w:r>
        <w:rPr>
          <w:rFonts w:ascii="宋体" w:hAnsi="宋体" w:cs="宋体" w:eastAsia="宋体" w:hint="default"/>
          <w:sz w:val="18"/>
          <w:szCs w:val="18"/>
        </w:rPr>
        <w:t>③通过增持获得的股份，在增持完成后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个月内不得转让。第一阶段稳定股价措施可</w:t>
      </w:r>
      <w:r>
        <w:rPr>
          <w:rFonts w:ascii="宋体" w:hAnsi="宋体" w:cs="宋体" w:eastAsia="宋体" w:hint="default"/>
          <w:sz w:val="18"/>
          <w:szCs w:val="18"/>
        </w:rPr>
        <w:t> </w:t>
      </w:r>
      <w:r>
        <w:rPr>
          <w:rFonts w:ascii="宋体" w:hAnsi="宋体" w:cs="宋体" w:eastAsia="宋体" w:hint="default"/>
          <w:spacing w:val="-4"/>
          <w:sz w:val="18"/>
          <w:szCs w:val="18"/>
        </w:rPr>
        <w:t>以单独或合并使用，具体由控股股东和公司</w:t>
      </w:r>
      <w:r>
        <w:rPr>
          <w:rFonts w:ascii="宋体" w:hAnsi="宋体" w:cs="宋体" w:eastAsia="宋体" w:hint="default"/>
          <w:sz w:val="18"/>
          <w:szCs w:val="18"/>
        </w:rPr>
        <w:t> </w:t>
      </w:r>
      <w:r>
        <w:rPr>
          <w:rFonts w:ascii="宋体" w:hAnsi="宋体" w:cs="宋体" w:eastAsia="宋体" w:hint="default"/>
          <w:spacing w:val="-4"/>
          <w:sz w:val="18"/>
          <w:szCs w:val="18"/>
        </w:rPr>
        <w:t>协商确定。公司回购和控股股东增持公司股</w:t>
      </w:r>
      <w:r>
        <w:rPr>
          <w:rFonts w:ascii="宋体" w:hAnsi="宋体" w:cs="宋体" w:eastAsia="宋体" w:hint="default"/>
          <w:sz w:val="18"/>
          <w:szCs w:val="18"/>
        </w:rPr>
        <w:t> 票措施需在每次触及启动条件后的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天内 </w:t>
      </w:r>
      <w:r>
        <w:rPr>
          <w:rFonts w:ascii="宋体" w:hAnsi="宋体" w:cs="宋体" w:eastAsia="宋体" w:hint="default"/>
          <w:spacing w:val="-4"/>
          <w:sz w:val="18"/>
          <w:szCs w:val="18"/>
        </w:rPr>
        <w:t>实施完毕，公司回购和控股股东增持公司股</w:t>
      </w:r>
      <w:r>
        <w:rPr>
          <w:rFonts w:ascii="宋体" w:hAnsi="宋体" w:cs="宋体" w:eastAsia="宋体" w:hint="default"/>
          <w:sz w:val="18"/>
          <w:szCs w:val="18"/>
        </w:rPr>
        <w:t> 票不得导致公司股权分布不符合上市条件。 </w:t>
      </w:r>
      <w:r>
        <w:rPr>
          <w:rFonts w:ascii="宋体" w:hAnsi="宋体" w:cs="宋体" w:eastAsia="宋体" w:hint="default"/>
          <w:spacing w:val="-4"/>
          <w:sz w:val="18"/>
          <w:szCs w:val="18"/>
        </w:rPr>
        <w:t>如果在上述期间内，公司股票收盘价出现连</w:t>
      </w:r>
      <w:r>
        <w:rPr>
          <w:rFonts w:ascii="宋体" w:hAnsi="宋体" w:cs="宋体" w:eastAsia="宋体" w:hint="default"/>
          <w:sz w:val="18"/>
          <w:szCs w:val="18"/>
        </w:rPr>
        <w:t> 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个交易日均高于最近一期经审计的每 </w:t>
      </w:r>
      <w:r>
        <w:rPr>
          <w:rFonts w:ascii="宋体" w:hAnsi="宋体" w:cs="宋体" w:eastAsia="宋体" w:hint="default"/>
          <w:spacing w:val="-4"/>
          <w:sz w:val="18"/>
          <w:szCs w:val="18"/>
        </w:rPr>
        <w:t>股净资产，公司董事会和控股股东可停止回</w:t>
      </w:r>
      <w:r>
        <w:rPr>
          <w:rFonts w:ascii="宋体" w:hAnsi="宋体" w:cs="宋体" w:eastAsia="宋体" w:hint="default"/>
          <w:sz w:val="18"/>
          <w:szCs w:val="18"/>
        </w:rPr>
        <w:t> 购</w:t>
      </w:r>
      <w:r>
        <w:rPr>
          <w:rFonts w:ascii="Times New Roman" w:hAnsi="Times New Roman" w:cs="Times New Roman" w:eastAsia="Times New Roman" w:hint="default"/>
          <w:sz w:val="18"/>
          <w:szCs w:val="18"/>
        </w:rPr>
        <w:t>/</w:t>
      </w:r>
      <w:r>
        <w:rPr>
          <w:rFonts w:ascii="宋体" w:hAnsi="宋体" w:cs="宋体" w:eastAsia="宋体" w:hint="default"/>
          <w:sz w:val="18"/>
          <w:szCs w:val="18"/>
        </w:rPr>
        <w:t>增持公司股票，并不受最低资金使用量 的约束。</w:t>
      </w:r>
      <w:r>
        <w:rPr>
          <w:rFonts w:ascii="Times New Roman" w:hAnsi="Times New Roman" w:cs="Times New Roman" w:eastAsia="Times New Roman" w:hint="default"/>
          <w:sz w:val="18"/>
          <w:szCs w:val="18"/>
        </w:rPr>
        <w:t>2</w:t>
      </w:r>
      <w:r>
        <w:rPr>
          <w:rFonts w:ascii="宋体" w:hAnsi="宋体" w:cs="宋体" w:eastAsia="宋体" w:hint="default"/>
          <w:sz w:val="18"/>
          <w:szCs w:val="18"/>
        </w:rPr>
        <w:t>、第二阶段的具体措施。如果在 公司和控股股东每次用于回购</w:t>
      </w:r>
      <w:r>
        <w:rPr>
          <w:rFonts w:ascii="Times New Roman" w:hAnsi="Times New Roman" w:cs="Times New Roman" w:eastAsia="Times New Roman" w:hint="default"/>
          <w:sz w:val="18"/>
          <w:szCs w:val="18"/>
        </w:rPr>
        <w:t>/</w:t>
      </w:r>
      <w:r>
        <w:rPr>
          <w:rFonts w:ascii="宋体" w:hAnsi="宋体" w:cs="宋体" w:eastAsia="宋体" w:hint="default"/>
          <w:sz w:val="18"/>
          <w:szCs w:val="18"/>
        </w:rPr>
        <w:t>增持的资金 </w:t>
      </w:r>
      <w:r>
        <w:rPr>
          <w:rFonts w:ascii="宋体" w:hAnsi="宋体" w:cs="宋体" w:eastAsia="宋体" w:hint="default"/>
          <w:spacing w:val="-4"/>
          <w:sz w:val="18"/>
          <w:szCs w:val="18"/>
        </w:rPr>
        <w:t>使用完毕后，公司股票的收盘价仍未连续三</w:t>
      </w:r>
      <w:r>
        <w:rPr>
          <w:rFonts w:ascii="宋体" w:hAnsi="宋体" w:cs="宋体" w:eastAsia="宋体" w:hint="default"/>
          <w:sz w:val="18"/>
          <w:szCs w:val="18"/>
        </w:rPr>
        <w:t> </w:t>
      </w:r>
      <w:r>
        <w:rPr>
          <w:rFonts w:ascii="宋体" w:hAnsi="宋体" w:cs="宋体" w:eastAsia="宋体" w:hint="default"/>
          <w:spacing w:val="-4"/>
          <w:sz w:val="18"/>
          <w:szCs w:val="18"/>
        </w:rPr>
        <w:t>个交易日超过最近一期经审计的净资产，则</w:t>
      </w:r>
      <w:r>
        <w:rPr>
          <w:rFonts w:ascii="宋体" w:hAnsi="宋体" w:cs="宋体" w:eastAsia="宋体" w:hint="default"/>
          <w:sz w:val="18"/>
          <w:szCs w:val="18"/>
        </w:rPr>
        <w:t> 由公司董事和高级管理人员增持公司股票。 董事和高级管理人员应当于公司和控股股 东第一阶段的资金使用完毕后的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w:t>
      </w:r>
      <w:r>
        <w:rPr>
          <w:rFonts w:ascii="宋体" w:hAnsi="宋体" w:cs="宋体" w:eastAsia="宋体" w:hint="default"/>
          <w:spacing w:val="-4"/>
          <w:sz w:val="18"/>
          <w:szCs w:val="18"/>
        </w:rPr>
        <w:t>日内提出增持计划，同时将增持公司股票的</w:t>
      </w:r>
      <w:r>
        <w:rPr>
          <w:rFonts w:ascii="宋体" w:hAnsi="宋体" w:cs="宋体" w:eastAsia="宋体" w:hint="default"/>
          <w:sz w:val="18"/>
          <w:szCs w:val="18"/>
        </w:rPr>
        <w:t> </w:t>
      </w:r>
      <w:r>
        <w:rPr>
          <w:rFonts w:ascii="宋体" w:hAnsi="宋体" w:cs="宋体" w:eastAsia="宋体" w:hint="default"/>
          <w:spacing w:val="-4"/>
          <w:sz w:val="18"/>
          <w:szCs w:val="18"/>
        </w:rPr>
        <w:t>具体计划书面通知公司并公告。公司董事和</w:t>
      </w:r>
      <w:r>
        <w:rPr>
          <w:rFonts w:ascii="宋体" w:hAnsi="宋体" w:cs="宋体" w:eastAsia="宋体" w:hint="default"/>
          <w:sz w:val="18"/>
          <w:szCs w:val="18"/>
        </w:rPr>
        <w:t> 高级管理人员每次用于增持公司股票的金 额应不低于上一年度从公司领取薪酬的 </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。董事、高级管理人员需在增持计划公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告后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pacing w:val="-8"/>
          <w:sz w:val="18"/>
          <w:szCs w:val="18"/>
        </w:rPr>
        <w:t>日内实施完毕。如果在</w:t>
      </w:r>
    </w:p>
    <w:p>
      <w:pPr>
        <w:spacing w:line="314" w:lineRule="auto" w:before="3"/>
        <w:ind w:left="3829" w:right="2673" w:firstLine="0"/>
        <w:jc w:val="left"/>
        <w:rPr>
          <w:rFonts w:ascii="宋体" w:hAnsi="宋体" w:cs="宋体" w:eastAsia="宋体" w:hint="default"/>
          <w:sz w:val="18"/>
          <w:szCs w:val="18"/>
        </w:rPr>
      </w:pPr>
      <w:r>
        <w:rPr>
          <w:rFonts w:ascii="宋体" w:hAnsi="宋体" w:cs="宋体" w:eastAsia="宋体" w:hint="default"/>
          <w:sz w:val="18"/>
          <w:szCs w:val="18"/>
        </w:rPr>
        <w:t>公司股票收盘价出现连续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个交易日均高 </w:t>
      </w:r>
      <w:r>
        <w:rPr>
          <w:rFonts w:ascii="宋体" w:hAnsi="宋体" w:cs="宋体" w:eastAsia="宋体" w:hint="default"/>
          <w:spacing w:val="-4"/>
          <w:sz w:val="18"/>
          <w:szCs w:val="18"/>
        </w:rPr>
        <w:t>于最近一期经审计的每股净资产，董事和高</w:t>
      </w:r>
      <w:r>
        <w:rPr>
          <w:rFonts w:ascii="宋体" w:hAnsi="宋体" w:cs="宋体" w:eastAsia="宋体" w:hint="default"/>
          <w:sz w:val="18"/>
          <w:szCs w:val="18"/>
        </w:rPr>
        <w:t> </w:t>
      </w:r>
      <w:r>
        <w:rPr>
          <w:rFonts w:ascii="宋体" w:hAnsi="宋体" w:cs="宋体" w:eastAsia="宋体" w:hint="default"/>
          <w:spacing w:val="-4"/>
          <w:sz w:val="18"/>
          <w:szCs w:val="18"/>
        </w:rPr>
        <w:t>级管理人员可以停止增持公司股票。公司在</w:t>
      </w:r>
      <w:r>
        <w:rPr>
          <w:rFonts w:ascii="宋体" w:hAnsi="宋体" w:cs="宋体" w:eastAsia="宋体" w:hint="default"/>
          <w:sz w:val="18"/>
          <w:szCs w:val="18"/>
        </w:rPr>
        <w:t> </w:t>
      </w:r>
      <w:r>
        <w:rPr>
          <w:rFonts w:ascii="宋体" w:hAnsi="宋体" w:cs="宋体" w:eastAsia="宋体" w:hint="default"/>
          <w:spacing w:val="-4"/>
          <w:sz w:val="18"/>
          <w:szCs w:val="18"/>
        </w:rPr>
        <w:t>股票上市后三年内新聘任的董事（不含独立</w:t>
      </w:r>
      <w:r>
        <w:rPr>
          <w:rFonts w:ascii="宋体" w:hAnsi="宋体" w:cs="宋体" w:eastAsia="宋体" w:hint="default"/>
          <w:sz w:val="18"/>
          <w:szCs w:val="18"/>
        </w:rPr>
        <w:t> </w:t>
      </w:r>
      <w:r>
        <w:rPr>
          <w:rFonts w:ascii="宋体" w:hAnsi="宋体" w:cs="宋体" w:eastAsia="宋体" w:hint="default"/>
          <w:spacing w:val="-5"/>
          <w:sz w:val="18"/>
          <w:szCs w:val="18"/>
        </w:rPr>
        <w:t>董事）、高级管理人员应当遵守本预案关于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公司董事、高级管理人员的增持义务的规 </w:t>
      </w:r>
      <w:r>
        <w:rPr>
          <w:rFonts w:ascii="宋体" w:hAnsi="宋体" w:cs="宋体" w:eastAsia="宋体" w:hint="default"/>
          <w:spacing w:val="-4"/>
          <w:sz w:val="18"/>
          <w:szCs w:val="18"/>
        </w:rPr>
        <w:t>定，公司及公司控股股东、现有董事、高级</w:t>
      </w:r>
    </w:p>
    <w:p>
      <w:pPr>
        <w:spacing w:after="0" w:line="314" w:lineRule="auto"/>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0"/>
        <w:rPr>
          <w:rFonts w:ascii="Times New Roman" w:hAnsi="Times New Roman" w:cs="Times New Roman" w:eastAsia="Times New Roman" w:hint="default"/>
          <w:sz w:val="20"/>
          <w:szCs w:val="20"/>
        </w:rPr>
      </w:pPr>
      <w:r>
        <w:rPr/>
        <w:pict>
          <v:shape style="position:absolute;margin-left:405.309998pt;margin-top:72.47998pt;width:48.15pt;height:360.95pt;mso-position-horizontal-relative:page;mso-position-vertical-relative:page;z-index:-8325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51.287018pt;margin-top:469.509979pt;width:102.2pt;height:298.5pt;mso-position-horizontal-relative:page;mso-position-vertical-relative:page;z-index:-8325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加强技术研发，</w:t>
                  </w:r>
                </w:p>
              </w:txbxContent>
            </v:textbox>
            <w10:wrap type="none"/>
          </v:shape>
        </w:pict>
      </w:r>
      <w:r>
        <w:rPr/>
        <w:pict>
          <v:group style="position:absolute;margin-left:411.429993pt;margin-top:72.47998pt;width:42.05pt;height:360.95pt;mso-position-horizontal-relative:page;mso-position-vertical-relative:page;z-index:-832480" coordorigin="8229,1450" coordsize="841,7219">
            <v:shape style="position:absolute;left:8229;top:1450;width:841;height:7219" coordorigin="8229,1450" coordsize="841,7219" path="m8229,8668l9069,8668,9069,1450,8229,1450,8229,8668xe" filled="true" fillcolor="#ffffff" stroked="false">
              <v:path arrowok="t"/>
              <v:fill type="solid"/>
            </v:shape>
            <w10:wrap type="none"/>
          </v:group>
        </w:pict>
      </w:r>
      <w:r>
        <w:rPr/>
        <w:pict>
          <v:group style="position:absolute;margin-left:411.429993pt;margin-top:469.509979pt;width:42.05pt;height:298.5pt;mso-position-horizontal-relative:page;mso-position-vertical-relative:page;z-index:-832456" coordorigin="8229,9390" coordsize="841,5970">
            <v:group style="position:absolute;left:8229;top:9390;width:841;height:5970" coordorigin="8229,9390" coordsize="841,5970">
              <v:shape style="position:absolute;left:8229;top:9390;width:841;height:5970" coordorigin="8229,9390" coordsize="841,5970" path="m8229,15360l9069,15360,9069,9390,8229,9390,8229,15360xe" filled="true" fillcolor="#ffffff" stroked="false">
                <v:path arrowok="t"/>
                <v:fill type="solid"/>
              </v:shape>
            </v:group>
            <v:group style="position:absolute;left:8250;top:12024;width:795;height:353" coordorigin="8250,12024" coordsize="795,353">
              <v:shape style="position:absolute;left:8250;top:12024;width:795;height:353" coordorigin="8250,12024" coordsize="795,353" path="m8250,12376l9045,12376,9045,12024,8250,12024,8250,12376xe" filled="true" fillcolor="#ffffff" stroked="false">
                <v:path arrowok="t"/>
                <v:fill type="solid"/>
              </v:shape>
            </v:group>
            <v:group style="position:absolute;left:8250;top:12376;width:795;height:351" coordorigin="8250,12376" coordsize="795,351">
              <v:shape style="position:absolute;left:8250;top:12376;width:795;height:351" coordorigin="8250,12376" coordsize="795,351" path="m8250,12727l9045,12727,9045,12376,8250,12376,8250,1272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76"/>
        <w:gridCol w:w="1419"/>
        <w:gridCol w:w="991"/>
        <w:gridCol w:w="3401"/>
        <w:gridCol w:w="853"/>
        <w:gridCol w:w="850"/>
        <w:gridCol w:w="778"/>
      </w:tblGrid>
      <w:tr>
        <w:trPr>
          <w:trHeight w:val="31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34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管理人员应当促成公司新聘任的该等董事</w:t>
            </w:r>
          </w:p>
        </w:tc>
        <w:tc>
          <w:tcPr>
            <w:tcW w:w="8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高级管理人员遵守稳定股价的预案并签署</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相关承诺</w:t>
            </w:r>
            <w:r>
              <w:rPr>
                <w:rFonts w:ascii="宋体" w:hAnsi="宋体" w:cs="宋体" w:eastAsia="宋体" w:hint="default"/>
                <w:spacing w:val="-75"/>
                <w:sz w:val="18"/>
                <w:szCs w:val="18"/>
              </w:rPr>
              <w:t>。</w:t>
            </w:r>
            <w:r>
              <w:rPr>
                <w:rFonts w:ascii="宋体" w:hAnsi="宋体" w:cs="宋体" w:eastAsia="宋体" w:hint="default"/>
                <w:sz w:val="18"/>
                <w:szCs w:val="18"/>
              </w:rPr>
              <w:t>如果按照上述规定实施稳定股价</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措施后</w:t>
            </w:r>
            <w:r>
              <w:rPr>
                <w:rFonts w:ascii="宋体" w:hAnsi="宋体" w:cs="宋体" w:eastAsia="宋体" w:hint="default"/>
                <w:spacing w:val="-75"/>
                <w:sz w:val="18"/>
                <w:szCs w:val="18"/>
              </w:rPr>
              <w:t>，</w:t>
            </w:r>
            <w:r>
              <w:rPr>
                <w:rFonts w:ascii="宋体" w:hAnsi="宋体" w:cs="宋体" w:eastAsia="宋体" w:hint="default"/>
                <w:sz w:val="18"/>
                <w:szCs w:val="18"/>
              </w:rPr>
              <w:t>公司股票收盘价仍未连续三个交易</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日高于最近一期经审计的每股净资产</w:t>
            </w:r>
            <w:r>
              <w:rPr>
                <w:rFonts w:ascii="宋体" w:hAnsi="宋体" w:cs="宋体" w:eastAsia="宋体" w:hint="default"/>
                <w:spacing w:val="-75"/>
                <w:sz w:val="18"/>
                <w:szCs w:val="18"/>
              </w:rPr>
              <w:t>，</w:t>
            </w:r>
            <w:r>
              <w:rPr>
                <w:rFonts w:ascii="宋体" w:hAnsi="宋体" w:cs="宋体" w:eastAsia="宋体" w:hint="default"/>
                <w:sz w:val="18"/>
                <w:szCs w:val="18"/>
              </w:rPr>
              <w:t>或者</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上述措施实施完毕后再次触发稳定股价的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启动条件的，则控股股东、公司、董事和高</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级管理人员应按照稳定股价预案的规定启</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动下一次稳定股价计划</w:t>
            </w:r>
            <w:r>
              <w:rPr>
                <w:rFonts w:ascii="宋体" w:hAnsi="宋体" w:cs="宋体" w:eastAsia="宋体" w:hint="default"/>
                <w:spacing w:val="-147"/>
                <w:sz w:val="18"/>
                <w:szCs w:val="18"/>
              </w:rPr>
              <w:t>。</w:t>
            </w:r>
            <w:r>
              <w:rPr>
                <w:rFonts w:ascii="宋体" w:hAnsi="宋体" w:cs="宋体" w:eastAsia="宋体" w:hint="default"/>
                <w:sz w:val="18"/>
                <w:szCs w:val="18"/>
              </w:rPr>
              <w:t>（三</w:t>
            </w:r>
            <w:r>
              <w:rPr>
                <w:rFonts w:ascii="宋体" w:hAnsi="宋体" w:cs="宋体" w:eastAsia="宋体" w:hint="default"/>
                <w:spacing w:val="-53"/>
                <w:sz w:val="18"/>
                <w:szCs w:val="18"/>
              </w:rPr>
              <w:t>）</w:t>
            </w:r>
            <w:r>
              <w:rPr>
                <w:rFonts w:ascii="宋体" w:hAnsi="宋体" w:cs="宋体" w:eastAsia="宋体" w:hint="default"/>
                <w:sz w:val="18"/>
                <w:szCs w:val="18"/>
              </w:rPr>
              <w:t>约束措施</w:t>
            </w:r>
            <w:r>
              <w:rPr>
                <w:rFonts w:ascii="宋体" w:hAnsi="宋体" w:cs="宋体" w:eastAsia="宋体" w:hint="default"/>
                <w:spacing w:val="-55"/>
                <w:sz w:val="18"/>
                <w:szCs w:val="18"/>
              </w:rPr>
              <w:t>。</w:t>
            </w:r>
            <w:r>
              <w:rPr>
                <w:rFonts w:ascii="Times New Roman" w:hAnsi="Times New Roman" w:cs="Times New Roman" w:eastAsia="Times New Roman" w:hint="default"/>
                <w:sz w:val="18"/>
                <w:szCs w:val="18"/>
              </w:rPr>
              <w:t>1</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如果控股股东未按约定实施增持计划的</w:t>
            </w:r>
            <w:r>
              <w:rPr>
                <w:rFonts w:ascii="宋体" w:hAnsi="宋体" w:cs="宋体" w:eastAsia="宋体" w:hint="default"/>
                <w:spacing w:val="-75"/>
                <w:sz w:val="18"/>
                <w:szCs w:val="18"/>
              </w:rPr>
              <w:t>，</w:t>
            </w:r>
            <w:r>
              <w:rPr>
                <w:rFonts w:ascii="宋体" w:hAnsi="宋体" w:cs="宋体" w:eastAsia="宋体" w:hint="default"/>
                <w:sz w:val="18"/>
                <w:szCs w:val="18"/>
              </w:rPr>
              <w:t>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司有权责令控股股东在限期内履行增持股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票承诺，控股股东仍不履行的，公司有权扣</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减其应向控股股东支付的分红。</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、公司董</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事、高级管理人员未按约定实施增持计划</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的，公司有权责令董事、高级管理人员在限</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期内履行增持股票义务</w:t>
            </w:r>
            <w:r>
              <w:rPr>
                <w:rFonts w:ascii="宋体" w:hAnsi="宋体" w:cs="宋体" w:eastAsia="宋体" w:hint="default"/>
                <w:spacing w:val="-75"/>
                <w:sz w:val="18"/>
                <w:szCs w:val="18"/>
              </w:rPr>
              <w:t>。</w:t>
            </w:r>
            <w:r>
              <w:rPr>
                <w:rFonts w:ascii="宋体" w:hAnsi="宋体" w:cs="宋体" w:eastAsia="宋体" w:hint="default"/>
                <w:sz w:val="18"/>
                <w:szCs w:val="18"/>
              </w:rPr>
              <w:t>公司董事和高级管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理人员仍不履行的，公司有权扣减应向董</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事、高级管理人员支付的报酬。公司董事</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高级管理人员拒不履行预案规定的股票增</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持义务情节严重的，控股股东或董事会、监</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w:t>
            </w:r>
            <w:r>
              <w:rPr>
                <w:rFonts w:ascii="宋体" w:hAnsi="宋体" w:cs="宋体" w:eastAsia="宋体" w:hint="default"/>
                <w:spacing w:val="-75"/>
                <w:sz w:val="18"/>
                <w:szCs w:val="18"/>
              </w:rPr>
              <w:t>、</w:t>
            </w:r>
            <w:r>
              <w:rPr>
                <w:rFonts w:ascii="宋体" w:hAnsi="宋体" w:cs="宋体" w:eastAsia="宋体" w:hint="default"/>
                <w:sz w:val="18"/>
                <w:szCs w:val="18"/>
              </w:rPr>
              <w:t>半数以上的独立董事有权提请股东大</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会同意更换相关董事</w:t>
            </w:r>
            <w:r>
              <w:rPr>
                <w:rFonts w:ascii="宋体" w:hAnsi="宋体" w:cs="宋体" w:eastAsia="宋体" w:hint="default"/>
                <w:spacing w:val="-75"/>
                <w:sz w:val="18"/>
                <w:szCs w:val="18"/>
              </w:rPr>
              <w:t>，</w:t>
            </w:r>
            <w:r>
              <w:rPr>
                <w:rFonts w:ascii="宋体" w:hAnsi="宋体" w:cs="宋体" w:eastAsia="宋体" w:hint="default"/>
                <w:sz w:val="18"/>
                <w:szCs w:val="18"/>
              </w:rPr>
              <w:t>公司董事会有权解聘</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4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相关高级管理人员。</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713" w:hRule="exact"/>
        </w:trPr>
        <w:tc>
          <w:tcPr>
            <w:tcW w:w="1276"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徐哲</w:t>
            </w:r>
            <w:r>
              <w:rPr>
                <w:rFonts w:ascii="Times New Roman" w:hAnsi="Times New Roman" w:cs="Times New Roman" w:eastAsia="Times New Roman" w:hint="default"/>
                <w:sz w:val="18"/>
                <w:szCs w:val="18"/>
              </w:rPr>
              <w:t>;</w:t>
            </w:r>
            <w:r>
              <w:rPr>
                <w:rFonts w:ascii="宋体" w:hAnsi="宋体" w:cs="宋体" w:eastAsia="宋体" w:hint="default"/>
                <w:sz w:val="18"/>
                <w:szCs w:val="18"/>
              </w:rPr>
              <w:t>刘汉莎</w:t>
            </w:r>
            <w:r>
              <w:rPr>
                <w:rFonts w:ascii="Times New Roman" w:hAnsi="Times New Roman" w:cs="Times New Roman" w:eastAsia="Times New Roman" w:hint="default"/>
                <w:sz w:val="18"/>
                <w:szCs w:val="18"/>
              </w:rPr>
              <w:t>;</w:t>
            </w:r>
            <w:r>
              <w:rPr>
                <w:rFonts w:ascii="宋体" w:hAnsi="宋体" w:cs="宋体" w:eastAsia="宋体" w:hint="default"/>
                <w:sz w:val="18"/>
                <w:szCs w:val="18"/>
              </w:rPr>
              <w:t>冯晔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 价承诺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358" w:hRule="exact"/>
        </w:trPr>
        <w:tc>
          <w:tcPr>
            <w:tcW w:w="1276"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34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本次公开发行完成后</w:t>
            </w:r>
            <w:r>
              <w:rPr>
                <w:rFonts w:ascii="宋体" w:hAnsi="宋体" w:cs="宋体" w:eastAsia="宋体" w:hint="default"/>
                <w:spacing w:val="-75"/>
                <w:sz w:val="18"/>
                <w:szCs w:val="18"/>
              </w:rPr>
              <w:t>，</w:t>
            </w:r>
            <w:r>
              <w:rPr>
                <w:rFonts w:ascii="宋体" w:hAnsi="宋体" w:cs="宋体" w:eastAsia="宋体" w:hint="default"/>
                <w:sz w:val="18"/>
                <w:szCs w:val="18"/>
              </w:rPr>
              <w:t>公司每股收益和净资</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产收益率等指标在短期内可能出现一定幅</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度的下降</w:t>
            </w:r>
            <w:r>
              <w:rPr>
                <w:rFonts w:ascii="宋体" w:hAnsi="宋体" w:cs="宋体" w:eastAsia="宋体" w:hint="default"/>
                <w:spacing w:val="-75"/>
                <w:sz w:val="18"/>
                <w:szCs w:val="18"/>
              </w:rPr>
              <w:t>。</w:t>
            </w:r>
            <w:r>
              <w:rPr>
                <w:rFonts w:ascii="宋体" w:hAnsi="宋体" w:cs="宋体" w:eastAsia="宋体" w:hint="default"/>
                <w:sz w:val="18"/>
                <w:szCs w:val="18"/>
              </w:rPr>
              <w:t>为降低本次公开发行摊薄即期回</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报的影响，充分保护中小股东的利益，公司</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制定了如下措施</w:t>
            </w:r>
            <w:r>
              <w:rPr>
                <w:rFonts w:ascii="宋体" w:hAnsi="宋体" w:cs="宋体" w:eastAsia="宋体" w:hint="default"/>
                <w:spacing w:val="-92"/>
                <w:sz w:val="18"/>
                <w:szCs w:val="18"/>
              </w:rPr>
              <w:t>：</w:t>
            </w:r>
            <w:r>
              <w:rPr>
                <w:rFonts w:ascii="宋体" w:hAnsi="宋体" w:cs="宋体" w:eastAsia="宋体" w:hint="default"/>
                <w:sz w:val="18"/>
                <w:szCs w:val="18"/>
              </w:rPr>
              <w:t>（一）积极</w:t>
            </w:r>
            <w:r>
              <w:rPr>
                <w:rFonts w:ascii="宋体" w:hAnsi="宋体" w:cs="宋体" w:eastAsia="宋体" w:hint="default"/>
                <w:spacing w:val="2"/>
                <w:sz w:val="18"/>
                <w:szCs w:val="18"/>
              </w:rPr>
              <w:t>推</w:t>
            </w:r>
            <w:r>
              <w:rPr>
                <w:rFonts w:ascii="宋体" w:hAnsi="宋体" w:cs="宋体" w:eastAsia="宋体" w:hint="default"/>
                <w:sz w:val="18"/>
                <w:szCs w:val="18"/>
              </w:rPr>
              <w:t>进实施公司</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发展战略，提升公司核心竞争力。公司将继</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3"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续加强电子认证服务和安全服务方面的优</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pacing w:val="-4"/>
                <w:sz w:val="18"/>
                <w:szCs w:val="18"/>
              </w:rPr>
              <w:t>势；不断完善渠道布局，扩大客户规模；努</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正常履</w:t>
            </w:r>
          </w:p>
        </w:tc>
      </w:tr>
      <w:tr>
        <w:trPr>
          <w:trHeight w:val="936"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3" w:right="123"/>
              <w:jc w:val="left"/>
              <w:rPr>
                <w:rFonts w:ascii="宋体" w:hAnsi="宋体" w:cs="宋体" w:eastAsia="宋体" w:hint="default"/>
                <w:sz w:val="18"/>
                <w:szCs w:val="18"/>
              </w:rPr>
            </w:pPr>
            <w:r>
              <w:rPr>
                <w:rFonts w:ascii="宋体" w:hAnsi="宋体" w:cs="宋体" w:eastAsia="宋体" w:hint="default"/>
                <w:sz w:val="18"/>
                <w:szCs w:val="18"/>
              </w:rPr>
              <w:t>北京数字认证股 份有限公司</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309" w:lineRule="auto" w:before="20"/>
              <w:ind w:left="23" w:right="-19"/>
              <w:jc w:val="left"/>
              <w:rPr>
                <w:rFonts w:ascii="宋体" w:hAnsi="宋体" w:cs="宋体" w:eastAsia="宋体" w:hint="default"/>
                <w:sz w:val="18"/>
                <w:szCs w:val="18"/>
              </w:rPr>
            </w:pPr>
            <w:r>
              <w:rPr>
                <w:rFonts w:ascii="宋体" w:hAnsi="宋体" w:cs="宋体" w:eastAsia="宋体" w:hint="default"/>
                <w:sz w:val="18"/>
                <w:szCs w:val="18"/>
              </w:rPr>
              <w:t>力提高</w:t>
            </w:r>
            <w:r>
              <w:rPr>
                <w:rFonts w:ascii="Times New Roman" w:hAnsi="Times New Roman" w:cs="Times New Roman" w:eastAsia="Times New Roman" w:hint="default"/>
                <w:sz w:val="18"/>
                <w:szCs w:val="18"/>
              </w:rPr>
              <w:t>"</w:t>
            </w:r>
            <w:r>
              <w:rPr>
                <w:rFonts w:ascii="宋体" w:hAnsi="宋体" w:cs="宋体" w:eastAsia="宋体" w:hint="default"/>
                <w:sz w:val="18"/>
                <w:szCs w:val="18"/>
              </w:rPr>
              <w:t>一体化</w:t>
            </w:r>
            <w:r>
              <w:rPr>
                <w:rFonts w:ascii="Times New Roman" w:hAnsi="Times New Roman" w:cs="Times New Roman" w:eastAsia="Times New Roman" w:hint="default"/>
                <w:sz w:val="18"/>
                <w:szCs w:val="18"/>
              </w:rPr>
              <w:t>"</w:t>
            </w:r>
            <w:r>
              <w:rPr>
                <w:rFonts w:ascii="宋体" w:hAnsi="宋体" w:cs="宋体" w:eastAsia="宋体" w:hint="default"/>
                <w:sz w:val="18"/>
                <w:szCs w:val="18"/>
              </w:rPr>
              <w:t>电子认证解决方案的能力， 完善电子认证服务网络和电子认证产品体 系。如果本次公开发行股票并上市获得批</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23"/>
              <w:jc w:val="both"/>
              <w:rPr>
                <w:rFonts w:ascii="宋体" w:hAnsi="宋体" w:cs="宋体" w:eastAsia="宋体" w:hint="default"/>
                <w:sz w:val="18"/>
                <w:szCs w:val="18"/>
              </w:rPr>
            </w:pPr>
            <w:r>
              <w:rPr>
                <w:rFonts w:ascii="宋体" w:hAnsi="宋体" w:cs="宋体" w:eastAsia="宋体" w:hint="default"/>
                <w:sz w:val="18"/>
                <w:szCs w:val="18"/>
              </w:rPr>
              <w:t>行，不存 在违反该 承诺情</w:t>
            </w:r>
          </w:p>
        </w:tc>
      </w:tr>
      <w:tr>
        <w:trPr>
          <w:trHeight w:val="32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pacing w:val="-4"/>
                <w:sz w:val="18"/>
                <w:szCs w:val="18"/>
              </w:rPr>
              <w:t>准，公司还将借助资本市场的力量，增强资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形。</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本实力，扩展公司业务覆盖区域，提升盈利</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能力，巩固公司在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一体化</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电子认证解决方</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4"/>
                <w:sz w:val="18"/>
                <w:szCs w:val="18"/>
              </w:rPr>
              <w:t>案领域的优势地位，整合优势资源，快速实</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现公司的跨越式发展</w:t>
            </w:r>
            <w:r>
              <w:rPr>
                <w:rFonts w:ascii="宋体" w:hAnsi="宋体" w:cs="宋体" w:eastAsia="宋体" w:hint="default"/>
                <w:spacing w:val="-128"/>
                <w:sz w:val="18"/>
                <w:szCs w:val="18"/>
              </w:rPr>
              <w:t>。</w:t>
            </w:r>
            <w:r>
              <w:rPr>
                <w:rFonts w:ascii="宋体" w:hAnsi="宋体" w:cs="宋体" w:eastAsia="宋体" w:hint="default"/>
                <w:sz w:val="18"/>
                <w:szCs w:val="18"/>
              </w:rPr>
              <w:t>（二）</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进一步提升技术水平</w:t>
            </w:r>
            <w:r>
              <w:rPr>
                <w:rFonts w:ascii="宋体" w:hAnsi="宋体" w:cs="宋体" w:eastAsia="宋体" w:hint="default"/>
                <w:spacing w:val="-75"/>
                <w:sz w:val="18"/>
                <w:szCs w:val="18"/>
              </w:rPr>
              <w:t>。</w:t>
            </w:r>
            <w:r>
              <w:rPr>
                <w:rFonts w:ascii="宋体" w:hAnsi="宋体" w:cs="宋体" w:eastAsia="宋体" w:hint="default"/>
                <w:sz w:val="18"/>
                <w:szCs w:val="18"/>
              </w:rPr>
              <w:t>公司紧跟行业发展趋</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势和市场需求，不断加大研发投入，进行技</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34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术创新，进一步提升技术水平。公司将以可</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1020" w:right="1020"/>
        </w:sectPr>
      </w:pPr>
    </w:p>
    <w:p>
      <w:pPr>
        <w:spacing w:line="240" w:lineRule="auto" w:before="0"/>
        <w:rPr>
          <w:rFonts w:ascii="Times New Roman" w:hAnsi="Times New Roman" w:cs="Times New Roman" w:eastAsia="Times New Roman" w:hint="default"/>
          <w:sz w:val="20"/>
          <w:szCs w:val="20"/>
        </w:rPr>
      </w:pPr>
      <w:r>
        <w:rPr/>
        <w:pict>
          <v:shape style="position:absolute;margin-left:333.29599pt;margin-top:72.47998pt;width:120.2pt;height:686.55pt;mso-position-horizontal-relative:page;mso-position-vertical-relative:page;z-index:-8324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spacing w:before="0"/>
                    <w:ind w:left="0" w:right="0" w:firstLine="900"/>
                    <w:jc w:val="left"/>
                    <w:rPr>
                      <w:rFonts w:ascii="宋体" w:hAnsi="宋体" w:cs="宋体" w:eastAsia="宋体" w:hint="default"/>
                      <w:sz w:val="18"/>
                      <w:szCs w:val="18"/>
                    </w:rPr>
                  </w:pPr>
                  <w:r>
                    <w:rPr>
                      <w:rFonts w:ascii="宋体" w:hAnsi="宋体" w:cs="宋体" w:eastAsia="宋体" w:hint="default"/>
                      <w:sz w:val="18"/>
                      <w:szCs w:val="18"/>
                    </w:rPr>
                    <w:t>等制度。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优化预算管理流程，</w:t>
                  </w:r>
                </w:p>
              </w:txbxContent>
            </v:textbox>
            <w10:wrap type="none"/>
          </v:shape>
        </w:pict>
      </w:r>
      <w:r>
        <w:rPr/>
        <w:pict>
          <v:group style="position:absolute;margin-left:56.400002pt;margin-top:71.759964pt;width:478.9pt;height:688pt;mso-position-horizontal-relative:page;mso-position-vertical-relative:page;z-index:-832408" coordorigin="1128,1435" coordsize="9578,13760">
            <v:group style="position:absolute;left:1140;top:1450;width:1266;height:13731" coordorigin="1140,1450" coordsize="1266,13731">
              <v:shape style="position:absolute;left:1140;top:1450;width:1266;height:13731" coordorigin="1140,1450" coordsize="1266,13731" path="m1140,15180l2405,15180,2405,1450,1140,1450,1140,15180xe" filled="true" fillcolor="#d2d2d2" stroked="false">
                <v:path arrowok="t"/>
                <v:fill type="solid"/>
              </v:shape>
            </v:group>
            <v:group style="position:absolute;left:1138;top:1445;width:1268;height:2" coordorigin="1138,1445" coordsize="1268,2">
              <v:shape style="position:absolute;left:1138;top:1445;width:1268;height:2" coordorigin="1138,1445" coordsize="1268,0" path="m1138,1445l2405,1445e" filled="false" stroked="true" strokeweight=".48pt" strokecolor="#000000">
                <v:path arrowok="t"/>
              </v:shape>
            </v:group>
            <v:group style="position:absolute;left:2415;top:1445;width:1410;height:2" coordorigin="2415,1445" coordsize="1410,2">
              <v:shape style="position:absolute;left:2415;top:1445;width:1410;height:2" coordorigin="2415,1445" coordsize="1410,0" path="m2415,1445l3824,1445e" filled="false" stroked="true" strokeweight=".48pt" strokecolor="#000000">
                <v:path arrowok="t"/>
              </v:shape>
            </v:group>
            <v:group style="position:absolute;left:3834;top:1445;width:982;height:2" coordorigin="3834,1445" coordsize="982,2">
              <v:shape style="position:absolute;left:3834;top:1445;width:982;height:2" coordorigin="3834,1445" coordsize="982,0" path="m3834,1445l4815,1445e" filled="false" stroked="true" strokeweight=".48pt" strokecolor="#000000">
                <v:path arrowok="t"/>
              </v:shape>
            </v:group>
            <v:group style="position:absolute;left:8229;top:1450;width:841;height:13731" coordorigin="8229,1450" coordsize="841,13731">
              <v:shape style="position:absolute;left:8229;top:1450;width:841;height:13731" coordorigin="8229,1450" coordsize="841,13731" path="m8229,15180l9069,15180,9069,1450,8229,1450,8229,15180xe" filled="true" fillcolor="#ffffff" stroked="false">
                <v:path arrowok="t"/>
                <v:fill type="solid"/>
              </v:shape>
            </v:group>
            <v:group style="position:absolute;left:4825;top:1445;width:3392;height:2" coordorigin="4825,1445" coordsize="3392,2">
              <v:shape style="position:absolute;left:4825;top:1445;width:3392;height:2" coordorigin="4825,1445" coordsize="3392,0" path="m4825,1445l8217,1445e" filled="false" stroked="true" strokeweight=".48pt" strokecolor="#000000">
                <v:path arrowok="t"/>
              </v:shape>
            </v:group>
            <v:group style="position:absolute;left:8226;top:1445;width:843;height:2" coordorigin="8226,1445" coordsize="843,2">
              <v:shape style="position:absolute;left:8226;top:1445;width:843;height:2" coordorigin="8226,1445" coordsize="843,0" path="m8226,1445l9069,1445e" filled="false" stroked="true" strokeweight=".48pt" strokecolor="#000000">
                <v:path arrowok="t"/>
              </v:shape>
            </v:group>
            <v:group style="position:absolute;left:9079;top:1445;width:840;height:2" coordorigin="9079,1445" coordsize="840,2">
              <v:shape style="position:absolute;left:9079;top:1445;width:840;height:2" coordorigin="9079,1445" coordsize="840,0" path="m9079,1445l9919,1445e" filled="false" stroked="true" strokeweight=".48pt" strokecolor="#000000">
                <v:path arrowok="t"/>
              </v:shape>
            </v:group>
            <v:group style="position:absolute;left:9928;top:1445;width:768;height:2" coordorigin="9928,1445" coordsize="768,2">
              <v:shape style="position:absolute;left:9928;top:1445;width:768;height:2" coordorigin="9928,1445" coordsize="768,0" path="m9928,1445l10696,1445e" filled="false" stroked="true" strokeweight=".48pt" strokecolor="#000000">
                <v:path arrowok="t"/>
              </v:shape>
            </v:group>
            <v:group style="position:absolute;left:1133;top:1440;width:2;height:13750" coordorigin="1133,1440" coordsize="2,13750">
              <v:shape style="position:absolute;left:1133;top:1440;width:2;height:13750" coordorigin="1133,1440" coordsize="0,13750" path="m1133,1440l1133,15190e" filled="false" stroked="true" strokeweight=".48pt" strokecolor="#000000">
                <v:path arrowok="t"/>
              </v:shape>
            </v:group>
            <v:group style="position:absolute;left:1138;top:15185;width:1268;height:2" coordorigin="1138,15185" coordsize="1268,2">
              <v:shape style="position:absolute;left:1138;top:15185;width:1268;height:2" coordorigin="1138,15185" coordsize="1268,0" path="m1138,15185l2405,15185e" filled="false" stroked="true" strokeweight=".47998pt" strokecolor="#000000">
                <v:path arrowok="t"/>
              </v:shape>
            </v:group>
            <v:group style="position:absolute;left:2410;top:1440;width:2;height:13750" coordorigin="2410,1440" coordsize="2,13750">
              <v:shape style="position:absolute;left:2410;top:1440;width:2;height:13750" coordorigin="2410,1440" coordsize="0,13750" path="m2410,1440l2410,15190e" filled="false" stroked="true" strokeweight=".48pt" strokecolor="#000000">
                <v:path arrowok="t"/>
              </v:shape>
            </v:group>
            <v:group style="position:absolute;left:2415;top:15185;width:1410;height:2" coordorigin="2415,15185" coordsize="1410,2">
              <v:shape style="position:absolute;left:2415;top:15185;width:1410;height:2" coordorigin="2415,15185" coordsize="1410,0" path="m2415,15185l3824,15185e" filled="false" stroked="true" strokeweight=".47998pt" strokecolor="#000000">
                <v:path arrowok="t"/>
              </v:shape>
            </v:group>
            <v:group style="position:absolute;left:3829;top:1440;width:2;height:13750" coordorigin="3829,1440" coordsize="2,13750">
              <v:shape style="position:absolute;left:3829;top:1440;width:2;height:13750" coordorigin="3829,1440" coordsize="0,13750" path="m3829,1440l3829,15190e" filled="false" stroked="true" strokeweight=".48pt" strokecolor="#000000">
                <v:path arrowok="t"/>
              </v:shape>
            </v:group>
            <v:group style="position:absolute;left:3834;top:15185;width:982;height:2" coordorigin="3834,15185" coordsize="982,2">
              <v:shape style="position:absolute;left:3834;top:15185;width:982;height:2" coordorigin="3834,15185" coordsize="982,0" path="m3834,15185l4815,15185e" filled="false" stroked="true" strokeweight=".47998pt" strokecolor="#000000">
                <v:path arrowok="t"/>
              </v:shape>
            </v:group>
            <v:group style="position:absolute;left:4820;top:1440;width:2;height:13750" coordorigin="4820,1440" coordsize="2,13750">
              <v:shape style="position:absolute;left:4820;top:1440;width:2;height:13750" coordorigin="4820,1440" coordsize="0,13750" path="m4820,1440l4820,15190e" filled="false" stroked="true" strokeweight=".48pt" strokecolor="#000000">
                <v:path arrowok="t"/>
              </v:shape>
            </v:group>
            <v:group style="position:absolute;left:4825;top:15185;width:3392;height:2" coordorigin="4825,15185" coordsize="3392,2">
              <v:shape style="position:absolute;left:4825;top:15185;width:3392;height:2" coordorigin="4825,15185" coordsize="3392,0" path="m4825,15185l8217,15185e" filled="false" stroked="true" strokeweight=".47998pt" strokecolor="#000000">
                <v:path arrowok="t"/>
              </v:shape>
            </v:group>
            <v:group style="position:absolute;left:8221;top:1440;width:2;height:13750" coordorigin="8221,1440" coordsize="2,13750">
              <v:shape style="position:absolute;left:8221;top:1440;width:2;height:13750" coordorigin="8221,1440" coordsize="0,13750" path="m8221,1440l8221,15190e" filled="false" stroked="true" strokeweight=".48001pt" strokecolor="#000000">
                <v:path arrowok="t"/>
              </v:shape>
            </v:group>
            <v:group style="position:absolute;left:8226;top:15185;width:843;height:2" coordorigin="8226,15185" coordsize="843,2">
              <v:shape style="position:absolute;left:8226;top:15185;width:843;height:2" coordorigin="8226,15185" coordsize="843,0" path="m8226,15185l9069,15185e" filled="false" stroked="true" strokeweight=".47998pt" strokecolor="#000000">
                <v:path arrowok="t"/>
              </v:shape>
            </v:group>
            <v:group style="position:absolute;left:9074;top:1440;width:2;height:13750" coordorigin="9074,1440" coordsize="2,13750">
              <v:shape style="position:absolute;left:9074;top:1440;width:2;height:13750" coordorigin="9074,1440" coordsize="0,13750" path="m9074,1440l9074,15190e" filled="false" stroked="true" strokeweight=".48001pt" strokecolor="#000000">
                <v:path arrowok="t"/>
              </v:shape>
            </v:group>
            <v:group style="position:absolute;left:9079;top:15185;width:840;height:2" coordorigin="9079,15185" coordsize="840,2">
              <v:shape style="position:absolute;left:9079;top:15185;width:840;height:2" coordorigin="9079,15185" coordsize="840,0" path="m9079,15185l9919,15185e" filled="false" stroked="true" strokeweight=".47998pt" strokecolor="#000000">
                <v:path arrowok="t"/>
              </v:shape>
            </v:group>
            <v:group style="position:absolute;left:9924;top:1440;width:2;height:13750" coordorigin="9924,1440" coordsize="2,13750">
              <v:shape style="position:absolute;left:9924;top:1440;width:2;height:13750" coordorigin="9924,1440" coordsize="0,13750" path="m9924,1440l9924,15190e" filled="false" stroked="true" strokeweight=".48001pt" strokecolor="#000000">
                <v:path arrowok="t"/>
              </v:shape>
            </v:group>
            <v:group style="position:absolute;left:9928;top:15185;width:768;height:2" coordorigin="9928,15185" coordsize="768,2">
              <v:shape style="position:absolute;left:9928;top:15185;width:768;height:2" coordorigin="9928,15185" coordsize="768,0" path="m9928,15185l10696,15185e" filled="false" stroked="true" strokeweight=".47998pt" strokecolor="#000000">
                <v:path arrowok="t"/>
              </v:shape>
            </v:group>
            <v:group style="position:absolute;left:10701;top:1440;width:2;height:13750" coordorigin="10701,1440" coordsize="2,13750">
              <v:shape style="position:absolute;left:10701;top:1440;width:2;height:13750" coordorigin="10701,1440" coordsize="0,13750" path="m10701,1440l10701,15190e" filled="false" stroked="true" strokeweight=".48004pt" strokecolor="#000000">
                <v:path arrowok="t"/>
              </v:shape>
            </v:group>
            <w10:wrap type="none"/>
          </v:group>
        </w:pict>
      </w:r>
    </w:p>
    <w:p>
      <w:pPr>
        <w:spacing w:line="240" w:lineRule="auto" w:before="2"/>
        <w:rPr>
          <w:rFonts w:ascii="Times New Roman" w:hAnsi="Times New Roman" w:cs="Times New Roman" w:eastAsia="Times New Roman" w:hint="default"/>
          <w:sz w:val="14"/>
          <w:szCs w:val="14"/>
        </w:rPr>
      </w:pPr>
    </w:p>
    <w:p>
      <w:pPr>
        <w:spacing w:line="316" w:lineRule="auto" w:before="0"/>
        <w:ind w:left="3829" w:right="2597" w:firstLine="0"/>
        <w:jc w:val="left"/>
        <w:rPr>
          <w:rFonts w:ascii="宋体" w:hAnsi="宋体" w:cs="宋体" w:eastAsia="宋体" w:hint="default"/>
          <w:sz w:val="18"/>
          <w:szCs w:val="18"/>
        </w:rPr>
      </w:pPr>
      <w:r>
        <w:rPr>
          <w:rFonts w:ascii="宋体" w:hAnsi="宋体" w:cs="宋体" w:eastAsia="宋体" w:hint="default"/>
          <w:spacing w:val="-4"/>
          <w:sz w:val="18"/>
          <w:szCs w:val="18"/>
        </w:rPr>
        <w:t>靠电子签名和可信数字身份为中心，研发完</w:t>
      </w:r>
      <w:r>
        <w:rPr>
          <w:rFonts w:ascii="宋体" w:hAnsi="宋体" w:cs="宋体" w:eastAsia="宋体" w:hint="default"/>
          <w:sz w:val="18"/>
          <w:szCs w:val="18"/>
        </w:rPr>
        <w:t> </w:t>
      </w:r>
      <w:r>
        <w:rPr>
          <w:rFonts w:ascii="宋体" w:hAnsi="宋体" w:cs="宋体" w:eastAsia="宋体" w:hint="default"/>
          <w:spacing w:val="-4"/>
          <w:sz w:val="18"/>
          <w:szCs w:val="18"/>
        </w:rPr>
        <w:t>整应对客户需求的产品和服务；将在技术创</w:t>
      </w:r>
      <w:r>
        <w:rPr>
          <w:rFonts w:ascii="宋体" w:hAnsi="宋体" w:cs="宋体" w:eastAsia="宋体" w:hint="default"/>
          <w:sz w:val="18"/>
          <w:szCs w:val="18"/>
        </w:rPr>
        <w:t> 新的基础上，积极推进服务的产品化工作， </w:t>
      </w:r>
      <w:r>
        <w:rPr>
          <w:rFonts w:ascii="宋体" w:hAnsi="宋体" w:cs="宋体" w:eastAsia="宋体" w:hint="default"/>
          <w:spacing w:val="-4"/>
          <w:sz w:val="18"/>
          <w:szCs w:val="18"/>
        </w:rPr>
        <w:t>全力打造包括数字身份管理服务、可信数据</w:t>
      </w:r>
      <w:r>
        <w:rPr>
          <w:rFonts w:ascii="宋体" w:hAnsi="宋体" w:cs="宋体" w:eastAsia="宋体" w:hint="default"/>
          <w:sz w:val="18"/>
          <w:szCs w:val="18"/>
        </w:rPr>
        <w:t> </w:t>
      </w:r>
      <w:r>
        <w:rPr>
          <w:rFonts w:ascii="宋体" w:hAnsi="宋体" w:cs="宋体" w:eastAsia="宋体" w:hint="default"/>
          <w:spacing w:val="-4"/>
          <w:sz w:val="18"/>
          <w:szCs w:val="18"/>
        </w:rPr>
        <w:t>电文服务在内的核心服务；将继续完善公司</w:t>
      </w:r>
      <w:r>
        <w:rPr>
          <w:rFonts w:ascii="宋体" w:hAnsi="宋体" w:cs="宋体" w:eastAsia="宋体" w:hint="default"/>
          <w:sz w:val="18"/>
          <w:szCs w:val="18"/>
        </w:rPr>
        <w:t> </w:t>
      </w:r>
      <w:r>
        <w:rPr>
          <w:rFonts w:ascii="宋体" w:hAnsi="宋体" w:cs="宋体" w:eastAsia="宋体" w:hint="default"/>
          <w:spacing w:val="-4"/>
          <w:sz w:val="18"/>
          <w:szCs w:val="18"/>
        </w:rPr>
        <w:t>的产品体系，打造数字证书认证系统、数字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身份管理系统、可信数据电文系统、安全客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户端、移动网络信任服务等核心产品；将依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托数字身份管理、可信数据电文、移动网络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信任服务等核心技术，以及五大核心产品， 提供面向各个行业的网络信任安全解决方 </w:t>
      </w:r>
      <w:r>
        <w:rPr>
          <w:rFonts w:ascii="宋体" w:hAnsi="宋体" w:cs="宋体" w:eastAsia="宋体" w:hint="default"/>
          <w:spacing w:val="-5"/>
          <w:sz w:val="18"/>
          <w:szCs w:val="18"/>
        </w:rPr>
        <w:t>案，提升公司持续盈利能力。（三）加强对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募投项目监管，保证募集资金合理合法使 </w:t>
      </w:r>
      <w:r>
        <w:rPr>
          <w:rFonts w:ascii="宋体" w:hAnsi="宋体" w:cs="宋体" w:eastAsia="宋体" w:hint="default"/>
          <w:spacing w:val="-4"/>
          <w:sz w:val="18"/>
          <w:szCs w:val="18"/>
        </w:rPr>
        <w:t>用。为规范公司募集资金的使用与管理，确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保募集资金的使用规范、安全、高效，公司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制定了《募集资金管理及使用制度》</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公司募集资金实施专项存储制度，募集资金</w:t>
      </w:r>
      <w:r>
        <w:rPr>
          <w:rFonts w:ascii="宋体" w:hAnsi="宋体" w:cs="宋体" w:eastAsia="宋体" w:hint="default"/>
          <w:sz w:val="18"/>
          <w:szCs w:val="18"/>
        </w:rPr>
        <w:t> </w:t>
      </w:r>
      <w:r>
        <w:rPr>
          <w:rFonts w:ascii="宋体" w:hAnsi="宋体" w:cs="宋体" w:eastAsia="宋体" w:hint="default"/>
          <w:spacing w:val="-4"/>
          <w:sz w:val="18"/>
          <w:szCs w:val="18"/>
        </w:rPr>
        <w:t>存放于董事会决定的专项账户集中管理。公</w:t>
      </w:r>
      <w:r>
        <w:rPr>
          <w:rFonts w:ascii="宋体" w:hAnsi="宋体" w:cs="宋体" w:eastAsia="宋体" w:hint="default"/>
          <w:sz w:val="18"/>
          <w:szCs w:val="18"/>
        </w:rPr>
        <w:t> 司将在募集资金到位后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个月内与保荐机 </w:t>
      </w:r>
      <w:r>
        <w:rPr>
          <w:rFonts w:ascii="宋体" w:hAnsi="宋体" w:cs="宋体" w:eastAsia="宋体" w:hint="default"/>
          <w:spacing w:val="-4"/>
          <w:sz w:val="18"/>
          <w:szCs w:val="18"/>
        </w:rPr>
        <w:t>构、存放募集资金的商业银行签订三方监管</w:t>
      </w:r>
      <w:r>
        <w:rPr>
          <w:rFonts w:ascii="宋体" w:hAnsi="宋体" w:cs="宋体" w:eastAsia="宋体" w:hint="default"/>
          <w:sz w:val="18"/>
          <w:szCs w:val="18"/>
        </w:rPr>
        <w:t> </w:t>
      </w:r>
      <w:r>
        <w:rPr>
          <w:rFonts w:ascii="宋体" w:hAnsi="宋体" w:cs="宋体" w:eastAsia="宋体" w:hint="default"/>
          <w:spacing w:val="-4"/>
          <w:sz w:val="18"/>
          <w:szCs w:val="18"/>
        </w:rPr>
        <w:t>协议。公司将严格按照募集资金使用计划确</w:t>
      </w:r>
      <w:r>
        <w:rPr>
          <w:rFonts w:ascii="宋体" w:hAnsi="宋体" w:cs="宋体" w:eastAsia="宋体" w:hint="default"/>
          <w:sz w:val="18"/>
          <w:szCs w:val="18"/>
        </w:rPr>
        <w:t> </w:t>
      </w:r>
      <w:r>
        <w:rPr>
          <w:rFonts w:ascii="宋体" w:hAnsi="宋体" w:cs="宋体" w:eastAsia="宋体" w:hint="default"/>
          <w:spacing w:val="-4"/>
          <w:sz w:val="18"/>
          <w:szCs w:val="18"/>
        </w:rPr>
        <w:t>保专款专用，同时严格执行深圳证券交易所</w:t>
      </w:r>
      <w:r>
        <w:rPr>
          <w:rFonts w:ascii="宋体" w:hAnsi="宋体" w:cs="宋体" w:eastAsia="宋体" w:hint="default"/>
          <w:sz w:val="18"/>
          <w:szCs w:val="18"/>
        </w:rPr>
        <w:t> </w:t>
      </w:r>
      <w:r>
        <w:rPr>
          <w:rFonts w:ascii="宋体" w:hAnsi="宋体" w:cs="宋体" w:eastAsia="宋体" w:hint="default"/>
          <w:spacing w:val="-4"/>
          <w:sz w:val="18"/>
          <w:szCs w:val="18"/>
        </w:rPr>
        <w:t>及中国证监会有关募集资金使用的规定。本</w:t>
      </w:r>
      <w:r>
        <w:rPr>
          <w:rFonts w:ascii="宋体" w:hAnsi="宋体" w:cs="宋体" w:eastAsia="宋体" w:hint="default"/>
          <w:sz w:val="18"/>
          <w:szCs w:val="18"/>
        </w:rPr>
        <w:t> </w:t>
      </w:r>
      <w:r>
        <w:rPr>
          <w:rFonts w:ascii="宋体" w:hAnsi="宋体" w:cs="宋体" w:eastAsia="宋体" w:hint="default"/>
          <w:spacing w:val="-4"/>
          <w:sz w:val="18"/>
          <w:szCs w:val="18"/>
        </w:rPr>
        <w:t>次发行募集资金到位后，公司将加快推进募</w:t>
      </w:r>
      <w:r>
        <w:rPr>
          <w:rFonts w:ascii="宋体" w:hAnsi="宋体" w:cs="宋体" w:eastAsia="宋体" w:hint="default"/>
          <w:sz w:val="18"/>
          <w:szCs w:val="18"/>
        </w:rPr>
        <w:t> </w:t>
      </w:r>
      <w:r>
        <w:rPr>
          <w:rFonts w:ascii="宋体" w:hAnsi="宋体" w:cs="宋体" w:eastAsia="宋体" w:hint="default"/>
          <w:spacing w:val="-4"/>
          <w:sz w:val="18"/>
          <w:szCs w:val="18"/>
        </w:rPr>
        <w:t>投项目建设，实现预期效益。同时，公司将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根据相关法律、法规和《募集资金管理及使</w:t>
      </w:r>
      <w:r>
        <w:rPr>
          <w:rFonts w:ascii="宋体" w:hAnsi="宋体" w:cs="宋体" w:eastAsia="宋体" w:hint="default"/>
          <w:sz w:val="18"/>
          <w:szCs w:val="18"/>
        </w:rPr>
        <w:t> 用制度》的要求，严格管理募集资金使用， 并积极配合监管机构对募集资金使用的检 </w:t>
      </w:r>
      <w:r>
        <w:rPr>
          <w:rFonts w:ascii="宋体" w:hAnsi="宋体" w:cs="宋体" w:eastAsia="宋体" w:hint="default"/>
          <w:spacing w:val="-5"/>
          <w:sz w:val="18"/>
          <w:szCs w:val="18"/>
        </w:rPr>
        <w:t>查和监督，防范募集资金使用风险。（四）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加快募投项目投资进度，争取早日实现项目</w:t>
      </w:r>
      <w:r>
        <w:rPr>
          <w:rFonts w:ascii="宋体" w:hAnsi="宋体" w:cs="宋体" w:eastAsia="宋体" w:hint="default"/>
          <w:sz w:val="18"/>
          <w:szCs w:val="18"/>
        </w:rPr>
        <w:t> </w:t>
      </w:r>
      <w:r>
        <w:rPr>
          <w:rFonts w:ascii="宋体" w:hAnsi="宋体" w:cs="宋体" w:eastAsia="宋体" w:hint="default"/>
          <w:spacing w:val="-4"/>
          <w:sz w:val="18"/>
          <w:szCs w:val="18"/>
        </w:rPr>
        <w:t>预期效益。在本次公开发行股票募集资金到</w:t>
      </w:r>
      <w:r>
        <w:rPr>
          <w:rFonts w:ascii="宋体" w:hAnsi="宋体" w:cs="宋体" w:eastAsia="宋体" w:hint="default"/>
          <w:sz w:val="18"/>
          <w:szCs w:val="18"/>
        </w:rPr>
        <w:t> </w:t>
      </w:r>
      <w:r>
        <w:rPr>
          <w:rFonts w:ascii="宋体" w:hAnsi="宋体" w:cs="宋体" w:eastAsia="宋体" w:hint="default"/>
          <w:spacing w:val="-4"/>
          <w:sz w:val="18"/>
          <w:szCs w:val="18"/>
        </w:rPr>
        <w:t>位前，为尽快实现募投项目预期利益，公司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拟根据项目进度的实际情况，通过多种渠道</w:t>
      </w:r>
      <w:r>
        <w:rPr>
          <w:rFonts w:ascii="宋体" w:hAnsi="宋体" w:cs="宋体" w:eastAsia="宋体" w:hint="default"/>
          <w:sz w:val="18"/>
          <w:szCs w:val="18"/>
        </w:rPr>
        <w:t> </w:t>
      </w:r>
      <w:r>
        <w:rPr>
          <w:rFonts w:ascii="宋体" w:hAnsi="宋体" w:cs="宋体" w:eastAsia="宋体" w:hint="default"/>
          <w:spacing w:val="-4"/>
          <w:sz w:val="18"/>
          <w:szCs w:val="18"/>
        </w:rPr>
        <w:t>积极筹措资金先行投入，争取尽早实现项目</w:t>
      </w:r>
      <w:r>
        <w:rPr>
          <w:rFonts w:ascii="宋体" w:hAnsi="宋体" w:cs="宋体" w:eastAsia="宋体" w:hint="default"/>
          <w:sz w:val="18"/>
          <w:szCs w:val="18"/>
        </w:rPr>
        <w:t> </w:t>
      </w:r>
      <w:r>
        <w:rPr>
          <w:rFonts w:ascii="宋体" w:hAnsi="宋体" w:cs="宋体" w:eastAsia="宋体" w:hint="default"/>
          <w:spacing w:val="-4"/>
          <w:sz w:val="18"/>
          <w:szCs w:val="18"/>
        </w:rPr>
        <w:t>预期收益，增强未来年度的股东回报，降低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本次公开发行导致的即期回报摊薄的风险。</w:t>
      </w:r>
    </w:p>
    <w:p>
      <w:pPr>
        <w:spacing w:line="316" w:lineRule="auto" w:before="19"/>
        <w:ind w:left="3829" w:right="2673" w:firstLine="0"/>
        <w:jc w:val="left"/>
        <w:rPr>
          <w:rFonts w:ascii="宋体" w:hAnsi="宋体" w:cs="宋体" w:eastAsia="宋体" w:hint="default"/>
          <w:sz w:val="18"/>
          <w:szCs w:val="18"/>
        </w:rPr>
      </w:pPr>
      <w:r>
        <w:rPr>
          <w:rFonts w:ascii="宋体" w:hAnsi="宋体" w:cs="宋体" w:eastAsia="宋体" w:hint="default"/>
          <w:spacing w:val="-4"/>
          <w:sz w:val="18"/>
          <w:szCs w:val="18"/>
        </w:rPr>
        <w:t>（五）加强经营管理和内部控制，提升经营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效率和盈利能力。公司将努力提高资金的使</w:t>
      </w:r>
      <w:r>
        <w:rPr>
          <w:rFonts w:ascii="宋体" w:hAnsi="宋体" w:cs="宋体" w:eastAsia="宋体" w:hint="default"/>
          <w:sz w:val="18"/>
          <w:szCs w:val="18"/>
        </w:rPr>
        <w:t> </w:t>
      </w:r>
      <w:r>
        <w:rPr>
          <w:rFonts w:ascii="宋体" w:hAnsi="宋体" w:cs="宋体" w:eastAsia="宋体" w:hint="default"/>
          <w:spacing w:val="-4"/>
          <w:sz w:val="18"/>
          <w:szCs w:val="18"/>
        </w:rPr>
        <w:t>用效率，完善并强化投资决策程序，设计更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合理的资金使用方案，合理运用各种融资工</w:t>
      </w:r>
      <w:r>
        <w:rPr>
          <w:rFonts w:ascii="宋体" w:hAnsi="宋体" w:cs="宋体" w:eastAsia="宋体" w:hint="default"/>
          <w:sz w:val="18"/>
          <w:szCs w:val="18"/>
        </w:rPr>
        <w:t> </w:t>
      </w:r>
      <w:r>
        <w:rPr>
          <w:rFonts w:ascii="宋体" w:hAnsi="宋体" w:cs="宋体" w:eastAsia="宋体" w:hint="default"/>
          <w:spacing w:val="-4"/>
          <w:sz w:val="18"/>
          <w:szCs w:val="18"/>
        </w:rPr>
        <w:t>具和渠道，控制资金成本，提升资金使用效</w:t>
      </w:r>
      <w:r>
        <w:rPr>
          <w:rFonts w:ascii="宋体" w:hAnsi="宋体" w:cs="宋体" w:eastAsia="宋体" w:hint="default"/>
          <w:sz w:val="18"/>
          <w:szCs w:val="18"/>
        </w:rPr>
        <w:t> </w:t>
      </w:r>
      <w:r>
        <w:rPr>
          <w:rFonts w:ascii="宋体" w:hAnsi="宋体" w:cs="宋体" w:eastAsia="宋体" w:hint="default"/>
          <w:spacing w:val="-4"/>
          <w:sz w:val="18"/>
          <w:szCs w:val="18"/>
        </w:rPr>
        <w:t>率。公司将加强企业内部控制，发挥企业管</w:t>
      </w:r>
      <w:r>
        <w:rPr>
          <w:rFonts w:ascii="宋体" w:hAnsi="宋体" w:cs="宋体" w:eastAsia="宋体" w:hint="default"/>
          <w:sz w:val="18"/>
          <w:szCs w:val="18"/>
        </w:rPr>
        <w:t> </w:t>
      </w:r>
      <w:r>
        <w:rPr>
          <w:rFonts w:ascii="宋体" w:hAnsi="宋体" w:cs="宋体" w:eastAsia="宋体" w:hint="default"/>
          <w:spacing w:val="-8"/>
          <w:sz w:val="18"/>
          <w:szCs w:val="18"/>
        </w:rPr>
        <w:t>控效能。推进预算规划，</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加强成本管理，强化预算执行监督，全面有</w:t>
      </w:r>
    </w:p>
    <w:p>
      <w:pPr>
        <w:spacing w:after="0" w:line="316" w:lineRule="auto"/>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0"/>
        <w:rPr>
          <w:rFonts w:ascii="Times New Roman" w:hAnsi="Times New Roman" w:cs="Times New Roman" w:eastAsia="Times New Roman" w:hint="default"/>
          <w:sz w:val="20"/>
          <w:szCs w:val="20"/>
        </w:rPr>
      </w:pPr>
      <w:r>
        <w:rPr/>
        <w:pict>
          <v:shape style="position:absolute;margin-left:405.296021pt;margin-top:72.47998pt;width:48.2pt;height:204.9pt;mso-position-horizontal-relative:page;mso-position-vertical-relative:page;z-index:-8323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11.429993pt;margin-top:703.536011pt;width:42.05pt;height:64.5pt;mso-position-horizontal-relative:page;mso-position-vertical-relative:page;z-index:-832336" coordorigin="8229,14071" coordsize="841,1290">
            <v:group style="position:absolute;left:8229;top:14071;width:841;height:1290" coordorigin="8229,14071" coordsize="841,1290">
              <v:shape style="position:absolute;left:8229;top:14071;width:841;height:1290" coordorigin="8229,14071" coordsize="841,1290" path="m8229,15360l9069,15360,9069,14071,8229,14071,8229,15360xe" filled="true" fillcolor="#ffffff" stroked="false">
                <v:path arrowok="t"/>
                <v:fill type="solid"/>
              </v:shape>
            </v:group>
            <v:group style="position:absolute;left:8250;top:14364;width:795;height:354" coordorigin="8250,14364" coordsize="795,354">
              <v:shape style="position:absolute;left:8250;top:14364;width:795;height:354" coordorigin="8250,14364" coordsize="795,354" path="m8250,14717l9045,14717,9045,14364,8250,14364,8250,14717xe" filled="true" fillcolor="#ffffff" stroked="false">
                <v:path arrowok="t"/>
                <v:fill type="solid"/>
              </v:shape>
            </v:group>
            <v:group style="position:absolute;left:8250;top:14717;width:795;height:351" coordorigin="8250,14717" coordsize="795,351">
              <v:shape style="position:absolute;left:8250;top:14717;width:795;height:351" coordorigin="8250,14717" coordsize="795,351" path="m8250,15067l9045,15067,9045,14717,8250,14717,8250,15067xe" filled="true" fillcolor="#ffffff" stroked="false">
                <v:path arrowok="t"/>
                <v:fill type="solid"/>
              </v:shape>
            </v:group>
            <w10:wrap type="none"/>
          </v:group>
        </w:pict>
      </w:r>
    </w:p>
    <w:p>
      <w:pPr>
        <w:spacing w:line="240" w:lineRule="auto" w:before="10"/>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76"/>
        <w:gridCol w:w="1419"/>
        <w:gridCol w:w="991"/>
        <w:gridCol w:w="3401"/>
        <w:gridCol w:w="853"/>
        <w:gridCol w:w="850"/>
        <w:gridCol w:w="780"/>
      </w:tblGrid>
      <w:tr>
        <w:trPr>
          <w:trHeight w:val="410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23" w:right="17"/>
              <w:jc w:val="left"/>
              <w:rPr>
                <w:rFonts w:ascii="宋体" w:hAnsi="宋体" w:cs="宋体" w:eastAsia="宋体" w:hint="default"/>
                <w:sz w:val="18"/>
                <w:szCs w:val="18"/>
              </w:rPr>
            </w:pPr>
            <w:r>
              <w:rPr>
                <w:rFonts w:ascii="宋体" w:hAnsi="宋体" w:cs="宋体" w:eastAsia="宋体" w:hint="default"/>
                <w:spacing w:val="-5"/>
                <w:sz w:val="18"/>
                <w:szCs w:val="18"/>
              </w:rPr>
              <w:t>效地控制公司经营和管控风险。（六）进一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步完善利润分配制度，强化投资者回报机 制。根据《上市公司监管指引第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 </w:t>
            </w:r>
            <w:r>
              <w:rPr>
                <w:rFonts w:ascii="宋体" w:hAnsi="宋体" w:cs="宋体" w:eastAsia="宋体" w:hint="default"/>
                <w:spacing w:val="-4"/>
                <w:sz w:val="18"/>
                <w:szCs w:val="18"/>
              </w:rPr>
              <w:t>公司现金分红》等规定的要求，为完善公司</w:t>
            </w:r>
            <w:r>
              <w:rPr>
                <w:rFonts w:ascii="宋体" w:hAnsi="宋体" w:cs="宋体" w:eastAsia="宋体" w:hint="default"/>
                <w:sz w:val="18"/>
                <w:szCs w:val="18"/>
              </w:rPr>
              <w:t> </w:t>
            </w:r>
            <w:r>
              <w:rPr>
                <w:rFonts w:ascii="宋体" w:hAnsi="宋体" w:cs="宋体" w:eastAsia="宋体" w:hint="default"/>
                <w:spacing w:val="-4"/>
                <w:sz w:val="18"/>
                <w:szCs w:val="18"/>
              </w:rPr>
              <w:t>利润分配政策，增强利润分配的透明度，保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护公众投资者的合法权益，公司于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日召开了第一届董事会第十四次会</w:t>
            </w:r>
          </w:p>
          <w:p>
            <w:pPr>
              <w:pStyle w:val="TableParagraph"/>
              <w:spacing w:line="314" w:lineRule="auto" w:before="63"/>
              <w:ind w:left="23" w:right="17"/>
              <w:jc w:val="both"/>
              <w:rPr>
                <w:rFonts w:ascii="宋体" w:hAnsi="宋体" w:cs="宋体" w:eastAsia="宋体" w:hint="default"/>
                <w:sz w:val="18"/>
                <w:szCs w:val="18"/>
              </w:rPr>
            </w:pPr>
            <w:r>
              <w:rPr>
                <w:rFonts w:ascii="宋体" w:hAnsi="宋体" w:cs="宋体" w:eastAsia="宋体" w:hint="default"/>
                <w:sz w:val="18"/>
                <w:szCs w:val="18"/>
              </w:rPr>
              <w:t>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w:t>
            </w:r>
            <w:r>
              <w:rPr>
                <w:rFonts w:ascii="宋体" w:hAnsi="宋体" w:cs="宋体" w:eastAsia="宋体" w:hint="default"/>
                <w:spacing w:val="-4"/>
                <w:sz w:val="18"/>
                <w:szCs w:val="18"/>
              </w:rPr>
              <w:t>次临时股东大会，对原《公司章程（草案）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中关于利润分配政策的条款进行了修订。公</w:t>
            </w:r>
            <w:r>
              <w:rPr>
                <w:rFonts w:ascii="宋体" w:hAnsi="宋体" w:cs="宋体" w:eastAsia="宋体" w:hint="default"/>
                <w:sz w:val="18"/>
                <w:szCs w:val="18"/>
              </w:rPr>
              <w:t> </w:t>
            </w:r>
            <w:r>
              <w:rPr>
                <w:rFonts w:ascii="宋体" w:hAnsi="宋体" w:cs="宋体" w:eastAsia="宋体" w:hint="default"/>
                <w:spacing w:val="-4"/>
                <w:sz w:val="18"/>
                <w:szCs w:val="18"/>
              </w:rPr>
              <w:t>司将根据中国证监会、深圳证券交易所后续</w:t>
            </w:r>
            <w:r>
              <w:rPr>
                <w:rFonts w:ascii="宋体" w:hAnsi="宋体" w:cs="宋体" w:eastAsia="宋体" w:hint="default"/>
                <w:sz w:val="18"/>
                <w:szCs w:val="18"/>
              </w:rPr>
              <w:t> </w:t>
            </w:r>
            <w:r>
              <w:rPr>
                <w:rFonts w:ascii="宋体" w:hAnsi="宋体" w:cs="宋体" w:eastAsia="宋体" w:hint="default"/>
                <w:spacing w:val="-4"/>
                <w:sz w:val="18"/>
                <w:szCs w:val="18"/>
              </w:rPr>
              <w:t>出台的实施细则，持续完善填补被摊薄即期</w:t>
            </w:r>
            <w:r>
              <w:rPr>
                <w:rFonts w:ascii="宋体" w:hAnsi="宋体" w:cs="宋体" w:eastAsia="宋体" w:hint="default"/>
                <w:sz w:val="18"/>
                <w:szCs w:val="18"/>
              </w:rPr>
              <w:t> 回报的各项措施。</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4097"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1"/>
                <w:sz w:val="20"/>
                <w:szCs w:val="20"/>
              </w:rPr>
              <w:pict>
                <v:group style="width:42.05pt;height:204.9pt;mso-position-horizontal-relative:char;mso-position-vertical-relative:line" coordorigin="0,0" coordsize="841,4098">
                  <v:group style="position:absolute;left:0;top:0;width:841;height:4098" coordorigin="0,0" coordsize="841,4098">
                    <v:shape style="position:absolute;left:0;top:0;width:841;height:4098" coordorigin="0,0" coordsize="841,4098" path="m0,4098l840,4098,840,0,0,0,0,4098xe" filled="true" fillcolor="#ffffff" stroked="false">
                      <v:path arrowok="t"/>
                      <v:fill type="solid"/>
                    </v:shape>
                  </v:group>
                </v:group>
              </w:pict>
            </w:r>
            <w:r>
              <w:rPr>
                <w:rFonts w:ascii="Times New Roman" w:hAnsi="Times New Roman" w:cs="Times New Roman" w:eastAsia="Times New Roman" w:hint="default"/>
                <w:position w:val="-81"/>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8514" w:hRule="exact"/>
        </w:trPr>
        <w:tc>
          <w:tcPr>
            <w:tcW w:w="1276"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21"/>
              <w:ind w:left="23" w:right="22"/>
              <w:jc w:val="left"/>
              <w:rPr>
                <w:rFonts w:ascii="宋体" w:hAnsi="宋体" w:cs="宋体" w:eastAsia="宋体" w:hint="default"/>
                <w:sz w:val="18"/>
                <w:szCs w:val="18"/>
              </w:rPr>
            </w:pPr>
            <w:r>
              <w:rPr>
                <w:rFonts w:ascii="宋体" w:hAnsi="宋体" w:cs="宋体" w:eastAsia="宋体" w:hint="default"/>
                <w:sz w:val="18"/>
                <w:szCs w:val="18"/>
              </w:rPr>
              <w:t>冯晔</w:t>
            </w:r>
            <w:r>
              <w:rPr>
                <w:rFonts w:ascii="Times New Roman" w:hAnsi="Times New Roman" w:cs="Times New Roman" w:eastAsia="Times New Roman" w:hint="default"/>
                <w:sz w:val="18"/>
                <w:szCs w:val="18"/>
              </w:rPr>
              <w:t>;</w:t>
            </w:r>
            <w:r>
              <w:rPr>
                <w:rFonts w:ascii="宋体" w:hAnsi="宋体" w:cs="宋体" w:eastAsia="宋体" w:hint="default"/>
                <w:sz w:val="18"/>
                <w:szCs w:val="18"/>
              </w:rPr>
              <w:t>金锦萍</w:t>
            </w:r>
            <w:r>
              <w:rPr>
                <w:rFonts w:ascii="Times New Roman" w:hAnsi="Times New Roman" w:cs="Times New Roman" w:eastAsia="Times New Roman" w:hint="default"/>
                <w:sz w:val="18"/>
                <w:szCs w:val="18"/>
              </w:rPr>
              <w:t>;</w:t>
            </w:r>
            <w:r>
              <w:rPr>
                <w:rFonts w:ascii="宋体" w:hAnsi="宋体" w:cs="宋体" w:eastAsia="宋体" w:hint="default"/>
                <w:sz w:val="18"/>
                <w:szCs w:val="18"/>
              </w:rPr>
              <w:t>林雪 焰</w:t>
            </w:r>
            <w:r>
              <w:rPr>
                <w:rFonts w:ascii="Times New Roman" w:hAnsi="Times New Roman" w:cs="Times New Roman" w:eastAsia="Times New Roman" w:hint="default"/>
                <w:sz w:val="18"/>
                <w:szCs w:val="18"/>
              </w:rPr>
              <w:t>;</w:t>
            </w:r>
            <w:r>
              <w:rPr>
                <w:rFonts w:ascii="宋体" w:hAnsi="宋体" w:cs="宋体" w:eastAsia="宋体" w:hint="default"/>
                <w:sz w:val="18"/>
                <w:szCs w:val="18"/>
              </w:rPr>
              <w:t>刘汉莎</w:t>
            </w:r>
            <w:r>
              <w:rPr>
                <w:rFonts w:ascii="Times New Roman" w:hAnsi="Times New Roman" w:cs="Times New Roman" w:eastAsia="Times New Roman" w:hint="default"/>
                <w:sz w:val="18"/>
                <w:szCs w:val="18"/>
              </w:rPr>
              <w:t>;</w:t>
            </w:r>
            <w:r>
              <w:rPr>
                <w:rFonts w:ascii="宋体" w:hAnsi="宋体" w:cs="宋体" w:eastAsia="宋体" w:hint="default"/>
                <w:sz w:val="18"/>
                <w:szCs w:val="18"/>
              </w:rPr>
              <w:t>卢磊</w:t>
            </w:r>
            <w:r>
              <w:rPr>
                <w:rFonts w:ascii="Times New Roman" w:hAnsi="Times New Roman" w:cs="Times New Roman" w:eastAsia="Times New Roman" w:hint="default"/>
                <w:sz w:val="18"/>
                <w:szCs w:val="18"/>
              </w:rPr>
              <w:t>; </w:t>
            </w:r>
            <w:r>
              <w:rPr>
                <w:rFonts w:ascii="宋体" w:hAnsi="宋体" w:cs="宋体" w:eastAsia="宋体" w:hint="default"/>
                <w:sz w:val="18"/>
                <w:szCs w:val="18"/>
              </w:rPr>
              <w:t>罗炜</w:t>
            </w:r>
            <w:r>
              <w:rPr>
                <w:rFonts w:ascii="Times New Roman" w:hAnsi="Times New Roman" w:cs="Times New Roman" w:eastAsia="Times New Roman" w:hint="default"/>
                <w:sz w:val="18"/>
                <w:szCs w:val="18"/>
              </w:rPr>
              <w:t>;</w:t>
            </w:r>
            <w:r>
              <w:rPr>
                <w:rFonts w:ascii="宋体" w:hAnsi="宋体" w:cs="宋体" w:eastAsia="宋体" w:hint="default"/>
                <w:sz w:val="18"/>
                <w:szCs w:val="18"/>
              </w:rPr>
              <w:t>徐哲</w:t>
            </w:r>
            <w:r>
              <w:rPr>
                <w:rFonts w:ascii="Times New Roman" w:hAnsi="Times New Roman" w:cs="Times New Roman" w:eastAsia="Times New Roman" w:hint="default"/>
                <w:sz w:val="18"/>
                <w:szCs w:val="18"/>
              </w:rPr>
              <w:t>;</w:t>
            </w:r>
            <w:r>
              <w:rPr>
                <w:rFonts w:ascii="宋体" w:hAnsi="宋体" w:cs="宋体" w:eastAsia="宋体" w:hint="default"/>
                <w:sz w:val="18"/>
                <w:szCs w:val="18"/>
              </w:rPr>
              <w:t>詹榜 华</w:t>
            </w:r>
            <w:r>
              <w:rPr>
                <w:rFonts w:ascii="Times New Roman" w:hAnsi="Times New Roman" w:cs="Times New Roman" w:eastAsia="Times New Roman" w:hint="default"/>
                <w:sz w:val="18"/>
                <w:szCs w:val="18"/>
              </w:rPr>
              <w:t>;</w:t>
            </w:r>
            <w:r>
              <w:rPr>
                <w:rFonts w:ascii="宋体" w:hAnsi="宋体" w:cs="宋体" w:eastAsia="宋体" w:hint="default"/>
                <w:sz w:val="18"/>
                <w:szCs w:val="18"/>
              </w:rPr>
              <w:t>张益谦</w:t>
            </w:r>
            <w:r>
              <w:rPr>
                <w:rFonts w:ascii="Times New Roman" w:hAnsi="Times New Roman" w:cs="Times New Roman" w:eastAsia="Times New Roman" w:hint="default"/>
                <w:sz w:val="18"/>
                <w:szCs w:val="18"/>
              </w:rPr>
              <w:t>;</w:t>
            </w:r>
            <w:r>
              <w:rPr>
                <w:rFonts w:ascii="宋体" w:hAnsi="宋体" w:cs="宋体" w:eastAsia="宋体" w:hint="default"/>
                <w:sz w:val="18"/>
                <w:szCs w:val="18"/>
              </w:rPr>
              <w:t>周贤伟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7"/>
              <w:jc w:val="left"/>
              <w:rPr>
                <w:rFonts w:ascii="宋体" w:hAnsi="宋体" w:cs="宋体" w:eastAsia="宋体" w:hint="default"/>
                <w:sz w:val="18"/>
                <w:szCs w:val="18"/>
              </w:rPr>
            </w:pPr>
            <w:r>
              <w:rPr>
                <w:rFonts w:ascii="宋体" w:hAnsi="宋体" w:cs="宋体" w:eastAsia="宋体" w:hint="default"/>
                <w:spacing w:val="-4"/>
                <w:sz w:val="18"/>
                <w:szCs w:val="18"/>
              </w:rPr>
              <w:t>根据《国务院关于进一步促进资本市场健康</w:t>
            </w:r>
            <w:r>
              <w:rPr>
                <w:rFonts w:ascii="宋体" w:hAnsi="宋体" w:cs="宋体" w:eastAsia="宋体" w:hint="default"/>
                <w:sz w:val="18"/>
                <w:szCs w:val="18"/>
              </w:rPr>
              <w:t> </w:t>
            </w:r>
            <w:r>
              <w:rPr>
                <w:rFonts w:ascii="宋体" w:hAnsi="宋体" w:cs="宋体" w:eastAsia="宋体" w:hint="default"/>
                <w:spacing w:val="-6"/>
                <w:sz w:val="18"/>
                <w:szCs w:val="18"/>
              </w:rPr>
              <w:t>发展的若干意见》（国发</w:t>
            </w:r>
            <w:r>
              <w:rPr>
                <w:rFonts w:ascii="Times New Roman" w:hAnsi="Times New Roman" w:cs="Times New Roman" w:eastAsia="Times New Roman" w:hint="default"/>
                <w:spacing w:val="-6"/>
                <w:sz w:val="18"/>
                <w:szCs w:val="18"/>
              </w:rPr>
              <w:t>[2014]17</w:t>
            </w:r>
            <w:r>
              <w:rPr>
                <w:rFonts w:ascii="Times New Roman" w:hAnsi="Times New Roman" w:cs="Times New Roman" w:eastAsia="Times New Roman" w:hint="default"/>
                <w:spacing w:val="15"/>
                <w:sz w:val="18"/>
                <w:szCs w:val="18"/>
              </w:rPr>
              <w:t> </w:t>
            </w:r>
            <w:r>
              <w:rPr>
                <w:rFonts w:ascii="宋体" w:hAnsi="宋体" w:cs="宋体" w:eastAsia="宋体" w:hint="default"/>
                <w:spacing w:val="-39"/>
                <w:sz w:val="18"/>
                <w:szCs w:val="18"/>
              </w:rPr>
              <w:t>号）、《国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务院办公厅关于进一步加强资本市场中小 </w:t>
            </w:r>
            <w:r>
              <w:rPr>
                <w:rFonts w:ascii="宋体" w:hAnsi="宋体" w:cs="宋体" w:eastAsia="宋体" w:hint="default"/>
                <w:spacing w:val="-5"/>
                <w:sz w:val="18"/>
                <w:szCs w:val="18"/>
              </w:rPr>
              <w:t>投资者合法权益保护工作的意见》（国办发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[2013]110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号）和《关于首发及再融资、重 大资产重组摊薄即期回报有关事项的指导 </w:t>
            </w:r>
            <w:r>
              <w:rPr>
                <w:rFonts w:ascii="宋体" w:hAnsi="宋体" w:cs="宋体" w:eastAsia="宋体" w:hint="default"/>
                <w:spacing w:val="-6"/>
                <w:sz w:val="18"/>
                <w:szCs w:val="18"/>
              </w:rPr>
              <w:t>意见》（中国证券监督管理委员会公告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[2015]31</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号）要求，公司的董事、高级管理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人员将忠实、勤勉地履行职责，维护公司和</w:t>
            </w:r>
            <w:r>
              <w:rPr>
                <w:rFonts w:ascii="宋体" w:hAnsi="宋体" w:cs="宋体" w:eastAsia="宋体" w:hint="default"/>
                <w:sz w:val="18"/>
                <w:szCs w:val="18"/>
              </w:rPr>
              <w:t> </w:t>
            </w:r>
            <w:r>
              <w:rPr>
                <w:rFonts w:ascii="宋体" w:hAnsi="宋体" w:cs="宋体" w:eastAsia="宋体" w:hint="default"/>
                <w:spacing w:val="-4"/>
                <w:sz w:val="18"/>
                <w:szCs w:val="18"/>
              </w:rPr>
              <w:t>全体股东的合法权益。为贯彻执行上述规定</w:t>
            </w:r>
            <w:r>
              <w:rPr>
                <w:rFonts w:ascii="宋体" w:hAnsi="宋体" w:cs="宋体" w:eastAsia="宋体" w:hint="default"/>
                <w:sz w:val="18"/>
                <w:szCs w:val="18"/>
              </w:rPr>
              <w:t> </w:t>
            </w:r>
            <w:r>
              <w:rPr>
                <w:rFonts w:ascii="宋体" w:hAnsi="宋体" w:cs="宋体" w:eastAsia="宋体" w:hint="default"/>
                <w:spacing w:val="-4"/>
                <w:sz w:val="18"/>
                <w:szCs w:val="18"/>
              </w:rPr>
              <w:t>和文件精神，公司全体董事、高级管理人员</w:t>
            </w:r>
            <w:r>
              <w:rPr>
                <w:rFonts w:ascii="宋体" w:hAnsi="宋体" w:cs="宋体" w:eastAsia="宋体" w:hint="default"/>
                <w:sz w:val="18"/>
                <w:szCs w:val="18"/>
              </w:rPr>
              <w:t> 作出以下承诺：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、本人承诺不无偿或以不 </w:t>
            </w:r>
            <w:r>
              <w:rPr>
                <w:rFonts w:ascii="宋体" w:hAnsi="宋体" w:cs="宋体" w:eastAsia="宋体" w:hint="default"/>
                <w:spacing w:val="-4"/>
                <w:sz w:val="18"/>
                <w:szCs w:val="18"/>
              </w:rPr>
              <w:t>公平条件向其他单位或者个人输送利益，也</w:t>
            </w:r>
            <w:r>
              <w:rPr>
                <w:rFonts w:ascii="宋体" w:hAnsi="宋体" w:cs="宋体" w:eastAsia="宋体" w:hint="default"/>
                <w:sz w:val="18"/>
                <w:szCs w:val="18"/>
              </w:rPr>
              <w:t> 不采用其他方式损害公司利益；</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、本人承 诺对本人的职务消费行为进行约束；</w:t>
            </w:r>
            <w:r>
              <w:rPr>
                <w:rFonts w:ascii="Times New Roman" w:hAnsi="Times New Roman" w:cs="Times New Roman" w:eastAsia="Times New Roman" w:hint="default"/>
                <w:sz w:val="18"/>
                <w:szCs w:val="18"/>
              </w:rPr>
              <w:t>3</w:t>
            </w:r>
            <w:r>
              <w:rPr>
                <w:rFonts w:ascii="宋体" w:hAnsi="宋体" w:cs="宋体" w:eastAsia="宋体" w:hint="default"/>
                <w:sz w:val="18"/>
                <w:szCs w:val="18"/>
              </w:rPr>
              <w:t>、本 人承诺不动用公司资产从事与本人履行职 责无关的投资、消费活动；</w:t>
            </w:r>
            <w:r>
              <w:rPr>
                <w:rFonts w:ascii="Times New Roman" w:hAnsi="Times New Roman" w:cs="Times New Roman" w:eastAsia="Times New Roman" w:hint="default"/>
                <w:sz w:val="18"/>
                <w:szCs w:val="18"/>
              </w:rPr>
              <w:t>4</w:t>
            </w:r>
            <w:r>
              <w:rPr>
                <w:rFonts w:ascii="宋体" w:hAnsi="宋体" w:cs="宋体" w:eastAsia="宋体" w:hint="default"/>
                <w:sz w:val="18"/>
                <w:szCs w:val="18"/>
              </w:rPr>
              <w:t>、本人承诺由 董事会或薪酬委员会制定的薪酬制度与公 司填补回报措施的执行情况相挂钩；</w:t>
            </w:r>
            <w:r>
              <w:rPr>
                <w:rFonts w:ascii="Times New Roman" w:hAnsi="Times New Roman" w:cs="Times New Roman" w:eastAsia="Times New Roman" w:hint="default"/>
                <w:sz w:val="18"/>
                <w:szCs w:val="18"/>
              </w:rPr>
              <w:t>5</w:t>
            </w:r>
            <w:r>
              <w:rPr>
                <w:rFonts w:ascii="宋体" w:hAnsi="宋体" w:cs="宋体" w:eastAsia="宋体" w:hint="default"/>
                <w:sz w:val="18"/>
                <w:szCs w:val="18"/>
              </w:rPr>
              <w:t>、本 </w:t>
            </w:r>
            <w:r>
              <w:rPr>
                <w:rFonts w:ascii="宋体" w:hAnsi="宋体" w:cs="宋体" w:eastAsia="宋体" w:hint="default"/>
                <w:spacing w:val="-4"/>
                <w:sz w:val="18"/>
                <w:szCs w:val="18"/>
              </w:rPr>
              <w:t>人承诺，如公司拟进行员工股权激励，则拟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公布的公司股权激励的行权条件与公司填 补回报措施的执行情况相挂钩。</w:t>
            </w:r>
            <w:r>
              <w:rPr>
                <w:rFonts w:ascii="Times New Roman" w:hAnsi="Times New Roman" w:cs="Times New Roman" w:eastAsia="Times New Roman" w:hint="default"/>
                <w:sz w:val="18"/>
                <w:szCs w:val="18"/>
              </w:rPr>
              <w:t>6</w:t>
            </w:r>
            <w:r>
              <w:rPr>
                <w:rFonts w:ascii="宋体" w:hAnsi="宋体" w:cs="宋体" w:eastAsia="宋体" w:hint="default"/>
                <w:sz w:val="18"/>
                <w:szCs w:val="18"/>
              </w:rPr>
              <w:t>、本人承 诺切实履行公司制定的有关填补回报措施 以及对此作出的任何有关填补回报措施的 </w:t>
            </w:r>
            <w:r>
              <w:rPr>
                <w:rFonts w:ascii="宋体" w:hAnsi="宋体" w:cs="宋体" w:eastAsia="宋体" w:hint="default"/>
                <w:spacing w:val="-4"/>
                <w:sz w:val="18"/>
                <w:szCs w:val="18"/>
              </w:rPr>
              <w:t>承诺，若违反该等承诺并给公司或者投资者</w:t>
            </w:r>
            <w:r>
              <w:rPr>
                <w:rFonts w:ascii="宋体" w:hAnsi="宋体" w:cs="宋体" w:eastAsia="宋体" w:hint="default"/>
                <w:sz w:val="18"/>
                <w:szCs w:val="18"/>
              </w:rPr>
              <w:t> </w:t>
            </w:r>
            <w:r>
              <w:rPr>
                <w:rFonts w:ascii="宋体" w:hAnsi="宋体" w:cs="宋体" w:eastAsia="宋体" w:hint="default"/>
                <w:spacing w:val="-4"/>
                <w:sz w:val="18"/>
                <w:szCs w:val="18"/>
              </w:rPr>
              <w:t>造成损失的，本人愿意依法承担对公司或者</w:t>
            </w:r>
            <w:r>
              <w:rPr>
                <w:rFonts w:ascii="宋体" w:hAnsi="宋体" w:cs="宋体" w:eastAsia="宋体" w:hint="default"/>
                <w:sz w:val="18"/>
                <w:szCs w:val="18"/>
              </w:rPr>
              <w:t> 投资者的补偿责任。</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r>
        <w:trPr>
          <w:trHeight w:val="1299"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23" w:right="123"/>
              <w:jc w:val="left"/>
              <w:rPr>
                <w:rFonts w:ascii="宋体" w:hAnsi="宋体" w:cs="宋体" w:eastAsia="宋体" w:hint="default"/>
                <w:sz w:val="18"/>
                <w:szCs w:val="18"/>
              </w:rPr>
            </w:pPr>
            <w:r>
              <w:rPr>
                <w:rFonts w:ascii="宋体" w:hAnsi="宋体" w:cs="宋体" w:eastAsia="宋体" w:hint="default"/>
                <w:sz w:val="18"/>
                <w:szCs w:val="18"/>
              </w:rPr>
              <w:t>北京数字认证股 份有限公司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
              <w:jc w:val="both"/>
              <w:rPr>
                <w:rFonts w:ascii="宋体" w:hAnsi="宋体" w:cs="宋体" w:eastAsia="宋体" w:hint="default"/>
                <w:sz w:val="18"/>
                <w:szCs w:val="18"/>
              </w:rPr>
            </w:pPr>
            <w:r>
              <w:rPr>
                <w:rFonts w:ascii="宋体" w:hAnsi="宋体" w:cs="宋体" w:eastAsia="宋体" w:hint="default"/>
                <w:sz w:val="18"/>
                <w:szCs w:val="18"/>
              </w:rPr>
              <w:t>如果公司首次公开发行并上市的招股说明 书有虚假记载、误导性陈述或者重大遗漏 对判断公司是否符合法律规定的发行条件 </w:t>
            </w:r>
            <w:r>
              <w:rPr>
                <w:rFonts w:ascii="宋体" w:hAnsi="宋体" w:cs="宋体" w:eastAsia="宋体" w:hint="default"/>
                <w:spacing w:val="-4"/>
                <w:sz w:val="18"/>
                <w:szCs w:val="18"/>
              </w:rPr>
              <w:t>构成重大、实质影响的，公司将依法回购首</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138" w:right="19"/>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position w:val="2"/>
                <w:sz w:val="18"/>
                <w:szCs w:val="18"/>
              </w:rPr>
              <w:t>2016 </w:t>
            </w:r>
            <w:r>
              <w:rPr>
                <w:rFonts w:ascii="宋体" w:hAnsi="宋体" w:cs="宋体" w:eastAsia="宋体" w:hint="default"/>
                <w:position w:val="2"/>
                <w:sz w:val="18"/>
                <w:szCs w:val="18"/>
              </w:rPr>
              <w:t>年</w:t>
            </w:r>
            <w:r>
              <w:rPr>
                <w:rFonts w:ascii="宋体" w:hAnsi="宋体" w:cs="宋体" w:eastAsia="宋体" w:hint="default"/>
                <w:spacing w:val="-55"/>
                <w:position w:val="2"/>
                <w:sz w:val="18"/>
                <w:szCs w:val="18"/>
              </w:rPr>
              <w:t> </w:t>
            </w:r>
            <w:r>
              <w:rPr>
                <w:rFonts w:ascii="Times New Roman" w:hAnsi="Times New Roman" w:cs="Times New Roman" w:eastAsia="Times New Roman" w:hint="default"/>
                <w:position w:val="2"/>
                <w:sz w:val="18"/>
                <w:szCs w:val="18"/>
              </w:rPr>
              <w:t>12</w:t>
            </w:r>
            <w:r>
              <w:rPr>
                <w:rFonts w:ascii="Times New Roman" w:hAnsi="Times New Roman" w:cs="Times New Roman" w:eastAsia="Times New Roman" w:hint="default"/>
                <w:sz w:val="18"/>
                <w:szCs w:val="18"/>
              </w:rPr>
            </w:r>
          </w:p>
          <w:p>
            <w:pPr>
              <w:pStyle w:val="TableParagraph"/>
              <w:spacing w:line="240" w:lineRule="auto" w:before="57"/>
              <w:ind w:right="159"/>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4"/>
              <w:jc w:val="left"/>
              <w:rPr>
                <w:rFonts w:ascii="宋体" w:hAnsi="宋体" w:cs="宋体" w:eastAsia="宋体" w:hint="default"/>
                <w:sz w:val="18"/>
                <w:szCs w:val="18"/>
              </w:rPr>
            </w:pPr>
            <w:r>
              <w:rPr>
                <w:rFonts w:ascii="宋体" w:hAnsi="宋体" w:cs="宋体" w:eastAsia="宋体" w:hint="default"/>
                <w:sz w:val="18"/>
                <w:szCs w:val="18"/>
              </w:rPr>
              <w:t>正常履 行，不存 在违反该 承诺情</w:t>
            </w:r>
          </w:p>
        </w:tc>
      </w:tr>
    </w:tbl>
    <w:p>
      <w:pPr>
        <w:spacing w:after="0" w:line="319" w:lineRule="auto"/>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tabs>
          <w:tab w:pos="8932" w:val="left" w:leader="none"/>
        </w:tabs>
        <w:spacing w:line="316" w:lineRule="auto" w:before="0"/>
        <w:ind w:left="3829" w:right="572" w:firstLine="0"/>
        <w:jc w:val="left"/>
        <w:rPr>
          <w:rFonts w:ascii="宋体" w:hAnsi="宋体" w:cs="宋体" w:eastAsia="宋体" w:hint="default"/>
          <w:sz w:val="18"/>
          <w:szCs w:val="18"/>
        </w:rPr>
      </w:pPr>
      <w:r>
        <w:rPr>
          <w:rFonts w:ascii="宋体" w:hAnsi="宋体" w:cs="宋体" w:eastAsia="宋体" w:hint="default"/>
          <w:sz w:val="18"/>
          <w:szCs w:val="18"/>
        </w:rPr>
        <w:t>次公开发行的全部新股（如公司发生送股、</w:t>
        <w:tab/>
        <w:t>形。 </w:t>
      </w:r>
      <w:r>
        <w:rPr>
          <w:rFonts w:ascii="宋体" w:hAnsi="宋体" w:cs="宋体" w:eastAsia="宋体" w:hint="default"/>
          <w:spacing w:val="-4"/>
          <w:sz w:val="18"/>
          <w:szCs w:val="18"/>
        </w:rPr>
        <w:t>资本公积转增等除权除息事宜，回购数量应</w:t>
      </w:r>
      <w:r>
        <w:rPr>
          <w:rFonts w:ascii="宋体" w:hAnsi="宋体" w:cs="宋体" w:eastAsia="宋体" w:hint="default"/>
          <w:sz w:val="18"/>
          <w:szCs w:val="18"/>
        </w:rPr>
        <w:t> </w:t>
      </w:r>
      <w:r>
        <w:rPr>
          <w:rFonts w:ascii="宋体" w:hAnsi="宋体" w:cs="宋体" w:eastAsia="宋体" w:hint="default"/>
          <w:spacing w:val="-5"/>
          <w:sz w:val="18"/>
          <w:szCs w:val="18"/>
        </w:rPr>
        <w:t>相应调整），回购价格以发行价格（若发行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人股票在此期间发生派息、送股、资本公积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转增股本等除权除息事项的，发行价格应相</w:t>
      </w:r>
      <w:r>
        <w:rPr>
          <w:rFonts w:ascii="宋体" w:hAnsi="宋体" w:cs="宋体" w:eastAsia="宋体" w:hint="default"/>
          <w:sz w:val="18"/>
          <w:szCs w:val="18"/>
        </w:rPr>
        <w:t> </w:t>
      </w:r>
      <w:r>
        <w:rPr>
          <w:rFonts w:ascii="宋体" w:hAnsi="宋体" w:cs="宋体" w:eastAsia="宋体" w:hint="default"/>
          <w:spacing w:val="-4"/>
          <w:sz w:val="18"/>
          <w:szCs w:val="18"/>
        </w:rPr>
        <w:t>应调整）加计同期存款基准利率所对应的利</w:t>
      </w:r>
      <w:r>
        <w:rPr>
          <w:rFonts w:ascii="宋体" w:hAnsi="宋体" w:cs="宋体" w:eastAsia="宋体" w:hint="default"/>
          <w:sz w:val="18"/>
          <w:szCs w:val="18"/>
        </w:rPr>
        <w:t> </w:t>
      </w:r>
      <w:r>
        <w:rPr>
          <w:rFonts w:ascii="宋体" w:hAnsi="宋体" w:cs="宋体" w:eastAsia="宋体" w:hint="default"/>
          <w:spacing w:val="-4"/>
          <w:sz w:val="18"/>
          <w:szCs w:val="18"/>
        </w:rPr>
        <w:t>息确定，具体程序按中国证监会和证券交易</w:t>
      </w:r>
      <w:r>
        <w:rPr>
          <w:rFonts w:ascii="宋体" w:hAnsi="宋体" w:cs="宋体" w:eastAsia="宋体" w:hint="default"/>
          <w:sz w:val="18"/>
          <w:szCs w:val="18"/>
        </w:rPr>
        <w:t> 所的相应规定办理。在实施上述股份回购 </w:t>
      </w:r>
      <w:r>
        <w:rPr>
          <w:rFonts w:ascii="宋体" w:hAnsi="宋体" w:cs="宋体" w:eastAsia="宋体" w:hint="default"/>
          <w:spacing w:val="-4"/>
          <w:sz w:val="18"/>
          <w:szCs w:val="18"/>
        </w:rPr>
        <w:t>时，如相关法律法规、规范性文件和公司章</w:t>
      </w:r>
      <w:r>
        <w:rPr>
          <w:rFonts w:ascii="宋体" w:hAnsi="宋体" w:cs="宋体" w:eastAsia="宋体" w:hint="default"/>
          <w:sz w:val="18"/>
          <w:szCs w:val="18"/>
        </w:rPr>
        <w:t> </w:t>
      </w:r>
      <w:r>
        <w:rPr>
          <w:rFonts w:ascii="宋体" w:hAnsi="宋体" w:cs="宋体" w:eastAsia="宋体" w:hint="default"/>
          <w:spacing w:val="-4"/>
          <w:sz w:val="18"/>
          <w:szCs w:val="18"/>
        </w:rPr>
        <w:t>程等另有规定的从其规定。如果公司首次公</w:t>
      </w:r>
      <w:r>
        <w:rPr>
          <w:rFonts w:ascii="宋体" w:hAnsi="宋体" w:cs="宋体" w:eastAsia="宋体" w:hint="default"/>
          <w:sz w:val="18"/>
          <w:szCs w:val="18"/>
        </w:rPr>
        <w:t> </w:t>
      </w:r>
      <w:r>
        <w:rPr>
          <w:rFonts w:ascii="宋体" w:hAnsi="宋体" w:cs="宋体" w:eastAsia="宋体" w:hint="default"/>
          <w:spacing w:val="-4"/>
          <w:sz w:val="18"/>
          <w:szCs w:val="18"/>
        </w:rPr>
        <w:t>开发行并上市的招股说明书有虚假记载、误</w:t>
      </w:r>
      <w:r>
        <w:rPr>
          <w:rFonts w:ascii="宋体" w:hAnsi="宋体" w:cs="宋体" w:eastAsia="宋体" w:hint="default"/>
          <w:sz w:val="18"/>
          <w:szCs w:val="18"/>
        </w:rPr>
        <w:t> </w:t>
      </w:r>
      <w:r>
        <w:rPr>
          <w:rFonts w:ascii="宋体" w:hAnsi="宋体" w:cs="宋体" w:eastAsia="宋体" w:hint="default"/>
          <w:spacing w:val="-4"/>
          <w:sz w:val="18"/>
          <w:szCs w:val="18"/>
        </w:rPr>
        <w:t>导性陈述或者重大遗漏，致使投资者在证券</w:t>
      </w:r>
      <w:r>
        <w:rPr>
          <w:rFonts w:ascii="宋体" w:hAnsi="宋体" w:cs="宋体" w:eastAsia="宋体" w:hint="default"/>
          <w:sz w:val="18"/>
          <w:szCs w:val="18"/>
        </w:rPr>
        <w:t> </w:t>
      </w:r>
      <w:r>
        <w:rPr>
          <w:rFonts w:ascii="宋体" w:hAnsi="宋体" w:cs="宋体" w:eastAsia="宋体" w:hint="default"/>
          <w:spacing w:val="-4"/>
          <w:sz w:val="18"/>
          <w:szCs w:val="18"/>
        </w:rPr>
        <w:t>发行和交易中遭受损失的，公司将依法赔偿</w:t>
      </w:r>
      <w:r>
        <w:rPr>
          <w:rFonts w:ascii="宋体" w:hAnsi="宋体" w:cs="宋体" w:eastAsia="宋体" w:hint="default"/>
          <w:sz w:val="18"/>
          <w:szCs w:val="18"/>
        </w:rPr>
        <w:t> </w:t>
      </w:r>
      <w:r>
        <w:rPr>
          <w:rFonts w:ascii="宋体" w:hAnsi="宋体" w:cs="宋体" w:eastAsia="宋体" w:hint="default"/>
          <w:spacing w:val="-4"/>
          <w:sz w:val="18"/>
          <w:szCs w:val="18"/>
        </w:rPr>
        <w:t>投资者损失。公司将冻结与发行新股所募集</w:t>
      </w:r>
      <w:r>
        <w:rPr>
          <w:rFonts w:ascii="宋体" w:hAnsi="宋体" w:cs="宋体" w:eastAsia="宋体" w:hint="default"/>
          <w:sz w:val="18"/>
          <w:szCs w:val="18"/>
        </w:rPr>
        <w:t> </w:t>
      </w:r>
      <w:r>
        <w:rPr>
          <w:rFonts w:ascii="宋体" w:hAnsi="宋体" w:cs="宋体" w:eastAsia="宋体" w:hint="default"/>
          <w:spacing w:val="-4"/>
          <w:sz w:val="18"/>
          <w:szCs w:val="18"/>
        </w:rPr>
        <w:t>资金等额的自有资金，为公司需根据法律法</w:t>
      </w:r>
      <w:r>
        <w:rPr>
          <w:rFonts w:ascii="宋体" w:hAnsi="宋体" w:cs="宋体" w:eastAsia="宋体" w:hint="default"/>
          <w:sz w:val="18"/>
          <w:szCs w:val="18"/>
        </w:rPr>
        <w:t> 规和监管要求赔偿的投资者的损失提供保</w:t>
      </w:r>
    </w:p>
    <w:p>
      <w:pPr>
        <w:spacing w:before="19"/>
        <w:ind w:left="1705" w:right="3551" w:firstLine="0"/>
        <w:jc w:val="center"/>
        <w:rPr>
          <w:rFonts w:ascii="宋体" w:hAnsi="宋体" w:cs="宋体" w:eastAsia="宋体" w:hint="default"/>
          <w:sz w:val="18"/>
          <w:szCs w:val="18"/>
        </w:rPr>
      </w:pPr>
      <w:r>
        <w:rPr>
          <w:rFonts w:ascii="宋体" w:hAnsi="宋体" w:cs="宋体" w:eastAsia="宋体" w:hint="default"/>
          <w:sz w:val="18"/>
          <w:szCs w:val="18"/>
        </w:rPr>
        <w:t>障。</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867" w:footer="979" w:top="1060" w:bottom="1160" w:left="1020" w:right="10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0"/>
          <w:szCs w:val="20"/>
        </w:rPr>
      </w:pPr>
    </w:p>
    <w:p>
      <w:pPr>
        <w:spacing w:line="316" w:lineRule="auto" w:before="0"/>
        <w:ind w:left="1418" w:right="0" w:firstLine="0"/>
        <w:jc w:val="both"/>
        <w:rPr>
          <w:rFonts w:ascii="宋体" w:hAnsi="宋体" w:cs="宋体" w:eastAsia="宋体" w:hint="default"/>
          <w:sz w:val="18"/>
          <w:szCs w:val="18"/>
        </w:rPr>
      </w:pPr>
      <w:r>
        <w:rPr>
          <w:rFonts w:ascii="宋体" w:hAnsi="宋体" w:cs="宋体" w:eastAsia="宋体" w:hint="default"/>
          <w:sz w:val="18"/>
          <w:szCs w:val="18"/>
        </w:rPr>
        <w:t>北京市国有资产 经营有限责任公 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spacing w:before="0"/>
        <w:ind w:left="118" w:right="-19" w:firstLine="0"/>
        <w:jc w:val="left"/>
        <w:rPr>
          <w:rFonts w:ascii="宋体" w:hAnsi="宋体" w:cs="宋体" w:eastAsia="宋体" w:hint="default"/>
          <w:sz w:val="18"/>
          <w:szCs w:val="18"/>
        </w:rPr>
      </w:pPr>
      <w:r>
        <w:rPr>
          <w:rFonts w:ascii="宋体" w:hAnsi="宋体" w:cs="宋体" w:eastAsia="宋体" w:hint="default"/>
          <w:sz w:val="18"/>
          <w:szCs w:val="18"/>
        </w:rPr>
        <w:t>其他承诺</w:t>
      </w:r>
    </w:p>
    <w:p>
      <w:pPr>
        <w:spacing w:line="316" w:lineRule="auto" w:before="44"/>
        <w:ind w:left="231" w:right="758" w:firstLine="0"/>
        <w:jc w:val="left"/>
        <w:rPr>
          <w:rFonts w:ascii="宋体" w:hAnsi="宋体" w:cs="宋体" w:eastAsia="宋体" w:hint="default"/>
          <w:sz w:val="18"/>
          <w:szCs w:val="18"/>
        </w:rPr>
      </w:pPr>
      <w:r>
        <w:rPr/>
        <w:br w:type="column"/>
      </w:r>
      <w:r>
        <w:rPr>
          <w:rFonts w:ascii="宋体" w:hAnsi="宋体" w:cs="宋体" w:eastAsia="宋体" w:hint="default"/>
          <w:sz w:val="18"/>
          <w:szCs w:val="18"/>
        </w:rPr>
        <w:t>如果公司首次公开发行并上市的招股说明 书有虚假记载、误导性陈述或者重大遗漏， 对判断公司是否符合法律规定的发行条件 </w:t>
      </w:r>
      <w:r>
        <w:rPr>
          <w:rFonts w:ascii="宋体" w:hAnsi="宋体" w:cs="宋体" w:eastAsia="宋体" w:hint="default"/>
          <w:spacing w:val="-4"/>
          <w:sz w:val="18"/>
          <w:szCs w:val="18"/>
        </w:rPr>
        <w:t>构成重大、实质影响的，北京国资公司将依</w:t>
      </w:r>
      <w:r>
        <w:rPr>
          <w:rFonts w:ascii="宋体" w:hAnsi="宋体" w:cs="宋体" w:eastAsia="宋体" w:hint="default"/>
          <w:sz w:val="18"/>
          <w:szCs w:val="18"/>
        </w:rPr>
        <w:t> </w:t>
      </w:r>
      <w:r>
        <w:rPr>
          <w:rFonts w:ascii="宋体" w:hAnsi="宋体" w:cs="宋体" w:eastAsia="宋体" w:hint="default"/>
          <w:spacing w:val="-4"/>
          <w:sz w:val="18"/>
          <w:szCs w:val="18"/>
        </w:rPr>
        <w:t>法回购首次公开发行的全部新股（若公司发</w:t>
      </w:r>
      <w:r>
        <w:rPr>
          <w:rFonts w:ascii="宋体" w:hAnsi="宋体" w:cs="宋体" w:eastAsia="宋体" w:hint="default"/>
          <w:sz w:val="18"/>
          <w:szCs w:val="18"/>
        </w:rPr>
        <w:t> </w:t>
      </w:r>
      <w:r>
        <w:rPr>
          <w:rFonts w:ascii="宋体" w:hAnsi="宋体" w:cs="宋体" w:eastAsia="宋体" w:hint="default"/>
          <w:spacing w:val="-4"/>
          <w:sz w:val="18"/>
          <w:szCs w:val="18"/>
        </w:rPr>
        <w:t>生送股、资本公积转增股本等除权除息事项</w:t>
      </w:r>
      <w:r>
        <w:rPr>
          <w:rFonts w:ascii="宋体" w:hAnsi="宋体" w:cs="宋体" w:eastAsia="宋体" w:hint="default"/>
          <w:sz w:val="18"/>
          <w:szCs w:val="18"/>
        </w:rPr>
        <w:t> </w:t>
      </w:r>
      <w:r>
        <w:rPr>
          <w:rFonts w:ascii="宋体" w:hAnsi="宋体" w:cs="宋体" w:eastAsia="宋体" w:hint="default"/>
          <w:spacing w:val="-5"/>
          <w:sz w:val="18"/>
          <w:szCs w:val="18"/>
        </w:rPr>
        <w:t>的，回购数量应相应调整），回购价格以发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行价格（若公司股票在此期间发生派息、送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股、资本公积转增股本等除权除息事项的，</w:t>
      </w:r>
    </w:p>
    <w:p>
      <w:pPr>
        <w:spacing w:line="196" w:lineRule="exact" w:before="19"/>
        <w:ind w:left="231" w:right="758" w:firstLine="0"/>
        <w:jc w:val="left"/>
        <w:rPr>
          <w:rFonts w:ascii="宋体" w:hAnsi="宋体" w:cs="宋体" w:eastAsia="宋体" w:hint="default"/>
          <w:sz w:val="18"/>
          <w:szCs w:val="18"/>
        </w:rPr>
      </w:pPr>
      <w:r>
        <w:rPr>
          <w:rFonts w:ascii="宋体" w:hAnsi="宋体" w:cs="宋体" w:eastAsia="宋体" w:hint="default"/>
          <w:sz w:val="18"/>
          <w:szCs w:val="18"/>
        </w:rPr>
        <w:t>发行价格应相应调整</w:t>
      </w:r>
      <w:r>
        <w:rPr>
          <w:rFonts w:ascii="宋体" w:hAnsi="宋体" w:cs="宋体" w:eastAsia="宋体" w:hint="default"/>
          <w:spacing w:val="-75"/>
          <w:sz w:val="18"/>
          <w:szCs w:val="18"/>
        </w:rPr>
        <w:t>）</w:t>
      </w:r>
      <w:r>
        <w:rPr>
          <w:rFonts w:ascii="宋体" w:hAnsi="宋体" w:cs="宋体" w:eastAsia="宋体" w:hint="default"/>
          <w:sz w:val="18"/>
          <w:szCs w:val="18"/>
        </w:rPr>
        <w:t>加计同期存款基准利</w:t>
      </w:r>
    </w:p>
    <w:p>
      <w:pPr>
        <w:spacing w:line="163" w:lineRule="exact" w:before="0"/>
        <w:ind w:left="0" w:right="0" w:firstLine="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spacing w:line="149" w:lineRule="exact" w:before="0"/>
        <w:ind w:left="231" w:right="758" w:firstLine="0"/>
        <w:jc w:val="left"/>
        <w:rPr>
          <w:rFonts w:ascii="宋体" w:hAnsi="宋体" w:cs="宋体" w:eastAsia="宋体" w:hint="default"/>
          <w:sz w:val="18"/>
          <w:szCs w:val="18"/>
        </w:rPr>
      </w:pPr>
      <w:r>
        <w:rPr>
          <w:rFonts w:ascii="宋体" w:hAnsi="宋体" w:cs="宋体" w:eastAsia="宋体" w:hint="default"/>
          <w:sz w:val="18"/>
          <w:szCs w:val="18"/>
        </w:rPr>
        <w:t>率所对应的利息确定</w:t>
      </w:r>
      <w:r>
        <w:rPr>
          <w:rFonts w:ascii="宋体" w:hAnsi="宋体" w:cs="宋体" w:eastAsia="宋体" w:hint="default"/>
          <w:spacing w:val="-75"/>
          <w:sz w:val="18"/>
          <w:szCs w:val="18"/>
        </w:rPr>
        <w:t>，</w:t>
      </w:r>
      <w:r>
        <w:rPr>
          <w:rFonts w:ascii="宋体" w:hAnsi="宋体" w:cs="宋体" w:eastAsia="宋体" w:hint="default"/>
          <w:sz w:val="18"/>
          <w:szCs w:val="18"/>
        </w:rPr>
        <w:t>具体程序按中国证监</w:t>
      </w:r>
    </w:p>
    <w:p>
      <w:pPr>
        <w:spacing w:line="163" w:lineRule="exact" w:before="0"/>
        <w:ind w:left="0" w:right="161" w:firstLine="0"/>
        <w:jc w:val="righ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189" w:lineRule="exact" w:before="0"/>
        <w:ind w:left="231" w:right="758" w:firstLine="0"/>
        <w:jc w:val="left"/>
        <w:rPr>
          <w:rFonts w:ascii="宋体" w:hAnsi="宋体" w:cs="宋体" w:eastAsia="宋体" w:hint="default"/>
          <w:sz w:val="18"/>
          <w:szCs w:val="18"/>
        </w:rPr>
      </w:pPr>
      <w:r>
        <w:rPr>
          <w:rFonts w:ascii="宋体" w:hAnsi="宋体" w:cs="宋体" w:eastAsia="宋体" w:hint="default"/>
          <w:sz w:val="18"/>
          <w:szCs w:val="18"/>
        </w:rPr>
        <w:t>会和证券交易所的相应规定办理</w:t>
      </w:r>
      <w:r>
        <w:rPr>
          <w:rFonts w:ascii="宋体" w:hAnsi="宋体" w:cs="宋体" w:eastAsia="宋体" w:hint="default"/>
          <w:spacing w:val="-75"/>
          <w:sz w:val="18"/>
          <w:szCs w:val="18"/>
        </w:rPr>
        <w:t>。</w:t>
      </w:r>
      <w:r>
        <w:rPr>
          <w:rFonts w:ascii="宋体" w:hAnsi="宋体" w:cs="宋体" w:eastAsia="宋体" w:hint="default"/>
          <w:sz w:val="18"/>
          <w:szCs w:val="18"/>
        </w:rPr>
        <w:t>在实施上</w:t>
      </w:r>
    </w:p>
    <w:p>
      <w:pPr>
        <w:spacing w:line="316" w:lineRule="auto" w:before="76"/>
        <w:ind w:left="231" w:right="834" w:firstLine="0"/>
        <w:jc w:val="left"/>
        <w:rPr>
          <w:rFonts w:ascii="宋体" w:hAnsi="宋体" w:cs="宋体" w:eastAsia="宋体" w:hint="default"/>
          <w:sz w:val="18"/>
          <w:szCs w:val="18"/>
        </w:rPr>
      </w:pPr>
      <w:r>
        <w:rPr>
          <w:rFonts w:ascii="宋体" w:hAnsi="宋体" w:cs="宋体" w:eastAsia="宋体" w:hint="default"/>
          <w:spacing w:val="-4"/>
          <w:sz w:val="18"/>
          <w:szCs w:val="18"/>
        </w:rPr>
        <w:t>述股份回购时，如法律法规、公司章程等另</w:t>
      </w:r>
      <w:r>
        <w:rPr>
          <w:rFonts w:ascii="宋体" w:hAnsi="宋体" w:cs="宋体" w:eastAsia="宋体" w:hint="default"/>
          <w:sz w:val="18"/>
          <w:szCs w:val="18"/>
        </w:rPr>
        <w:t> </w:t>
      </w:r>
      <w:r>
        <w:rPr>
          <w:rFonts w:ascii="宋体" w:hAnsi="宋体" w:cs="宋体" w:eastAsia="宋体" w:hint="default"/>
          <w:spacing w:val="-4"/>
          <w:sz w:val="18"/>
          <w:szCs w:val="18"/>
        </w:rPr>
        <w:t>有规定的从其规定。如果公司首次公开发行</w:t>
      </w:r>
      <w:r>
        <w:rPr>
          <w:rFonts w:ascii="宋体" w:hAnsi="宋体" w:cs="宋体" w:eastAsia="宋体" w:hint="default"/>
          <w:sz w:val="18"/>
          <w:szCs w:val="18"/>
        </w:rPr>
        <w:t> </w:t>
      </w:r>
      <w:r>
        <w:rPr>
          <w:rFonts w:ascii="宋体" w:hAnsi="宋体" w:cs="宋体" w:eastAsia="宋体" w:hint="default"/>
          <w:spacing w:val="-4"/>
          <w:sz w:val="18"/>
          <w:szCs w:val="18"/>
        </w:rPr>
        <w:t>并上市的招股说明书有虚假记载、误导性陈</w:t>
      </w:r>
      <w:r>
        <w:rPr>
          <w:rFonts w:ascii="宋体" w:hAnsi="宋体" w:cs="宋体" w:eastAsia="宋体" w:hint="default"/>
          <w:sz w:val="18"/>
          <w:szCs w:val="18"/>
        </w:rPr>
        <w:t> </w:t>
      </w:r>
      <w:r>
        <w:rPr>
          <w:rFonts w:ascii="宋体" w:hAnsi="宋体" w:cs="宋体" w:eastAsia="宋体" w:hint="default"/>
          <w:spacing w:val="-4"/>
          <w:sz w:val="18"/>
          <w:szCs w:val="18"/>
        </w:rPr>
        <w:t>述或者重大遗漏，致使投资者在证券发行和</w:t>
      </w:r>
      <w:r>
        <w:rPr>
          <w:rFonts w:ascii="宋体" w:hAnsi="宋体" w:cs="宋体" w:eastAsia="宋体" w:hint="default"/>
          <w:sz w:val="18"/>
          <w:szCs w:val="18"/>
        </w:rPr>
        <w:t> </w:t>
      </w:r>
      <w:r>
        <w:rPr>
          <w:rFonts w:ascii="宋体" w:hAnsi="宋体" w:cs="宋体" w:eastAsia="宋体" w:hint="default"/>
          <w:spacing w:val="-4"/>
          <w:sz w:val="18"/>
          <w:szCs w:val="18"/>
        </w:rPr>
        <w:t>交易中遭受损失的，北京国资公司将依法赔</w:t>
      </w:r>
      <w:r>
        <w:rPr>
          <w:rFonts w:ascii="宋体" w:hAnsi="宋体" w:cs="宋体" w:eastAsia="宋体" w:hint="default"/>
          <w:sz w:val="18"/>
          <w:szCs w:val="18"/>
        </w:rPr>
        <w:t> </w:t>
      </w:r>
      <w:r>
        <w:rPr>
          <w:rFonts w:ascii="宋体" w:hAnsi="宋体" w:cs="宋体" w:eastAsia="宋体" w:hint="default"/>
          <w:spacing w:val="-4"/>
          <w:sz w:val="18"/>
          <w:szCs w:val="18"/>
        </w:rPr>
        <w:t>偿投资者损失。北京国资公司将冻结与发售</w:t>
      </w:r>
      <w:r>
        <w:rPr>
          <w:rFonts w:ascii="宋体" w:hAnsi="宋体" w:cs="宋体" w:eastAsia="宋体" w:hint="default"/>
          <w:sz w:val="18"/>
          <w:szCs w:val="18"/>
        </w:rPr>
        <w:t> </w:t>
      </w:r>
      <w:r>
        <w:rPr>
          <w:rFonts w:ascii="宋体" w:hAnsi="宋体" w:cs="宋体" w:eastAsia="宋体" w:hint="default"/>
          <w:spacing w:val="-4"/>
          <w:sz w:val="18"/>
          <w:szCs w:val="18"/>
        </w:rPr>
        <w:t>股份所取得的资金等额的自有资金，为北京</w:t>
      </w:r>
      <w:r>
        <w:rPr>
          <w:rFonts w:ascii="宋体" w:hAnsi="宋体" w:cs="宋体" w:eastAsia="宋体" w:hint="default"/>
          <w:sz w:val="18"/>
          <w:szCs w:val="18"/>
        </w:rPr>
        <w:t> 国资公司需根据法律法规和监管要求赔偿 的投资者的损失提供保障。</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spacing w:before="0"/>
        <w:ind w:left="15" w:right="-20" w:firstLine="0"/>
        <w:jc w:val="left"/>
        <w:rPr>
          <w:rFonts w:ascii="宋体" w:hAnsi="宋体" w:cs="宋体" w:eastAsia="宋体" w:hint="default"/>
          <w:sz w:val="18"/>
          <w:szCs w:val="18"/>
        </w:rPr>
      </w:pPr>
      <w:r>
        <w:rPr>
          <w:rFonts w:ascii="宋体" w:hAnsi="宋体" w:cs="宋体" w:eastAsia="宋体" w:hint="default"/>
          <w:sz w:val="18"/>
          <w:szCs w:val="18"/>
        </w:rPr>
        <w:t>长期有效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spacing w:line="316" w:lineRule="auto" w:before="0"/>
        <w:ind w:left="89" w:right="194" w:firstLine="0"/>
        <w:jc w:val="left"/>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p>
      <w:pPr>
        <w:spacing w:after="0" w:line="316" w:lineRule="auto"/>
        <w:jc w:val="left"/>
        <w:rPr>
          <w:rFonts w:ascii="宋体" w:hAnsi="宋体" w:cs="宋体" w:eastAsia="宋体" w:hint="default"/>
          <w:sz w:val="18"/>
          <w:szCs w:val="18"/>
        </w:rPr>
        <w:sectPr>
          <w:type w:val="continuous"/>
          <w:pgSz w:w="11910" w:h="16840"/>
          <w:pgMar w:top="1060" w:bottom="1160" w:left="1020" w:right="1020"/>
          <w:cols w:num="5" w:equalWidth="0">
            <w:col w:w="2679" w:space="40"/>
            <w:col w:w="839" w:space="40"/>
            <w:col w:w="4430" w:space="40"/>
            <w:col w:w="736" w:space="40"/>
            <w:col w:w="1026"/>
          </w:cols>
        </w:sectPr>
      </w:pPr>
    </w:p>
    <w:p>
      <w:pPr>
        <w:spacing w:line="316" w:lineRule="auto" w:before="107"/>
        <w:ind w:left="3829" w:right="-20" w:firstLine="0"/>
        <w:jc w:val="left"/>
        <w:rPr>
          <w:rFonts w:ascii="宋体" w:hAnsi="宋体" w:cs="宋体" w:eastAsia="宋体" w:hint="default"/>
          <w:sz w:val="18"/>
          <w:szCs w:val="18"/>
        </w:rPr>
      </w:pPr>
      <w:r>
        <w:rPr>
          <w:rFonts w:ascii="宋体" w:hAnsi="宋体" w:cs="宋体" w:eastAsia="宋体" w:hint="default"/>
          <w:sz w:val="18"/>
          <w:szCs w:val="18"/>
        </w:rPr>
        <w:t>如果公司首次公开发行并上市的招股说明 书有虚假记载、误导性陈述或者重大遗漏，</w:t>
      </w:r>
    </w:p>
    <w:p>
      <w:pPr>
        <w:spacing w:line="240" w:lineRule="auto" w:before="13"/>
        <w:rPr>
          <w:rFonts w:ascii="宋体" w:hAnsi="宋体" w:cs="宋体" w:eastAsia="宋体" w:hint="default"/>
          <w:sz w:val="12"/>
          <w:szCs w:val="12"/>
        </w:rPr>
      </w:pPr>
      <w:r>
        <w:rPr/>
        <w:br w:type="column"/>
      </w:r>
      <w:r>
        <w:rPr>
          <w:rFonts w:ascii="宋体"/>
          <w:sz w:val="12"/>
        </w:rPr>
      </w:r>
    </w:p>
    <w:p>
      <w:pPr>
        <w:spacing w:line="310" w:lineRule="atLeast" w:before="0"/>
        <w:ind w:left="1643" w:right="194" w:firstLine="0"/>
        <w:jc w:val="left"/>
        <w:rPr>
          <w:rFonts w:ascii="宋体" w:hAnsi="宋体" w:cs="宋体" w:eastAsia="宋体" w:hint="default"/>
          <w:sz w:val="18"/>
          <w:szCs w:val="18"/>
        </w:rPr>
      </w:pPr>
      <w:r>
        <w:rPr>
          <w:rFonts w:ascii="宋体" w:hAnsi="宋体" w:cs="宋体" w:eastAsia="宋体" w:hint="default"/>
          <w:sz w:val="18"/>
          <w:szCs w:val="18"/>
        </w:rPr>
        <w:t>正常履 行，不存</w:t>
      </w:r>
    </w:p>
    <w:p>
      <w:pPr>
        <w:spacing w:after="0" w:line="310" w:lineRule="atLeast"/>
        <w:jc w:val="left"/>
        <w:rPr>
          <w:rFonts w:ascii="宋体" w:hAnsi="宋体" w:cs="宋体" w:eastAsia="宋体" w:hint="default"/>
          <w:sz w:val="18"/>
          <w:szCs w:val="18"/>
        </w:rPr>
        <w:sectPr>
          <w:type w:val="continuous"/>
          <w:pgSz w:w="11910" w:h="16840"/>
          <w:pgMar w:top="1060" w:bottom="1160" w:left="1020" w:right="1020"/>
          <w:cols w:num="2" w:equalWidth="0">
            <w:col w:w="7250" w:space="40"/>
            <w:col w:w="2580"/>
          </w:cols>
        </w:sectPr>
      </w:pPr>
    </w:p>
    <w:p>
      <w:pPr>
        <w:spacing w:line="156" w:lineRule="exact" w:before="0"/>
        <w:ind w:left="1418" w:right="-20" w:firstLine="0"/>
        <w:jc w:val="left"/>
        <w:rPr>
          <w:rFonts w:ascii="宋体" w:hAnsi="宋体" w:cs="宋体" w:eastAsia="宋体" w:hint="default"/>
          <w:sz w:val="18"/>
          <w:szCs w:val="18"/>
        </w:rPr>
      </w:pPr>
      <w:r>
        <w:rPr>
          <w:rFonts w:ascii="宋体" w:hAnsi="宋体" w:cs="宋体" w:eastAsia="宋体" w:hint="default"/>
          <w:sz w:val="18"/>
          <w:szCs w:val="18"/>
        </w:rPr>
        <w:t>首都信息发展股</w:t>
      </w:r>
    </w:p>
    <w:p>
      <w:pPr>
        <w:spacing w:line="214" w:lineRule="exact" w:before="74"/>
        <w:ind w:left="118"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其他承诺</w:t>
      </w:r>
    </w:p>
    <w:p>
      <w:pPr>
        <w:spacing w:line="175" w:lineRule="exact" w:before="0"/>
        <w:ind w:left="23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对判断公司是否符合法律规定的发行条件</w:t>
      </w:r>
    </w:p>
    <w:p>
      <w:pPr>
        <w:spacing w:line="170" w:lineRule="exact" w:before="0"/>
        <w:ind w:left="121" w:right="-18" w:firstLine="0"/>
        <w:jc w:val="left"/>
        <w:rPr>
          <w:rFonts w:ascii="Times New Roman" w:hAnsi="Times New Roman" w:cs="Times New Roman" w:eastAsia="Times New Roman" w:hint="default"/>
          <w:sz w:val="18"/>
          <w:szCs w:val="18"/>
        </w:rPr>
      </w:pPr>
      <w:r>
        <w:rPr/>
        <w:br w:type="column"/>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spacing w:line="214" w:lineRule="exact" w:before="74"/>
        <w:ind w:left="15"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长期有效</w:t>
      </w:r>
    </w:p>
    <w:p>
      <w:pPr>
        <w:spacing w:line="212" w:lineRule="exact" w:before="76"/>
        <w:ind w:left="8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在违反该</w:t>
      </w:r>
    </w:p>
    <w:p>
      <w:pPr>
        <w:spacing w:after="0" w:line="212" w:lineRule="exact"/>
        <w:jc w:val="left"/>
        <w:rPr>
          <w:rFonts w:ascii="宋体" w:hAnsi="宋体" w:cs="宋体" w:eastAsia="宋体" w:hint="default"/>
          <w:sz w:val="18"/>
          <w:szCs w:val="18"/>
        </w:rPr>
        <w:sectPr>
          <w:type w:val="continuous"/>
          <w:pgSz w:w="11910" w:h="16840"/>
          <w:pgMar w:top="1060" w:bottom="1160" w:left="1020" w:right="1020"/>
          <w:cols w:num="6" w:equalWidth="0">
            <w:col w:w="2679" w:space="40"/>
            <w:col w:w="839" w:space="40"/>
            <w:col w:w="3472" w:space="40"/>
            <w:col w:w="919" w:space="40"/>
            <w:col w:w="736" w:space="40"/>
            <w:col w:w="1025"/>
          </w:cols>
        </w:sectPr>
      </w:pPr>
    </w:p>
    <w:p>
      <w:pPr>
        <w:spacing w:line="180" w:lineRule="exact" w:before="0"/>
        <w:ind w:left="1418" w:right="-20" w:firstLine="0"/>
        <w:jc w:val="left"/>
        <w:rPr>
          <w:rFonts w:ascii="宋体" w:hAnsi="宋体" w:cs="宋体" w:eastAsia="宋体" w:hint="default"/>
          <w:sz w:val="18"/>
          <w:szCs w:val="18"/>
        </w:rPr>
      </w:pPr>
      <w:r>
        <w:rPr/>
        <w:pict>
          <v:group style="position:absolute;margin-left:56.400002pt;margin-top:71.759964pt;width:478.9pt;height:697pt;mso-position-horizontal-relative:page;mso-position-vertical-relative:page;z-index:-832312" coordorigin="1128,1435" coordsize="9578,13940">
            <v:group style="position:absolute;left:1140;top:1450;width:1266;height:5346" coordorigin="1140,1450" coordsize="1266,5346">
              <v:shape style="position:absolute;left:1140;top:1450;width:1266;height:5346" coordorigin="1140,1450" coordsize="1266,5346" path="m1140,6795l2405,6795,2405,1450,1140,1450,1140,6795xe" filled="true" fillcolor="#d2d2d2" stroked="false">
                <v:path arrowok="t"/>
                <v:fill type="solid"/>
              </v:shape>
            </v:group>
            <v:group style="position:absolute;left:1138;top:1445;width:1268;height:2" coordorigin="1138,1445" coordsize="1268,2">
              <v:shape style="position:absolute;left:1138;top:1445;width:1268;height:2" coordorigin="1138,1445" coordsize="1268,0" path="m1138,1445l2405,1445e" filled="false" stroked="true" strokeweight=".48pt" strokecolor="#000000">
                <v:path arrowok="t"/>
              </v:shape>
            </v:group>
            <v:group style="position:absolute;left:2415;top:1445;width:1410;height:2" coordorigin="2415,1445" coordsize="1410,2">
              <v:shape style="position:absolute;left:2415;top:1445;width:1410;height:2" coordorigin="2415,1445" coordsize="1410,0" path="m2415,1445l3824,1445e" filled="false" stroked="true" strokeweight=".48pt" strokecolor="#000000">
                <v:path arrowok="t"/>
              </v:shape>
            </v:group>
            <v:group style="position:absolute;left:3834;top:1445;width:982;height:2" coordorigin="3834,1445" coordsize="982,2">
              <v:shape style="position:absolute;left:3834;top:1445;width:982;height:2" coordorigin="3834,1445" coordsize="982,0" path="m3834,1445l4815,1445e" filled="false" stroked="true" strokeweight=".48pt" strokecolor="#000000">
                <v:path arrowok="t"/>
              </v:shape>
            </v:group>
            <v:group style="position:absolute;left:8229;top:1450;width:841;height:5346" coordorigin="8229,1450" coordsize="841,5346">
              <v:shape style="position:absolute;left:8229;top:1450;width:841;height:5346" coordorigin="8229,1450" coordsize="841,5346" path="m8229,6795l9069,6795,9069,1450,8229,1450,8229,6795xe" filled="true" fillcolor="#ffffff" stroked="false">
                <v:path arrowok="t"/>
                <v:fill type="solid"/>
              </v:shape>
            </v:group>
            <v:group style="position:absolute;left:4825;top:1445;width:3392;height:2" coordorigin="4825,1445" coordsize="3392,2">
              <v:shape style="position:absolute;left:4825;top:1445;width:3392;height:2" coordorigin="4825,1445" coordsize="3392,0" path="m4825,1445l8217,1445e" filled="false" stroked="true" strokeweight=".48pt" strokecolor="#000000">
                <v:path arrowok="t"/>
              </v:shape>
            </v:group>
            <v:group style="position:absolute;left:8226;top:1445;width:843;height:2" coordorigin="8226,1445" coordsize="843,2">
              <v:shape style="position:absolute;left:8226;top:1445;width:843;height:2" coordorigin="8226,1445" coordsize="843,0" path="m8226,1445l9069,1445e" filled="false" stroked="true" strokeweight=".48pt" strokecolor="#000000">
                <v:path arrowok="t"/>
              </v:shape>
            </v:group>
            <v:group style="position:absolute;left:9079;top:1445;width:840;height:2" coordorigin="9079,1445" coordsize="840,2">
              <v:shape style="position:absolute;left:9079;top:1445;width:840;height:2" coordorigin="9079,1445" coordsize="840,0" path="m9079,1445l9919,1445e" filled="false" stroked="true" strokeweight=".48pt" strokecolor="#000000">
                <v:path arrowok="t"/>
              </v:shape>
            </v:group>
            <v:group style="position:absolute;left:9928;top:1445;width:768;height:2" coordorigin="9928,1445" coordsize="768,2">
              <v:shape style="position:absolute;left:9928;top:1445;width:768;height:2" coordorigin="9928,1445" coordsize="768,0" path="m9928,1445l10696,1445e" filled="false" stroked="true" strokeweight=".48pt" strokecolor="#000000">
                <v:path arrowok="t"/>
              </v:shape>
            </v:group>
            <v:group style="position:absolute;left:1140;top:6795;width:1266;height:6642" coordorigin="1140,6795" coordsize="1266,6642">
              <v:shape style="position:absolute;left:1140;top:6795;width:1266;height:6642" coordorigin="1140,6795" coordsize="1266,6642" path="m1140,13437l2405,13437,2405,6795,1140,6795,1140,13437xe" filled="true" fillcolor="#d2d2d2" stroked="false">
                <v:path arrowok="t"/>
                <v:fill type="solid"/>
              </v:shape>
            </v:group>
            <v:group style="position:absolute;left:8229;top:6805;width:841;height:6633" coordorigin="8229,6805" coordsize="841,6633">
              <v:shape style="position:absolute;left:8229;top:6805;width:841;height:6633" coordorigin="8229,6805" coordsize="841,6633" path="m8229,13437l9069,13437,9069,6805,8229,6805,8229,13437xe" filled="true" fillcolor="#ffffff" stroked="false">
                <v:path arrowok="t"/>
                <v:fill type="solid"/>
              </v:shape>
            </v:group>
            <v:group style="position:absolute;left:8250;top:9769;width:795;height:353" coordorigin="8250,9769" coordsize="795,353">
              <v:shape style="position:absolute;left:8250;top:9769;width:795;height:353" coordorigin="8250,9769" coordsize="795,353" path="m8250,10122l9045,10122,9045,9769,8250,9769,8250,10122xe" filled="true" fillcolor="#ffffff" stroked="false">
                <v:path arrowok="t"/>
                <v:fill type="solid"/>
              </v:shape>
            </v:group>
            <v:group style="position:absolute;left:8250;top:10122;width:795;height:351" coordorigin="8250,10122" coordsize="795,351">
              <v:shape style="position:absolute;left:8250;top:10122;width:795;height:351" coordorigin="8250,10122" coordsize="795,351" path="m8250,10473l9045,10473,9045,10122,8250,10122,8250,10473xe" filled="true" fillcolor="#ffffff" stroked="false">
                <v:path arrowok="t"/>
                <v:fill type="solid"/>
              </v:shape>
            </v:group>
            <v:group style="position:absolute;left:2415;top:6800;width:1410;height:2" coordorigin="2415,6800" coordsize="1410,2">
              <v:shape style="position:absolute;left:2415;top:6800;width:1410;height:2" coordorigin="2415,6800" coordsize="1410,0" path="m2415,6800l3824,6800e" filled="false" stroked="true" strokeweight=".48001pt" strokecolor="#000000">
                <v:path arrowok="t"/>
              </v:shape>
            </v:group>
            <v:group style="position:absolute;left:3834;top:6800;width:982;height:2" coordorigin="3834,6800" coordsize="982,2">
              <v:shape style="position:absolute;left:3834;top:6800;width:982;height:2" coordorigin="3834,6800" coordsize="982,0" path="m3834,6800l4815,6800e" filled="false" stroked="true" strokeweight=".48001pt" strokecolor="#000000">
                <v:path arrowok="t"/>
              </v:shape>
            </v:group>
            <v:group style="position:absolute;left:4825;top:6800;width:3392;height:2" coordorigin="4825,6800" coordsize="3392,2">
              <v:shape style="position:absolute;left:4825;top:6800;width:3392;height:2" coordorigin="4825,6800" coordsize="3392,0" path="m4825,6800l8217,6800e" filled="false" stroked="true" strokeweight=".48001pt" strokecolor="#000000">
                <v:path arrowok="t"/>
              </v:shape>
            </v:group>
            <v:group style="position:absolute;left:8226;top:6800;width:843;height:2" coordorigin="8226,6800" coordsize="843,2">
              <v:shape style="position:absolute;left:8226;top:6800;width:843;height:2" coordorigin="8226,6800" coordsize="843,0" path="m8226,6800l9069,6800e" filled="false" stroked="true" strokeweight=".48001pt" strokecolor="#000000">
                <v:path arrowok="t"/>
              </v:shape>
            </v:group>
            <v:group style="position:absolute;left:9079;top:6800;width:840;height:2" coordorigin="9079,6800" coordsize="840,2">
              <v:shape style="position:absolute;left:9079;top:6800;width:840;height:2" coordorigin="9079,6800" coordsize="840,0" path="m9079,6800l9919,6800e" filled="false" stroked="true" strokeweight=".48001pt" strokecolor="#000000">
                <v:path arrowok="t"/>
              </v:shape>
            </v:group>
            <v:group style="position:absolute;left:9928;top:6800;width:768;height:2" coordorigin="9928,6800" coordsize="768,2">
              <v:shape style="position:absolute;left:9928;top:6800;width:768;height:2" coordorigin="9928,6800" coordsize="768,0" path="m9928,6800l10696,6800e" filled="false" stroked="true" strokeweight=".48001pt" strokecolor="#000000">
                <v:path arrowok="t"/>
              </v:shape>
            </v:group>
            <v:group style="position:absolute;left:1140;top:13437;width:1266;height:1923" coordorigin="1140,13437" coordsize="1266,1923">
              <v:shape style="position:absolute;left:1140;top:13437;width:1266;height:1923" coordorigin="1140,13437" coordsize="1266,1923" path="m1140,15360l2405,15360,2405,13437,1140,13437,1140,15360xe" filled="true" fillcolor="#d2d2d2" stroked="false">
                <v:path arrowok="t"/>
                <v:fill type="solid"/>
              </v:shape>
            </v:group>
            <v:group style="position:absolute;left:8229;top:13447;width:841;height:1914" coordorigin="8229,13447" coordsize="841,1914">
              <v:shape style="position:absolute;left:8229;top:13447;width:841;height:1914" coordorigin="8229,13447" coordsize="841,1914" path="m8229,15360l9069,15360,9069,13447,8229,13447,8229,15360xe" filled="true" fillcolor="#ffffff" stroked="false">
                <v:path arrowok="t"/>
                <v:fill type="solid"/>
              </v:shape>
            </v:group>
            <v:group style="position:absolute;left:8250;top:14052;width:795;height:353" coordorigin="8250,14052" coordsize="795,353">
              <v:shape style="position:absolute;left:8250;top:14052;width:795;height:353" coordorigin="8250,14052" coordsize="795,353" path="m8250,14404l9045,14404,9045,14052,8250,14052,8250,14404xe" filled="true" fillcolor="#ffffff" stroked="false">
                <v:path arrowok="t"/>
                <v:fill type="solid"/>
              </v:shape>
            </v:group>
            <v:group style="position:absolute;left:8250;top:14404;width:795;height:351" coordorigin="8250,14404" coordsize="795,351">
              <v:shape style="position:absolute;left:8250;top:14404;width:795;height:351" coordorigin="8250,14404" coordsize="795,351" path="m8250,14755l9045,14755,9045,14404,8250,14404,8250,14755xe" filled="true" fillcolor="#ffffff" stroked="false">
                <v:path arrowok="t"/>
                <v:fill type="solid"/>
              </v:shape>
            </v:group>
            <v:group style="position:absolute;left:2415;top:13442;width:1410;height:2" coordorigin="2415,13442" coordsize="1410,2">
              <v:shape style="position:absolute;left:2415;top:13442;width:1410;height:2" coordorigin="2415,13442" coordsize="1410,0" path="m2415,13442l3824,13442e" filled="false" stroked="true" strokeweight=".47998pt" strokecolor="#000000">
                <v:path arrowok="t"/>
              </v:shape>
            </v:group>
            <v:group style="position:absolute;left:3834;top:13442;width:982;height:2" coordorigin="3834,13442" coordsize="982,2">
              <v:shape style="position:absolute;left:3834;top:13442;width:982;height:2" coordorigin="3834,13442" coordsize="982,0" path="m3834,13442l4815,13442e" filled="false" stroked="true" strokeweight=".47998pt" strokecolor="#000000">
                <v:path arrowok="t"/>
              </v:shape>
            </v:group>
            <v:group style="position:absolute;left:4825;top:13442;width:3392;height:2" coordorigin="4825,13442" coordsize="3392,2">
              <v:shape style="position:absolute;left:4825;top:13442;width:3392;height:2" coordorigin="4825,13442" coordsize="3392,0" path="m4825,13442l8217,13442e" filled="false" stroked="true" strokeweight=".47998pt" strokecolor="#000000">
                <v:path arrowok="t"/>
              </v:shape>
            </v:group>
            <v:group style="position:absolute;left:8226;top:13442;width:843;height:2" coordorigin="8226,13442" coordsize="843,2">
              <v:shape style="position:absolute;left:8226;top:13442;width:843;height:2" coordorigin="8226,13442" coordsize="843,0" path="m8226,13442l9069,13442e" filled="false" stroked="true" strokeweight=".47998pt" strokecolor="#000000">
                <v:path arrowok="t"/>
              </v:shape>
            </v:group>
            <v:group style="position:absolute;left:9079;top:13442;width:840;height:2" coordorigin="9079,13442" coordsize="840,2">
              <v:shape style="position:absolute;left:9079;top:13442;width:840;height:2" coordorigin="9079,13442" coordsize="840,0" path="m9079,13442l9919,13442e" filled="false" stroked="true" strokeweight=".47998pt" strokecolor="#000000">
                <v:path arrowok="t"/>
              </v:shape>
            </v:group>
            <v:group style="position:absolute;left:9928;top:13442;width:768;height:2" coordorigin="9928,13442" coordsize="768,2">
              <v:shape style="position:absolute;left:9928;top:13442;width:768;height:2" coordorigin="9928,13442" coordsize="768,0" path="m9928,13442l10696,13442e" filled="false" stroked="true" strokeweight=".47998pt" strokecolor="#000000">
                <v:path arrowok="t"/>
              </v:shape>
            </v:group>
            <v:group style="position:absolute;left:1133;top:1440;width:2;height:13930" coordorigin="1133,1440" coordsize="2,13930">
              <v:shape style="position:absolute;left:1133;top:1440;width:2;height:13930" coordorigin="1133,1440" coordsize="0,13930" path="m1133,1440l1133,15370e" filled="false" stroked="true" strokeweight=".48pt" strokecolor="#000000">
                <v:path arrowok="t"/>
              </v:shape>
            </v:group>
            <v:group style="position:absolute;left:1138;top:15365;width:1268;height:2" coordorigin="1138,15365" coordsize="1268,2">
              <v:shape style="position:absolute;left:1138;top:15365;width:1268;height:2" coordorigin="1138,15365" coordsize="1268,0" path="m1138,15365l2405,15365e" filled="false" stroked="true" strokeweight=".47998pt" strokecolor="#000000">
                <v:path arrowok="t"/>
              </v:shape>
            </v:group>
            <v:group style="position:absolute;left:2410;top:1440;width:2;height:13930" coordorigin="2410,1440" coordsize="2,13930">
              <v:shape style="position:absolute;left:2410;top:1440;width:2;height:13930" coordorigin="2410,1440" coordsize="0,13930" path="m2410,1440l2410,15370e" filled="false" stroked="true" strokeweight=".48pt" strokecolor="#000000">
                <v:path arrowok="t"/>
              </v:shape>
            </v:group>
            <v:group style="position:absolute;left:2415;top:15365;width:1410;height:2" coordorigin="2415,15365" coordsize="1410,2">
              <v:shape style="position:absolute;left:2415;top:15365;width:1410;height:2" coordorigin="2415,15365" coordsize="1410,0" path="m2415,15365l3824,15365e" filled="false" stroked="true" strokeweight=".47998pt" strokecolor="#000000">
                <v:path arrowok="t"/>
              </v:shape>
            </v:group>
            <v:group style="position:absolute;left:3829;top:1440;width:2;height:13930" coordorigin="3829,1440" coordsize="2,13930">
              <v:shape style="position:absolute;left:3829;top:1440;width:2;height:13930" coordorigin="3829,1440" coordsize="0,13930" path="m3829,1440l3829,15370e" filled="false" stroked="true" strokeweight=".48pt" strokecolor="#000000">
                <v:path arrowok="t"/>
              </v:shape>
            </v:group>
            <v:group style="position:absolute;left:3834;top:15365;width:982;height:2" coordorigin="3834,15365" coordsize="982,2">
              <v:shape style="position:absolute;left:3834;top:15365;width:982;height:2" coordorigin="3834,15365" coordsize="982,0" path="m3834,15365l4815,15365e" filled="false" stroked="true" strokeweight=".47998pt" strokecolor="#000000">
                <v:path arrowok="t"/>
              </v:shape>
            </v:group>
            <v:group style="position:absolute;left:4820;top:1440;width:2;height:13930" coordorigin="4820,1440" coordsize="2,13930">
              <v:shape style="position:absolute;left:4820;top:1440;width:2;height:13930" coordorigin="4820,1440" coordsize="0,13930" path="m4820,1440l4820,15370e" filled="false" stroked="true" strokeweight=".48pt" strokecolor="#000000">
                <v:path arrowok="t"/>
              </v:shape>
            </v:group>
            <v:group style="position:absolute;left:4825;top:15365;width:3392;height:2" coordorigin="4825,15365" coordsize="3392,2">
              <v:shape style="position:absolute;left:4825;top:15365;width:3392;height:2" coordorigin="4825,15365" coordsize="3392,0" path="m4825,15365l8217,15365e" filled="false" stroked="true" strokeweight=".47998pt" strokecolor="#000000">
                <v:path arrowok="t"/>
              </v:shape>
            </v:group>
            <v:group style="position:absolute;left:8221;top:1440;width:2;height:13930" coordorigin="8221,1440" coordsize="2,13930">
              <v:shape style="position:absolute;left:8221;top:1440;width:2;height:13930" coordorigin="8221,1440" coordsize="0,13930" path="m8221,1440l8221,15370e" filled="false" stroked="true" strokeweight=".48001pt" strokecolor="#000000">
                <v:path arrowok="t"/>
              </v:shape>
            </v:group>
            <v:group style="position:absolute;left:8226;top:15365;width:843;height:2" coordorigin="8226,15365" coordsize="843,2">
              <v:shape style="position:absolute;left:8226;top:15365;width:843;height:2" coordorigin="8226,15365" coordsize="843,0" path="m8226,15365l9069,15365e" filled="false" stroked="true" strokeweight=".47998pt" strokecolor="#000000">
                <v:path arrowok="t"/>
              </v:shape>
            </v:group>
            <v:group style="position:absolute;left:9074;top:1440;width:2;height:13930" coordorigin="9074,1440" coordsize="2,13930">
              <v:shape style="position:absolute;left:9074;top:1440;width:2;height:13930" coordorigin="9074,1440" coordsize="0,13930" path="m9074,1440l9074,15370e" filled="false" stroked="true" strokeweight=".48001pt" strokecolor="#000000">
                <v:path arrowok="t"/>
              </v:shape>
            </v:group>
            <v:group style="position:absolute;left:9079;top:15365;width:840;height:2" coordorigin="9079,15365" coordsize="840,2">
              <v:shape style="position:absolute;left:9079;top:15365;width:840;height:2" coordorigin="9079,15365" coordsize="840,0" path="m9079,15365l9919,15365e" filled="false" stroked="true" strokeweight=".47998pt" strokecolor="#000000">
                <v:path arrowok="t"/>
              </v:shape>
            </v:group>
            <v:group style="position:absolute;left:9924;top:1440;width:2;height:13930" coordorigin="9924,1440" coordsize="2,13930">
              <v:shape style="position:absolute;left:9924;top:1440;width:2;height:13930" coordorigin="9924,1440" coordsize="0,13930" path="m9924,1440l9924,15370e" filled="false" stroked="true" strokeweight=".48001pt" strokecolor="#000000">
                <v:path arrowok="t"/>
              </v:shape>
            </v:group>
            <v:group style="position:absolute;left:9928;top:15365;width:768;height:2" coordorigin="9928,15365" coordsize="768,2">
              <v:shape style="position:absolute;left:9928;top:15365;width:768;height:2" coordorigin="9928,15365" coordsize="768,0" path="m9928,15365l10696,15365e" filled="false" stroked="true" strokeweight=".47998pt" strokecolor="#000000">
                <v:path arrowok="t"/>
              </v:shape>
            </v:group>
            <v:group style="position:absolute;left:10701;top:1440;width:2;height:13930" coordorigin="10701,1440" coordsize="2,13930">
              <v:shape style="position:absolute;left:10701;top:1440;width:2;height:13930" coordorigin="10701,1440" coordsize="0,13930" path="m10701,1440l10701,15370e" filled="false" stroked="true" strokeweight=".48004pt" strokecolor="#000000">
                <v:path arrowok="t"/>
              </v:shape>
            </v:group>
            <w10:wrap type="none"/>
          </v:group>
        </w:pict>
      </w:r>
      <w:r>
        <w:rPr>
          <w:rFonts w:ascii="宋体" w:hAnsi="宋体" w:cs="宋体" w:eastAsia="宋体" w:hint="default"/>
          <w:sz w:val="18"/>
          <w:szCs w:val="18"/>
        </w:rPr>
        <w:t>份有限公司</w:t>
      </w:r>
    </w:p>
    <w:p>
      <w:pPr>
        <w:spacing w:line="199" w:lineRule="exact" w:before="0"/>
        <w:ind w:left="1418" w:right="-15"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构成重大、实质影响的，首信股份将依法回</w:t>
      </w:r>
      <w:r>
        <w:rPr>
          <w:rFonts w:ascii="宋体" w:hAnsi="宋体" w:cs="宋体" w:eastAsia="宋体" w:hint="default"/>
          <w:spacing w:val="-35"/>
          <w:sz w:val="18"/>
          <w:szCs w:val="18"/>
        </w:rPr>
        <w:t> </w:t>
      </w:r>
      <w:r>
        <w:rPr>
          <w:rFonts w:ascii="宋体" w:hAnsi="宋体" w:cs="宋体" w:eastAsia="宋体" w:hint="default"/>
          <w:position w:val="2"/>
          <w:sz w:val="18"/>
          <w:szCs w:val="18"/>
        </w:rPr>
        <w:t>月</w:t>
      </w:r>
      <w:r>
        <w:rPr>
          <w:rFonts w:ascii="宋体" w:hAnsi="宋体" w:cs="宋体" w:eastAsia="宋体" w:hint="default"/>
          <w:spacing w:val="-45"/>
          <w:position w:val="2"/>
          <w:sz w:val="18"/>
          <w:szCs w:val="18"/>
        </w:rPr>
        <w:t> </w:t>
      </w:r>
      <w:r>
        <w:rPr>
          <w:rFonts w:ascii="Times New Roman" w:hAnsi="Times New Roman" w:cs="Times New Roman" w:eastAsia="Times New Roman" w:hint="default"/>
          <w:position w:val="2"/>
          <w:sz w:val="18"/>
          <w:szCs w:val="18"/>
        </w:rPr>
        <w:t>23</w:t>
      </w:r>
      <w:r>
        <w:rPr>
          <w:rFonts w:ascii="Times New Roman" w:hAnsi="Times New Roman" w:cs="Times New Roman" w:eastAsia="Times New Roman" w:hint="default"/>
          <w:spacing w:val="1"/>
          <w:position w:val="2"/>
          <w:sz w:val="18"/>
          <w:szCs w:val="18"/>
        </w:rPr>
        <w:t> </w:t>
      </w:r>
      <w:r>
        <w:rPr>
          <w:rFonts w:ascii="宋体" w:hAnsi="宋体" w:cs="宋体" w:eastAsia="宋体" w:hint="default"/>
          <w:position w:val="2"/>
          <w:sz w:val="18"/>
          <w:szCs w:val="18"/>
        </w:rPr>
        <w:t>日</w:t>
      </w:r>
      <w:r>
        <w:rPr>
          <w:rFonts w:ascii="宋体" w:hAnsi="宋体" w:cs="宋体" w:eastAsia="宋体" w:hint="default"/>
          <w:sz w:val="18"/>
          <w:szCs w:val="18"/>
        </w:rPr>
      </w:r>
    </w:p>
    <w:p>
      <w:pPr>
        <w:spacing w:line="316" w:lineRule="auto" w:before="76"/>
        <w:ind w:left="1418" w:right="671" w:firstLine="0"/>
        <w:jc w:val="left"/>
        <w:rPr>
          <w:rFonts w:ascii="宋体" w:hAnsi="宋体" w:cs="宋体" w:eastAsia="宋体" w:hint="default"/>
          <w:sz w:val="18"/>
          <w:szCs w:val="18"/>
        </w:rPr>
      </w:pPr>
      <w:r>
        <w:rPr>
          <w:rFonts w:ascii="宋体" w:hAnsi="宋体" w:cs="宋体" w:eastAsia="宋体" w:hint="default"/>
          <w:spacing w:val="-4"/>
          <w:sz w:val="18"/>
          <w:szCs w:val="18"/>
        </w:rPr>
        <w:t>购首次公开发行的全部新股（若发行人发生</w:t>
      </w:r>
      <w:r>
        <w:rPr>
          <w:rFonts w:ascii="宋体" w:hAnsi="宋体" w:cs="宋体" w:eastAsia="宋体" w:hint="default"/>
          <w:sz w:val="18"/>
          <w:szCs w:val="18"/>
        </w:rPr>
        <w:t> 送股、资本公积转增股本等除权除息事项</w:t>
      </w:r>
    </w:p>
    <w:p>
      <w:pPr>
        <w:spacing w:line="316" w:lineRule="auto" w:before="100"/>
        <w:ind w:left="1028" w:right="374" w:firstLine="0"/>
        <w:jc w:val="left"/>
        <w:rPr>
          <w:rFonts w:ascii="宋体" w:hAnsi="宋体" w:cs="宋体" w:eastAsia="宋体" w:hint="default"/>
          <w:sz w:val="18"/>
          <w:szCs w:val="18"/>
        </w:rPr>
      </w:pPr>
      <w:r>
        <w:rPr/>
        <w:br w:type="column"/>
      </w:r>
      <w:r>
        <w:rPr>
          <w:rFonts w:ascii="宋体" w:hAnsi="宋体" w:cs="宋体" w:eastAsia="宋体" w:hint="default"/>
          <w:sz w:val="18"/>
          <w:szCs w:val="18"/>
        </w:rPr>
        <w:t>承诺情 形。</w:t>
      </w:r>
    </w:p>
    <w:p>
      <w:pPr>
        <w:spacing w:after="0" w:line="316" w:lineRule="auto"/>
        <w:jc w:val="left"/>
        <w:rPr>
          <w:rFonts w:ascii="宋体" w:hAnsi="宋体" w:cs="宋体" w:eastAsia="宋体" w:hint="default"/>
          <w:sz w:val="18"/>
          <w:szCs w:val="18"/>
        </w:rPr>
        <w:sectPr>
          <w:type w:val="continuous"/>
          <w:pgSz w:w="11910" w:h="16840"/>
          <w:pgMar w:top="1060" w:bottom="1160" w:left="1020" w:right="1020"/>
          <w:cols w:num="3" w:equalWidth="0">
            <w:col w:w="2319" w:space="91"/>
            <w:col w:w="5454" w:space="40"/>
            <w:col w:w="1966"/>
          </w:cols>
        </w:sectPr>
      </w:pPr>
    </w:p>
    <w:p>
      <w:pPr>
        <w:spacing w:line="240" w:lineRule="auto" w:before="6"/>
        <w:rPr>
          <w:rFonts w:ascii="宋体" w:hAnsi="宋体" w:cs="宋体" w:eastAsia="宋体" w:hint="default"/>
          <w:sz w:val="28"/>
          <w:szCs w:val="28"/>
        </w:rPr>
      </w:pPr>
      <w:r>
        <w:rPr/>
        <w:pict>
          <v:group style="position:absolute;margin-left:411.429993pt;margin-top:72.47998pt;width:42.05pt;height:224.95pt;mso-position-horizontal-relative:page;mso-position-vertical-relative:page;z-index:-832288" coordorigin="8229,1450" coordsize="841,4499">
            <v:group style="position:absolute;left:8229;top:1450;width:841;height:2538" coordorigin="8229,1450" coordsize="841,2538">
              <v:shape style="position:absolute;left:8229;top:1450;width:841;height:2538" coordorigin="8229,1450" coordsize="841,2538" path="m8229,3987l9069,3987,9069,1450,8229,1450,8229,3987xe" filled="true" fillcolor="#ffffff" stroked="false">
                <v:path arrowok="t"/>
                <v:fill type="solid"/>
              </v:shape>
            </v:group>
            <v:group style="position:absolute;left:8229;top:3997;width:841;height:1952" coordorigin="8229,3997" coordsize="841,1952">
              <v:shape style="position:absolute;left:8229;top:3997;width:841;height:1952" coordorigin="8229,3997" coordsize="841,1952" path="m8229,5948l9069,5948,9069,3997,8229,3997,8229,5948xe" filled="true" fillcolor="#ffffff" stroked="false">
                <v:path arrowok="t"/>
                <v:fill type="solid"/>
              </v:shape>
            </v:group>
            <v:group style="position:absolute;left:8250;top:4621;width:795;height:354" coordorigin="8250,4621" coordsize="795,354">
              <v:shape style="position:absolute;left:8250;top:4621;width:795;height:354" coordorigin="8250,4621" coordsize="795,354" path="m8250,4974l9045,4974,9045,4621,8250,4621,8250,4974xe" filled="true" fillcolor="#ffffff" stroked="false">
                <v:path arrowok="t"/>
                <v:fill type="solid"/>
              </v:shape>
            </v:group>
            <v:group style="position:absolute;left:8250;top:4974;width:795;height:351" coordorigin="8250,4974" coordsize="795,351">
              <v:shape style="position:absolute;left:8250;top:4974;width:795;height:351" coordorigin="8250,4974" coordsize="795,351" path="m8250,5324l9045,5324,9045,4974,8250,4974,8250,5324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1276"/>
        <w:gridCol w:w="1419"/>
        <w:gridCol w:w="991"/>
        <w:gridCol w:w="3401"/>
        <w:gridCol w:w="853"/>
        <w:gridCol w:w="850"/>
        <w:gridCol w:w="778"/>
      </w:tblGrid>
      <w:tr>
        <w:trPr>
          <w:trHeight w:val="254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7"/>
              <w:jc w:val="left"/>
              <w:rPr>
                <w:rFonts w:ascii="宋体" w:hAnsi="宋体" w:cs="宋体" w:eastAsia="宋体" w:hint="default"/>
                <w:sz w:val="18"/>
                <w:szCs w:val="18"/>
              </w:rPr>
            </w:pPr>
            <w:r>
              <w:rPr>
                <w:rFonts w:ascii="宋体" w:hAnsi="宋体" w:cs="宋体" w:eastAsia="宋体" w:hint="default"/>
                <w:spacing w:val="-5"/>
                <w:sz w:val="18"/>
                <w:szCs w:val="18"/>
              </w:rPr>
              <w:t>的，回购数量应相应调整），回购价格以发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行价格（若发行人股票在此期间发生派息 送股、资本公积转增股本等除权除息事项 </w:t>
            </w:r>
            <w:r>
              <w:rPr>
                <w:rFonts w:ascii="宋体" w:hAnsi="宋体" w:cs="宋体" w:eastAsia="宋体" w:hint="default"/>
                <w:spacing w:val="-4"/>
                <w:sz w:val="18"/>
                <w:szCs w:val="18"/>
              </w:rPr>
              <w:t>的，发行价格应相应调整）加计同期存款基</w:t>
            </w:r>
            <w:r>
              <w:rPr>
                <w:rFonts w:ascii="宋体" w:hAnsi="宋体" w:cs="宋体" w:eastAsia="宋体" w:hint="default"/>
                <w:sz w:val="18"/>
                <w:szCs w:val="18"/>
              </w:rPr>
              <w:t> </w:t>
            </w:r>
            <w:r>
              <w:rPr>
                <w:rFonts w:ascii="宋体" w:hAnsi="宋体" w:cs="宋体" w:eastAsia="宋体" w:hint="default"/>
                <w:spacing w:val="-4"/>
                <w:sz w:val="18"/>
                <w:szCs w:val="18"/>
              </w:rPr>
              <w:t>准利率所对应的利息确定，具体程序按中国</w:t>
            </w:r>
            <w:r>
              <w:rPr>
                <w:rFonts w:ascii="宋体" w:hAnsi="宋体" w:cs="宋体" w:eastAsia="宋体" w:hint="default"/>
                <w:sz w:val="18"/>
                <w:szCs w:val="18"/>
              </w:rPr>
              <w:t> </w:t>
            </w:r>
            <w:r>
              <w:rPr>
                <w:rFonts w:ascii="宋体" w:hAnsi="宋体" w:cs="宋体" w:eastAsia="宋体" w:hint="default"/>
                <w:spacing w:val="-4"/>
                <w:sz w:val="18"/>
                <w:szCs w:val="18"/>
              </w:rPr>
              <w:t>证监会和证券交易所的相应规定办理。在实</w:t>
            </w:r>
            <w:r>
              <w:rPr>
                <w:rFonts w:ascii="宋体" w:hAnsi="宋体" w:cs="宋体" w:eastAsia="宋体" w:hint="default"/>
                <w:sz w:val="18"/>
                <w:szCs w:val="18"/>
              </w:rPr>
              <w:t> </w:t>
            </w:r>
            <w:r>
              <w:rPr>
                <w:rFonts w:ascii="宋体" w:hAnsi="宋体" w:cs="宋体" w:eastAsia="宋体" w:hint="default"/>
                <w:spacing w:val="-4"/>
                <w:sz w:val="18"/>
                <w:szCs w:val="18"/>
              </w:rPr>
              <w:t>施上述股份回购时，如法律法规、公司章程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等另有规定的从其规定。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冯晔</w:t>
            </w:r>
            <w:r>
              <w:rPr>
                <w:rFonts w:ascii="Times New Roman" w:hAnsi="Times New Roman" w:cs="Times New Roman" w:eastAsia="Times New Roman" w:hint="default"/>
                <w:sz w:val="18"/>
                <w:szCs w:val="18"/>
              </w:rPr>
              <w:t>;</w:t>
            </w:r>
            <w:r>
              <w:rPr>
                <w:rFonts w:ascii="宋体" w:hAnsi="宋体" w:cs="宋体" w:eastAsia="宋体" w:hint="default"/>
                <w:sz w:val="18"/>
                <w:szCs w:val="18"/>
              </w:rPr>
              <w:t>金锦萍</w:t>
            </w:r>
            <w:r>
              <w:rPr>
                <w:rFonts w:ascii="Times New Roman" w:hAnsi="Times New Roman" w:cs="Times New Roman" w:eastAsia="Times New Roman" w:hint="default"/>
                <w:sz w:val="18"/>
                <w:szCs w:val="18"/>
              </w:rPr>
              <w:t>;</w:t>
            </w:r>
            <w:r>
              <w:rPr>
                <w:rFonts w:ascii="宋体" w:hAnsi="宋体" w:cs="宋体" w:eastAsia="宋体" w:hint="default"/>
                <w:sz w:val="18"/>
                <w:szCs w:val="18"/>
              </w:rPr>
              <w:t>林雪 焰</w:t>
            </w:r>
            <w:r>
              <w:rPr>
                <w:rFonts w:ascii="Times New Roman" w:hAnsi="Times New Roman" w:cs="Times New Roman" w:eastAsia="Times New Roman" w:hint="default"/>
                <w:sz w:val="18"/>
                <w:szCs w:val="18"/>
              </w:rPr>
              <w:t>;</w:t>
            </w:r>
            <w:r>
              <w:rPr>
                <w:rFonts w:ascii="宋体" w:hAnsi="宋体" w:cs="宋体" w:eastAsia="宋体" w:hint="default"/>
                <w:sz w:val="18"/>
                <w:szCs w:val="18"/>
              </w:rPr>
              <w:t>刘汉莎</w:t>
            </w:r>
            <w:r>
              <w:rPr>
                <w:rFonts w:ascii="Times New Roman" w:hAnsi="Times New Roman" w:cs="Times New Roman" w:eastAsia="Times New Roman" w:hint="default"/>
                <w:sz w:val="18"/>
                <w:szCs w:val="18"/>
              </w:rPr>
              <w:t>;</w:t>
            </w:r>
            <w:r>
              <w:rPr>
                <w:rFonts w:ascii="宋体" w:hAnsi="宋体" w:cs="宋体" w:eastAsia="宋体" w:hint="default"/>
                <w:sz w:val="18"/>
                <w:szCs w:val="18"/>
              </w:rPr>
              <w:t>刘明 哲</w:t>
            </w:r>
            <w:r>
              <w:rPr>
                <w:rFonts w:ascii="Times New Roman" w:hAnsi="Times New Roman" w:cs="Times New Roman" w:eastAsia="Times New Roman" w:hint="default"/>
                <w:sz w:val="18"/>
                <w:szCs w:val="18"/>
              </w:rPr>
              <w:t>;</w:t>
            </w:r>
            <w:r>
              <w:rPr>
                <w:rFonts w:ascii="宋体" w:hAnsi="宋体" w:cs="宋体" w:eastAsia="宋体" w:hint="default"/>
                <w:sz w:val="18"/>
                <w:szCs w:val="18"/>
              </w:rPr>
              <w:t>卢贺会</w:t>
            </w:r>
            <w:r>
              <w:rPr>
                <w:rFonts w:ascii="Times New Roman" w:hAnsi="Times New Roman" w:cs="Times New Roman" w:eastAsia="Times New Roman" w:hint="default"/>
                <w:sz w:val="18"/>
                <w:szCs w:val="18"/>
              </w:rPr>
              <w:t>;</w:t>
            </w:r>
            <w:r>
              <w:rPr>
                <w:rFonts w:ascii="宋体" w:hAnsi="宋体" w:cs="宋体" w:eastAsia="宋体" w:hint="default"/>
                <w:sz w:val="18"/>
                <w:szCs w:val="18"/>
              </w:rPr>
              <w:t>卢磊</w:t>
            </w:r>
            <w:r>
              <w:rPr>
                <w:rFonts w:ascii="Times New Roman" w:hAnsi="Times New Roman" w:cs="Times New Roman" w:eastAsia="Times New Roman" w:hint="default"/>
                <w:sz w:val="18"/>
                <w:szCs w:val="18"/>
              </w:rPr>
              <w:t>; </w:t>
            </w:r>
            <w:r>
              <w:rPr>
                <w:rFonts w:ascii="宋体" w:hAnsi="宋体" w:cs="宋体" w:eastAsia="宋体" w:hint="default"/>
                <w:sz w:val="18"/>
                <w:szCs w:val="18"/>
              </w:rPr>
              <w:t>罗炜</w:t>
            </w:r>
            <w:r>
              <w:rPr>
                <w:rFonts w:ascii="Times New Roman" w:hAnsi="Times New Roman" w:cs="Times New Roman" w:eastAsia="Times New Roman" w:hint="default"/>
                <w:sz w:val="18"/>
                <w:szCs w:val="18"/>
              </w:rPr>
              <w:t>;</w:t>
            </w:r>
            <w:r>
              <w:rPr>
                <w:rFonts w:ascii="宋体" w:hAnsi="宋体" w:cs="宋体" w:eastAsia="宋体" w:hint="default"/>
                <w:sz w:val="18"/>
                <w:szCs w:val="18"/>
              </w:rPr>
              <w:t>吴舜皋</w:t>
            </w:r>
            <w:r>
              <w:rPr>
                <w:rFonts w:ascii="Times New Roman" w:hAnsi="Times New Roman" w:cs="Times New Roman" w:eastAsia="Times New Roman" w:hint="default"/>
                <w:sz w:val="18"/>
                <w:szCs w:val="18"/>
              </w:rPr>
              <w:t>;</w:t>
            </w:r>
            <w:r>
              <w:rPr>
                <w:rFonts w:ascii="宋体" w:hAnsi="宋体" w:cs="宋体" w:eastAsia="宋体" w:hint="default"/>
                <w:sz w:val="18"/>
                <w:szCs w:val="18"/>
              </w:rPr>
              <w:t>徐 哲</w:t>
            </w:r>
            <w:r>
              <w:rPr>
                <w:rFonts w:ascii="Times New Roman" w:hAnsi="Times New Roman" w:cs="Times New Roman" w:eastAsia="Times New Roman" w:hint="default"/>
                <w:sz w:val="18"/>
                <w:szCs w:val="18"/>
              </w:rPr>
              <w:t>;</w:t>
            </w:r>
            <w:r>
              <w:rPr>
                <w:rFonts w:ascii="宋体" w:hAnsi="宋体" w:cs="宋体" w:eastAsia="宋体" w:hint="default"/>
                <w:sz w:val="18"/>
                <w:szCs w:val="18"/>
              </w:rPr>
              <w:t>詹榜华</w:t>
            </w:r>
            <w:r>
              <w:rPr>
                <w:rFonts w:ascii="Times New Roman" w:hAnsi="Times New Roman" w:cs="Times New Roman" w:eastAsia="Times New Roman" w:hint="default"/>
                <w:sz w:val="18"/>
                <w:szCs w:val="18"/>
              </w:rPr>
              <w:t>;</w:t>
            </w:r>
            <w:r>
              <w:rPr>
                <w:rFonts w:ascii="宋体" w:hAnsi="宋体" w:cs="宋体" w:eastAsia="宋体" w:hint="default"/>
                <w:sz w:val="18"/>
                <w:szCs w:val="18"/>
              </w:rPr>
              <w:t>张益 谦</w:t>
            </w:r>
            <w:r>
              <w:rPr>
                <w:rFonts w:ascii="Times New Roman" w:hAnsi="Times New Roman" w:cs="Times New Roman" w:eastAsia="Times New Roman" w:hint="default"/>
                <w:sz w:val="18"/>
                <w:szCs w:val="18"/>
              </w:rPr>
              <w:t>;</w:t>
            </w:r>
            <w:r>
              <w:rPr>
                <w:rFonts w:ascii="宋体" w:hAnsi="宋体" w:cs="宋体" w:eastAsia="宋体" w:hint="default"/>
                <w:sz w:val="18"/>
                <w:szCs w:val="18"/>
              </w:rPr>
              <w:t>周贤伟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z w:val="18"/>
                <w:szCs w:val="18"/>
              </w:rPr>
              <w:t>如果公司首次公开发行并上市的招股说明 书有虚假记载、误导性陈述或者重大遗漏 致使投资者在证券发行和交易中遭受损失 </w:t>
            </w:r>
            <w:r>
              <w:rPr>
                <w:rFonts w:ascii="宋体" w:hAnsi="宋体" w:cs="宋体" w:eastAsia="宋体" w:hint="default"/>
                <w:spacing w:val="-4"/>
                <w:sz w:val="18"/>
                <w:szCs w:val="18"/>
              </w:rPr>
              <w:t>的，公司董事、监事和高级管理人员将依法</w:t>
            </w:r>
            <w:r>
              <w:rPr>
                <w:rFonts w:ascii="宋体" w:hAnsi="宋体" w:cs="宋体" w:eastAsia="宋体" w:hint="default"/>
                <w:sz w:val="18"/>
                <w:szCs w:val="18"/>
              </w:rPr>
              <w:t> 赔偿投资者损失。</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196" w:lineRule="exact"/>
              <w:ind w:left="-13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1" w:type="dxa"/>
            <w:vMerge w:val="restart"/>
            <w:tcBorders>
              <w:top w:val="single" w:sz="4" w:space="0" w:color="000000"/>
              <w:left w:val="single" w:sz="4" w:space="0" w:color="000000"/>
              <w:right w:val="single" w:sz="4" w:space="0" w:color="000000"/>
            </w:tcBorders>
            <w:shd w:val="clear" w:color="auto" w:fill="D2D2D2"/>
          </w:tcPr>
          <w:p>
            <w:pPr/>
          </w:p>
        </w:tc>
        <w:tc>
          <w:tcPr>
            <w:tcW w:w="340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778" w:type="dxa"/>
            <w:vMerge w:val="restart"/>
            <w:tcBorders>
              <w:top w:val="single" w:sz="4" w:space="0" w:color="000000"/>
              <w:left w:val="single" w:sz="4" w:space="0" w:color="000000"/>
              <w:right w:val="single" w:sz="4" w:space="0" w:color="000000"/>
            </w:tcBorders>
            <w:shd w:val="clear" w:color="auto" w:fill="D2D2D2"/>
          </w:tcPr>
          <w:p>
            <w:pPr/>
          </w:p>
        </w:tc>
      </w:tr>
      <w:tr>
        <w:trPr>
          <w:trHeight w:val="394"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shd w:val="clear" w:color="auto" w:fill="D2D2D2"/>
          </w:tcPr>
          <w:p>
            <w:pPr/>
          </w:p>
        </w:tc>
        <w:tc>
          <w:tcPr>
            <w:tcW w:w="3401" w:type="dxa"/>
            <w:tcBorders>
              <w:top w:val="nil" w:sz="6" w:space="0" w:color="auto"/>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778" w:type="dxa"/>
            <w:vMerge/>
            <w:tcBorders>
              <w:left w:val="single" w:sz="4" w:space="0" w:color="000000"/>
              <w:right w:val="single" w:sz="4" w:space="0" w:color="000000"/>
            </w:tcBorders>
            <w:shd w:val="clear" w:color="auto" w:fill="D2D2D2"/>
          </w:tcPr>
          <w:p>
            <w:pPr/>
          </w:p>
        </w:tc>
      </w:tr>
      <w:tr>
        <w:trPr>
          <w:trHeight w:val="166"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340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78"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291"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5"/>
        <w:rPr>
          <w:rFonts w:ascii="宋体" w:hAnsi="宋体" w:cs="宋体" w:eastAsia="宋体" w:hint="default"/>
          <w:sz w:val="19"/>
          <w:szCs w:val="19"/>
        </w:rPr>
      </w:pPr>
    </w:p>
    <w:p>
      <w:pPr>
        <w:pStyle w:val="Heading3"/>
        <w:spacing w:line="259"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12" w:right="3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13"/>
        <w:rPr>
          <w:rFonts w:ascii="宋体" w:hAnsi="宋体" w:cs="宋体" w:eastAsia="宋体" w:hint="default"/>
          <w:sz w:val="24"/>
          <w:szCs w:val="24"/>
        </w:rPr>
      </w:pPr>
    </w:p>
    <w:p>
      <w:pPr>
        <w:pStyle w:val="BodyText"/>
        <w:spacing w:line="240" w:lineRule="auto" w:before="36"/>
        <w:ind w:left="533" w:right="0"/>
        <w:jc w:val="left"/>
      </w:pPr>
      <w:r>
        <w:rPr/>
        <w:t>（</w:t>
      </w:r>
      <w:r>
        <w:rPr>
          <w:rFonts w:ascii="Times New Roman" w:hAnsi="Times New Roman" w:cs="Times New Roman" w:eastAsia="Times New Roman" w:hint="default"/>
        </w:rPr>
        <w:t>1</w:t>
      </w:r>
      <w:r>
        <w:rPr/>
        <w:t>）重要会计政策变更</w:t>
      </w:r>
    </w:p>
    <w:p>
      <w:pPr>
        <w:spacing w:line="240" w:lineRule="auto" w:before="12"/>
        <w:rPr>
          <w:rFonts w:ascii="宋体" w:hAnsi="宋体" w:cs="宋体" w:eastAsia="宋体" w:hint="default"/>
          <w:sz w:val="18"/>
          <w:szCs w:val="18"/>
        </w:rPr>
      </w:pPr>
    </w:p>
    <w:tbl>
      <w:tblPr>
        <w:tblW w:w="0" w:type="auto"/>
        <w:jc w:val="left"/>
        <w:tblInd w:w="112" w:type="dxa"/>
        <w:tblLayout w:type="fixed"/>
        <w:tblCellMar>
          <w:top w:w="0" w:type="dxa"/>
          <w:left w:w="0" w:type="dxa"/>
          <w:bottom w:w="0" w:type="dxa"/>
          <w:right w:w="0" w:type="dxa"/>
        </w:tblCellMar>
        <w:tblLook w:val="01E0"/>
      </w:tblPr>
      <w:tblGrid>
        <w:gridCol w:w="4337"/>
        <w:gridCol w:w="185"/>
        <w:gridCol w:w="1010"/>
        <w:gridCol w:w="1416"/>
        <w:gridCol w:w="1198"/>
        <w:gridCol w:w="1356"/>
      </w:tblGrid>
      <w:tr>
        <w:trPr>
          <w:trHeight w:val="348" w:hRule="exact"/>
        </w:trPr>
        <w:tc>
          <w:tcPr>
            <w:tcW w:w="4337" w:type="dxa"/>
            <w:tcBorders>
              <w:top w:val="single" w:sz="6" w:space="0" w:color="000000"/>
              <w:left w:val="nil" w:sz="6" w:space="0" w:color="auto"/>
              <w:bottom w:val="nil" w:sz="6" w:space="0" w:color="auto"/>
              <w:right w:val="nil" w:sz="6" w:space="0" w:color="auto"/>
            </w:tcBorders>
          </w:tcPr>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b/>
                <w:bCs/>
                <w:sz w:val="21"/>
                <w:szCs w:val="21"/>
              </w:rPr>
              <w:t>会计政策变更的内容和原因</w:t>
            </w:r>
            <w:r>
              <w:rPr>
                <w:rFonts w:ascii="宋体" w:hAnsi="宋体" w:cs="宋体" w:eastAsia="宋体" w:hint="default"/>
                <w:sz w:val="21"/>
                <w:szCs w:val="21"/>
              </w:rPr>
            </w:r>
          </w:p>
        </w:tc>
        <w:tc>
          <w:tcPr>
            <w:tcW w:w="1194" w:type="dxa"/>
            <w:gridSpan w:val="2"/>
            <w:tcBorders>
              <w:top w:val="single" w:sz="6" w:space="0" w:color="000000"/>
              <w:left w:val="nil" w:sz="6" w:space="0" w:color="auto"/>
              <w:bottom w:val="nil" w:sz="6" w:space="0" w:color="auto"/>
              <w:right w:val="nil" w:sz="6" w:space="0" w:color="auto"/>
            </w:tcBorders>
          </w:tcPr>
          <w:p>
            <w:pPr>
              <w:pStyle w:val="TableParagraph"/>
              <w:spacing w:line="274" w:lineRule="exact"/>
              <w:ind w:left="8" w:right="0"/>
              <w:jc w:val="left"/>
              <w:rPr>
                <w:rFonts w:ascii="宋体" w:hAnsi="宋体" w:cs="宋体" w:eastAsia="宋体" w:hint="default"/>
                <w:sz w:val="21"/>
                <w:szCs w:val="21"/>
              </w:rPr>
            </w:pPr>
            <w:r>
              <w:rPr>
                <w:rFonts w:ascii="宋体" w:hAnsi="宋体" w:cs="宋体" w:eastAsia="宋体" w:hint="default"/>
                <w:b/>
                <w:bCs/>
                <w:sz w:val="21"/>
                <w:szCs w:val="21"/>
              </w:rPr>
              <w:t>审批程序</w:t>
            </w:r>
            <w:r>
              <w:rPr>
                <w:rFonts w:ascii="宋体" w:hAnsi="宋体" w:cs="宋体" w:eastAsia="宋体" w:hint="default"/>
                <w:sz w:val="21"/>
                <w:szCs w:val="21"/>
              </w:rPr>
            </w:r>
          </w:p>
        </w:tc>
        <w:tc>
          <w:tcPr>
            <w:tcW w:w="1416" w:type="dxa"/>
            <w:vMerge w:val="restart"/>
            <w:tcBorders>
              <w:top w:val="single" w:sz="6" w:space="0" w:color="000000"/>
              <w:left w:val="nil" w:sz="6" w:space="0" w:color="auto"/>
              <w:right w:val="nil" w:sz="6" w:space="0" w:color="auto"/>
            </w:tcBorders>
          </w:tcPr>
          <w:p>
            <w:pPr>
              <w:pStyle w:val="TableParagraph"/>
              <w:spacing w:line="273" w:lineRule="auto"/>
              <w:ind w:left="496" w:right="72" w:hanging="423"/>
              <w:jc w:val="left"/>
              <w:rPr>
                <w:rFonts w:ascii="宋体" w:hAnsi="宋体" w:cs="宋体" w:eastAsia="宋体" w:hint="default"/>
                <w:sz w:val="21"/>
                <w:szCs w:val="21"/>
              </w:rPr>
            </w:pPr>
            <w:r>
              <w:rPr>
                <w:rFonts w:ascii="宋体" w:hAnsi="宋体" w:cs="宋体" w:eastAsia="宋体" w:hint="default"/>
                <w:b/>
                <w:bCs/>
                <w:sz w:val="21"/>
                <w:szCs w:val="21"/>
              </w:rPr>
              <w:t>受影响的报表</w:t>
            </w:r>
            <w:r>
              <w:rPr>
                <w:rFonts w:ascii="宋体" w:hAnsi="宋体" w:cs="宋体" w:eastAsia="宋体" w:hint="default"/>
                <w:b/>
                <w:bCs/>
                <w:spacing w:val="-104"/>
                <w:sz w:val="21"/>
                <w:szCs w:val="21"/>
              </w:rPr>
              <w:t> </w:t>
            </w:r>
            <w:r>
              <w:rPr>
                <w:rFonts w:ascii="宋体" w:hAnsi="宋体" w:cs="宋体" w:eastAsia="宋体" w:hint="default"/>
                <w:b/>
                <w:bCs/>
                <w:sz w:val="21"/>
                <w:szCs w:val="21"/>
              </w:rPr>
              <w:t>项目</w:t>
            </w:r>
            <w:r>
              <w:rPr>
                <w:rFonts w:ascii="宋体" w:hAnsi="宋体" w:cs="宋体" w:eastAsia="宋体" w:hint="default"/>
                <w:sz w:val="21"/>
                <w:szCs w:val="21"/>
              </w:rPr>
            </w:r>
          </w:p>
        </w:tc>
        <w:tc>
          <w:tcPr>
            <w:tcW w:w="2554" w:type="dxa"/>
            <w:gridSpan w:val="2"/>
            <w:tcBorders>
              <w:top w:val="single" w:sz="6" w:space="0" w:color="000000"/>
              <w:left w:val="nil" w:sz="6" w:space="0" w:color="auto"/>
              <w:bottom w:val="single" w:sz="6" w:space="0" w:color="000000"/>
              <w:right w:val="nil" w:sz="6" w:space="0" w:color="auto"/>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影响金额</w:t>
            </w:r>
            <w:r>
              <w:rPr>
                <w:rFonts w:ascii="宋体" w:hAnsi="宋体" w:cs="宋体" w:eastAsia="宋体" w:hint="default"/>
                <w:sz w:val="21"/>
                <w:szCs w:val="21"/>
              </w:rPr>
            </w:r>
          </w:p>
        </w:tc>
      </w:tr>
      <w:tr>
        <w:trPr>
          <w:trHeight w:val="346" w:hRule="exact"/>
        </w:trPr>
        <w:tc>
          <w:tcPr>
            <w:tcW w:w="4337" w:type="dxa"/>
            <w:tcBorders>
              <w:top w:val="nil" w:sz="6" w:space="0" w:color="auto"/>
              <w:left w:val="nil" w:sz="6" w:space="0" w:color="auto"/>
              <w:bottom w:val="single" w:sz="6" w:space="0" w:color="000000"/>
              <w:right w:val="nil" w:sz="6" w:space="0" w:color="auto"/>
            </w:tcBorders>
          </w:tcPr>
          <w:p>
            <w:pPr/>
          </w:p>
        </w:tc>
        <w:tc>
          <w:tcPr>
            <w:tcW w:w="185" w:type="dxa"/>
            <w:tcBorders>
              <w:top w:val="nil" w:sz="6" w:space="0" w:color="auto"/>
              <w:left w:val="nil" w:sz="6" w:space="0" w:color="auto"/>
              <w:bottom w:val="single" w:sz="6" w:space="0" w:color="000000"/>
              <w:right w:val="nil" w:sz="6" w:space="0" w:color="auto"/>
            </w:tcBorders>
          </w:tcPr>
          <w:p>
            <w:pPr/>
          </w:p>
        </w:tc>
        <w:tc>
          <w:tcPr>
            <w:tcW w:w="1010" w:type="dxa"/>
            <w:tcBorders>
              <w:top w:val="nil" w:sz="6" w:space="0" w:color="auto"/>
              <w:left w:val="nil" w:sz="6" w:space="0" w:color="auto"/>
              <w:bottom w:val="single" w:sz="6" w:space="0" w:color="000000"/>
              <w:right w:val="nil" w:sz="6" w:space="0" w:color="auto"/>
            </w:tcBorders>
          </w:tcPr>
          <w:p>
            <w:pPr/>
          </w:p>
        </w:tc>
        <w:tc>
          <w:tcPr>
            <w:tcW w:w="1416" w:type="dxa"/>
            <w:vMerge/>
            <w:tcBorders>
              <w:left w:val="nil" w:sz="6" w:space="0" w:color="auto"/>
              <w:bottom w:val="single" w:sz="6" w:space="0" w:color="000000"/>
              <w:right w:val="nil" w:sz="6" w:space="0" w:color="auto"/>
            </w:tcBorders>
          </w:tcPr>
          <w:p>
            <w:pPr/>
          </w:p>
        </w:tc>
        <w:tc>
          <w:tcPr>
            <w:tcW w:w="1198" w:type="dxa"/>
            <w:tcBorders>
              <w:top w:val="single" w:sz="6" w:space="0" w:color="000000"/>
              <w:left w:val="nil" w:sz="6" w:space="0" w:color="auto"/>
              <w:bottom w:val="single" w:sz="6" w:space="0" w:color="000000"/>
              <w:right w:val="nil" w:sz="6" w:space="0" w:color="auto"/>
            </w:tcBorders>
          </w:tcPr>
          <w:p>
            <w:pPr>
              <w:pStyle w:val="TableParagraph"/>
              <w:spacing w:line="290" w:lineRule="exact"/>
              <w:ind w:right="67"/>
              <w:jc w:val="righ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2016</w:t>
            </w:r>
            <w:r>
              <w:rPr>
                <w:rFonts w:ascii="宋体" w:hAnsi="宋体" w:cs="宋体" w:eastAsia="宋体" w:hint="default"/>
                <w:b/>
                <w:bCs/>
                <w:spacing w:val="-1"/>
                <w:sz w:val="21"/>
                <w:szCs w:val="21"/>
              </w:rPr>
              <w:t>年度</w:t>
            </w:r>
            <w:r>
              <w:rPr>
                <w:rFonts w:ascii="宋体" w:hAnsi="宋体" w:cs="宋体" w:eastAsia="宋体" w:hint="default"/>
                <w:spacing w:val="-1"/>
                <w:sz w:val="21"/>
                <w:szCs w:val="21"/>
              </w:rPr>
            </w:r>
          </w:p>
        </w:tc>
        <w:tc>
          <w:tcPr>
            <w:tcW w:w="1356" w:type="dxa"/>
            <w:tcBorders>
              <w:top w:val="single" w:sz="6" w:space="0" w:color="000000"/>
              <w:left w:val="nil" w:sz="6" w:space="0" w:color="auto"/>
              <w:bottom w:val="single" w:sz="6" w:space="0" w:color="000000"/>
              <w:right w:val="nil" w:sz="6" w:space="0" w:color="auto"/>
            </w:tcBorders>
          </w:tcPr>
          <w:p>
            <w:pPr>
              <w:pStyle w:val="TableParagraph"/>
              <w:spacing w:line="290" w:lineRule="exact"/>
              <w:ind w:right="7"/>
              <w:jc w:val="righ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2017</w:t>
            </w:r>
            <w:r>
              <w:rPr>
                <w:rFonts w:ascii="宋体" w:hAnsi="宋体" w:cs="宋体" w:eastAsia="宋体" w:hint="default"/>
                <w:b/>
                <w:bCs/>
                <w:spacing w:val="-1"/>
                <w:sz w:val="21"/>
                <w:szCs w:val="21"/>
              </w:rPr>
              <w:t>年度</w:t>
            </w:r>
            <w:r>
              <w:rPr>
                <w:rFonts w:ascii="宋体" w:hAnsi="宋体" w:cs="宋体" w:eastAsia="宋体" w:hint="default"/>
                <w:spacing w:val="-1"/>
                <w:sz w:val="21"/>
                <w:szCs w:val="21"/>
              </w:rPr>
            </w:r>
          </w:p>
        </w:tc>
      </w:tr>
      <w:tr>
        <w:trPr>
          <w:trHeight w:val="348" w:hRule="exact"/>
        </w:trPr>
        <w:tc>
          <w:tcPr>
            <w:tcW w:w="4337" w:type="dxa"/>
            <w:vMerge w:val="restart"/>
            <w:tcBorders>
              <w:top w:val="single" w:sz="6" w:space="0" w:color="000000"/>
              <w:left w:val="nil" w:sz="6" w:space="0" w:color="auto"/>
              <w:right w:val="nil" w:sz="6" w:space="0" w:color="auto"/>
            </w:tcBorders>
          </w:tcPr>
          <w:p>
            <w:pPr>
              <w:pStyle w:val="TableParagraph"/>
              <w:spacing w:line="240" w:lineRule="auto" w:before="2"/>
              <w:ind w:left="12" w:right="0"/>
              <w:jc w:val="left"/>
              <w:rPr>
                <w:rFonts w:ascii="宋体" w:hAnsi="宋体" w:cs="宋体" w:eastAsia="宋体" w:hint="default"/>
                <w:sz w:val="21"/>
                <w:szCs w:val="21"/>
              </w:rPr>
            </w:pPr>
            <w:r>
              <w:rPr>
                <w:rFonts w:ascii="宋体" w:hAnsi="宋体" w:cs="宋体" w:eastAsia="宋体" w:hint="default"/>
                <w:sz w:val="21"/>
                <w:szCs w:val="21"/>
              </w:rPr>
              <w:t>根据《企业会计准则第</w:t>
            </w:r>
            <w:r>
              <w:rPr>
                <w:rFonts w:ascii="Times New Roman" w:hAnsi="Times New Roman" w:cs="Times New Roman" w:eastAsia="Times New Roman" w:hint="default"/>
                <w:sz w:val="21"/>
                <w:szCs w:val="21"/>
              </w:rPr>
              <w:t>16</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政府补助》</w:t>
            </w:r>
          </w:p>
          <w:p>
            <w:pPr>
              <w:pStyle w:val="TableParagraph"/>
              <w:spacing w:line="266" w:lineRule="auto" w:before="21"/>
              <w:ind w:left="12" w:right="6"/>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2017</w:t>
            </w:r>
            <w:r>
              <w:rPr>
                <w:rFonts w:ascii="宋体" w:hAnsi="宋体" w:cs="宋体" w:eastAsia="宋体" w:hint="default"/>
                <w:spacing w:val="-6"/>
                <w:sz w:val="21"/>
                <w:szCs w:val="21"/>
              </w:rPr>
              <w:t>），政府补助的会计处理方法从总额法改</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6"/>
                <w:w w:val="100"/>
                <w:sz w:val="21"/>
                <w:szCs w:val="21"/>
              </w:rPr>
              <w:t>为允许采用净额法，将与资产相关的政府补助相</w:t>
            </w:r>
            <w:r>
              <w:rPr>
                <w:rFonts w:ascii="宋体" w:hAnsi="宋体" w:cs="宋体" w:eastAsia="宋体" w:hint="default"/>
                <w:w w:val="100"/>
                <w:sz w:val="21"/>
                <w:szCs w:val="21"/>
              </w:rPr>
              <w:t> </w:t>
            </w:r>
            <w:r>
              <w:rPr>
                <w:rFonts w:ascii="宋体" w:hAnsi="宋体" w:cs="宋体" w:eastAsia="宋体" w:hint="default"/>
                <w:sz w:val="21"/>
                <w:szCs w:val="21"/>
              </w:rPr>
              <w:t>关递延收益的摊销方式从在相关资产使用寿命</w:t>
            </w:r>
            <w:r>
              <w:rPr>
                <w:rFonts w:ascii="宋体" w:hAnsi="宋体" w:cs="宋体" w:eastAsia="宋体" w:hint="default"/>
                <w:w w:val="100"/>
                <w:sz w:val="21"/>
                <w:szCs w:val="21"/>
              </w:rPr>
              <w:t> </w:t>
            </w:r>
            <w:r>
              <w:rPr>
                <w:rFonts w:ascii="宋体" w:hAnsi="宋体" w:cs="宋体" w:eastAsia="宋体" w:hint="default"/>
                <w:spacing w:val="-6"/>
                <w:sz w:val="21"/>
                <w:szCs w:val="21"/>
              </w:rPr>
              <w:t>内平均分配改为按照合理、系统的方法分配，并</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w w:val="100"/>
                <w:sz w:val="21"/>
                <w:szCs w:val="21"/>
              </w:rPr>
              <w:t>修改了政府补助的列报项目。</w:t>
            </w:r>
            <w:r>
              <w:rPr>
                <w:rFonts w:ascii="Times New Roman" w:hAnsi="Times New Roman" w:cs="Times New Roman" w:eastAsia="Times New Roman" w:hint="default"/>
                <w:spacing w:val="-6"/>
                <w:w w:val="100"/>
                <w:sz w:val="21"/>
                <w:szCs w:val="21"/>
              </w:rPr>
              <w:t>2017</w:t>
            </w:r>
            <w:r>
              <w:rPr>
                <w:rFonts w:ascii="宋体" w:hAnsi="宋体" w:cs="宋体" w:eastAsia="宋体" w:hint="default"/>
                <w:spacing w:val="-6"/>
                <w:w w:val="100"/>
                <w:sz w:val="21"/>
                <w:szCs w:val="21"/>
              </w:rPr>
              <w:t>年</w:t>
            </w:r>
            <w:r>
              <w:rPr>
                <w:rFonts w:ascii="Times New Roman" w:hAnsi="Times New Roman" w:cs="Times New Roman" w:eastAsia="Times New Roman" w:hint="default"/>
                <w:spacing w:val="-6"/>
                <w:w w:val="100"/>
                <w:sz w:val="21"/>
                <w:szCs w:val="21"/>
              </w:rPr>
              <w:t>1</w:t>
            </w:r>
            <w:r>
              <w:rPr>
                <w:rFonts w:ascii="宋体" w:hAnsi="宋体" w:cs="宋体" w:eastAsia="宋体" w:hint="default"/>
                <w:spacing w:val="-6"/>
                <w:w w:val="100"/>
                <w:sz w:val="21"/>
                <w:szCs w:val="21"/>
              </w:rPr>
              <w:t>月</w:t>
            </w:r>
            <w:r>
              <w:rPr>
                <w:rFonts w:ascii="Times New Roman" w:hAnsi="Times New Roman" w:cs="Times New Roman" w:eastAsia="Times New Roman" w:hint="default"/>
                <w:spacing w:val="-6"/>
                <w:w w:val="100"/>
                <w:sz w:val="21"/>
                <w:szCs w:val="21"/>
              </w:rPr>
              <w:t>1</w:t>
            </w:r>
            <w:r>
              <w:rPr>
                <w:rFonts w:ascii="宋体" w:hAnsi="宋体" w:cs="宋体" w:eastAsia="宋体" w:hint="default"/>
                <w:spacing w:val="-6"/>
                <w:w w:val="100"/>
                <w:sz w:val="21"/>
                <w:szCs w:val="21"/>
              </w:rPr>
              <w:t>日尚未</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宋体" w:hAnsi="宋体" w:cs="宋体" w:eastAsia="宋体" w:hint="default"/>
                <w:sz w:val="21"/>
                <w:szCs w:val="21"/>
              </w:rPr>
              <w:t>摊销完毕的政府补助和</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年取得的政府补助</w:t>
            </w:r>
            <w:r>
              <w:rPr>
                <w:rFonts w:ascii="宋体" w:hAnsi="宋体" w:cs="宋体" w:eastAsia="宋体" w:hint="default"/>
                <w:w w:val="100"/>
                <w:sz w:val="21"/>
                <w:szCs w:val="21"/>
              </w:rPr>
              <w:t> </w:t>
            </w:r>
            <w:r>
              <w:rPr>
                <w:rFonts w:ascii="宋体" w:hAnsi="宋体" w:cs="宋体" w:eastAsia="宋体" w:hint="default"/>
                <w:sz w:val="21"/>
                <w:szCs w:val="21"/>
              </w:rPr>
              <w:t>适用修订后的准则。</w:t>
            </w:r>
            <w:r>
              <w:rPr>
                <w:rFonts w:ascii="宋体" w:hAnsi="宋体" w:cs="宋体" w:eastAsia="宋体" w:hint="default"/>
                <w:w w:val="100"/>
                <w:sz w:val="21"/>
                <w:szCs w:val="21"/>
              </w:rPr>
              <w:t> </w:t>
            </w:r>
            <w:r>
              <w:rPr>
                <w:rFonts w:ascii="宋体" w:hAnsi="宋体" w:cs="宋体" w:eastAsia="宋体" w:hint="default"/>
                <w:spacing w:val="-6"/>
                <w:w w:val="100"/>
                <w:sz w:val="21"/>
                <w:szCs w:val="21"/>
              </w:rPr>
              <w:t>对新的披露要求不需提供比较信息，不对比较报</w:t>
            </w:r>
            <w:r>
              <w:rPr>
                <w:rFonts w:ascii="宋体" w:hAnsi="宋体" w:cs="宋体" w:eastAsia="宋体" w:hint="default"/>
                <w:w w:val="100"/>
                <w:sz w:val="21"/>
                <w:szCs w:val="21"/>
              </w:rPr>
              <w:t> </w:t>
            </w:r>
            <w:r>
              <w:rPr>
                <w:rFonts w:ascii="宋体" w:hAnsi="宋体" w:cs="宋体" w:eastAsia="宋体" w:hint="default"/>
                <w:sz w:val="21"/>
                <w:szCs w:val="21"/>
              </w:rPr>
              <w:t>表中其他收益的列报进行相应调整。</w:t>
            </w:r>
          </w:p>
        </w:tc>
        <w:tc>
          <w:tcPr>
            <w:tcW w:w="185" w:type="dxa"/>
            <w:tcBorders>
              <w:top w:val="single" w:sz="6" w:space="0" w:color="000000"/>
              <w:left w:val="nil" w:sz="6" w:space="0" w:color="auto"/>
              <w:bottom w:val="nil" w:sz="6" w:space="0" w:color="auto"/>
              <w:right w:val="nil" w:sz="6" w:space="0" w:color="auto"/>
            </w:tcBorders>
          </w:tcPr>
          <w:p>
            <w:pPr/>
          </w:p>
        </w:tc>
        <w:tc>
          <w:tcPr>
            <w:tcW w:w="1010" w:type="dxa"/>
            <w:tcBorders>
              <w:top w:val="single" w:sz="6" w:space="0" w:color="000000"/>
              <w:left w:val="nil" w:sz="6" w:space="0" w:color="auto"/>
              <w:bottom w:val="nil" w:sz="6" w:space="0" w:color="auto"/>
              <w:right w:val="nil" w:sz="6" w:space="0" w:color="auto"/>
            </w:tcBorders>
          </w:tcPr>
          <w:p>
            <w:pPr>
              <w:pStyle w:val="TableParagraph"/>
              <w:spacing w:line="240" w:lineRule="auto" w:before="2"/>
              <w:ind w:left="94"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1416" w:type="dxa"/>
            <w:tcBorders>
              <w:top w:val="single" w:sz="6" w:space="0" w:color="000000"/>
              <w:left w:val="nil" w:sz="6" w:space="0" w:color="auto"/>
              <w:bottom w:val="single" w:sz="6" w:space="0" w:color="000000"/>
              <w:right w:val="nil" w:sz="6" w:space="0" w:color="auto"/>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198" w:type="dxa"/>
            <w:tcBorders>
              <w:top w:val="single" w:sz="6" w:space="0" w:color="000000"/>
              <w:left w:val="nil" w:sz="6" w:space="0" w:color="auto"/>
              <w:bottom w:val="single" w:sz="6" w:space="0" w:color="000000"/>
              <w:right w:val="nil" w:sz="6" w:space="0" w:color="auto"/>
            </w:tcBorders>
          </w:tcPr>
          <w:p>
            <w:pPr>
              <w:pStyle w:val="TableParagraph"/>
              <w:spacing w:line="240" w:lineRule="auto" w:before="48"/>
              <w:ind w:right="66"/>
              <w:jc w:val="right"/>
              <w:rPr>
                <w:rFonts w:ascii="Times New Roman" w:hAnsi="Times New Roman" w:cs="Times New Roman" w:eastAsia="Times New Roman" w:hint="default"/>
                <w:sz w:val="21"/>
                <w:szCs w:val="21"/>
              </w:rPr>
            </w:pPr>
            <w:r>
              <w:rPr>
                <w:rFonts w:ascii="Times New Roman"/>
                <w:w w:val="100"/>
                <w:sz w:val="21"/>
              </w:rPr>
              <w:t>-</w:t>
            </w:r>
          </w:p>
        </w:tc>
        <w:tc>
          <w:tcPr>
            <w:tcW w:w="1356" w:type="dxa"/>
            <w:tcBorders>
              <w:top w:val="single" w:sz="6" w:space="0" w:color="000000"/>
              <w:left w:val="nil" w:sz="6" w:space="0" w:color="auto"/>
              <w:bottom w:val="single" w:sz="6" w:space="0" w:color="000000"/>
              <w:right w:val="nil" w:sz="6" w:space="0" w:color="auto"/>
            </w:tcBorders>
          </w:tcPr>
          <w:p>
            <w:pPr>
              <w:pStyle w:val="TableParagraph"/>
              <w:spacing w:line="240" w:lineRule="auto" w:before="48"/>
              <w:ind w:right="7"/>
              <w:jc w:val="right"/>
              <w:rPr>
                <w:rFonts w:ascii="Times New Roman" w:hAnsi="Times New Roman" w:cs="Times New Roman" w:eastAsia="Times New Roman" w:hint="default"/>
                <w:sz w:val="21"/>
                <w:szCs w:val="21"/>
              </w:rPr>
            </w:pPr>
            <w:r>
              <w:rPr>
                <w:rFonts w:ascii="Times New Roman"/>
                <w:spacing w:val="-1"/>
                <w:sz w:val="21"/>
              </w:rPr>
              <w:t>13,748,053.97</w:t>
            </w:r>
          </w:p>
        </w:tc>
      </w:tr>
      <w:tr>
        <w:trPr>
          <w:trHeight w:val="2809" w:hRule="exact"/>
        </w:trPr>
        <w:tc>
          <w:tcPr>
            <w:tcW w:w="4337" w:type="dxa"/>
            <w:vMerge/>
            <w:tcBorders>
              <w:left w:val="nil" w:sz="6" w:space="0" w:color="auto"/>
              <w:bottom w:val="single" w:sz="6" w:space="0" w:color="000000"/>
              <w:right w:val="nil" w:sz="6" w:space="0" w:color="auto"/>
            </w:tcBorders>
          </w:tcPr>
          <w:p>
            <w:pPr/>
          </w:p>
        </w:tc>
        <w:tc>
          <w:tcPr>
            <w:tcW w:w="185" w:type="dxa"/>
            <w:tcBorders>
              <w:top w:val="nil" w:sz="6" w:space="0" w:color="auto"/>
              <w:left w:val="nil" w:sz="6" w:space="0" w:color="auto"/>
              <w:bottom w:val="single" w:sz="6" w:space="0" w:color="000000"/>
              <w:right w:val="nil" w:sz="6" w:space="0" w:color="auto"/>
            </w:tcBorders>
          </w:tcPr>
          <w:p>
            <w:pPr/>
          </w:p>
        </w:tc>
        <w:tc>
          <w:tcPr>
            <w:tcW w:w="1010" w:type="dxa"/>
            <w:tcBorders>
              <w:top w:val="nil" w:sz="6" w:space="0" w:color="auto"/>
              <w:left w:val="nil" w:sz="6" w:space="0" w:color="auto"/>
              <w:bottom w:val="single" w:sz="6" w:space="0" w:color="000000"/>
              <w:right w:val="nil" w:sz="6" w:space="0" w:color="auto"/>
            </w:tcBorders>
          </w:tcPr>
          <w:p>
            <w:pPr/>
          </w:p>
        </w:tc>
        <w:tc>
          <w:tcPr>
            <w:tcW w:w="1416" w:type="dxa"/>
            <w:tcBorders>
              <w:top w:val="single" w:sz="6" w:space="0" w:color="000000"/>
              <w:left w:val="nil" w:sz="6" w:space="0" w:color="auto"/>
              <w:bottom w:val="single" w:sz="6" w:space="0" w:color="000000"/>
              <w:right w:val="nil" w:sz="6" w:space="0" w:color="auto"/>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1198"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right="66"/>
              <w:jc w:val="right"/>
              <w:rPr>
                <w:rFonts w:ascii="Times New Roman" w:hAnsi="Times New Roman" w:cs="Times New Roman" w:eastAsia="Times New Roman" w:hint="default"/>
                <w:sz w:val="21"/>
                <w:szCs w:val="21"/>
              </w:rPr>
            </w:pPr>
            <w:r>
              <w:rPr>
                <w:rFonts w:ascii="Times New Roman"/>
                <w:w w:val="100"/>
                <w:sz w:val="21"/>
              </w:rPr>
              <w:t>-</w:t>
            </w:r>
          </w:p>
        </w:tc>
        <w:tc>
          <w:tcPr>
            <w:tcW w:w="1356"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1"/>
                <w:szCs w:val="21"/>
              </w:rPr>
            </w:pPr>
            <w:r>
              <w:rPr>
                <w:rFonts w:ascii="Times New Roman"/>
                <w:spacing w:val="-1"/>
                <w:sz w:val="21"/>
              </w:rPr>
              <w:t>-13,748,053.97</w:t>
            </w:r>
          </w:p>
        </w:tc>
      </w:tr>
      <w:tr>
        <w:trPr>
          <w:trHeight w:val="346" w:hRule="exact"/>
        </w:trPr>
        <w:tc>
          <w:tcPr>
            <w:tcW w:w="4521" w:type="dxa"/>
            <w:gridSpan w:val="2"/>
            <w:vMerge w:val="restart"/>
            <w:tcBorders>
              <w:top w:val="single" w:sz="6" w:space="0" w:color="000000"/>
              <w:left w:val="nil" w:sz="6" w:space="0" w:color="auto"/>
              <w:right w:val="nil" w:sz="6" w:space="0" w:color="auto"/>
            </w:tcBorders>
          </w:tcPr>
          <w:p>
            <w:pPr>
              <w:pStyle w:val="TableParagraph"/>
              <w:spacing w:line="268" w:lineRule="auto"/>
              <w:ind w:left="12" w:right="92"/>
              <w:jc w:val="left"/>
              <w:rPr>
                <w:rFonts w:ascii="宋体" w:hAnsi="宋体" w:cs="宋体" w:eastAsia="宋体" w:hint="default"/>
                <w:sz w:val="21"/>
                <w:szCs w:val="21"/>
              </w:rPr>
            </w:pPr>
            <w:r>
              <w:rPr>
                <w:rFonts w:ascii="宋体" w:hAnsi="宋体" w:cs="宋体" w:eastAsia="宋体" w:hint="default"/>
                <w:spacing w:val="-6"/>
                <w:w w:val="100"/>
                <w:sz w:val="21"/>
                <w:szCs w:val="21"/>
              </w:rPr>
              <w:t>根据《关于修订印发一般企业财务报表格式的通</w:t>
            </w:r>
            <w:r>
              <w:rPr>
                <w:rFonts w:ascii="宋体" w:hAnsi="宋体" w:cs="宋体" w:eastAsia="宋体" w:hint="default"/>
                <w:w w:val="100"/>
                <w:sz w:val="21"/>
                <w:szCs w:val="21"/>
              </w:rPr>
              <w:t> </w:t>
            </w:r>
            <w:r>
              <w:rPr>
                <w:rFonts w:ascii="宋体" w:hAnsi="宋体" w:cs="宋体" w:eastAsia="宋体" w:hint="default"/>
                <w:sz w:val="21"/>
                <w:szCs w:val="21"/>
              </w:rPr>
              <w:t>知》（财会</w:t>
            </w:r>
            <w:r>
              <w:rPr>
                <w:rFonts w:ascii="Times New Roman" w:hAnsi="Times New Roman" w:cs="Times New Roman" w:eastAsia="Times New Roman" w:hint="default"/>
                <w:sz w:val="21"/>
                <w:szCs w:val="21"/>
              </w:rPr>
              <w:t>[2017]30</w:t>
            </w:r>
            <w:r>
              <w:rPr>
                <w:rFonts w:ascii="宋体" w:hAnsi="宋体" w:cs="宋体" w:eastAsia="宋体" w:hint="default"/>
                <w:sz w:val="21"/>
                <w:szCs w:val="21"/>
              </w:rPr>
              <w:t>号），在利润表中新增</w:t>
            </w:r>
            <w:r>
              <w:rPr>
                <w:rFonts w:ascii="Times New Roman" w:hAnsi="Times New Roman" w:cs="Times New Roman" w:eastAsia="Times New Roman" w:hint="default"/>
                <w:sz w:val="21"/>
                <w:szCs w:val="21"/>
              </w:rPr>
              <w:t>“</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产处置收益</w:t>
            </w:r>
            <w:r>
              <w:rPr>
                <w:rFonts w:ascii="Times New Roman" w:hAnsi="Times New Roman" w:cs="Times New Roman" w:eastAsia="Times New Roman" w:hint="default"/>
                <w:sz w:val="21"/>
                <w:szCs w:val="21"/>
              </w:rPr>
              <w:t>”</w:t>
            </w:r>
            <w:r>
              <w:rPr>
                <w:rFonts w:ascii="宋体" w:hAnsi="宋体" w:cs="宋体" w:eastAsia="宋体" w:hint="default"/>
                <w:sz w:val="21"/>
                <w:szCs w:val="21"/>
              </w:rPr>
              <w:t>行项目，反映企业出售划分为持有</w:t>
            </w:r>
            <w:r>
              <w:rPr>
                <w:rFonts w:ascii="宋体" w:hAnsi="宋体" w:cs="宋体" w:eastAsia="宋体" w:hint="default"/>
                <w:w w:val="100"/>
                <w:sz w:val="21"/>
                <w:szCs w:val="21"/>
              </w:rPr>
              <w:t> </w:t>
            </w:r>
            <w:r>
              <w:rPr>
                <w:rFonts w:ascii="宋体" w:hAnsi="宋体" w:cs="宋体" w:eastAsia="宋体" w:hint="default"/>
                <w:spacing w:val="-6"/>
                <w:sz w:val="21"/>
                <w:szCs w:val="21"/>
              </w:rPr>
              <w:t>待售的非流动资产（金融工具、长期股权投资和</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w w:val="100"/>
                <w:sz w:val="21"/>
                <w:szCs w:val="21"/>
              </w:rPr>
              <w:t>投资性房地产除外）或处置组时确认的处置利得</w:t>
            </w:r>
            <w:r>
              <w:rPr>
                <w:rFonts w:ascii="宋体" w:hAnsi="宋体" w:cs="宋体" w:eastAsia="宋体" w:hint="default"/>
                <w:w w:val="100"/>
                <w:sz w:val="21"/>
                <w:szCs w:val="21"/>
              </w:rPr>
              <w:t> </w:t>
            </w:r>
            <w:r>
              <w:rPr>
                <w:rFonts w:ascii="宋体" w:hAnsi="宋体" w:cs="宋体" w:eastAsia="宋体" w:hint="default"/>
                <w:spacing w:val="-6"/>
                <w:sz w:val="21"/>
                <w:szCs w:val="21"/>
              </w:rPr>
              <w:t>或损失，处置未划分为持有待售的固定资产、在</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w w:val="100"/>
                <w:sz w:val="21"/>
                <w:szCs w:val="21"/>
              </w:rPr>
              <w:t>建工程、生产性生物资产及无形资产而产生的处</w:t>
            </w:r>
            <w:r>
              <w:rPr>
                <w:rFonts w:ascii="宋体" w:hAnsi="宋体" w:cs="宋体" w:eastAsia="宋体" w:hint="default"/>
                <w:w w:val="100"/>
                <w:sz w:val="21"/>
                <w:szCs w:val="21"/>
              </w:rPr>
              <w:t> </w:t>
            </w:r>
            <w:r>
              <w:rPr>
                <w:rFonts w:ascii="宋体" w:hAnsi="宋体" w:cs="宋体" w:eastAsia="宋体" w:hint="default"/>
                <w:spacing w:val="-6"/>
                <w:w w:val="100"/>
                <w:sz w:val="21"/>
                <w:szCs w:val="21"/>
              </w:rPr>
              <w:t>置利得或损失，以及债务重组中因处置非流动资</w:t>
            </w:r>
            <w:r>
              <w:rPr>
                <w:rFonts w:ascii="宋体" w:hAnsi="宋体" w:cs="宋体" w:eastAsia="宋体" w:hint="default"/>
                <w:w w:val="100"/>
                <w:sz w:val="21"/>
                <w:szCs w:val="21"/>
              </w:rPr>
              <w:t> </w:t>
            </w:r>
            <w:r>
              <w:rPr>
                <w:rFonts w:ascii="宋体" w:hAnsi="宋体" w:cs="宋体" w:eastAsia="宋体" w:hint="default"/>
                <w:sz w:val="21"/>
                <w:szCs w:val="21"/>
              </w:rPr>
              <w:t>产产生的利得或损失和非货币性资产交换产生</w:t>
            </w:r>
            <w:r>
              <w:rPr>
                <w:rFonts w:ascii="宋体" w:hAnsi="宋体" w:cs="宋体" w:eastAsia="宋体" w:hint="default"/>
                <w:w w:val="100"/>
                <w:sz w:val="21"/>
                <w:szCs w:val="21"/>
              </w:rPr>
              <w:t> </w:t>
            </w:r>
            <w:r>
              <w:rPr>
                <w:rFonts w:ascii="宋体" w:hAnsi="宋体" w:cs="宋体" w:eastAsia="宋体" w:hint="default"/>
                <w:sz w:val="21"/>
                <w:szCs w:val="21"/>
              </w:rPr>
              <w:t>的利得或损失。</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相应的删除</w:t>
            </w:r>
            <w:r>
              <w:rPr>
                <w:rFonts w:ascii="Times New Roman" w:hAnsi="Times New Roman" w:cs="Times New Roman" w:eastAsia="Times New Roman" w:hint="default"/>
                <w:sz w:val="21"/>
                <w:szCs w:val="21"/>
              </w:rPr>
              <w:t>“</w:t>
            </w:r>
            <w:r>
              <w:rPr>
                <w:rFonts w:ascii="宋体" w:hAnsi="宋体" w:cs="宋体" w:eastAsia="宋体" w:hint="default"/>
                <w:sz w:val="21"/>
                <w:szCs w:val="21"/>
              </w:rPr>
              <w:t>营业外收入</w:t>
            </w:r>
            <w:r>
              <w:rPr>
                <w:rFonts w:ascii="Times New Roman" w:hAnsi="Times New Roman" w:cs="Times New Roman" w:eastAsia="Times New Roman" w:hint="default"/>
                <w:sz w:val="21"/>
                <w:szCs w:val="21"/>
              </w:rPr>
              <w:t>”</w:t>
            </w:r>
            <w:r>
              <w:rPr>
                <w:rFonts w:ascii="宋体" w:hAnsi="宋体" w:cs="宋体" w:eastAsia="宋体" w:hint="default"/>
                <w:sz w:val="21"/>
                <w:szCs w:val="21"/>
              </w:rPr>
              <w:t>和</w:t>
            </w:r>
            <w:r>
              <w:rPr>
                <w:rFonts w:ascii="Times New Roman" w:hAnsi="Times New Roman" w:cs="Times New Roman" w:eastAsia="Times New Roman" w:hint="default"/>
                <w:sz w:val="21"/>
                <w:szCs w:val="21"/>
              </w:rPr>
              <w:t>“</w:t>
            </w:r>
            <w:r>
              <w:rPr>
                <w:rFonts w:ascii="宋体" w:hAnsi="宋体" w:cs="宋体" w:eastAsia="宋体" w:hint="default"/>
                <w:sz w:val="21"/>
                <w:szCs w:val="21"/>
              </w:rPr>
              <w:t>营业外支出</w:t>
            </w:r>
            <w:r>
              <w:rPr>
                <w:rFonts w:ascii="Times New Roman" w:hAnsi="Times New Roman" w:cs="Times New Roman" w:eastAsia="Times New Roman" w:hint="default"/>
                <w:sz w:val="21"/>
                <w:szCs w:val="21"/>
              </w:rPr>
              <w:t>”</w:t>
            </w:r>
            <w:r>
              <w:rPr>
                <w:rFonts w:ascii="宋体" w:hAnsi="宋体" w:cs="宋体" w:eastAsia="宋体" w:hint="default"/>
                <w:sz w:val="21"/>
                <w:szCs w:val="21"/>
              </w:rPr>
              <w:t>项下</w:t>
            </w:r>
            <w:r>
              <w:rPr>
                <w:rFonts w:ascii="宋体" w:hAnsi="宋体" w:cs="宋体" w:eastAsia="宋体" w:hint="default"/>
                <w:w w:val="100"/>
                <w:sz w:val="21"/>
                <w:szCs w:val="21"/>
              </w:rPr>
              <w:t> </w:t>
            </w:r>
            <w:r>
              <w:rPr>
                <w:rFonts w:ascii="宋体" w:hAnsi="宋体" w:cs="宋体" w:eastAsia="宋体" w:hint="default"/>
                <w:sz w:val="21"/>
                <w:szCs w:val="21"/>
              </w:rPr>
              <w:t>的</w:t>
            </w:r>
            <w:r>
              <w:rPr>
                <w:rFonts w:ascii="Times New Roman" w:hAnsi="Times New Roman" w:cs="Times New Roman" w:eastAsia="Times New Roman" w:hint="default"/>
                <w:sz w:val="21"/>
                <w:szCs w:val="21"/>
              </w:rPr>
              <w:t>“</w:t>
            </w:r>
            <w:r>
              <w:rPr>
                <w:rFonts w:ascii="宋体" w:hAnsi="宋体" w:cs="宋体" w:eastAsia="宋体" w:hint="default"/>
                <w:sz w:val="21"/>
                <w:szCs w:val="21"/>
              </w:rPr>
              <w:t>其中：非流动资产处置利得</w:t>
            </w:r>
            <w:r>
              <w:rPr>
                <w:rFonts w:ascii="Times New Roman" w:hAnsi="Times New Roman" w:cs="Times New Roman" w:eastAsia="Times New Roman" w:hint="default"/>
                <w:sz w:val="21"/>
                <w:szCs w:val="21"/>
              </w:rPr>
              <w:t>”</w:t>
            </w:r>
            <w:r>
              <w:rPr>
                <w:rFonts w:ascii="宋体" w:hAnsi="宋体" w:cs="宋体" w:eastAsia="宋体" w:hint="default"/>
                <w:sz w:val="21"/>
                <w:szCs w:val="21"/>
              </w:rPr>
              <w:t>和</w:t>
            </w:r>
            <w:r>
              <w:rPr>
                <w:rFonts w:ascii="Times New Roman" w:hAnsi="Times New Roman" w:cs="Times New Roman" w:eastAsia="Times New Roman" w:hint="default"/>
                <w:sz w:val="21"/>
                <w:szCs w:val="21"/>
              </w:rPr>
              <w:t>“</w:t>
            </w:r>
            <w:r>
              <w:rPr>
                <w:rFonts w:ascii="宋体" w:hAnsi="宋体" w:cs="宋体" w:eastAsia="宋体" w:hint="default"/>
                <w:sz w:val="21"/>
                <w:szCs w:val="21"/>
              </w:rPr>
              <w:t>其中：非流</w:t>
            </w:r>
            <w:r>
              <w:rPr>
                <w:rFonts w:ascii="宋体" w:hAnsi="宋体" w:cs="宋体" w:eastAsia="宋体" w:hint="default"/>
                <w:w w:val="100"/>
                <w:sz w:val="21"/>
                <w:szCs w:val="21"/>
              </w:rPr>
              <w:t> </w:t>
            </w:r>
            <w:r>
              <w:rPr>
                <w:rFonts w:ascii="宋体" w:hAnsi="宋体" w:cs="宋体" w:eastAsia="宋体" w:hint="default"/>
                <w:sz w:val="21"/>
                <w:szCs w:val="21"/>
              </w:rPr>
              <w:t>动资产处置损失</w:t>
            </w:r>
            <w:r>
              <w:rPr>
                <w:rFonts w:ascii="Times New Roman" w:hAnsi="Times New Roman" w:cs="Times New Roman" w:eastAsia="Times New Roman" w:hint="default"/>
                <w:sz w:val="21"/>
                <w:szCs w:val="21"/>
              </w:rPr>
              <w:t>”</w:t>
            </w:r>
            <w:r>
              <w:rPr>
                <w:rFonts w:ascii="宋体" w:hAnsi="宋体" w:cs="宋体" w:eastAsia="宋体" w:hint="default"/>
                <w:sz w:val="21"/>
                <w:szCs w:val="21"/>
              </w:rPr>
              <w:t>项目，反映企业发生的营业利</w:t>
            </w:r>
            <w:r>
              <w:rPr>
                <w:rFonts w:ascii="宋体" w:hAnsi="宋体" w:cs="宋体" w:eastAsia="宋体" w:hint="default"/>
                <w:w w:val="100"/>
                <w:sz w:val="21"/>
                <w:szCs w:val="21"/>
              </w:rPr>
              <w:t> </w:t>
            </w:r>
            <w:r>
              <w:rPr>
                <w:rFonts w:ascii="宋体" w:hAnsi="宋体" w:cs="宋体" w:eastAsia="宋体" w:hint="default"/>
                <w:spacing w:val="-2"/>
                <w:sz w:val="21"/>
                <w:szCs w:val="21"/>
              </w:rPr>
              <w:t>润以外的收益，主要包括债务重组利得或损失、</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6"/>
                <w:w w:val="100"/>
                <w:sz w:val="21"/>
                <w:szCs w:val="21"/>
              </w:rPr>
              <w:t>与企业日常活动无关的政府补助、公益性捐赠支</w:t>
            </w:r>
            <w:r>
              <w:rPr>
                <w:rFonts w:ascii="宋体" w:hAnsi="宋体" w:cs="宋体" w:eastAsia="宋体" w:hint="default"/>
                <w:w w:val="100"/>
                <w:sz w:val="21"/>
                <w:szCs w:val="21"/>
              </w:rPr>
              <w:t> </w:t>
            </w:r>
            <w:r>
              <w:rPr>
                <w:rFonts w:ascii="宋体" w:hAnsi="宋体" w:cs="宋体" w:eastAsia="宋体" w:hint="default"/>
                <w:spacing w:val="-7"/>
                <w:sz w:val="21"/>
                <w:szCs w:val="21"/>
              </w:rPr>
              <w:t>出、非常损失、盘盈利得或损失、捐赠利得、流</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动资产毁损报废损失等。</w:t>
            </w:r>
            <w:r>
              <w:rPr>
                <w:rFonts w:ascii="宋体" w:hAnsi="宋体" w:cs="宋体" w:eastAsia="宋体" w:hint="default"/>
                <w:w w:val="100"/>
                <w:sz w:val="21"/>
                <w:szCs w:val="21"/>
              </w:rPr>
              <w:t> </w:t>
            </w:r>
            <w:r>
              <w:rPr>
                <w:rFonts w:ascii="宋体" w:hAnsi="宋体" w:cs="宋体" w:eastAsia="宋体" w:hint="default"/>
                <w:sz w:val="21"/>
                <w:szCs w:val="21"/>
              </w:rPr>
              <w:t>对比较报表的列报进行了相应调整。</w:t>
            </w:r>
          </w:p>
        </w:tc>
        <w:tc>
          <w:tcPr>
            <w:tcW w:w="1010" w:type="dxa"/>
            <w:tcBorders>
              <w:top w:val="single" w:sz="6" w:space="0" w:color="000000"/>
              <w:left w:val="nil" w:sz="6" w:space="0" w:color="auto"/>
              <w:bottom w:val="nil" w:sz="6" w:space="0" w:color="auto"/>
              <w:right w:val="nil" w:sz="6" w:space="0" w:color="auto"/>
            </w:tcBorders>
          </w:tcPr>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1416" w:type="dxa"/>
            <w:tcBorders>
              <w:top w:val="single" w:sz="6" w:space="0" w:color="000000"/>
              <w:left w:val="nil" w:sz="6" w:space="0" w:color="auto"/>
              <w:bottom w:val="single" w:sz="6"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资产处置损益</w:t>
            </w:r>
          </w:p>
        </w:tc>
        <w:tc>
          <w:tcPr>
            <w:tcW w:w="1198"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right="65"/>
              <w:jc w:val="right"/>
              <w:rPr>
                <w:rFonts w:ascii="Times New Roman" w:hAnsi="Times New Roman" w:cs="Times New Roman" w:eastAsia="Times New Roman" w:hint="default"/>
                <w:sz w:val="21"/>
                <w:szCs w:val="21"/>
              </w:rPr>
            </w:pPr>
            <w:r>
              <w:rPr>
                <w:rFonts w:ascii="Times New Roman"/>
                <w:spacing w:val="-1"/>
                <w:sz w:val="21"/>
              </w:rPr>
              <w:t>181,135.08</w:t>
            </w:r>
          </w:p>
        </w:tc>
        <w:tc>
          <w:tcPr>
            <w:tcW w:w="1356"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1"/>
                <w:szCs w:val="21"/>
              </w:rPr>
            </w:pPr>
            <w:r>
              <w:rPr>
                <w:rFonts w:ascii="Times New Roman"/>
                <w:spacing w:val="-1"/>
                <w:sz w:val="21"/>
              </w:rPr>
              <w:t>-21,846.96</w:t>
            </w:r>
          </w:p>
        </w:tc>
      </w:tr>
      <w:tr>
        <w:trPr>
          <w:trHeight w:val="5307" w:hRule="exact"/>
        </w:trPr>
        <w:tc>
          <w:tcPr>
            <w:tcW w:w="4521" w:type="dxa"/>
            <w:gridSpan w:val="2"/>
            <w:vMerge/>
            <w:tcBorders>
              <w:left w:val="nil" w:sz="6" w:space="0" w:color="auto"/>
              <w:bottom w:val="single" w:sz="6" w:space="0" w:color="000000"/>
              <w:right w:val="nil" w:sz="6" w:space="0" w:color="auto"/>
            </w:tcBorders>
          </w:tcPr>
          <w:p>
            <w:pPr/>
          </w:p>
        </w:tc>
        <w:tc>
          <w:tcPr>
            <w:tcW w:w="1010" w:type="dxa"/>
            <w:tcBorders>
              <w:top w:val="nil" w:sz="6" w:space="0" w:color="auto"/>
              <w:left w:val="nil" w:sz="6" w:space="0" w:color="auto"/>
              <w:bottom w:val="single" w:sz="6" w:space="0" w:color="000000"/>
              <w:right w:val="nil" w:sz="6" w:space="0" w:color="auto"/>
            </w:tcBorders>
          </w:tcPr>
          <w:p>
            <w:pPr/>
          </w:p>
        </w:tc>
        <w:tc>
          <w:tcPr>
            <w:tcW w:w="1416" w:type="dxa"/>
            <w:tcBorders>
              <w:top w:val="single" w:sz="6" w:space="0" w:color="000000"/>
              <w:left w:val="nil" w:sz="6" w:space="0" w:color="auto"/>
              <w:bottom w:val="single" w:sz="6" w:space="0" w:color="000000"/>
              <w:right w:val="nil" w:sz="6" w:space="0" w:color="auto"/>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1198" w:type="dxa"/>
            <w:tcBorders>
              <w:top w:val="single" w:sz="6" w:space="0" w:color="000000"/>
              <w:left w:val="nil" w:sz="6" w:space="0" w:color="auto"/>
              <w:bottom w:val="single" w:sz="6" w:space="0" w:color="000000"/>
              <w:right w:val="nil" w:sz="6" w:space="0" w:color="auto"/>
            </w:tcBorders>
          </w:tcPr>
          <w:p>
            <w:pPr>
              <w:pStyle w:val="TableParagraph"/>
              <w:spacing w:line="240" w:lineRule="auto" w:before="48"/>
              <w:ind w:right="65"/>
              <w:jc w:val="right"/>
              <w:rPr>
                <w:rFonts w:ascii="Times New Roman" w:hAnsi="Times New Roman" w:cs="Times New Roman" w:eastAsia="Times New Roman" w:hint="default"/>
                <w:sz w:val="21"/>
                <w:szCs w:val="21"/>
              </w:rPr>
            </w:pPr>
            <w:r>
              <w:rPr>
                <w:rFonts w:ascii="Times New Roman"/>
                <w:spacing w:val="-1"/>
                <w:sz w:val="21"/>
              </w:rPr>
              <w:t>-181,135.08</w:t>
            </w:r>
          </w:p>
        </w:tc>
        <w:tc>
          <w:tcPr>
            <w:tcW w:w="1356" w:type="dxa"/>
            <w:tcBorders>
              <w:top w:val="single" w:sz="6" w:space="0" w:color="000000"/>
              <w:left w:val="nil" w:sz="6" w:space="0" w:color="auto"/>
              <w:bottom w:val="single" w:sz="6" w:space="0" w:color="000000"/>
              <w:right w:val="nil" w:sz="6" w:space="0" w:color="auto"/>
            </w:tcBorders>
          </w:tcPr>
          <w:p>
            <w:pPr>
              <w:pStyle w:val="TableParagraph"/>
              <w:spacing w:line="240" w:lineRule="auto" w:before="48"/>
              <w:ind w:right="7"/>
              <w:jc w:val="right"/>
              <w:rPr>
                <w:rFonts w:ascii="Times New Roman" w:hAnsi="Times New Roman" w:cs="Times New Roman" w:eastAsia="Times New Roman" w:hint="default"/>
                <w:sz w:val="21"/>
                <w:szCs w:val="21"/>
              </w:rPr>
            </w:pPr>
            <w:r>
              <w:rPr>
                <w:rFonts w:ascii="Times New Roman"/>
                <w:spacing w:val="-1"/>
                <w:sz w:val="21"/>
              </w:rPr>
              <w:t>21,846.96</w:t>
            </w:r>
          </w:p>
        </w:tc>
      </w:tr>
    </w:tbl>
    <w:p>
      <w:pPr>
        <w:spacing w:line="240" w:lineRule="auto" w:before="8"/>
        <w:rPr>
          <w:rFonts w:ascii="宋体" w:hAnsi="宋体" w:cs="宋体" w:eastAsia="宋体" w:hint="default"/>
          <w:sz w:val="5"/>
          <w:szCs w:val="5"/>
        </w:rPr>
      </w:pPr>
    </w:p>
    <w:p>
      <w:pPr>
        <w:pStyle w:val="BodyText"/>
        <w:spacing w:line="357" w:lineRule="auto" w:before="36"/>
        <w:ind w:left="533" w:right="5454"/>
        <w:jc w:val="left"/>
      </w:pPr>
      <w:r>
        <w:rPr/>
        <w:t>（</w:t>
      </w:r>
      <w:r>
        <w:rPr>
          <w:rFonts w:ascii="Times New Roman" w:hAnsi="Times New Roman" w:cs="Times New Roman" w:eastAsia="Times New Roman" w:hint="default"/>
        </w:rPr>
        <w:t>2</w:t>
      </w:r>
      <w:r>
        <w:rPr/>
        <w:t>）重要会计估计变更</w:t>
      </w:r>
      <w:r>
        <w:rPr>
          <w:w w:val="100"/>
        </w:rPr>
        <w:t> </w:t>
      </w:r>
      <w:r>
        <w:rPr>
          <w:spacing w:val="-2"/>
        </w:rPr>
        <w:t>本集团本年度无重要会计估计变更。</w:t>
      </w:r>
    </w:p>
    <w:p>
      <w:pPr>
        <w:spacing w:line="240" w:lineRule="auto" w:before="13"/>
        <w:rPr>
          <w:rFonts w:ascii="宋体" w:hAnsi="宋体" w:cs="宋体" w:eastAsia="宋体" w:hint="default"/>
          <w:sz w:val="15"/>
          <w:szCs w:val="15"/>
        </w:rPr>
      </w:pPr>
    </w:p>
    <w:p>
      <w:pPr>
        <w:pStyle w:val="Heading2"/>
        <w:spacing w:line="240" w:lineRule="auto"/>
        <w:ind w:right="0"/>
        <w:jc w:val="left"/>
        <w:rPr>
          <w:b w:val="0"/>
          <w:bCs w:val="0"/>
        </w:rPr>
      </w:pPr>
      <w:r>
        <w:rPr/>
        <w:t>七、与上年度财务报告相比，合并报表范围发生变化的情况说明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2"/>
          <w:szCs w:val="12"/>
        </w:rPr>
      </w:pPr>
    </w:p>
    <w:p>
      <w:pPr>
        <w:pStyle w:val="BodyText"/>
        <w:spacing w:line="273" w:lineRule="auto"/>
        <w:ind w:right="0" w:firstLine="420"/>
        <w:jc w:val="left"/>
      </w:pPr>
      <w:r>
        <w:rPr>
          <w:spacing w:val="2"/>
        </w:rPr>
        <w:t>本报告期的合并财务报表范围包括本公司和安信天行及版信通，原子公司版信通由于控制权发生变</w:t>
      </w:r>
      <w:r>
        <w:rPr>
          <w:w w:val="100"/>
        </w:rPr>
        <w:t> </w:t>
      </w:r>
      <w:r>
        <w:rPr/>
        <w:t>化，自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月不再纳入合并范围。</w:t>
      </w:r>
    </w:p>
    <w:p>
      <w:pPr>
        <w:spacing w:after="0" w:line="273" w:lineRule="auto"/>
        <w:jc w:val="left"/>
        <w:sectPr>
          <w:pgSz w:w="11910" w:h="16840"/>
          <w:pgMar w:header="867" w:footer="979" w:top="1060" w:bottom="1160" w:left="1020" w:right="1020"/>
        </w:sectPr>
      </w:pPr>
    </w:p>
    <w:p>
      <w:pPr>
        <w:spacing w:line="240" w:lineRule="auto" w:before="11"/>
        <w:rPr>
          <w:rFonts w:ascii="宋体" w:hAnsi="宋体" w:cs="宋体" w:eastAsia="宋体" w:hint="default"/>
          <w:sz w:val="23"/>
          <w:szCs w:val="23"/>
        </w:rPr>
      </w:pPr>
    </w:p>
    <w:p>
      <w:pPr>
        <w:pStyle w:val="Heading2"/>
        <w:spacing w:line="240" w:lineRule="auto" w:before="26"/>
        <w:ind w:right="0"/>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曹阳、王艳艳</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年、王艳艳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40" w:lineRule="auto" w:before="118"/>
        <w:ind w:left="112" w:right="52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4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十、破产重整相关事项</w:t>
      </w:r>
      <w:r>
        <w:rPr>
          <w:b w:val="0"/>
          <w:bCs w:val="0"/>
        </w:rPr>
      </w:r>
    </w:p>
    <w:p>
      <w:pPr>
        <w:spacing w:line="240" w:lineRule="auto" w:before="7"/>
        <w:rPr>
          <w:rFonts w:ascii="宋体" w:hAnsi="宋体" w:cs="宋体" w:eastAsia="宋体" w:hint="default"/>
          <w:b/>
          <w:bCs/>
          <w:sz w:val="26"/>
          <w:szCs w:val="26"/>
        </w:rPr>
      </w:pPr>
    </w:p>
    <w:p>
      <w:pPr>
        <w:spacing w:line="338" w:lineRule="auto" w:before="0"/>
        <w:ind w:left="112" w:right="66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971"/>
        <w:gridCol w:w="708"/>
        <w:gridCol w:w="711"/>
        <w:gridCol w:w="708"/>
        <w:gridCol w:w="850"/>
        <w:gridCol w:w="853"/>
        <w:gridCol w:w="850"/>
        <w:gridCol w:w="924"/>
      </w:tblGrid>
      <w:tr>
        <w:trPr>
          <w:trHeight w:val="1026"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00"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9" w:right="77"/>
              <w:jc w:val="both"/>
              <w:rPr>
                <w:rFonts w:ascii="宋体" w:hAnsi="宋体" w:cs="宋体" w:eastAsia="宋体" w:hint="default"/>
                <w:sz w:val="18"/>
                <w:szCs w:val="18"/>
              </w:rPr>
            </w:pPr>
            <w:r>
              <w:rPr>
                <w:rFonts w:ascii="宋体" w:hAnsi="宋体" w:cs="宋体" w:eastAsia="宋体" w:hint="default"/>
                <w:sz w:val="18"/>
                <w:szCs w:val="18"/>
              </w:rPr>
              <w:t>涉案金 额（万 元）</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9" w:right="81"/>
              <w:jc w:val="both"/>
              <w:rPr>
                <w:rFonts w:ascii="宋体" w:hAnsi="宋体" w:cs="宋体" w:eastAsia="宋体" w:hint="default"/>
                <w:sz w:val="18"/>
                <w:szCs w:val="18"/>
              </w:rPr>
            </w:pPr>
            <w:r>
              <w:rPr>
                <w:rFonts w:ascii="宋体" w:hAnsi="宋体" w:cs="宋体" w:eastAsia="宋体" w:hint="default"/>
                <w:sz w:val="18"/>
                <w:szCs w:val="18"/>
              </w:rPr>
              <w:t>是否形 成预计 负债</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97" w:lineRule="auto"/>
              <w:ind w:left="50" w:right="47"/>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31" w:right="26" w:hanging="3"/>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 果及影响</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31" w:right="29" w:hanging="3"/>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判决执 行情况</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419"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月，江苏省设备成套有限公司受江苏省 地方税务局委托，就</w:t>
            </w:r>
            <w:r>
              <w:rPr>
                <w:rFonts w:ascii="Times New Roman" w:hAnsi="Times New Roman" w:cs="Times New Roman" w:eastAsia="Times New Roman" w:hint="default"/>
                <w:sz w:val="18"/>
                <w:szCs w:val="18"/>
              </w:rPr>
              <w:t>"</w:t>
            </w:r>
            <w:r>
              <w:rPr>
                <w:rFonts w:ascii="宋体" w:hAnsi="宋体" w:cs="宋体" w:eastAsia="宋体" w:hint="default"/>
                <w:sz w:val="18"/>
                <w:szCs w:val="18"/>
              </w:rPr>
              <w:t>江苏省地方税务局所需全省 地税系统网上办税第三方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认证服务项目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进行 </w:t>
            </w:r>
            <w:r>
              <w:rPr>
                <w:rFonts w:ascii="宋体" w:hAnsi="宋体" w:cs="宋体" w:eastAsia="宋体" w:hint="default"/>
                <w:spacing w:val="-3"/>
                <w:sz w:val="18"/>
                <w:szCs w:val="18"/>
              </w:rPr>
              <w:t>公开招标采购，公司中标。江苏省电子商务服务中</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心有限责任公司对投标结果不服，在投诉被驳回、 </w:t>
            </w:r>
            <w:r>
              <w:rPr>
                <w:rFonts w:ascii="宋体" w:hAnsi="宋体" w:cs="宋体" w:eastAsia="宋体" w:hint="default"/>
                <w:spacing w:val="-3"/>
                <w:sz w:val="18"/>
                <w:szCs w:val="18"/>
              </w:rPr>
              <w:t>行政复议维持原决定后，以江苏省财政厅和江苏省</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人民政府为被告提起行政诉讼，将江苏省地方税务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局、江苏省设备成套有限公司、公司列为第三人， 请求撤销相关行政复议决定书和投诉处理决定书。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日，江苏省南京市中级人民法院 </w:t>
            </w:r>
            <w:r>
              <w:rPr>
                <w:rFonts w:ascii="宋体" w:hAnsi="宋体" w:cs="宋体" w:eastAsia="宋体" w:hint="default"/>
                <w:spacing w:val="-5"/>
                <w:sz w:val="18"/>
                <w:szCs w:val="18"/>
              </w:rPr>
              <w:t>下达《行政判决书》，判决驳回原告江苏省电子商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务服务中心有限责任公司的诉讼请求。江苏省电子</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商务服务中心有限责任公司不服行政诉讼一审判 决向江苏省高级人民法院提起上诉。</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4" w:lineRule="auto"/>
              <w:ind w:left="24" w:right="132"/>
              <w:jc w:val="left"/>
              <w:rPr>
                <w:rFonts w:ascii="宋体" w:hAnsi="宋体" w:cs="宋体" w:eastAsia="宋体" w:hint="default"/>
                <w:sz w:val="18"/>
                <w:szCs w:val="18"/>
              </w:rPr>
            </w:pPr>
            <w:r>
              <w:rPr>
                <w:rFonts w:ascii="宋体" w:hAnsi="宋体" w:cs="宋体" w:eastAsia="宋体" w:hint="default"/>
                <w:sz w:val="18"/>
                <w:szCs w:val="18"/>
              </w:rPr>
              <w:t>二审已 结案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详见《关 于诉讼事 项的进展 公告》</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无需执行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1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116"/>
              <w:ind w:left="24" w:right="0"/>
              <w:jc w:val="left"/>
              <w:rPr>
                <w:rFonts w:ascii="Times New Roman" w:hAnsi="Times New Roman" w:cs="Times New Roman" w:eastAsia="Times New Roman" w:hint="default"/>
                <w:sz w:val="18"/>
                <w:szCs w:val="18"/>
              </w:rPr>
            </w:pPr>
            <w:r>
              <w:rPr>
                <w:rFonts w:ascii="Times New Roman"/>
                <w:sz w:val="18"/>
              </w:rPr>
              <w:t>2017-053</w:t>
            </w:r>
          </w:p>
          <w:p>
            <w:pPr>
              <w:pStyle w:val="TableParagraph"/>
              <w:spacing w:line="312" w:lineRule="exact" w:before="23"/>
              <w:ind w:left="24" w:right="79"/>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；公告名 </w:t>
            </w:r>
            <w:r>
              <w:rPr>
                <w:rFonts w:ascii="宋体" w:hAnsi="宋体" w:cs="宋体" w:eastAsia="宋体" w:hint="default"/>
                <w:spacing w:val="-19"/>
                <w:sz w:val="18"/>
                <w:szCs w:val="18"/>
              </w:rPr>
              <w:t>称：《关于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诉讼事项 的进展公 </w:t>
            </w:r>
            <w:r>
              <w:rPr>
                <w:rFonts w:ascii="宋体" w:hAnsi="宋体" w:cs="宋体" w:eastAsia="宋体" w:hint="default"/>
                <w:spacing w:val="-19"/>
                <w:sz w:val="18"/>
                <w:szCs w:val="18"/>
              </w:rPr>
              <w:t>告》；巨潮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资讯网 </w:t>
            </w:r>
            <w:r>
              <w:rPr>
                <w:rFonts w:ascii="Times New Roman" w:hAnsi="Times New Roman" w:cs="Times New Roman" w:eastAsia="Times New Roman" w:hint="default"/>
                <w:sz w:val="18"/>
                <w:szCs w:val="18"/>
              </w:rPr>
              <w:t>www.cninf</w:t>
            </w:r>
          </w:p>
          <w:p>
            <w:pPr>
              <w:pStyle w:val="TableParagraph"/>
              <w:spacing w:line="240" w:lineRule="auto" w:before="82"/>
              <w:ind w:left="24" w:right="0"/>
              <w:jc w:val="left"/>
              <w:rPr>
                <w:rFonts w:ascii="Times New Roman" w:hAnsi="Times New Roman" w:cs="Times New Roman" w:eastAsia="Times New Roman" w:hint="default"/>
                <w:sz w:val="18"/>
                <w:szCs w:val="18"/>
              </w:rPr>
            </w:pPr>
            <w:r>
              <w:rPr>
                <w:rFonts w:ascii="Times New Roman"/>
                <w:sz w:val="18"/>
              </w:rPr>
              <w:t>o.com.cn</w:t>
            </w:r>
          </w:p>
        </w:tc>
      </w:tr>
    </w:tbl>
    <w:p>
      <w:pPr>
        <w:spacing w:after="0" w:line="240" w:lineRule="auto"/>
        <w:jc w:val="left"/>
        <w:rPr>
          <w:rFonts w:ascii="Times New Roman" w:hAnsi="Times New Roman" w:cs="Times New Roman" w:eastAsia="Times New Roman" w:hint="default"/>
          <w:sz w:val="18"/>
          <w:szCs w:val="18"/>
        </w:rPr>
        <w:sectPr>
          <w:pgSz w:w="11910" w:h="16840"/>
          <w:pgMar w:header="867"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3971"/>
        <w:gridCol w:w="708"/>
        <w:gridCol w:w="711"/>
        <w:gridCol w:w="708"/>
        <w:gridCol w:w="850"/>
        <w:gridCol w:w="853"/>
        <w:gridCol w:w="850"/>
        <w:gridCol w:w="924"/>
      </w:tblGrid>
      <w:tr>
        <w:trPr>
          <w:trHeight w:val="987"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24"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日，江苏省高级人民法院作出判决驳回原告江 </w:t>
            </w:r>
            <w:r>
              <w:rPr>
                <w:rFonts w:ascii="宋体" w:hAnsi="宋体" w:cs="宋体" w:eastAsia="宋体" w:hint="default"/>
                <w:spacing w:val="-3"/>
                <w:sz w:val="18"/>
                <w:szCs w:val="18"/>
              </w:rPr>
              <w:t>苏省电子商务服务中心有限责任公司的上诉，维持</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原判。</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12" w:right="68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12" w:right="3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5"/>
        <w:rPr>
          <w:rFonts w:ascii="宋体" w:hAnsi="宋体" w:cs="宋体" w:eastAsia="宋体" w:hint="default"/>
          <w:b/>
          <w:bCs/>
          <w:sz w:val="26"/>
          <w:szCs w:val="26"/>
        </w:rPr>
      </w:pPr>
    </w:p>
    <w:p>
      <w:pPr>
        <w:spacing w:line="340" w:lineRule="auto" w:before="0"/>
        <w:ind w:left="112" w:right="5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公司报告期未发生与日常经营相关的重大关联交易。</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12" w:right="5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12" w:right="6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spacing w:line="338" w:lineRule="auto" w:before="0"/>
        <w:ind w:left="112" w:right="68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是否存在非经营性关联债权债务往来</w:t>
      </w:r>
    </w:p>
    <w:p>
      <w:pPr>
        <w:spacing w:line="340" w:lineRule="auto" w:before="43"/>
        <w:ind w:left="112" w:right="84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应收关联方债权</w:t>
      </w:r>
    </w:p>
    <w:p>
      <w:pPr>
        <w:spacing w:line="240" w:lineRule="auto" w:before="3"/>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933"/>
        <w:gridCol w:w="943"/>
        <w:gridCol w:w="958"/>
        <w:gridCol w:w="958"/>
        <w:gridCol w:w="955"/>
        <w:gridCol w:w="958"/>
        <w:gridCol w:w="958"/>
        <w:gridCol w:w="958"/>
        <w:gridCol w:w="956"/>
        <w:gridCol w:w="994"/>
      </w:tblGrid>
      <w:tr>
        <w:trPr>
          <w:trHeight w:val="716" w:hRule="exact"/>
        </w:trPr>
        <w:tc>
          <w:tcPr>
            <w:tcW w:w="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3"/>
              <w:ind w:left="24" w:right="23"/>
              <w:jc w:val="left"/>
              <w:rPr>
                <w:rFonts w:ascii="宋体" w:hAnsi="宋体" w:cs="宋体" w:eastAsia="宋体" w:hint="default"/>
                <w:sz w:val="18"/>
                <w:szCs w:val="18"/>
              </w:rPr>
            </w:pPr>
            <w:r>
              <w:rPr>
                <w:rFonts w:ascii="宋体" w:hAnsi="宋体" w:cs="宋体" w:eastAsia="宋体" w:hint="default"/>
                <w:sz w:val="18"/>
                <w:szCs w:val="18"/>
              </w:rPr>
              <w:t>是否存在非 经营性资金</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本期收回金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3"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1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132" w:right="0"/>
              <w:jc w:val="left"/>
              <w:rPr>
                <w:rFonts w:ascii="宋体" w:hAnsi="宋体" w:cs="宋体" w:eastAsia="宋体" w:hint="default"/>
                <w:sz w:val="18"/>
                <w:szCs w:val="18"/>
              </w:rPr>
            </w:pP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934"/>
        <w:gridCol w:w="943"/>
        <w:gridCol w:w="958"/>
        <w:gridCol w:w="958"/>
        <w:gridCol w:w="955"/>
        <w:gridCol w:w="958"/>
        <w:gridCol w:w="958"/>
        <w:gridCol w:w="958"/>
        <w:gridCol w:w="956"/>
        <w:gridCol w:w="994"/>
      </w:tblGrid>
      <w:tr>
        <w:trPr>
          <w:trHeight w:val="363"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92" w:right="0"/>
              <w:jc w:val="left"/>
              <w:rPr>
                <w:rFonts w:ascii="宋体" w:hAnsi="宋体" w:cs="宋体" w:eastAsia="宋体" w:hint="default"/>
                <w:sz w:val="18"/>
                <w:szCs w:val="18"/>
              </w:rPr>
            </w:pPr>
            <w:r>
              <w:rPr>
                <w:rFonts w:ascii="宋体" w:hAnsi="宋体" w:cs="宋体" w:eastAsia="宋体" w:hint="default"/>
                <w:sz w:val="18"/>
                <w:szCs w:val="18"/>
              </w:rPr>
              <w:t>占用</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8"/>
              <w:jc w:val="both"/>
              <w:rPr>
                <w:rFonts w:ascii="宋体" w:hAnsi="宋体" w:cs="宋体" w:eastAsia="宋体" w:hint="default"/>
                <w:sz w:val="18"/>
                <w:szCs w:val="18"/>
              </w:rPr>
            </w:pPr>
            <w:r>
              <w:rPr>
                <w:rFonts w:ascii="宋体" w:hAnsi="宋体" w:cs="宋体" w:eastAsia="宋体" w:hint="default"/>
                <w:sz w:val="18"/>
                <w:szCs w:val="18"/>
              </w:rPr>
              <w:t>北京版信 通技术有 限公司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资金暂借款</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318.49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4.35%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18.49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8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1"/>
              <w:jc w:val="left"/>
              <w:rPr>
                <w:rFonts w:ascii="宋体" w:hAnsi="宋体" w:cs="宋体" w:eastAsia="宋体" w:hint="default"/>
                <w:sz w:val="18"/>
                <w:szCs w:val="18"/>
              </w:rPr>
            </w:pPr>
            <w:r>
              <w:rPr>
                <w:rFonts w:ascii="宋体" w:hAnsi="宋体" w:cs="宋体" w:eastAsia="宋体" w:hint="default"/>
                <w:sz w:val="18"/>
                <w:szCs w:val="18"/>
              </w:rPr>
              <w:t>关联债权对公司经营成 果及财务状况的影响</w:t>
            </w:r>
          </w:p>
        </w:tc>
        <w:tc>
          <w:tcPr>
            <w:tcW w:w="769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应付关联方债务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58"/>
        <w:gridCol w:w="1037"/>
        <w:gridCol w:w="1045"/>
        <w:gridCol w:w="1044"/>
        <w:gridCol w:w="1044"/>
        <w:gridCol w:w="1044"/>
        <w:gridCol w:w="1044"/>
        <w:gridCol w:w="1045"/>
        <w:gridCol w:w="1109"/>
      </w:tblGrid>
      <w:tr>
        <w:trPr>
          <w:trHeight w:val="715" w:hRule="exact"/>
        </w:trPr>
        <w:tc>
          <w:tcPr>
            <w:tcW w:w="1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3"/>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2"/>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1" w:right="19"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z w:val="18"/>
                <w:szCs w:val="18"/>
              </w:rPr>
              <w:t> 元）</w:t>
            </w:r>
          </w:p>
        </w:tc>
      </w:tr>
    </w:tbl>
    <w:p>
      <w:pPr>
        <w:spacing w:line="240" w:lineRule="auto" w:before="6"/>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spacing w:line="338" w:lineRule="auto" w:before="0"/>
        <w:ind w:left="112" w:right="7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5"/>
        <w:rPr>
          <w:rFonts w:ascii="宋体" w:hAnsi="宋体" w:cs="宋体" w:eastAsia="宋体" w:hint="default"/>
          <w:b/>
          <w:bCs/>
          <w:sz w:val="26"/>
          <w:szCs w:val="26"/>
        </w:rPr>
      </w:pPr>
    </w:p>
    <w:p>
      <w:pPr>
        <w:spacing w:line="338" w:lineRule="auto" w:before="0"/>
        <w:ind w:left="112" w:right="7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12" w:right="7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5"/>
        <w:rPr>
          <w:rFonts w:ascii="宋体" w:hAnsi="宋体" w:cs="宋体" w:eastAsia="宋体" w:hint="default"/>
          <w:b/>
          <w:bCs/>
          <w:sz w:val="26"/>
          <w:szCs w:val="26"/>
        </w:rPr>
      </w:pPr>
    </w:p>
    <w:p>
      <w:pPr>
        <w:spacing w:line="340" w:lineRule="auto" w:before="0"/>
        <w:ind w:left="112" w:right="83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租赁情况说明</w:t>
      </w:r>
    </w:p>
    <w:p>
      <w:pPr>
        <w:pStyle w:val="BodyText"/>
        <w:spacing w:line="240" w:lineRule="auto" w:before="100"/>
        <w:ind w:left="533" w:right="0"/>
        <w:jc w:val="left"/>
      </w:pPr>
      <w:r>
        <w:rPr/>
        <w:t>至资产负债表日止，本公司对外签订的不可撤销的经营租赁合约情况如下：</w:t>
      </w:r>
    </w:p>
    <w:p>
      <w:pPr>
        <w:spacing w:line="240" w:lineRule="auto" w:before="3"/>
        <w:rPr>
          <w:rFonts w:ascii="宋体" w:hAnsi="宋体" w:cs="宋体" w:eastAsia="宋体" w:hint="default"/>
          <w:sz w:val="9"/>
          <w:szCs w:val="9"/>
        </w:rPr>
      </w:pPr>
    </w:p>
    <w:p>
      <w:pPr>
        <w:pStyle w:val="BodyText"/>
        <w:spacing w:line="240" w:lineRule="auto" w:before="36"/>
        <w:ind w:left="0" w:right="108"/>
        <w:jc w:val="right"/>
      </w:pPr>
      <w:r>
        <w:rPr>
          <w:spacing w:val="-1"/>
        </w:rPr>
        <w:t>单位：元</w:t>
      </w:r>
    </w:p>
    <w:p>
      <w:pPr>
        <w:spacing w:line="240" w:lineRule="auto" w:before="8"/>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4808"/>
        <w:gridCol w:w="2864"/>
        <w:gridCol w:w="1968"/>
      </w:tblGrid>
      <w:tr>
        <w:trPr>
          <w:trHeight w:val="348" w:hRule="exact"/>
        </w:trPr>
        <w:tc>
          <w:tcPr>
            <w:tcW w:w="4808" w:type="dxa"/>
            <w:tcBorders>
              <w:top w:val="single" w:sz="6" w:space="0" w:color="000000"/>
              <w:left w:val="nil" w:sz="6" w:space="0" w:color="auto"/>
              <w:bottom w:val="single" w:sz="8" w:space="0" w:color="000000"/>
              <w:right w:val="nil" w:sz="6" w:space="0" w:color="auto"/>
            </w:tcBorders>
          </w:tcPr>
          <w:p>
            <w:pPr>
              <w:pStyle w:val="TableParagraph"/>
              <w:spacing w:line="274" w:lineRule="exact"/>
              <w:ind w:left="629" w:right="0"/>
              <w:jc w:val="left"/>
              <w:rPr>
                <w:rFonts w:ascii="宋体" w:hAnsi="宋体" w:cs="宋体" w:eastAsia="宋体" w:hint="default"/>
                <w:sz w:val="21"/>
                <w:szCs w:val="21"/>
              </w:rPr>
            </w:pPr>
            <w:r>
              <w:rPr>
                <w:rFonts w:ascii="宋体" w:hAnsi="宋体" w:cs="宋体" w:eastAsia="宋体" w:hint="default"/>
                <w:b/>
                <w:bCs/>
                <w:sz w:val="21"/>
                <w:szCs w:val="21"/>
              </w:rPr>
              <w:t>不可撤销经营租赁的最低租赁付款额</w:t>
            </w:r>
            <w:r>
              <w:rPr>
                <w:rFonts w:ascii="宋体" w:hAnsi="宋体" w:cs="宋体" w:eastAsia="宋体" w:hint="default"/>
                <w:sz w:val="21"/>
                <w:szCs w:val="21"/>
              </w:rPr>
            </w:r>
          </w:p>
        </w:tc>
        <w:tc>
          <w:tcPr>
            <w:tcW w:w="2864" w:type="dxa"/>
            <w:tcBorders>
              <w:top w:val="single" w:sz="6" w:space="0" w:color="000000"/>
              <w:left w:val="nil" w:sz="6" w:space="0" w:color="auto"/>
              <w:bottom w:val="single" w:sz="8" w:space="0" w:color="000000"/>
              <w:right w:val="nil" w:sz="6" w:space="0" w:color="auto"/>
            </w:tcBorders>
          </w:tcPr>
          <w:p>
            <w:pPr>
              <w:pStyle w:val="TableParagraph"/>
              <w:spacing w:line="274" w:lineRule="exact"/>
              <w:ind w:left="804"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968" w:type="dxa"/>
            <w:tcBorders>
              <w:top w:val="single" w:sz="6" w:space="0" w:color="000000"/>
              <w:left w:val="nil" w:sz="6" w:space="0" w:color="auto"/>
              <w:bottom w:val="single" w:sz="8" w:space="0" w:color="000000"/>
              <w:right w:val="nil" w:sz="6" w:space="0" w:color="auto"/>
            </w:tcBorders>
          </w:tcPr>
          <w:p>
            <w:pPr>
              <w:pStyle w:val="TableParagraph"/>
              <w:spacing w:line="274" w:lineRule="exact"/>
              <w:ind w:left="446"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48" w:hRule="exact"/>
        </w:trPr>
        <w:tc>
          <w:tcPr>
            <w:tcW w:w="4808" w:type="dxa"/>
            <w:tcBorders>
              <w:top w:val="single" w:sz="8" w:space="0" w:color="000000"/>
              <w:left w:val="nil" w:sz="6" w:space="0" w:color="auto"/>
              <w:bottom w:val="single" w:sz="8" w:space="0" w:color="000000"/>
              <w:right w:val="nil" w:sz="6" w:space="0" w:color="auto"/>
            </w:tcBorders>
          </w:tcPr>
          <w:p>
            <w:pPr>
              <w:pStyle w:val="TableParagraph"/>
              <w:spacing w:line="288" w:lineRule="exact"/>
              <w:ind w:left="118"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864" w:type="dxa"/>
            <w:tcBorders>
              <w:top w:val="single" w:sz="8" w:space="0" w:color="000000"/>
              <w:left w:val="nil" w:sz="6" w:space="0" w:color="auto"/>
              <w:bottom w:val="single" w:sz="8" w:space="0" w:color="000000"/>
              <w:right w:val="nil" w:sz="6" w:space="0" w:color="auto"/>
            </w:tcBorders>
          </w:tcPr>
          <w:p>
            <w:pPr>
              <w:pStyle w:val="TableParagraph"/>
              <w:spacing w:line="240" w:lineRule="auto" w:before="44"/>
              <w:ind w:right="444"/>
              <w:jc w:val="right"/>
              <w:rPr>
                <w:rFonts w:ascii="Times New Roman" w:hAnsi="Times New Roman" w:cs="Times New Roman" w:eastAsia="Times New Roman" w:hint="default"/>
                <w:sz w:val="21"/>
                <w:szCs w:val="21"/>
              </w:rPr>
            </w:pPr>
            <w:r>
              <w:rPr>
                <w:rFonts w:ascii="Times New Roman"/>
                <w:spacing w:val="-1"/>
                <w:sz w:val="21"/>
              </w:rPr>
              <w:t>8,406,288.98</w:t>
            </w:r>
          </w:p>
        </w:tc>
        <w:tc>
          <w:tcPr>
            <w:tcW w:w="1968" w:type="dxa"/>
            <w:tcBorders>
              <w:top w:val="single" w:sz="8" w:space="0" w:color="000000"/>
              <w:left w:val="nil" w:sz="6" w:space="0" w:color="auto"/>
              <w:bottom w:val="single" w:sz="8" w:space="0" w:color="000000"/>
              <w:right w:val="nil" w:sz="6" w:space="0" w:color="auto"/>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pacing w:val="-1"/>
                <w:sz w:val="21"/>
              </w:rPr>
              <w:t>9,840,152.90</w:t>
            </w:r>
          </w:p>
        </w:tc>
      </w:tr>
      <w:tr>
        <w:trPr>
          <w:trHeight w:val="348" w:hRule="exact"/>
        </w:trPr>
        <w:tc>
          <w:tcPr>
            <w:tcW w:w="4808" w:type="dxa"/>
            <w:tcBorders>
              <w:top w:val="single" w:sz="8" w:space="0" w:color="000000"/>
              <w:left w:val="nil" w:sz="6" w:space="0" w:color="auto"/>
              <w:bottom w:val="single" w:sz="8" w:space="0" w:color="000000"/>
              <w:right w:val="nil" w:sz="6" w:space="0" w:color="auto"/>
            </w:tcBorders>
          </w:tcPr>
          <w:p>
            <w:pPr>
              <w:pStyle w:val="TableParagraph"/>
              <w:spacing w:line="285" w:lineRule="exact"/>
              <w:ind w:left="118"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864"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444"/>
              <w:jc w:val="right"/>
              <w:rPr>
                <w:rFonts w:ascii="Times New Roman" w:hAnsi="Times New Roman" w:cs="Times New Roman" w:eastAsia="Times New Roman" w:hint="default"/>
                <w:sz w:val="21"/>
                <w:szCs w:val="21"/>
              </w:rPr>
            </w:pPr>
            <w:r>
              <w:rPr>
                <w:rFonts w:ascii="Times New Roman"/>
                <w:spacing w:val="-1"/>
                <w:sz w:val="21"/>
              </w:rPr>
              <w:t>4,868,879.93</w:t>
            </w:r>
          </w:p>
        </w:tc>
        <w:tc>
          <w:tcPr>
            <w:tcW w:w="1968"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4"/>
              <w:jc w:val="right"/>
              <w:rPr>
                <w:rFonts w:ascii="Times New Roman" w:hAnsi="Times New Roman" w:cs="Times New Roman" w:eastAsia="Times New Roman" w:hint="default"/>
                <w:sz w:val="21"/>
                <w:szCs w:val="21"/>
              </w:rPr>
            </w:pPr>
            <w:r>
              <w:rPr>
                <w:rFonts w:ascii="Times New Roman"/>
                <w:spacing w:val="-1"/>
                <w:sz w:val="21"/>
              </w:rPr>
              <w:t>9,775,563.98</w:t>
            </w:r>
          </w:p>
        </w:tc>
      </w:tr>
      <w:tr>
        <w:trPr>
          <w:trHeight w:val="346" w:hRule="exact"/>
        </w:trPr>
        <w:tc>
          <w:tcPr>
            <w:tcW w:w="4808" w:type="dxa"/>
            <w:tcBorders>
              <w:top w:val="single" w:sz="8" w:space="0" w:color="000000"/>
              <w:left w:val="nil" w:sz="6" w:space="0" w:color="auto"/>
              <w:bottom w:val="single" w:sz="8" w:space="0" w:color="000000"/>
              <w:right w:val="nil" w:sz="6" w:space="0" w:color="auto"/>
            </w:tcBorders>
          </w:tcPr>
          <w:p>
            <w:pPr>
              <w:pStyle w:val="TableParagraph"/>
              <w:spacing w:line="285" w:lineRule="exact"/>
              <w:ind w:left="118"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864"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444"/>
              <w:jc w:val="right"/>
              <w:rPr>
                <w:rFonts w:ascii="Times New Roman" w:hAnsi="Times New Roman" w:cs="Times New Roman" w:eastAsia="Times New Roman" w:hint="default"/>
                <w:sz w:val="21"/>
                <w:szCs w:val="21"/>
              </w:rPr>
            </w:pPr>
            <w:r>
              <w:rPr>
                <w:rFonts w:ascii="Times New Roman"/>
                <w:spacing w:val="-1"/>
                <w:sz w:val="21"/>
              </w:rPr>
              <w:t>3,099,472.40</w:t>
            </w:r>
          </w:p>
        </w:tc>
        <w:tc>
          <w:tcPr>
            <w:tcW w:w="1968"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4"/>
              <w:jc w:val="right"/>
              <w:rPr>
                <w:rFonts w:ascii="Times New Roman" w:hAnsi="Times New Roman" w:cs="Times New Roman" w:eastAsia="Times New Roman" w:hint="default"/>
                <w:sz w:val="21"/>
                <w:szCs w:val="21"/>
              </w:rPr>
            </w:pPr>
            <w:r>
              <w:rPr>
                <w:rFonts w:ascii="Times New Roman"/>
                <w:spacing w:val="-1"/>
                <w:sz w:val="21"/>
              </w:rPr>
              <w:t>4,868,879.94</w:t>
            </w:r>
          </w:p>
        </w:tc>
      </w:tr>
      <w:tr>
        <w:trPr>
          <w:trHeight w:val="348" w:hRule="exact"/>
        </w:trPr>
        <w:tc>
          <w:tcPr>
            <w:tcW w:w="4808" w:type="dxa"/>
            <w:tcBorders>
              <w:top w:val="single" w:sz="8" w:space="0" w:color="000000"/>
              <w:left w:val="nil" w:sz="6" w:space="0" w:color="auto"/>
              <w:bottom w:val="single" w:sz="8" w:space="0" w:color="000000"/>
              <w:right w:val="nil" w:sz="6" w:space="0" w:color="auto"/>
            </w:tcBorders>
          </w:tcPr>
          <w:p>
            <w:pPr>
              <w:pStyle w:val="TableParagraph"/>
              <w:spacing w:line="272" w:lineRule="exact"/>
              <w:ind w:left="118" w:right="0"/>
              <w:jc w:val="left"/>
              <w:rPr>
                <w:rFonts w:ascii="宋体" w:hAnsi="宋体" w:cs="宋体" w:eastAsia="宋体" w:hint="default"/>
                <w:sz w:val="21"/>
                <w:szCs w:val="21"/>
              </w:rPr>
            </w:pPr>
            <w:r>
              <w:rPr>
                <w:rFonts w:ascii="宋体" w:hAnsi="宋体" w:cs="宋体" w:eastAsia="宋体" w:hint="default"/>
                <w:sz w:val="21"/>
                <w:szCs w:val="21"/>
              </w:rPr>
              <w:t>以后年度</w:t>
            </w:r>
          </w:p>
        </w:tc>
        <w:tc>
          <w:tcPr>
            <w:tcW w:w="2864" w:type="dxa"/>
            <w:tcBorders>
              <w:top w:val="single" w:sz="8" w:space="0" w:color="000000"/>
              <w:left w:val="nil" w:sz="6" w:space="0" w:color="auto"/>
              <w:bottom w:val="single" w:sz="8" w:space="0" w:color="000000"/>
              <w:right w:val="nil" w:sz="6" w:space="0" w:color="auto"/>
            </w:tcBorders>
          </w:tcPr>
          <w:p>
            <w:pPr>
              <w:pStyle w:val="TableParagraph"/>
              <w:spacing w:line="240" w:lineRule="auto" w:before="44"/>
              <w:ind w:right="446"/>
              <w:jc w:val="right"/>
              <w:rPr>
                <w:rFonts w:ascii="Times New Roman" w:hAnsi="Times New Roman" w:cs="Times New Roman" w:eastAsia="Times New Roman" w:hint="default"/>
                <w:sz w:val="21"/>
                <w:szCs w:val="21"/>
              </w:rPr>
            </w:pPr>
            <w:r>
              <w:rPr>
                <w:rFonts w:ascii="Times New Roman"/>
                <w:w w:val="100"/>
                <w:sz w:val="21"/>
              </w:rPr>
              <w:t>-</w:t>
            </w:r>
          </w:p>
        </w:tc>
        <w:tc>
          <w:tcPr>
            <w:tcW w:w="1968" w:type="dxa"/>
            <w:tcBorders>
              <w:top w:val="single" w:sz="8" w:space="0" w:color="000000"/>
              <w:left w:val="nil" w:sz="6" w:space="0" w:color="auto"/>
              <w:bottom w:val="single" w:sz="8" w:space="0" w:color="000000"/>
              <w:right w:val="nil" w:sz="6" w:space="0" w:color="auto"/>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pacing w:val="-1"/>
                <w:sz w:val="21"/>
              </w:rPr>
              <w:t>3,099,472.40</w:t>
            </w:r>
          </w:p>
        </w:tc>
      </w:tr>
      <w:tr>
        <w:trPr>
          <w:trHeight w:val="348" w:hRule="exact"/>
        </w:trPr>
        <w:tc>
          <w:tcPr>
            <w:tcW w:w="4808" w:type="dxa"/>
            <w:tcBorders>
              <w:top w:val="single" w:sz="8" w:space="0" w:color="000000"/>
              <w:left w:val="nil" w:sz="6" w:space="0" w:color="auto"/>
              <w:bottom w:val="single" w:sz="8" w:space="0" w:color="000000"/>
              <w:right w:val="nil" w:sz="6" w:space="0" w:color="auto"/>
            </w:tcBorders>
          </w:tcPr>
          <w:p>
            <w:pPr>
              <w:pStyle w:val="TableParagraph"/>
              <w:spacing w:line="270" w:lineRule="exact"/>
              <w:ind w:left="850" w:right="0"/>
              <w:jc w:val="left"/>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71"/>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2864" w:type="dxa"/>
            <w:tcBorders>
              <w:top w:val="single" w:sz="8" w:space="0" w:color="000000"/>
              <w:left w:val="nil" w:sz="6" w:space="0" w:color="auto"/>
              <w:bottom w:val="single" w:sz="8" w:space="0" w:color="000000"/>
              <w:right w:val="nil" w:sz="6" w:space="0" w:color="auto"/>
            </w:tcBorders>
          </w:tcPr>
          <w:p>
            <w:pPr>
              <w:pStyle w:val="TableParagraph"/>
              <w:spacing w:line="240" w:lineRule="auto" w:before="44"/>
              <w:ind w:right="444"/>
              <w:jc w:val="right"/>
              <w:rPr>
                <w:rFonts w:ascii="Times New Roman" w:hAnsi="Times New Roman" w:cs="Times New Roman" w:eastAsia="Times New Roman" w:hint="default"/>
                <w:sz w:val="21"/>
                <w:szCs w:val="21"/>
              </w:rPr>
            </w:pPr>
            <w:r>
              <w:rPr>
                <w:rFonts w:ascii="Times New Roman"/>
                <w:b/>
                <w:spacing w:val="-1"/>
                <w:sz w:val="21"/>
              </w:rPr>
              <w:t>16,374,641.31</w:t>
            </w:r>
            <w:r>
              <w:rPr>
                <w:rFonts w:ascii="Times New Roman"/>
                <w:spacing w:val="-1"/>
                <w:sz w:val="21"/>
              </w:rPr>
            </w:r>
          </w:p>
        </w:tc>
        <w:tc>
          <w:tcPr>
            <w:tcW w:w="1968" w:type="dxa"/>
            <w:tcBorders>
              <w:top w:val="single" w:sz="8" w:space="0" w:color="000000"/>
              <w:left w:val="nil" w:sz="6" w:space="0" w:color="auto"/>
              <w:bottom w:val="single" w:sz="8" w:space="0" w:color="000000"/>
              <w:right w:val="nil" w:sz="6" w:space="0" w:color="auto"/>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b/>
                <w:spacing w:val="-1"/>
                <w:sz w:val="21"/>
              </w:rPr>
              <w:t>27,584,069.22</w:t>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67" w:footer="979" w:top="1060" w:bottom="1160" w:left="1020" w:right="1020"/>
        </w:sectPr>
      </w:pPr>
    </w:p>
    <w:p>
      <w:pPr>
        <w:spacing w:line="240" w:lineRule="auto" w:before="13"/>
        <w:rPr>
          <w:rFonts w:ascii="宋体" w:hAnsi="宋体" w:cs="宋体" w:eastAsia="宋体" w:hint="default"/>
          <w:sz w:val="24"/>
          <w:szCs w:val="24"/>
        </w:rPr>
      </w:pPr>
    </w:p>
    <w:p>
      <w:pPr>
        <w:pStyle w:val="BodyText"/>
        <w:spacing w:line="256" w:lineRule="auto" w:before="36"/>
        <w:ind w:left="432" w:right="0" w:firstLine="420"/>
        <w:jc w:val="left"/>
      </w:pPr>
      <w:r>
        <w:rPr/>
        <w:t>说明：本公司与北京万柳置业集团有限公司签订的房屋租赁合同已于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日续签，租赁期限</w:t>
      </w:r>
      <w:r>
        <w:rPr>
          <w:w w:val="100"/>
        </w:rPr>
        <w:t> </w:t>
      </w:r>
      <w:r>
        <w:rPr>
          <w:spacing w:val="-2"/>
        </w:rPr>
        <w:t>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16</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15</w:t>
      </w:r>
      <w:r>
        <w:rPr>
          <w:spacing w:val="-2"/>
        </w:rPr>
        <w:t>日，与北京出版集团有限责任公司签订的房屋租赁合同，租赁期限为</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w:t>
      </w:r>
    </w:p>
    <w:p>
      <w:pPr>
        <w:spacing w:before="66"/>
        <w:ind w:left="43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1"/>
        <w:ind w:left="4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432"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2"/>
        <w:rPr>
          <w:rFonts w:ascii="宋体" w:hAnsi="宋体" w:cs="宋体" w:eastAsia="宋体" w:hint="default"/>
          <w:sz w:val="26"/>
          <w:szCs w:val="26"/>
        </w:rPr>
      </w:pPr>
    </w:p>
    <w:p>
      <w:pPr>
        <w:pStyle w:val="Heading3"/>
        <w:spacing w:line="240" w:lineRule="auto"/>
        <w:ind w:left="432"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spacing w:line="338" w:lineRule="auto" w:before="0"/>
        <w:ind w:left="432" w:right="7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公司报告期不存在担保情况。</w:t>
      </w:r>
    </w:p>
    <w:p>
      <w:pPr>
        <w:spacing w:line="240" w:lineRule="auto" w:before="7"/>
        <w:rPr>
          <w:rFonts w:ascii="宋体" w:hAnsi="宋体" w:cs="宋体" w:eastAsia="宋体" w:hint="default"/>
          <w:sz w:val="21"/>
          <w:szCs w:val="21"/>
        </w:rPr>
      </w:pPr>
    </w:p>
    <w:p>
      <w:pPr>
        <w:pStyle w:val="Heading3"/>
        <w:spacing w:line="240" w:lineRule="auto"/>
        <w:ind w:left="432"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432"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67" w:footer="979" w:top="1060" w:bottom="1160" w:left="700" w:right="660"/>
        </w:sectPr>
      </w:pPr>
    </w:p>
    <w:p>
      <w:pPr>
        <w:spacing w:line="340" w:lineRule="auto" w:before="44"/>
        <w:ind w:left="43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43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700" w:right="660"/>
          <w:cols w:num="2" w:equalWidth="0">
            <w:col w:w="2233" w:space="6507"/>
            <w:col w:w="1810"/>
          </w:cols>
        </w:sectPr>
      </w:pPr>
    </w:p>
    <w:p>
      <w:pPr>
        <w:spacing w:line="240" w:lineRule="auto" w:before="13"/>
        <w:rPr>
          <w:rFonts w:ascii="宋体" w:hAnsi="宋体" w:cs="宋体" w:eastAsia="宋体" w:hint="default"/>
          <w:sz w:val="7"/>
          <w:szCs w:val="7"/>
        </w:rPr>
      </w:pPr>
    </w:p>
    <w:tbl>
      <w:tblPr>
        <w:tblW w:w="0" w:type="auto"/>
        <w:jc w:val="left"/>
        <w:tblInd w:w="427"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部分闲置募集资金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暂时闲置自有资金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49"/>
        <w:ind w:left="432" w:right="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before="119"/>
        <w:ind w:left="0" w:right="47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spacing w:before="44"/>
        <w:ind w:left="0" w:right="99" w:firstLine="0"/>
        <w:jc w:val="right"/>
        <w:rPr>
          <w:rFonts w:ascii="宋体" w:hAnsi="宋体" w:cs="宋体" w:eastAsia="宋体" w:hint="default"/>
          <w:sz w:val="18"/>
          <w:szCs w:val="18"/>
        </w:rPr>
      </w:pPr>
      <w:r>
        <w:rPr/>
        <w:pict>
          <v:shape style="position:absolute;margin-left:40.439999pt;margin-top:-130.178299pt;width:514.7pt;height:268.2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83"/>
                    <w:gridCol w:w="590"/>
                    <w:gridCol w:w="607"/>
                    <w:gridCol w:w="574"/>
                    <w:gridCol w:w="562"/>
                    <w:gridCol w:w="559"/>
                    <w:gridCol w:w="562"/>
                    <w:gridCol w:w="562"/>
                    <w:gridCol w:w="562"/>
                    <w:gridCol w:w="560"/>
                    <w:gridCol w:w="562"/>
                    <w:gridCol w:w="562"/>
                    <w:gridCol w:w="562"/>
                    <w:gridCol w:w="548"/>
                    <w:gridCol w:w="547"/>
                    <w:gridCol w:w="552"/>
                    <w:gridCol w:w="1027"/>
                  </w:tblGrid>
                  <w:tr>
                    <w:trPr>
                      <w:trHeight w:val="1963" w:hRule="exact"/>
                    </w:trPr>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6" w:right="24"/>
                          <w:jc w:val="center"/>
                          <w:rPr>
                            <w:rFonts w:ascii="宋体" w:hAnsi="宋体" w:cs="宋体" w:eastAsia="宋体" w:hint="default"/>
                            <w:sz w:val="18"/>
                            <w:szCs w:val="18"/>
                          </w:rPr>
                        </w:pPr>
                        <w:r>
                          <w:rPr>
                            <w:rFonts w:ascii="宋体" w:hAnsi="宋体" w:cs="宋体" w:eastAsia="宋体" w:hint="default"/>
                            <w:sz w:val="18"/>
                            <w:szCs w:val="18"/>
                          </w:rPr>
                          <w:t>受托机构 名称（或 受托人姓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10" w:right="108"/>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20"/>
                          <w:ind w:left="23" w:right="21"/>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3"/>
                            <w:sz w:val="18"/>
                            <w:szCs w:val="18"/>
                          </w:rPr>
                          <w:t>人）类</w:t>
                        </w:r>
                        <w:r>
                          <w:rPr>
                            <w:rFonts w:ascii="宋体" w:hAnsi="宋体" w:cs="宋体" w:eastAsia="宋体" w:hint="default"/>
                            <w:sz w:val="18"/>
                            <w:szCs w:val="18"/>
                          </w:rPr>
                          <w:t> 型</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08"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95" w:right="9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95" w:right="91"/>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96" w:right="9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96"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6"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96" w:right="91"/>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95"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20"/>
                          <w:ind w:left="184" w:right="95" w:hanging="89"/>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6" w:right="95"/>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8" w:right="87"/>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6" w:lineRule="auto" w:before="19"/>
                          <w:ind w:left="88" w:right="87"/>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88" w:right="86"/>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57" w:right="59"/>
                          <w:jc w:val="both"/>
                          <w:rPr>
                            <w:rFonts w:ascii="宋体" w:hAnsi="宋体" w:cs="宋体" w:eastAsia="宋体" w:hint="default"/>
                            <w:sz w:val="18"/>
                            <w:szCs w:val="18"/>
                          </w:rPr>
                        </w:pPr>
                        <w:r>
                          <w:rPr>
                            <w:rFonts w:ascii="宋体" w:hAnsi="宋体" w:cs="宋体" w:eastAsia="宋体" w:hint="default"/>
                            <w:sz w:val="18"/>
                            <w:szCs w:val="18"/>
                          </w:rPr>
                          <w:t>事项概述及 相关查询索 引（如有）</w:t>
                        </w:r>
                      </w:p>
                    </w:tc>
                  </w:tr>
                  <w:tr>
                    <w:trPr>
                      <w:trHeight w:val="1337"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7"/>
                          <w:jc w:val="both"/>
                          <w:rPr>
                            <w:rFonts w:ascii="宋体" w:hAnsi="宋体" w:cs="宋体" w:eastAsia="宋体" w:hint="default"/>
                            <w:sz w:val="18"/>
                            <w:szCs w:val="18"/>
                          </w:rPr>
                        </w:pPr>
                        <w:r>
                          <w:rPr>
                            <w:rFonts w:ascii="宋体" w:hAnsi="宋体" w:cs="宋体" w:eastAsia="宋体" w:hint="default"/>
                            <w:sz w:val="18"/>
                            <w:szCs w:val="18"/>
                          </w:rPr>
                          <w:t>北京银行 清华园支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67"/>
                          <w:jc w:val="both"/>
                          <w:rPr>
                            <w:rFonts w:ascii="宋体" w:hAnsi="宋体" w:cs="宋体" w:eastAsia="宋体" w:hint="default"/>
                            <w:sz w:val="18"/>
                            <w:szCs w:val="18"/>
                          </w:rPr>
                        </w:pPr>
                        <w:r>
                          <w:rPr>
                            <w:rFonts w:ascii="宋体" w:hAnsi="宋体" w:cs="宋体" w:eastAsia="宋体" w:hint="default"/>
                            <w:sz w:val="18"/>
                            <w:szCs w:val="18"/>
                          </w:rPr>
                          <w:t>按委 托约 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5"/>
                          <w:jc w:val="center"/>
                          <w:rPr>
                            <w:rFonts w:ascii="Times New Roman" w:hAnsi="Times New Roman" w:cs="Times New Roman" w:eastAsia="Times New Roman" w:hint="default"/>
                            <w:sz w:val="18"/>
                            <w:szCs w:val="18"/>
                          </w:rPr>
                        </w:pPr>
                        <w:r>
                          <w:rPr>
                            <w:rFonts w:ascii="Times New Roman"/>
                            <w:sz w:val="18"/>
                          </w:rPr>
                          <w:t>30.68</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2017-015</w:t>
                        </w:r>
                      </w:p>
                    </w:tc>
                  </w:tr>
                  <w:tr>
                    <w:trPr>
                      <w:trHeight w:val="1339"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4" w:right="27"/>
                          <w:jc w:val="both"/>
                          <w:rPr>
                            <w:rFonts w:ascii="宋体" w:hAnsi="宋体" w:cs="宋体" w:eastAsia="宋体" w:hint="default"/>
                            <w:sz w:val="18"/>
                            <w:szCs w:val="18"/>
                          </w:rPr>
                        </w:pPr>
                        <w:r>
                          <w:rPr>
                            <w:rFonts w:ascii="宋体" w:hAnsi="宋体" w:cs="宋体" w:eastAsia="宋体" w:hint="default"/>
                            <w:sz w:val="18"/>
                            <w:szCs w:val="18"/>
                          </w:rPr>
                          <w:t>北京银行 清华园支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4" w:right="167"/>
                          <w:jc w:val="both"/>
                          <w:rPr>
                            <w:rFonts w:ascii="宋体" w:hAnsi="宋体" w:cs="宋体" w:eastAsia="宋体" w:hint="default"/>
                            <w:sz w:val="18"/>
                            <w:szCs w:val="18"/>
                          </w:rPr>
                        </w:pPr>
                        <w:r>
                          <w:rPr>
                            <w:rFonts w:ascii="宋体" w:hAnsi="宋体" w:cs="宋体" w:eastAsia="宋体" w:hint="default"/>
                            <w:sz w:val="18"/>
                            <w:szCs w:val="18"/>
                          </w:rPr>
                          <w:t>按委 托约 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0"/>
                          <w:ind w:left="24"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6"/>
                          <w:jc w:val="center"/>
                          <w:rPr>
                            <w:rFonts w:ascii="Times New Roman" w:hAnsi="Times New Roman" w:cs="Times New Roman" w:eastAsia="Times New Roman" w:hint="default"/>
                            <w:sz w:val="18"/>
                            <w:szCs w:val="18"/>
                          </w:rPr>
                        </w:pPr>
                        <w:r>
                          <w:rPr>
                            <w:rFonts w:ascii="Times New Roman"/>
                            <w:sz w:val="18"/>
                          </w:rPr>
                          <w:t>52.6</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2017-020</w:t>
                        </w:r>
                      </w:p>
                    </w:tc>
                  </w:tr>
                  <w:tr>
                    <w:trPr>
                      <w:trHeight w:val="716"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4" w:right="27"/>
                          <w:jc w:val="left"/>
                          <w:rPr>
                            <w:rFonts w:ascii="宋体" w:hAnsi="宋体" w:cs="宋体" w:eastAsia="宋体" w:hint="default"/>
                            <w:sz w:val="18"/>
                            <w:szCs w:val="18"/>
                          </w:rPr>
                        </w:pPr>
                        <w:r>
                          <w:rPr>
                            <w:rFonts w:ascii="宋体" w:hAnsi="宋体" w:cs="宋体" w:eastAsia="宋体" w:hint="default"/>
                            <w:sz w:val="18"/>
                            <w:szCs w:val="18"/>
                          </w:rPr>
                          <w:t>北京银行 清华园支</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31"/>
                          <w:jc w:val="left"/>
                          <w:rPr>
                            <w:rFonts w:ascii="宋体" w:hAnsi="宋体" w:cs="宋体" w:eastAsia="宋体" w:hint="default"/>
                            <w:sz w:val="18"/>
                            <w:szCs w:val="18"/>
                          </w:rPr>
                        </w:pPr>
                        <w:r>
                          <w:rPr>
                            <w:rFonts w:ascii="宋体" w:hAnsi="宋体" w:cs="宋体" w:eastAsia="宋体" w:hint="default"/>
                            <w:sz w:val="18"/>
                            <w:szCs w:val="18"/>
                          </w:rPr>
                          <w:t>保本保 证收益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166"/>
                          <w:jc w:val="left"/>
                          <w:rPr>
                            <w:rFonts w:ascii="宋体" w:hAnsi="宋体" w:cs="宋体" w:eastAsia="宋体" w:hint="default"/>
                            <w:sz w:val="18"/>
                            <w:szCs w:val="18"/>
                          </w:rPr>
                        </w:pPr>
                        <w:r>
                          <w:rPr>
                            <w:rFonts w:ascii="宋体" w:hAnsi="宋体" w:cs="宋体" w:eastAsia="宋体" w:hint="default"/>
                            <w:sz w:val="18"/>
                            <w:szCs w:val="18"/>
                          </w:rPr>
                          <w:t>闲置 募集</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4" w:right="167"/>
                          <w:jc w:val="left"/>
                          <w:rPr>
                            <w:rFonts w:ascii="宋体" w:hAnsi="宋体" w:cs="宋体" w:eastAsia="宋体" w:hint="default"/>
                            <w:sz w:val="18"/>
                            <w:szCs w:val="18"/>
                          </w:rPr>
                        </w:pPr>
                        <w:r>
                          <w:rPr>
                            <w:rFonts w:ascii="宋体" w:hAnsi="宋体" w:cs="宋体" w:eastAsia="宋体" w:hint="default"/>
                            <w:sz w:val="18"/>
                            <w:szCs w:val="18"/>
                          </w:rPr>
                          <w:t>按委 托约</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center"/>
                          <w:rPr>
                            <w:rFonts w:ascii="Times New Roman" w:hAnsi="Times New Roman" w:cs="Times New Roman" w:eastAsia="Times New Roman" w:hint="default"/>
                            <w:sz w:val="18"/>
                            <w:szCs w:val="18"/>
                          </w:rPr>
                        </w:pPr>
                        <w:r>
                          <w:rPr>
                            <w:rFonts w:ascii="Times New Roman"/>
                            <w:sz w:val="18"/>
                          </w:rPr>
                          <w:t>61.37</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2017-050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44"/>
        <w:ind w:left="0" w:right="9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44"/>
        <w:ind w:left="0" w:right="9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type w:val="continuous"/>
          <w:pgSz w:w="11910" w:h="16840"/>
          <w:pgMar w:top="1060" w:bottom="1160" w:left="700" w:right="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spacing w:before="44"/>
        <w:ind w:left="0" w:right="99" w:firstLine="0"/>
        <w:jc w:val="right"/>
        <w:rPr>
          <w:rFonts w:ascii="宋体" w:hAnsi="宋体" w:cs="宋体" w:eastAsia="宋体" w:hint="default"/>
          <w:sz w:val="18"/>
          <w:szCs w:val="18"/>
        </w:rPr>
      </w:pPr>
      <w:r>
        <w:rPr/>
        <w:pict>
          <v:shape style="position:absolute;margin-left:40.439999pt;margin-top:-65.788300pt;width:514.7pt;height:321.9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83"/>
                    <w:gridCol w:w="590"/>
                    <w:gridCol w:w="607"/>
                    <w:gridCol w:w="574"/>
                    <w:gridCol w:w="562"/>
                    <w:gridCol w:w="559"/>
                    <w:gridCol w:w="562"/>
                    <w:gridCol w:w="562"/>
                    <w:gridCol w:w="562"/>
                    <w:gridCol w:w="560"/>
                    <w:gridCol w:w="562"/>
                    <w:gridCol w:w="562"/>
                    <w:gridCol w:w="562"/>
                    <w:gridCol w:w="548"/>
                    <w:gridCol w:w="547"/>
                    <w:gridCol w:w="552"/>
                    <w:gridCol w:w="1027"/>
                  </w:tblGrid>
                  <w:tr>
                    <w:trPr>
                      <w:trHeight w:val="675"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型</w:t>
                        </w: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66"/>
                          <w:jc w:val="right"/>
                          <w:rPr>
                            <w:rFonts w:ascii="宋体" w:hAnsi="宋体" w:cs="宋体" w:eastAsia="宋体" w:hint="default"/>
                            <w:sz w:val="18"/>
                            <w:szCs w:val="18"/>
                          </w:rPr>
                        </w:pPr>
                        <w:r>
                          <w:rPr>
                            <w:rFonts w:ascii="宋体" w:hAnsi="宋体" w:cs="宋体" w:eastAsia="宋体" w:hint="default"/>
                            <w:sz w:val="18"/>
                            <w:szCs w:val="18"/>
                          </w:rPr>
                          <w:t>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定</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7"/>
                          <w:jc w:val="both"/>
                          <w:rPr>
                            <w:rFonts w:ascii="宋体" w:hAnsi="宋体" w:cs="宋体" w:eastAsia="宋体" w:hint="default"/>
                            <w:sz w:val="18"/>
                            <w:szCs w:val="18"/>
                          </w:rPr>
                        </w:pPr>
                        <w:r>
                          <w:rPr>
                            <w:rFonts w:ascii="宋体" w:hAnsi="宋体" w:cs="宋体" w:eastAsia="宋体" w:hint="default"/>
                            <w:sz w:val="18"/>
                            <w:szCs w:val="18"/>
                          </w:rPr>
                          <w:t>北京银行 清华园支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67"/>
                          <w:jc w:val="both"/>
                          <w:rPr>
                            <w:rFonts w:ascii="宋体" w:hAnsi="宋体" w:cs="宋体" w:eastAsia="宋体" w:hint="default"/>
                            <w:sz w:val="18"/>
                            <w:szCs w:val="18"/>
                          </w:rPr>
                        </w:pPr>
                        <w:r>
                          <w:rPr>
                            <w:rFonts w:ascii="宋体" w:hAnsi="宋体" w:cs="宋体" w:eastAsia="宋体" w:hint="default"/>
                            <w:sz w:val="18"/>
                            <w:szCs w:val="18"/>
                          </w:rPr>
                          <w:t>按委 托约 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3.80%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40.60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2017-056</w:t>
                        </w:r>
                      </w:p>
                    </w:tc>
                  </w:tr>
                  <w:tr>
                    <w:trPr>
                      <w:trHeight w:val="1340"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7"/>
                          <w:jc w:val="both"/>
                          <w:rPr>
                            <w:rFonts w:ascii="宋体" w:hAnsi="宋体" w:cs="宋体" w:eastAsia="宋体" w:hint="default"/>
                            <w:sz w:val="18"/>
                            <w:szCs w:val="18"/>
                          </w:rPr>
                        </w:pPr>
                        <w:r>
                          <w:rPr>
                            <w:rFonts w:ascii="宋体" w:hAnsi="宋体" w:cs="宋体" w:eastAsia="宋体" w:hint="default"/>
                            <w:sz w:val="18"/>
                            <w:szCs w:val="18"/>
                          </w:rPr>
                          <w:t>北京银行 清华园支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67"/>
                          <w:jc w:val="both"/>
                          <w:rPr>
                            <w:rFonts w:ascii="宋体" w:hAnsi="宋体" w:cs="宋体" w:eastAsia="宋体" w:hint="default"/>
                            <w:sz w:val="18"/>
                            <w:szCs w:val="18"/>
                          </w:rPr>
                        </w:pPr>
                        <w:r>
                          <w:rPr>
                            <w:rFonts w:ascii="宋体" w:hAnsi="宋体" w:cs="宋体" w:eastAsia="宋体" w:hint="default"/>
                            <w:sz w:val="18"/>
                            <w:szCs w:val="18"/>
                          </w:rPr>
                          <w:t>按委 托约 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3.70%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87.18</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2017-073</w:t>
                        </w:r>
                      </w:p>
                    </w:tc>
                  </w:tr>
                  <w:tr>
                    <w:trPr>
                      <w:trHeight w:val="1337"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7"/>
                          <w:jc w:val="both"/>
                          <w:rPr>
                            <w:rFonts w:ascii="宋体" w:hAnsi="宋体" w:cs="宋体" w:eastAsia="宋体" w:hint="default"/>
                            <w:sz w:val="18"/>
                            <w:szCs w:val="18"/>
                          </w:rPr>
                        </w:pPr>
                        <w:r>
                          <w:rPr>
                            <w:rFonts w:ascii="宋体" w:hAnsi="宋体" w:cs="宋体" w:eastAsia="宋体" w:hint="default"/>
                            <w:sz w:val="18"/>
                            <w:szCs w:val="18"/>
                          </w:rPr>
                          <w:t>北京银行 清华园支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67"/>
                          <w:jc w:val="both"/>
                          <w:rPr>
                            <w:rFonts w:ascii="宋体" w:hAnsi="宋体" w:cs="宋体" w:eastAsia="宋体" w:hint="default"/>
                            <w:sz w:val="18"/>
                            <w:szCs w:val="18"/>
                          </w:rPr>
                        </w:pPr>
                        <w:r>
                          <w:rPr>
                            <w:rFonts w:ascii="宋体" w:hAnsi="宋体" w:cs="宋体" w:eastAsia="宋体" w:hint="default"/>
                            <w:sz w:val="18"/>
                            <w:szCs w:val="18"/>
                          </w:rPr>
                          <w:t>按委 托约 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3.60%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34.52</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2017-097</w:t>
                        </w:r>
                      </w:p>
                    </w:tc>
                  </w:tr>
                  <w:tr>
                    <w:trPr>
                      <w:trHeight w:val="1339"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7"/>
                          <w:jc w:val="both"/>
                          <w:rPr>
                            <w:rFonts w:ascii="宋体" w:hAnsi="宋体" w:cs="宋体" w:eastAsia="宋体" w:hint="default"/>
                            <w:sz w:val="18"/>
                            <w:szCs w:val="18"/>
                          </w:rPr>
                        </w:pPr>
                        <w:r>
                          <w:rPr>
                            <w:rFonts w:ascii="宋体" w:hAnsi="宋体" w:cs="宋体" w:eastAsia="宋体" w:hint="default"/>
                            <w:sz w:val="18"/>
                            <w:szCs w:val="18"/>
                          </w:rPr>
                          <w:t>招商银行 北京通州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31"/>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67"/>
                          <w:jc w:val="both"/>
                          <w:rPr>
                            <w:rFonts w:ascii="宋体" w:hAnsi="宋体" w:cs="宋体" w:eastAsia="宋体" w:hint="default"/>
                            <w:sz w:val="18"/>
                            <w:szCs w:val="18"/>
                          </w:rPr>
                        </w:pPr>
                        <w:r>
                          <w:rPr>
                            <w:rFonts w:ascii="宋体" w:hAnsi="宋体" w:cs="宋体" w:eastAsia="宋体" w:hint="default"/>
                            <w:sz w:val="18"/>
                            <w:szCs w:val="18"/>
                          </w:rPr>
                          <w:t>按委 托约 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3.75%</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25.17</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2017-095</w:t>
                        </w:r>
                      </w:p>
                    </w:tc>
                  </w:tr>
                  <w:tr>
                    <w:trPr>
                      <w:trHeight w:val="401" w:hRule="exact"/>
                    </w:trPr>
                    <w:tc>
                      <w:tcPr>
                        <w:tcW w:w="19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65,000</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4"/>
                          <w:jc w:val="right"/>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44"/>
        <w:ind w:left="0" w:right="9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spacing w:before="44"/>
        <w:ind w:left="0" w:right="9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44"/>
        <w:ind w:left="0" w:right="9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before="44"/>
        <w:ind w:left="432" w:right="0" w:firstLine="0"/>
        <w:jc w:val="left"/>
        <w:rPr>
          <w:rFonts w:ascii="宋体" w:hAnsi="宋体" w:cs="宋体" w:eastAsia="宋体" w:hint="default"/>
          <w:sz w:val="18"/>
          <w:szCs w:val="18"/>
        </w:rPr>
      </w:pPr>
      <w:r>
        <w:rPr>
          <w:rFonts w:ascii="宋体" w:hAnsi="宋体" w:cs="宋体" w:eastAsia="宋体" w:hint="default"/>
          <w:sz w:val="18"/>
          <w:szCs w:val="18"/>
        </w:rPr>
        <w:t>委托理财出现预期无法收回本金或存在其他可能导致减值的情形</w:t>
      </w:r>
    </w:p>
    <w:p>
      <w:pPr>
        <w:spacing w:before="119"/>
        <w:ind w:left="4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left="432"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432" w:right="7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5"/>
        <w:rPr>
          <w:rFonts w:ascii="宋体" w:hAnsi="宋体" w:cs="宋体" w:eastAsia="宋体" w:hint="default"/>
          <w:sz w:val="21"/>
          <w:szCs w:val="21"/>
        </w:rPr>
      </w:pPr>
    </w:p>
    <w:p>
      <w:pPr>
        <w:pStyle w:val="Heading3"/>
        <w:spacing w:line="240" w:lineRule="auto"/>
        <w:ind w:left="432"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spacing w:line="338" w:lineRule="auto" w:before="0"/>
        <w:ind w:left="432" w:right="7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left="432" w:right="0"/>
        <w:jc w:val="left"/>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432" w:right="0"/>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3"/>
        <w:rPr>
          <w:rFonts w:ascii="宋体" w:hAnsi="宋体" w:cs="宋体" w:eastAsia="宋体" w:hint="default"/>
          <w:b/>
          <w:bCs/>
          <w:sz w:val="26"/>
          <w:szCs w:val="26"/>
        </w:rPr>
      </w:pPr>
    </w:p>
    <w:p>
      <w:pPr>
        <w:pStyle w:val="BodyText"/>
        <w:spacing w:line="304" w:lineRule="auto"/>
        <w:ind w:left="432" w:right="466" w:firstLine="420"/>
        <w:jc w:val="both"/>
      </w:pPr>
      <w:r>
        <w:rPr>
          <w:rFonts w:ascii="Times New Roman" w:hAnsi="Times New Roman" w:cs="Times New Roman" w:eastAsia="Times New Roman" w:hint="default"/>
          <w:spacing w:val="-3"/>
        </w:rPr>
        <w:t>(1)</w:t>
      </w:r>
      <w:r>
        <w:rPr>
          <w:spacing w:val="-3"/>
        </w:rPr>
        <w:t>积极参与社会公益事业。公司作为一家国有控股上市企业，积极履行社会责任，充分发挥国有企业</w:t>
      </w:r>
      <w:r>
        <w:rPr>
          <w:w w:val="100"/>
        </w:rPr>
        <w:t> </w:t>
      </w:r>
      <w:r>
        <w:rPr>
          <w:spacing w:val="-4"/>
        </w:rPr>
        <w:t>带头作用，帮助困难群众解决实际问题。</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7</w:t>
      </w:r>
      <w:r>
        <w:rPr>
          <w:spacing w:val="-4"/>
        </w:rPr>
        <w:t>月，公司党总支发起</w:t>
      </w:r>
      <w:r>
        <w:rPr>
          <w:rFonts w:ascii="Times New Roman" w:hAnsi="Times New Roman" w:cs="Times New Roman" w:eastAsia="Times New Roman" w:hint="default"/>
          <w:spacing w:val="-4"/>
        </w:rPr>
        <w:t>“</w:t>
      </w:r>
      <w:r>
        <w:rPr>
          <w:spacing w:val="-4"/>
        </w:rPr>
        <w:t>共产党员献爱心</w:t>
      </w:r>
      <w:r>
        <w:rPr>
          <w:rFonts w:ascii="Times New Roman" w:hAnsi="Times New Roman" w:cs="Times New Roman" w:eastAsia="Times New Roman" w:hint="default"/>
          <w:spacing w:val="-4"/>
        </w:rPr>
        <w:t>”</w:t>
      </w:r>
      <w:r>
        <w:rPr>
          <w:spacing w:val="-4"/>
        </w:rPr>
        <w:t>活动，各基层党支</w:t>
      </w:r>
      <w:r>
        <w:rPr>
          <w:spacing w:val="-18"/>
        </w:rPr>
        <w:t> </w:t>
      </w:r>
      <w:r>
        <w:rPr>
          <w:spacing w:val="-18"/>
        </w:rPr>
      </w:r>
      <w:r>
        <w:rPr>
          <w:spacing w:val="-2"/>
        </w:rPr>
        <w:t>部积极响应，纷纷组织党支部成员捐赠善款奉献爱心。公司全体党员发挥先锋模范作用，积极向北京市慈</w:t>
      </w:r>
      <w:r>
        <w:rPr>
          <w:spacing w:val="-42"/>
        </w:rPr>
        <w:t> </w:t>
      </w:r>
      <w:r>
        <w:rPr>
          <w:spacing w:val="-42"/>
        </w:rPr>
      </w:r>
      <w:r>
        <w:rPr>
          <w:spacing w:val="-2"/>
        </w:rPr>
        <w:t>善协会捐款，用于慈善医疗救助、慈善助学、慈善助老等救助项目，并获得北京市慈善协会颁发的《共产</w:t>
      </w:r>
      <w:r>
        <w:rPr>
          <w:spacing w:val="-43"/>
        </w:rPr>
        <w:t> </w:t>
      </w:r>
      <w:r>
        <w:rPr>
          <w:spacing w:val="-43"/>
        </w:rPr>
      </w:r>
      <w:r>
        <w:rPr/>
        <w:t>党员献爱心捐赠证书》。</w:t>
      </w:r>
    </w:p>
    <w:p>
      <w:pPr>
        <w:spacing w:after="0" w:line="304" w:lineRule="auto"/>
        <w:jc w:val="both"/>
        <w:sectPr>
          <w:pgSz w:w="11910" w:h="16840"/>
          <w:pgMar w:header="867" w:footer="979" w:top="1060" w:bottom="1160" w:left="700" w:right="660"/>
        </w:sectPr>
      </w:pPr>
    </w:p>
    <w:p>
      <w:pPr>
        <w:spacing w:line="240" w:lineRule="auto" w:before="8"/>
        <w:rPr>
          <w:rFonts w:ascii="宋体" w:hAnsi="宋体" w:cs="宋体" w:eastAsia="宋体" w:hint="default"/>
          <w:sz w:val="26"/>
          <w:szCs w:val="26"/>
        </w:rPr>
      </w:pPr>
    </w:p>
    <w:p>
      <w:pPr>
        <w:pStyle w:val="BodyText"/>
        <w:spacing w:line="309" w:lineRule="auto" w:before="36"/>
        <w:ind w:right="206" w:firstLine="420"/>
        <w:jc w:val="both"/>
      </w:pPr>
      <w:r>
        <w:rPr>
          <w:rFonts w:ascii="Times New Roman" w:hAnsi="Times New Roman" w:cs="Times New Roman" w:eastAsia="Times New Roman" w:hint="default"/>
          <w:spacing w:val="-7"/>
        </w:rPr>
        <w:t>(2)</w:t>
      </w:r>
      <w:r>
        <w:rPr>
          <w:spacing w:val="-7"/>
        </w:rPr>
        <w:t>股东权益保护。</w:t>
      </w:r>
      <w:r>
        <w:rPr>
          <w:rFonts w:ascii="Times New Roman" w:hAnsi="Times New Roman" w:cs="Times New Roman" w:eastAsia="Times New Roman" w:hint="default"/>
          <w:spacing w:val="-7"/>
        </w:rPr>
        <w:t>2017</w:t>
      </w:r>
      <w:r>
        <w:rPr>
          <w:spacing w:val="-7"/>
        </w:rPr>
        <w:t>年，公司严格按照《公司法》、《深圳证券交易所创业板股票上市规则》、《深</w:t>
      </w:r>
      <w:r>
        <w:rPr>
          <w:w w:val="100"/>
        </w:rPr>
        <w:t> </w:t>
      </w:r>
      <w:r>
        <w:rPr>
          <w:spacing w:val="-2"/>
        </w:rPr>
        <w:t>圳证券交易所创业板上市公司规范运作指引》等相关法律法规及规范性文件的要求，不断健全和完善法人</w:t>
      </w:r>
      <w:r>
        <w:rPr>
          <w:spacing w:val="-43"/>
        </w:rPr>
        <w:t> </w:t>
      </w:r>
      <w:r>
        <w:rPr>
          <w:spacing w:val="-43"/>
        </w:rPr>
      </w:r>
      <w:r>
        <w:rPr>
          <w:spacing w:val="-2"/>
        </w:rPr>
        <w:t>治理结构，切实维护所有股东特别是中小股东的合法权益，确保股东充分享有法律法规规定的各项合法权</w:t>
      </w:r>
      <w:r>
        <w:rPr>
          <w:spacing w:val="-43"/>
        </w:rPr>
        <w:t> </w:t>
      </w:r>
      <w:r>
        <w:rPr>
          <w:spacing w:val="-43"/>
        </w:rPr>
      </w:r>
      <w:r>
        <w:rPr>
          <w:spacing w:val="-2"/>
        </w:rPr>
        <w:t>益。报告期内，公司积极实施利润分配，确保股东投资回报；重视投资者关系管理，不断提升信息披露水</w:t>
      </w:r>
      <w:r>
        <w:rPr>
          <w:spacing w:val="-43"/>
        </w:rPr>
        <w:t> </w:t>
      </w:r>
      <w:r>
        <w:rPr>
          <w:spacing w:val="-43"/>
        </w:rPr>
      </w:r>
      <w:r>
        <w:rPr>
          <w:spacing w:val="-2"/>
        </w:rPr>
        <w:t>平，通过投资者咨询电话、电子邮箱和投资者关系互动平台、举行投资者关系活动、网上业绩说明会等多</w:t>
      </w:r>
      <w:r>
        <w:rPr>
          <w:spacing w:val="-50"/>
        </w:rPr>
        <w:t> </w:t>
      </w:r>
      <w:r>
        <w:rPr>
          <w:spacing w:val="-50"/>
        </w:rPr>
      </w:r>
      <w:r>
        <w:rPr/>
        <w:t>种方式与投资者进行沟通交流，建立良好的互动平台，保证所有投资者的知情权、参与权。</w:t>
      </w:r>
    </w:p>
    <w:p>
      <w:pPr>
        <w:pStyle w:val="BodyText"/>
        <w:spacing w:line="309" w:lineRule="auto" w:before="144"/>
        <w:ind w:right="0" w:firstLine="420"/>
        <w:jc w:val="left"/>
      </w:pPr>
      <w:r>
        <w:rPr>
          <w:rFonts w:ascii="Times New Roman" w:hAnsi="Times New Roman" w:cs="Times New Roman" w:eastAsia="Times New Roman" w:hint="default"/>
          <w:spacing w:val="-5"/>
        </w:rPr>
        <w:t>(3)</w:t>
      </w:r>
      <w:r>
        <w:rPr>
          <w:spacing w:val="-5"/>
        </w:rPr>
        <w:t>职工权益保护。公司注重人才队伍建设，加强培养梯队人才，定期组织开展领导力开发、专业知识、</w:t>
      </w:r>
      <w:r>
        <w:rPr>
          <w:w w:val="100"/>
        </w:rPr>
        <w:t> </w:t>
      </w:r>
      <w:r>
        <w:rPr>
          <w:spacing w:val="-2"/>
        </w:rPr>
        <w:t>专业技能等多层次培训，促使员工综合素质和业务能力全面提升，同时为员工提供成长平台与通道，实现</w:t>
      </w:r>
      <w:r>
        <w:rPr>
          <w:spacing w:val="-43"/>
        </w:rPr>
        <w:t> </w:t>
      </w:r>
      <w:r>
        <w:rPr>
          <w:spacing w:val="-43"/>
        </w:rPr>
      </w:r>
      <w:r>
        <w:rPr>
          <w:spacing w:val="-2"/>
        </w:rPr>
        <w:t>员工与公司共同发展；公司坚持以人为本，尊重员工人格，为员工创造良好的工作环境，举办丰富多彩的</w:t>
      </w:r>
      <w:r>
        <w:rPr>
          <w:spacing w:val="-50"/>
        </w:rPr>
        <w:t> </w:t>
      </w:r>
      <w:r>
        <w:rPr>
          <w:spacing w:val="-50"/>
        </w:rPr>
      </w:r>
      <w:r>
        <w:rPr>
          <w:spacing w:val="-2"/>
        </w:rPr>
        <w:t>文体活动，加强对员工的人文关怀，增强员工的归属感与认同感，持续优化员工关怀体系；公司尊重和保</w:t>
      </w:r>
      <w:r>
        <w:rPr>
          <w:spacing w:val="-50"/>
        </w:rPr>
        <w:t> </w:t>
      </w:r>
      <w:r>
        <w:rPr>
          <w:spacing w:val="-50"/>
        </w:rPr>
      </w:r>
      <w:r>
        <w:rPr>
          <w:spacing w:val="-5"/>
        </w:rPr>
        <w:t>护员工权益，严格贯彻执行《劳动合同法》、《社会保险法》等各项法律法规，切实保障员工的合法权益。</w:t>
      </w:r>
    </w:p>
    <w:p>
      <w:pPr>
        <w:spacing w:line="240" w:lineRule="auto" w:before="12"/>
        <w:rPr>
          <w:rFonts w:ascii="宋体" w:hAnsi="宋体" w:cs="宋体" w:eastAsia="宋体" w:hint="default"/>
          <w:sz w:val="22"/>
          <w:szCs w:val="22"/>
        </w:rPr>
      </w:pPr>
    </w:p>
    <w:p>
      <w:pPr>
        <w:spacing w:line="571" w:lineRule="auto" w:before="0"/>
        <w:ind w:left="533" w:right="226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公司报告年度暂未开展精准扶贫工作，也暂无后续精准扶贫计划。</w:t>
      </w:r>
    </w:p>
    <w:p>
      <w:pPr>
        <w:pStyle w:val="Heading3"/>
        <w:spacing w:line="240" w:lineRule="auto" w:before="126"/>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12" w:right="479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pStyle w:val="BodyText"/>
        <w:spacing w:line="240" w:lineRule="auto" w:before="87"/>
        <w:ind w:left="533" w:right="0"/>
        <w:jc w:val="left"/>
      </w:pPr>
      <w:r>
        <w:rPr/>
        <w:t>公司及子公司不属于环境保护部门公布的重点排污单位。</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spacing w:line="338" w:lineRule="auto" w:before="0"/>
        <w:ind w:left="112" w:right="62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公司报告期不存在需要说明的其他重大事项。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十九、公司子公司重大事项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2"/>
          <w:szCs w:val="12"/>
        </w:rPr>
      </w:pPr>
    </w:p>
    <w:p>
      <w:pPr>
        <w:pStyle w:val="BodyText"/>
        <w:spacing w:line="256" w:lineRule="auto"/>
        <w:ind w:right="0" w:firstLine="420"/>
        <w:jc w:val="left"/>
      </w:pPr>
      <w:r>
        <w:rPr>
          <w:spacing w:val="-1"/>
        </w:rPr>
        <w:t>详情请见公司于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6</w:t>
      </w:r>
      <w:r>
        <w:rPr>
          <w:spacing w:val="-1"/>
        </w:rPr>
        <w:t>日在巨潮资讯网（</w:t>
      </w:r>
      <w:r>
        <w:rPr>
          <w:rFonts w:ascii="Times New Roman" w:hAnsi="Times New Roman" w:cs="Times New Roman" w:eastAsia="Times New Roman" w:hint="default"/>
          <w:spacing w:val="-1"/>
        </w:rPr>
        <w:t>http://www.cninfo.com.cn)</w:t>
      </w:r>
      <w:r>
        <w:rPr>
          <w:spacing w:val="-1"/>
        </w:rPr>
        <w:t>披露的《关于控股子公司北京</w:t>
      </w:r>
      <w:r>
        <w:rPr>
          <w:w w:val="100"/>
        </w:rPr>
        <w:t> </w:t>
      </w:r>
      <w:r>
        <w:rPr>
          <w:spacing w:val="37"/>
        </w:rPr>
        <w:t>版信通技术有限公司增资暨放弃优先认购权的公告》以及于</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49"/>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spacing w:val="33"/>
        </w:rPr>
        <w:t>日在巨潮资讯网</w:t>
      </w:r>
      <w:r>
        <w:rPr>
          <w:spacing w:val="-65"/>
        </w:rPr>
        <w:t> </w:t>
      </w:r>
      <w:r>
        <w:rPr/>
      </w:r>
    </w:p>
    <w:p>
      <w:pPr>
        <w:pStyle w:val="BodyText"/>
        <w:spacing w:line="256" w:lineRule="auto" w:before="5"/>
        <w:ind w:right="0"/>
        <w:jc w:val="left"/>
      </w:pPr>
      <w:r>
        <w:rPr>
          <w:spacing w:val="-1"/>
        </w:rPr>
        <w:t>（</w:t>
      </w:r>
      <w:r>
        <w:rPr>
          <w:rFonts w:ascii="Times New Roman" w:hAnsi="Times New Roman" w:cs="Times New Roman" w:eastAsia="Times New Roman" w:hint="default"/>
          <w:spacing w:val="-1"/>
        </w:rPr>
        <w:t>http://www.cninfo.com.cn)</w:t>
      </w:r>
      <w:r>
        <w:rPr>
          <w:spacing w:val="-1"/>
        </w:rPr>
        <w:t>披露的《关于子公司北京版信通技术有限公司增资暨放弃优先认购权事项的进</w:t>
      </w:r>
      <w:r>
        <w:rPr>
          <w:spacing w:val="-50"/>
        </w:rPr>
        <w:t> </w:t>
      </w:r>
      <w:r>
        <w:rPr>
          <w:spacing w:val="-50"/>
        </w:rPr>
      </w:r>
      <w:r>
        <w:rPr/>
        <w:t>展公告》。</w:t>
      </w:r>
    </w:p>
    <w:p>
      <w:pPr>
        <w:spacing w:after="0" w:line="256" w:lineRule="auto"/>
        <w:jc w:val="left"/>
        <w:sectPr>
          <w:pgSz w:w="11910" w:h="16840"/>
          <w:pgMar w:header="867" w:footer="979" w:top="1060" w:bottom="1160" w:left="10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24" w:right="0"/>
        <w:jc w:val="left"/>
        <w:rPr>
          <w:b w:val="0"/>
          <w:bCs w:val="0"/>
        </w:rPr>
      </w:pPr>
      <w:bookmarkStart w:name="_bookmark4" w:id="5"/>
      <w:bookmarkEnd w:id="5"/>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spacing w:before="44"/>
        <w:ind w:left="0" w:right="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85"/>
        <w:gridCol w:w="1066"/>
        <w:gridCol w:w="823"/>
        <w:gridCol w:w="521"/>
        <w:gridCol w:w="708"/>
        <w:gridCol w:w="711"/>
        <w:gridCol w:w="991"/>
        <w:gridCol w:w="994"/>
        <w:gridCol w:w="982"/>
        <w:gridCol w:w="792"/>
      </w:tblGrid>
      <w:tr>
        <w:trPr>
          <w:trHeight w:val="403"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8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2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76" w:right="72"/>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70" w:right="79"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-8,692,500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-8,692,500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51,307,500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64.13%</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、国有法人持股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43,988,616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54.99%</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-960,160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-960,160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43,028,456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53.79%</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、其他内资持股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16,011,384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20.01%</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-7,732,340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-7,732,340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8,279,044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10.35%</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6.25%</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6.25%</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11,011,384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13.76%</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-7,732,340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-7,732,340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3,279,044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8,692,500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8,692,500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28,692,500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35.87%</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8,692,500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8,692,500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28,692,500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35.87%</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80,000,000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80,000,000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2"/>
          <w:szCs w:val="12"/>
        </w:rPr>
      </w:pPr>
    </w:p>
    <w:p>
      <w:pPr>
        <w:pStyle w:val="BodyText"/>
        <w:spacing w:line="256" w:lineRule="auto"/>
        <w:ind w:right="104" w:firstLine="42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23</w:t>
      </w:r>
      <w:r>
        <w:rPr>
          <w:spacing w:val="-2"/>
        </w:rPr>
        <w:t>日，首次公开发行前已发行的部分股份限售期满，解除限售股数量为</w:t>
      </w:r>
      <w:r>
        <w:rPr>
          <w:rFonts w:ascii="Times New Roman" w:hAnsi="Times New Roman" w:cs="Times New Roman" w:eastAsia="Times New Roman" w:hint="default"/>
          <w:spacing w:val="-2"/>
        </w:rPr>
        <w:t>11,420,906</w:t>
      </w:r>
      <w:r>
        <w:rPr>
          <w:spacing w:val="-2"/>
        </w:rPr>
        <w:t>股，</w:t>
      </w:r>
      <w:r>
        <w:rPr>
          <w:w w:val="100"/>
        </w:rPr>
        <w:t> </w:t>
      </w:r>
      <w:r>
        <w:rPr>
          <w:spacing w:val="-2"/>
        </w:rPr>
        <w:t>同时根据相关规定及承诺，公司董事、监事、高级管理人员所持公司股份的</w:t>
      </w:r>
      <w:r>
        <w:rPr>
          <w:rFonts w:ascii="Times New Roman" w:hAnsi="Times New Roman" w:cs="Times New Roman" w:eastAsia="Times New Roman" w:hint="default"/>
          <w:spacing w:val="-2"/>
        </w:rPr>
        <w:t>75%</w:t>
      </w:r>
      <w:r>
        <w:rPr>
          <w:spacing w:val="-2"/>
        </w:rPr>
        <w:t>予以锁定，公司增加高管</w:t>
      </w:r>
      <w:r>
        <w:rPr>
          <w:spacing w:val="-5"/>
        </w:rPr>
        <w:t> </w:t>
      </w:r>
      <w:r>
        <w:rPr>
          <w:spacing w:val="-5"/>
        </w:rPr>
      </w:r>
      <w:r>
        <w:rPr/>
        <w:t>锁定股</w:t>
      </w:r>
      <w:r>
        <w:rPr>
          <w:rFonts w:ascii="Times New Roman" w:hAnsi="Times New Roman" w:cs="Times New Roman" w:eastAsia="Times New Roman" w:hint="default"/>
        </w:rPr>
        <w:t>2,725,606</w:t>
      </w:r>
      <w:r>
        <w:rPr/>
        <w:t>股。</w:t>
      </w:r>
    </w:p>
    <w:p>
      <w:pPr>
        <w:pStyle w:val="BodyText"/>
        <w:spacing w:line="266" w:lineRule="auto" w:before="125"/>
        <w:ind w:right="126" w:firstLine="42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28</w:t>
      </w:r>
      <w:r>
        <w:rPr>
          <w:spacing w:val="-2"/>
        </w:rPr>
        <w:t>日，公司董事冯晔先生于第二届董事会任期届满后离任。根据首次公开发行承诺：如</w:t>
      </w:r>
      <w:r>
        <w:rPr>
          <w:w w:val="100"/>
        </w:rPr>
        <w:t> </w:t>
      </w:r>
      <w:r>
        <w:rPr>
          <w:spacing w:val="-2"/>
        </w:rPr>
        <w:t>果在首次公开发行股票上市之日起第七个月至第十二个月之间申报离职，自申报离职之日起十二个月内不</w:t>
      </w:r>
      <w:r>
        <w:rPr>
          <w:spacing w:val="-43"/>
        </w:rPr>
        <w:t> </w:t>
      </w:r>
      <w:r>
        <w:rPr>
          <w:spacing w:val="-43"/>
        </w:rPr>
      </w:r>
      <w:r>
        <w:rPr/>
        <w:t>得转让直接或间接持有的股份，故冯晔先生自其离职之日起</w:t>
      </w:r>
      <w:r>
        <w:rPr>
          <w:rFonts w:ascii="Times New Roman" w:hAnsi="Times New Roman" w:cs="Times New Roman" w:eastAsia="Times New Roman" w:hint="default"/>
        </w:rPr>
        <w:t>12</w:t>
      </w:r>
      <w:r>
        <w:rPr/>
        <w:t>个月内新增股份</w:t>
      </w:r>
      <w:r>
        <w:rPr>
          <w:rFonts w:ascii="Times New Roman" w:hAnsi="Times New Roman" w:cs="Times New Roman" w:eastAsia="Times New Roman" w:hint="default"/>
        </w:rPr>
        <w:t>2,800</w:t>
      </w:r>
      <w:r>
        <w:rPr/>
        <w:t>股全部予以锁定。</w:t>
      </w:r>
    </w:p>
    <w:p>
      <w:pPr>
        <w:spacing w:before="54"/>
        <w:ind w:left="112"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38" w:lineRule="auto" w:before="119"/>
        <w:ind w:left="112" w:right="8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股份变动的过户情况</w:t>
      </w:r>
    </w:p>
    <w:p>
      <w:pPr>
        <w:spacing w:line="340" w:lineRule="auto" w:before="43"/>
        <w:ind w:left="112" w:right="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40" w:lineRule="auto" w:before="39"/>
        <w:ind w:left="112" w:right="5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公司认为必要或证券监管机构要求披露的其他内容</w:t>
      </w:r>
    </w:p>
    <w:p>
      <w:pPr>
        <w:spacing w:before="4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67" w:footer="979" w:top="1060" w:bottom="1160" w:left="1020" w:right="1000"/>
        </w:sectPr>
      </w:pPr>
    </w:p>
    <w:p>
      <w:pPr>
        <w:spacing w:line="240" w:lineRule="auto" w:before="13"/>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5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60"/>
        <w:gridCol w:w="1275"/>
        <w:gridCol w:w="994"/>
        <w:gridCol w:w="991"/>
        <w:gridCol w:w="1277"/>
        <w:gridCol w:w="1702"/>
        <w:gridCol w:w="2268"/>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0" w:right="41"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0" w:right="38"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84"/>
              <w:jc w:val="left"/>
              <w:rPr>
                <w:rFonts w:ascii="宋体" w:hAnsi="宋体" w:cs="宋体" w:eastAsia="宋体" w:hint="default"/>
                <w:sz w:val="18"/>
                <w:szCs w:val="18"/>
              </w:rPr>
            </w:pPr>
            <w:r>
              <w:rPr>
                <w:rFonts w:ascii="宋体" w:hAnsi="宋体" w:cs="宋体" w:eastAsia="宋体" w:hint="default"/>
                <w:sz w:val="18"/>
                <w:szCs w:val="18"/>
              </w:rPr>
              <w:t>北京市国有资产经 营有限责任公司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20,994,308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20,994,308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首都信息发展股份 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20,988,414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20,988,414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84"/>
              <w:jc w:val="left"/>
              <w:rPr>
                <w:rFonts w:ascii="宋体" w:hAnsi="宋体" w:cs="宋体" w:eastAsia="宋体" w:hint="default"/>
                <w:sz w:val="18"/>
                <w:szCs w:val="18"/>
              </w:rPr>
            </w:pPr>
            <w:r>
              <w:rPr>
                <w:rFonts w:ascii="宋体" w:hAnsi="宋体" w:cs="宋体" w:eastAsia="宋体" w:hint="default"/>
                <w:sz w:val="18"/>
                <w:szCs w:val="18"/>
              </w:rPr>
              <w:t>北京科桥创业投资 中心（有限合伙）</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164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詹榜华</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2,202,208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2,202,208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1,651,656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1,651,656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2"/>
              <w:ind w:left="23"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担任董事、监事或高级管理 人员期间，每年转让直接或 间接持有公司的股份不超过 直接或间接持有股份总数的 </w:t>
            </w:r>
            <w:r>
              <w:rPr>
                <w:rFonts w:ascii="Times New Roman" w:hAnsi="Times New Roman" w:cs="Times New Roman" w:eastAsia="Times New Roman" w:hint="default"/>
                <w:sz w:val="18"/>
                <w:szCs w:val="18"/>
              </w:rPr>
              <w:t>25%</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84"/>
              <w:jc w:val="left"/>
              <w:rPr>
                <w:rFonts w:ascii="宋体" w:hAnsi="宋体" w:cs="宋体" w:eastAsia="宋体" w:hint="default"/>
                <w:sz w:val="18"/>
                <w:szCs w:val="18"/>
              </w:rPr>
            </w:pPr>
            <w:r>
              <w:rPr>
                <w:rFonts w:ascii="宋体" w:hAnsi="宋体" w:cs="宋体" w:eastAsia="宋体" w:hint="default"/>
                <w:sz w:val="18"/>
                <w:szCs w:val="18"/>
              </w:rPr>
              <w:t>全国社会保障基金 理事会转持一户</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全国社会保障基金 理事会转持一户</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84"/>
              <w:jc w:val="left"/>
              <w:rPr>
                <w:rFonts w:ascii="宋体" w:hAnsi="宋体" w:cs="宋体" w:eastAsia="宋体" w:hint="default"/>
                <w:sz w:val="18"/>
                <w:szCs w:val="18"/>
              </w:rPr>
            </w:pPr>
            <w:r>
              <w:rPr>
                <w:rFonts w:ascii="宋体" w:hAnsi="宋体" w:cs="宋体" w:eastAsia="宋体" w:hint="default"/>
                <w:sz w:val="18"/>
                <w:szCs w:val="18"/>
              </w:rPr>
              <w:t>上海市数字证书认 证中心有限公司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960,160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960,160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阳俊彪</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770,790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770,790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王春芝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550,638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550,638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4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林雪焰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550,638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550,638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412,978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412,978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担任董事、监事或高级管理 人员期间，每年转让直接或 间接持有公司的股份不超过 直接或间接持有股份总数的</w:t>
            </w:r>
          </w:p>
          <w:p>
            <w:pPr>
              <w:pStyle w:val="TableParagraph"/>
              <w:spacing w:line="240" w:lineRule="auto" w:before="59"/>
              <w:ind w:left="23" w:right="0"/>
              <w:jc w:val="both"/>
              <w:rPr>
                <w:rFonts w:ascii="Times New Roman" w:hAnsi="Times New Roman" w:cs="Times New Roman" w:eastAsia="Times New Roman" w:hint="default"/>
                <w:sz w:val="18"/>
                <w:szCs w:val="18"/>
              </w:rPr>
            </w:pPr>
            <w:r>
              <w:rPr>
                <w:rFonts w:ascii="Times New Roman"/>
                <w:sz w:val="18"/>
              </w:rPr>
              <w:t>25%</w:t>
            </w:r>
          </w:p>
        </w:tc>
      </w:tr>
      <w:tr>
        <w:trPr>
          <w:trHeight w:val="258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刘汉莎</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550,638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550,638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46"/>
              <w:jc w:val="both"/>
              <w:rPr>
                <w:rFonts w:ascii="宋体" w:hAnsi="宋体" w:cs="宋体" w:eastAsia="宋体" w:hint="default"/>
                <w:sz w:val="18"/>
                <w:szCs w:val="18"/>
              </w:rPr>
            </w:pPr>
            <w:r>
              <w:rPr>
                <w:rFonts w:ascii="宋体" w:hAnsi="宋体" w:cs="宋体" w:eastAsia="宋体" w:hint="default"/>
                <w:sz w:val="18"/>
                <w:szCs w:val="18"/>
              </w:rPr>
              <w:t>首次公开发行承诺： 如果在首次公开发行 股票上市之日起第七 个月至第十二个月之 间申报离职，自申报 离职之日起十二个月 内不得转让直接或间 接持有的股份</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67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吴舜皋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495,471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495,471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371,603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371,603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担任董事、监事或高级管理 人员期间，每年转让直接或</w:t>
            </w:r>
          </w:p>
        </w:tc>
      </w:tr>
    </w:tbl>
    <w:p>
      <w:pPr>
        <w:spacing w:after="0" w:line="316" w:lineRule="auto"/>
        <w:jc w:val="left"/>
        <w:rPr>
          <w:rFonts w:ascii="宋体" w:hAnsi="宋体" w:cs="宋体" w:eastAsia="宋体" w:hint="default"/>
          <w:sz w:val="18"/>
          <w:szCs w:val="18"/>
        </w:rPr>
        <w:sectPr>
          <w:pgSz w:w="11910" w:h="16840"/>
          <w:pgMar w:header="867" w:footer="979" w:top="1060" w:bottom="1160" w:left="1020" w:right="58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1560"/>
        <w:gridCol w:w="1275"/>
        <w:gridCol w:w="994"/>
        <w:gridCol w:w="991"/>
        <w:gridCol w:w="1277"/>
        <w:gridCol w:w="1702"/>
        <w:gridCol w:w="2268"/>
      </w:tblGrid>
      <w:tr>
        <w:trPr>
          <w:trHeight w:val="987"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11"/>
              <w:ind w:left="23"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间接持有公司的股份不超过 直接或间接持有股份总数的 </w:t>
            </w:r>
            <w:r>
              <w:rPr>
                <w:rFonts w:ascii="Times New Roman" w:hAnsi="Times New Roman" w:cs="Times New Roman" w:eastAsia="Times New Roman" w:hint="default"/>
                <w:sz w:val="18"/>
                <w:szCs w:val="18"/>
              </w:rPr>
              <w:t>25%</w:t>
            </w:r>
          </w:p>
        </w:tc>
      </w:tr>
      <w:tr>
        <w:trPr>
          <w:trHeight w:val="164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张益谦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385,825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385,825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289,369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289,369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2"/>
              <w:ind w:left="23"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担任董事、监事或高级管理 人员期间，每年转让直接或 间接持有公司的股份不超过 直接或间接持有股份总数的 </w:t>
            </w:r>
            <w:r>
              <w:rPr>
                <w:rFonts w:ascii="Times New Roman" w:hAnsi="Times New Roman" w:cs="Times New Roman" w:eastAsia="Times New Roman" w:hint="default"/>
                <w:sz w:val="18"/>
                <w:szCs w:val="18"/>
              </w:rPr>
              <w:t>25%</w:t>
            </w:r>
          </w:p>
        </w:tc>
      </w:tr>
      <w:tr>
        <w:trPr>
          <w:trHeight w:val="258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冯晔</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6"/>
              <w:jc w:val="both"/>
              <w:rPr>
                <w:rFonts w:ascii="宋体" w:hAnsi="宋体" w:cs="宋体" w:eastAsia="宋体" w:hint="default"/>
                <w:sz w:val="18"/>
                <w:szCs w:val="18"/>
              </w:rPr>
            </w:pPr>
            <w:r>
              <w:rPr>
                <w:rFonts w:ascii="宋体" w:hAnsi="宋体" w:cs="宋体" w:eastAsia="宋体" w:hint="default"/>
                <w:sz w:val="18"/>
                <w:szCs w:val="18"/>
              </w:rPr>
              <w:t>首次公开发行承诺： 如果在首次公开发行 股票上市之日起第七 个月至第十二个月之 间申报离职，自申报 离职之日起十二个月 内不得转让直接或间 接持有的股份</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5,505,176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5,505,176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11,420,906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2,728,406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51,307,500</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5"/>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spacing w:before="44"/>
        <w:ind w:left="0" w:right="551" w:firstLine="0"/>
        <w:jc w:val="right"/>
        <w:rPr>
          <w:rFonts w:ascii="宋体" w:hAnsi="宋体" w:cs="宋体" w:eastAsia="宋体" w:hint="default"/>
          <w:sz w:val="18"/>
          <w:szCs w:val="18"/>
        </w:rPr>
      </w:pPr>
      <w:r>
        <w:rPr/>
        <w:pict>
          <v:shape style="position:absolute;margin-left:458.26001pt;margin-top:19.78772pt;width:76.7pt;height:82pt;mso-position-horizontal-relative:page;mso-position-vertical-relative:paragraph;z-index:-83221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2.5pt;margin-top:19.78772pt;width:52.45pt;height:82pt;mso-position-horizontal-relative:page;mso-position-vertical-relative:paragraph;z-index:-832192" coordorigin="9650,396" coordsize="1049,1640">
            <v:group style="position:absolute;left:9650;top:396;width:1049;height:1640" coordorigin="9650,396" coordsize="1049,1640">
              <v:shape style="position:absolute;left:9650;top:396;width:1049;height:1640" coordorigin="9650,396" coordsize="1049,1640" path="m9650,2035l10699,2035,10699,396,9650,396,9650,2035xe" filled="true" fillcolor="#ffffff" stroked="false">
                <v:path arrowok="t"/>
                <v:fill type="solid"/>
              </v:shape>
            </v:group>
            <v:group style="position:absolute;left:9672;top:1020;width:1004;height:392" coordorigin="9672,1020" coordsize="1004,392">
              <v:shape style="position:absolute;left:9672;top:1020;width:1004;height:392" coordorigin="9672,1020" coordsize="1004,392" path="m9672,1411l10675,1411,10675,1020,9672,1020,9672,1411xe" filled="true" fillcolor="#ffffff" stroked="false">
                <v:path arrowok="t"/>
                <v:fill type="solid"/>
              </v:shape>
            </v:group>
            <w10:wrap type="none"/>
          </v:group>
        </w:pict>
      </w: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34"/>
        <w:gridCol w:w="797"/>
        <w:gridCol w:w="1462"/>
        <w:gridCol w:w="1195"/>
        <w:gridCol w:w="1328"/>
        <w:gridCol w:w="1064"/>
        <w:gridCol w:w="1329"/>
        <w:gridCol w:w="1058"/>
      </w:tblGrid>
      <w:tr>
        <w:trPr>
          <w:trHeight w:val="1652"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10,598</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 w:right="166"/>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10,333</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3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7"/>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4"/>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w:t>
            </w:r>
            <w:r>
              <w:rPr>
                <w:rFonts w:ascii="宋体" w:hAnsi="宋体" w:cs="宋体" w:eastAsia="宋体" w:hint="default"/>
                <w:spacing w:val="-16"/>
                <w:sz w:val="18"/>
                <w:szCs w:val="18"/>
              </w:rPr>
              <w:t>股东总数（</w:t>
            </w:r>
          </w:p>
          <w:p>
            <w:pPr>
              <w:pStyle w:val="TableParagraph"/>
              <w:spacing w:line="240" w:lineRule="auto" w:before="17"/>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1020" w:right="5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702"/>
        <w:gridCol w:w="1179"/>
        <w:gridCol w:w="787"/>
        <w:gridCol w:w="1010"/>
        <w:gridCol w:w="852"/>
        <w:gridCol w:w="991"/>
        <w:gridCol w:w="142"/>
        <w:gridCol w:w="994"/>
        <w:gridCol w:w="992"/>
        <w:gridCol w:w="919"/>
      </w:tblGrid>
      <w:tr>
        <w:trPr>
          <w:trHeight w:val="402" w:hRule="exact"/>
        </w:trPr>
        <w:tc>
          <w:tcPr>
            <w:tcW w:w="9568"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8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4" w:lineRule="auto"/>
              <w:ind w:left="230" w:right="4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59" w:right="60"/>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11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2" w:right="10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0" w:right="4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9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179"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133" w:type="dxa"/>
            <w:gridSpan w:val="2"/>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3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7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北京市国有资产经营 有限责任公司</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26.24%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20,994,308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20,994,308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46"/>
              <w:jc w:val="left"/>
              <w:rPr>
                <w:rFonts w:ascii="宋体" w:hAnsi="宋体" w:cs="宋体" w:eastAsia="宋体" w:hint="default"/>
                <w:sz w:val="18"/>
                <w:szCs w:val="18"/>
              </w:rPr>
            </w:pPr>
            <w:r>
              <w:rPr>
                <w:rFonts w:ascii="宋体" w:hAnsi="宋体" w:cs="宋体" w:eastAsia="宋体" w:hint="default"/>
                <w:sz w:val="18"/>
                <w:szCs w:val="18"/>
              </w:rPr>
              <w:t>首都信息发展股份有 限公司</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26.24%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20,988,414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20,988,414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北京科桥创业投资中 心（有限合伙）</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2"/>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5,000,000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詹榜华</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2.75%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2,202,208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1" w:right="0"/>
              <w:jc w:val="left"/>
              <w:rPr>
                <w:rFonts w:ascii="Times New Roman" w:hAnsi="Times New Roman" w:cs="Times New Roman" w:eastAsia="Times New Roman" w:hint="default"/>
                <w:sz w:val="18"/>
                <w:szCs w:val="18"/>
              </w:rPr>
            </w:pPr>
            <w:r>
              <w:rPr>
                <w:rFonts w:ascii="Times New Roman"/>
                <w:sz w:val="18"/>
              </w:rPr>
              <w:t>1,651,656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550,552</w:t>
            </w:r>
          </w:p>
        </w:tc>
        <w:tc>
          <w:tcPr>
            <w:tcW w:w="9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全国社会保障基金理 事会转持一户</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1,045,734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1,045,734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46"/>
              <w:jc w:val="left"/>
              <w:rPr>
                <w:rFonts w:ascii="宋体" w:hAnsi="宋体" w:cs="宋体" w:eastAsia="宋体" w:hint="default"/>
                <w:sz w:val="18"/>
                <w:szCs w:val="18"/>
              </w:rPr>
            </w:pPr>
            <w:r>
              <w:rPr>
                <w:rFonts w:ascii="宋体" w:hAnsi="宋体" w:cs="宋体" w:eastAsia="宋体" w:hint="default"/>
                <w:sz w:val="18"/>
                <w:szCs w:val="18"/>
              </w:rPr>
              <w:t>上海市数字证书认证 中心有限公司</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960,160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960,160</w:t>
            </w:r>
          </w:p>
        </w:tc>
        <w:tc>
          <w:tcPr>
            <w:tcW w:w="9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阳俊彪</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770,890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770,890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400,790</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王春芝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550,638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550,638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170,000</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林雪焰</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550,638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412,978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137,660</w:t>
            </w:r>
          </w:p>
        </w:tc>
        <w:tc>
          <w:tcPr>
            <w:tcW w:w="9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刘汉莎</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0.69%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550,638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15" w:right="0"/>
              <w:jc w:val="left"/>
              <w:rPr>
                <w:rFonts w:ascii="Times New Roman" w:hAnsi="Times New Roman" w:cs="Times New Roman" w:eastAsia="Times New Roman" w:hint="default"/>
                <w:sz w:val="18"/>
                <w:szCs w:val="18"/>
              </w:rPr>
            </w:pPr>
            <w:r>
              <w:rPr>
                <w:rFonts w:ascii="Times New Roman"/>
                <w:sz w:val="18"/>
              </w:rPr>
              <w:t>550,638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300,000</w:t>
            </w:r>
          </w:p>
        </w:tc>
      </w:tr>
      <w:tr>
        <w:trPr>
          <w:trHeight w:val="1025"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8"/>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5"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8"/>
            <w:vMerge w:val="restart"/>
            <w:tcBorders>
              <w:top w:val="single" w:sz="4" w:space="0" w:color="000000"/>
              <w:left w:val="single" w:sz="4" w:space="0" w:color="000000"/>
              <w:right w:val="single" w:sz="4" w:space="0" w:color="000000"/>
            </w:tcBorders>
          </w:tcPr>
          <w:p>
            <w:pPr>
              <w:pStyle w:val="TableParagraph"/>
              <w:spacing w:line="312" w:lineRule="auto" w:before="53"/>
              <w:ind w:left="23" w:right="19"/>
              <w:jc w:val="both"/>
              <w:rPr>
                <w:rFonts w:ascii="宋体" w:hAnsi="宋体" w:cs="宋体" w:eastAsia="宋体" w:hint="default"/>
                <w:sz w:val="18"/>
                <w:szCs w:val="18"/>
              </w:rPr>
            </w:pPr>
            <w:r>
              <w:rPr>
                <w:rFonts w:ascii="宋体" w:hAnsi="宋体" w:cs="宋体" w:eastAsia="宋体" w:hint="default"/>
                <w:spacing w:val="-1"/>
                <w:sz w:val="18"/>
                <w:szCs w:val="18"/>
              </w:rPr>
              <w:t>北京市国有资产经营有限责任公司、首都信息发展股份有限公司和北京科桥创业投资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中心（有限合伙）之间存在关联关系。北京市国有资产经营有限责任公司系首都信息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发展股份有限公司的控股股东，持有其股份</w:t>
            </w:r>
            <w:r>
              <w:rPr>
                <w:rFonts w:ascii="宋体" w:hAnsi="宋体" w:cs="宋体" w:eastAsia="宋体" w:hint="default"/>
                <w:spacing w:val="-25"/>
                <w:sz w:val="18"/>
                <w:szCs w:val="18"/>
              </w:rPr>
              <w:t> </w:t>
            </w:r>
            <w:r>
              <w:rPr>
                <w:rFonts w:ascii="Times New Roman" w:hAnsi="Times New Roman" w:cs="Times New Roman" w:eastAsia="Times New Roman" w:hint="default"/>
                <w:spacing w:val="-3"/>
                <w:sz w:val="18"/>
                <w:szCs w:val="18"/>
              </w:rPr>
              <w:t>63.31%</w:t>
            </w:r>
            <w:r>
              <w:rPr>
                <w:rFonts w:ascii="宋体" w:hAnsi="宋体" w:cs="宋体" w:eastAsia="宋体" w:hint="default"/>
                <w:spacing w:val="-3"/>
                <w:sz w:val="18"/>
                <w:szCs w:val="18"/>
              </w:rPr>
              <w:t>的股权。北京市国有资产经营有限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责任公司系北京科桥创业投资中心（有限合伙）的主要出资人，出资额占北京科桥创</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业投资中心（有限合伙）总出资额的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w:t>
            </w:r>
          </w:p>
        </w:tc>
      </w:tr>
      <w:tr>
        <w:trPr>
          <w:trHeight w:val="703"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8"/>
            <w:vMerge/>
            <w:tcBorders>
              <w:left w:val="single" w:sz="4" w:space="0" w:color="000000"/>
              <w:right w:val="single" w:sz="4" w:space="0" w:color="000000"/>
            </w:tcBorders>
          </w:tcPr>
          <w:p>
            <w:pPr/>
          </w:p>
        </w:tc>
      </w:tr>
      <w:tr>
        <w:trPr>
          <w:trHeight w:val="473"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8"/>
            <w:vMerge/>
            <w:tcBorders>
              <w:left w:val="single" w:sz="4" w:space="0" w:color="000000"/>
              <w:bottom w:val="single" w:sz="4" w:space="0" w:color="000000"/>
              <w:right w:val="single" w:sz="4" w:space="0" w:color="000000"/>
            </w:tcBorders>
          </w:tcPr>
          <w:p>
            <w:pPr/>
          </w:p>
        </w:tc>
      </w:tr>
      <w:tr>
        <w:trPr>
          <w:trHeight w:val="403" w:hRule="exact"/>
        </w:trPr>
        <w:tc>
          <w:tcPr>
            <w:tcW w:w="9568"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641"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046"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641"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046" w:type="dxa"/>
            <w:gridSpan w:val="4"/>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641" w:type="dxa"/>
            <w:gridSpan w:val="4"/>
            <w:vMerge/>
            <w:tcBorders>
              <w:left w:val="single" w:sz="4" w:space="0" w:color="000000"/>
              <w:bottom w:val="nil" w:sz="6" w:space="0" w:color="auto"/>
              <w:right w:val="single" w:sz="4" w:space="0" w:color="000000"/>
            </w:tcBorders>
            <w:shd w:val="clear" w:color="auto" w:fill="D2D2D2"/>
          </w:tcPr>
          <w:p>
            <w:pPr/>
          </w:p>
        </w:tc>
        <w:tc>
          <w:tcPr>
            <w:tcW w:w="212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7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641"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2127" w:type="dxa"/>
            <w:gridSpan w:val="3"/>
            <w:vMerge/>
            <w:tcBorders>
              <w:left w:val="single" w:sz="4" w:space="0" w:color="000000"/>
              <w:bottom w:val="single" w:sz="4" w:space="0" w:color="000000"/>
              <w:right w:val="single" w:sz="4" w:space="0" w:color="000000"/>
            </w:tcBorders>
            <w:shd w:val="clear" w:color="auto" w:fill="D2D2D2"/>
          </w:tcPr>
          <w:p>
            <w:pPr/>
          </w:p>
        </w:tc>
        <w:tc>
          <w:tcPr>
            <w:tcW w:w="91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上海市数字证书认证中心有限公司</w:t>
            </w:r>
          </w:p>
        </w:tc>
        <w:tc>
          <w:tcPr>
            <w:tcW w:w="36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960,160</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960,160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阳俊彪</w:t>
            </w:r>
          </w:p>
        </w:tc>
        <w:tc>
          <w:tcPr>
            <w:tcW w:w="36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770,890</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770,890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王春芝</w:t>
            </w:r>
          </w:p>
        </w:tc>
        <w:tc>
          <w:tcPr>
            <w:tcW w:w="36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550,638</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550,638</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詹榜华</w:t>
            </w:r>
          </w:p>
        </w:tc>
        <w:tc>
          <w:tcPr>
            <w:tcW w:w="36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550,552</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550,552</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翟建军</w:t>
            </w:r>
          </w:p>
        </w:tc>
        <w:tc>
          <w:tcPr>
            <w:tcW w:w="36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458,476</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458,476</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程小茁</w:t>
            </w:r>
          </w:p>
        </w:tc>
        <w:tc>
          <w:tcPr>
            <w:tcW w:w="36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440,476</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440,476</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马臣云</w:t>
            </w:r>
          </w:p>
        </w:tc>
        <w:tc>
          <w:tcPr>
            <w:tcW w:w="36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330,314</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330,314</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6"/>
          <w:szCs w:val="26"/>
        </w:rPr>
      </w:pPr>
    </w:p>
    <w:p>
      <w:pPr>
        <w:spacing w:before="44"/>
        <w:ind w:left="0" w:right="121" w:firstLine="0"/>
        <w:jc w:val="right"/>
        <w:rPr>
          <w:rFonts w:ascii="宋体" w:hAnsi="宋体" w:cs="宋体" w:eastAsia="宋体" w:hint="default"/>
          <w:sz w:val="18"/>
          <w:szCs w:val="18"/>
        </w:rPr>
      </w:pPr>
      <w:r>
        <w:rPr/>
        <w:pict>
          <v:shape style="position:absolute;margin-left:56.459999pt;margin-top:-76.828278pt;width:479.1pt;height:163.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0"/>
                    <w:gridCol w:w="3641"/>
                    <w:gridCol w:w="2127"/>
                    <w:gridCol w:w="919"/>
                  </w:tblGrid>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贺禀作</w:t>
                        </w:r>
                      </w:p>
                    </w:tc>
                    <w:tc>
                      <w:tcPr>
                        <w:tcW w:w="3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330,314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330,314</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沈雷</w:t>
                        </w:r>
                      </w:p>
                    </w:tc>
                    <w:tc>
                      <w:tcPr>
                        <w:tcW w:w="3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275,319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275,319</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张继东</w:t>
                        </w:r>
                      </w:p>
                    </w:tc>
                    <w:tc>
                      <w:tcPr>
                        <w:tcW w:w="3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266,219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266,219</w:t>
                        </w:r>
                      </w:p>
                    </w:tc>
                  </w:tr>
                  <w:tr>
                    <w:trPr>
                      <w:trHeight w:val="1339"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0"/>
                          <w:ind w:left="22"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0"/>
                          <w:ind w:left="23" w:right="111"/>
                          <w:jc w:val="left"/>
                          <w:rPr>
                            <w:rFonts w:ascii="宋体" w:hAnsi="宋体" w:cs="宋体" w:eastAsia="宋体" w:hint="default"/>
                            <w:sz w:val="18"/>
                            <w:szCs w:val="18"/>
                          </w:rPr>
                        </w:pPr>
                        <w:r>
                          <w:rPr>
                            <w:rFonts w:ascii="宋体" w:hAnsi="宋体" w:cs="宋体" w:eastAsia="宋体" w:hint="default"/>
                            <w:spacing w:val="-4"/>
                            <w:sz w:val="18"/>
                            <w:szCs w:val="18"/>
                          </w:rPr>
                          <w:t>公司未知上述股东之间是否存在关联关系，也未知是否属于《上市公司收购管理办法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规定的一致行动人。</w:t>
                        </w:r>
                      </w:p>
                    </w:tc>
                  </w:tr>
                  <w:tr>
                    <w:trPr>
                      <w:trHeight w:val="715"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公司股东翟建军除通过普通证券账户持有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440,476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股外，还通过招商证券股份有限公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司客户信用交易担保证券账户持有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458,476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1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12" w:right="7394" w:firstLine="0"/>
        <w:jc w:val="left"/>
        <w:rPr>
          <w:rFonts w:ascii="宋体" w:hAnsi="宋体" w:cs="宋体" w:eastAsia="宋体" w:hint="default"/>
          <w:sz w:val="18"/>
          <w:szCs w:val="18"/>
        </w:rPr>
      </w:pPr>
      <w:r>
        <w:rPr>
          <w:rFonts w:ascii="宋体" w:hAnsi="宋体" w:cs="宋体" w:eastAsia="宋体" w:hint="default"/>
          <w:sz w:val="18"/>
          <w:szCs w:val="18"/>
        </w:rPr>
        <w:t>控股股东性质：地方国有控股 控股股东类型：法人</w:t>
      </w:r>
    </w:p>
    <w:tbl>
      <w:tblPr>
        <w:tblW w:w="0" w:type="auto"/>
        <w:jc w:val="left"/>
        <w:tblInd w:w="109" w:type="dxa"/>
        <w:tblLayout w:type="fixed"/>
        <w:tblCellMar>
          <w:top w:w="0" w:type="dxa"/>
          <w:left w:w="0" w:type="dxa"/>
          <w:bottom w:w="0" w:type="dxa"/>
          <w:right w:w="0" w:type="dxa"/>
        </w:tblCellMar>
        <w:tblLook w:val="01E0"/>
      </w:tblPr>
      <w:tblGrid>
        <w:gridCol w:w="2198"/>
        <w:gridCol w:w="1793"/>
        <w:gridCol w:w="1594"/>
        <w:gridCol w:w="1752"/>
        <w:gridCol w:w="2233"/>
      </w:tblGrid>
      <w:tr>
        <w:trPr>
          <w:trHeight w:val="713" w:hRule="exact"/>
        </w:trPr>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802"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5"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北京市国有资产经营有限 责任公司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岳鹏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8"/>
              <w:jc w:val="center"/>
              <w:rPr>
                <w:rFonts w:ascii="Times New Roman" w:hAnsi="Times New Roman" w:cs="Times New Roman" w:eastAsia="Times New Roman" w:hint="default"/>
                <w:sz w:val="18"/>
                <w:szCs w:val="18"/>
              </w:rPr>
            </w:pPr>
            <w:r>
              <w:rPr>
                <w:rFonts w:ascii="Times New Roman"/>
                <w:sz w:val="18"/>
              </w:rPr>
              <w:t>911100004005921645</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资本运营</w:t>
            </w:r>
          </w:p>
        </w:tc>
      </w:tr>
      <w:tr>
        <w:trPr>
          <w:trHeight w:val="3922" w:hRule="exact"/>
        </w:trPr>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22" w:right="183"/>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72" w:type="dxa"/>
            <w:gridSpan w:val="4"/>
            <w:tcBorders>
              <w:top w:val="single" w:sz="4" w:space="0" w:color="000000"/>
              <w:left w:val="single" w:sz="4" w:space="0" w:color="000000"/>
              <w:bottom w:val="single" w:sz="4" w:space="0" w:color="000000"/>
              <w:right w:val="single" w:sz="4" w:space="0" w:color="000000"/>
            </w:tcBorders>
          </w:tcPr>
          <w:p>
            <w:pPr>
              <w:pStyle w:val="TableParagraph"/>
              <w:spacing w:line="345" w:lineRule="auto" w:before="49"/>
              <w:ind w:left="23" w:right="3922"/>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控股的上市公司：</w:t>
            </w:r>
            <w:r>
              <w:rPr>
                <w:rFonts w:ascii="宋体" w:hAnsi="宋体" w:cs="宋体" w:eastAsia="宋体" w:hint="default"/>
                <w:b/>
                <w:bCs/>
                <w:w w:val="9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、首都信息发展股份有限公司（</w:t>
            </w:r>
            <w:r>
              <w:rPr>
                <w:rFonts w:ascii="Times New Roman" w:hAnsi="Times New Roman" w:cs="Times New Roman" w:eastAsia="Times New Roman" w:hint="default"/>
                <w:sz w:val="18"/>
                <w:szCs w:val="18"/>
              </w:rPr>
              <w:t>HK1075</w:t>
            </w:r>
            <w:r>
              <w:rPr>
                <w:rFonts w:ascii="宋体" w:hAnsi="宋体" w:cs="宋体" w:eastAsia="宋体" w:hint="default"/>
                <w:sz w:val="18"/>
                <w:szCs w:val="18"/>
              </w:rPr>
              <w:t>） 持股数量：</w:t>
            </w:r>
            <w:r>
              <w:rPr>
                <w:rFonts w:ascii="Times New Roman" w:hAnsi="Times New Roman" w:cs="Times New Roman" w:eastAsia="Times New Roman" w:hint="default"/>
                <w:sz w:val="18"/>
                <w:szCs w:val="18"/>
              </w:rPr>
              <w:t>183,454,175.60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 持股比例：</w:t>
            </w:r>
            <w:r>
              <w:rPr>
                <w:rFonts w:ascii="Times New Roman" w:hAnsi="Times New Roman" w:cs="Times New Roman" w:eastAsia="Times New Roman" w:hint="default"/>
                <w:sz w:val="18"/>
                <w:szCs w:val="18"/>
              </w:rPr>
              <w:t>63.31%</w:t>
            </w:r>
          </w:p>
          <w:p>
            <w:pPr>
              <w:pStyle w:val="TableParagraph"/>
              <w:spacing w:line="340" w:lineRule="auto" w:before="16"/>
              <w:ind w:left="23" w:right="356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、绿色动力环保集团股份有限公司（</w:t>
            </w:r>
            <w:r>
              <w:rPr>
                <w:rFonts w:ascii="Times New Roman" w:hAnsi="Times New Roman" w:cs="Times New Roman" w:eastAsia="Times New Roman" w:hint="default"/>
                <w:sz w:val="18"/>
                <w:szCs w:val="18"/>
              </w:rPr>
              <w:t>HK1330</w:t>
            </w:r>
            <w:r>
              <w:rPr>
                <w:rFonts w:ascii="宋体" w:hAnsi="宋体" w:cs="宋体" w:eastAsia="宋体" w:hint="default"/>
                <w:sz w:val="18"/>
                <w:szCs w:val="18"/>
              </w:rPr>
              <w:t>） 持股数量：</w:t>
            </w:r>
            <w:r>
              <w:rPr>
                <w:rFonts w:ascii="Times New Roman" w:hAnsi="Times New Roman" w:cs="Times New Roman" w:eastAsia="Times New Roman" w:hint="default"/>
                <w:sz w:val="18"/>
                <w:szCs w:val="18"/>
              </w:rPr>
              <w:t>501,189,618.00 </w:t>
            </w:r>
            <w:r>
              <w:rPr>
                <w:rFonts w:ascii="宋体" w:hAnsi="宋体" w:cs="宋体" w:eastAsia="宋体" w:hint="default"/>
                <w:sz w:val="18"/>
                <w:szCs w:val="18"/>
              </w:rPr>
              <w:t>股</w:t>
            </w:r>
          </w:p>
          <w:p>
            <w:pPr>
              <w:pStyle w:val="TableParagraph"/>
              <w:spacing w:line="345" w:lineRule="auto" w:before="17"/>
              <w:ind w:left="23" w:right="4947"/>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47.96% </w:t>
            </w:r>
            <w:r>
              <w:rPr>
                <w:rFonts w:ascii="宋体" w:hAnsi="宋体" w:cs="宋体" w:eastAsia="宋体" w:hint="default"/>
                <w:b/>
                <w:bCs/>
                <w:sz w:val="18"/>
                <w:szCs w:val="18"/>
              </w:rPr>
              <w:t>参股的上市公司：</w:t>
            </w:r>
            <w:r>
              <w:rPr>
                <w:rFonts w:ascii="宋体" w:hAnsi="宋体" w:cs="宋体" w:eastAsia="宋体" w:hint="default"/>
                <w:b/>
                <w:bCs/>
                <w:w w:val="99"/>
                <w:sz w:val="18"/>
                <w:szCs w:val="18"/>
              </w:rPr>
              <w:t> </w:t>
            </w:r>
            <w:r>
              <w:rPr>
                <w:rFonts w:ascii="宋体" w:hAnsi="宋体" w:cs="宋体" w:eastAsia="宋体" w:hint="default"/>
                <w:sz w:val="18"/>
                <w:szCs w:val="18"/>
              </w:rPr>
              <w:t>北京银行（</w:t>
            </w:r>
            <w:r>
              <w:rPr>
                <w:rFonts w:ascii="Times New Roman" w:hAnsi="Times New Roman" w:cs="Times New Roman" w:eastAsia="Times New Roman" w:hint="default"/>
                <w:sz w:val="18"/>
                <w:szCs w:val="18"/>
              </w:rPr>
              <w:t>SH</w:t>
            </w:r>
            <w:r>
              <w:rPr>
                <w:rFonts w:ascii="宋体" w:hAnsi="宋体" w:cs="宋体" w:eastAsia="宋体" w:hint="default"/>
                <w:sz w:val="18"/>
                <w:szCs w:val="18"/>
              </w:rPr>
              <w:t>：</w:t>
            </w:r>
            <w:r>
              <w:rPr>
                <w:rFonts w:ascii="Times New Roman" w:hAnsi="Times New Roman" w:cs="Times New Roman" w:eastAsia="Times New Roman" w:hint="default"/>
                <w:sz w:val="18"/>
                <w:szCs w:val="18"/>
              </w:rPr>
              <w:t>601169</w:t>
            </w:r>
            <w:r>
              <w:rPr>
                <w:rFonts w:ascii="宋体" w:hAnsi="宋体" w:cs="宋体" w:eastAsia="宋体" w:hint="default"/>
                <w:sz w:val="18"/>
                <w:szCs w:val="18"/>
              </w:rPr>
              <w:t>） 持股数量：</w:t>
            </w:r>
            <w:r>
              <w:rPr>
                <w:rFonts w:ascii="Times New Roman" w:hAnsi="Times New Roman" w:cs="Times New Roman" w:eastAsia="Times New Roman" w:hint="default"/>
                <w:sz w:val="18"/>
                <w:szCs w:val="18"/>
              </w:rPr>
              <w:t>1,344,032,227.00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1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8.84%</w:t>
            </w:r>
          </w:p>
        </w:tc>
      </w:tr>
    </w:tbl>
    <w:p>
      <w:pPr>
        <w:spacing w:before="65"/>
        <w:ind w:left="11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7"/>
        <w:ind w:left="112" w:right="7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2"/>
        <w:rPr>
          <w:rFonts w:ascii="宋体" w:hAnsi="宋体" w:cs="宋体" w:eastAsia="宋体" w:hint="default"/>
          <w:b/>
          <w:bCs/>
          <w:sz w:val="26"/>
          <w:szCs w:val="26"/>
        </w:rPr>
      </w:pPr>
    </w:p>
    <w:p>
      <w:pPr>
        <w:spacing w:line="360" w:lineRule="auto" w:before="0"/>
        <w:ind w:left="112" w:right="6854" w:firstLine="0"/>
        <w:jc w:val="left"/>
        <w:rPr>
          <w:rFonts w:ascii="宋体" w:hAnsi="宋体" w:cs="宋体" w:eastAsia="宋体" w:hint="default"/>
          <w:sz w:val="18"/>
          <w:szCs w:val="18"/>
        </w:rPr>
      </w:pPr>
      <w:r>
        <w:rPr>
          <w:rFonts w:ascii="宋体" w:hAnsi="宋体" w:cs="宋体" w:eastAsia="宋体" w:hint="default"/>
          <w:sz w:val="18"/>
          <w:szCs w:val="18"/>
        </w:rPr>
        <w:t>实际控制人性质：地方国资管理机构 实际控制人类型：法人</w:t>
      </w:r>
    </w:p>
    <w:p>
      <w:pPr>
        <w:spacing w:after="0" w:line="360" w:lineRule="auto"/>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2199"/>
        <w:gridCol w:w="1793"/>
        <w:gridCol w:w="1680"/>
        <w:gridCol w:w="1841"/>
        <w:gridCol w:w="2057"/>
      </w:tblGrid>
      <w:tr>
        <w:trPr>
          <w:trHeight w:val="71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02"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5"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83"/>
              <w:jc w:val="left"/>
              <w:rPr>
                <w:rFonts w:ascii="宋体" w:hAnsi="宋体" w:cs="宋体" w:eastAsia="宋体" w:hint="default"/>
                <w:sz w:val="18"/>
                <w:szCs w:val="18"/>
              </w:rPr>
            </w:pPr>
            <w:r>
              <w:rPr>
                <w:rFonts w:ascii="宋体" w:hAnsi="宋体" w:cs="宋体" w:eastAsia="宋体" w:hint="default"/>
                <w:sz w:val="18"/>
                <w:szCs w:val="18"/>
              </w:rPr>
              <w:t>北京市国有资产经营有限 责任公司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岳鹏</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911100004005921645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资本运营</w:t>
            </w:r>
          </w:p>
        </w:tc>
      </w:tr>
      <w:tr>
        <w:trPr>
          <w:trHeight w:val="216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9"/>
              <w:ind w:left="24" w:right="182"/>
              <w:jc w:val="both"/>
              <w:rPr>
                <w:rFonts w:ascii="宋体" w:hAnsi="宋体" w:cs="宋体" w:eastAsia="宋体" w:hint="default"/>
                <w:sz w:val="18"/>
                <w:szCs w:val="18"/>
              </w:rPr>
            </w:pPr>
            <w:r>
              <w:rPr>
                <w:rFonts w:ascii="宋体" w:hAnsi="宋体" w:cs="宋体" w:eastAsia="宋体" w:hint="default"/>
                <w:sz w:val="18"/>
                <w:szCs w:val="18"/>
              </w:rPr>
              <w:t>实际控制人报告期内控制 的其他境内外上市公司的 股权情况</w:t>
            </w:r>
          </w:p>
        </w:tc>
        <w:tc>
          <w:tcPr>
            <w:tcW w:w="7372" w:type="dxa"/>
            <w:gridSpan w:val="4"/>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23" w:right="39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、首都信息发展股份有限公司（</w:t>
            </w:r>
            <w:r>
              <w:rPr>
                <w:rFonts w:ascii="Times New Roman" w:hAnsi="Times New Roman" w:cs="Times New Roman" w:eastAsia="Times New Roman" w:hint="default"/>
                <w:sz w:val="18"/>
                <w:szCs w:val="18"/>
              </w:rPr>
              <w:t>HK1075</w:t>
            </w:r>
            <w:r>
              <w:rPr>
                <w:rFonts w:ascii="宋体" w:hAnsi="宋体" w:cs="宋体" w:eastAsia="宋体" w:hint="default"/>
                <w:sz w:val="18"/>
                <w:szCs w:val="18"/>
              </w:rPr>
              <w:t>） 持股数量：</w:t>
            </w:r>
            <w:r>
              <w:rPr>
                <w:rFonts w:ascii="Times New Roman" w:hAnsi="Times New Roman" w:cs="Times New Roman" w:eastAsia="Times New Roman" w:hint="default"/>
                <w:sz w:val="18"/>
                <w:szCs w:val="18"/>
              </w:rPr>
              <w:t>183,454,175.60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 持股比例：</w:t>
            </w:r>
            <w:r>
              <w:rPr>
                <w:rFonts w:ascii="Times New Roman" w:hAnsi="Times New Roman" w:cs="Times New Roman" w:eastAsia="Times New Roman" w:hint="default"/>
                <w:sz w:val="18"/>
                <w:szCs w:val="18"/>
              </w:rPr>
              <w:t>63.31%</w:t>
            </w:r>
          </w:p>
          <w:p>
            <w:pPr>
              <w:pStyle w:val="TableParagraph"/>
              <w:spacing w:line="338" w:lineRule="auto" w:before="20"/>
              <w:ind w:left="23" w:right="356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、绿色动力环保集团股份有限公司（</w:t>
            </w:r>
            <w:r>
              <w:rPr>
                <w:rFonts w:ascii="Times New Roman" w:hAnsi="Times New Roman" w:cs="Times New Roman" w:eastAsia="Times New Roman" w:hint="default"/>
                <w:sz w:val="18"/>
                <w:szCs w:val="18"/>
              </w:rPr>
              <w:t>HK1330</w:t>
            </w:r>
            <w:r>
              <w:rPr>
                <w:rFonts w:ascii="宋体" w:hAnsi="宋体" w:cs="宋体" w:eastAsia="宋体" w:hint="default"/>
                <w:sz w:val="18"/>
                <w:szCs w:val="18"/>
              </w:rPr>
              <w:t>） 持股数量：</w:t>
            </w:r>
            <w:r>
              <w:rPr>
                <w:rFonts w:ascii="Times New Roman" w:hAnsi="Times New Roman" w:cs="Times New Roman" w:eastAsia="Times New Roman" w:hint="default"/>
                <w:sz w:val="18"/>
                <w:szCs w:val="18"/>
              </w:rPr>
              <w:t>501,189,618.00 </w:t>
            </w:r>
            <w:r>
              <w:rPr>
                <w:rFonts w:ascii="宋体" w:hAnsi="宋体" w:cs="宋体" w:eastAsia="宋体" w:hint="default"/>
                <w:sz w:val="18"/>
                <w:szCs w:val="18"/>
              </w:rPr>
              <w:t>股</w:t>
            </w:r>
          </w:p>
          <w:p>
            <w:pPr>
              <w:pStyle w:val="TableParagraph"/>
              <w:spacing w:line="240" w:lineRule="auto" w:before="2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47.96%</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50" w:lineRule="auto" w:before="117"/>
        <w:ind w:left="112" w:right="5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7"/>
        <w:rPr>
          <w:rFonts w:ascii="宋体" w:hAnsi="宋体" w:cs="宋体" w:eastAsia="宋体" w:hint="default"/>
          <w:sz w:val="19"/>
          <w:szCs w:val="19"/>
        </w:rPr>
      </w:pPr>
    </w:p>
    <w:p>
      <w:pPr>
        <w:spacing w:line="3600" w:lineRule="exact"/>
        <w:ind w:left="1315" w:right="0" w:firstLine="0"/>
        <w:rPr>
          <w:rFonts w:ascii="宋体" w:hAnsi="宋体" w:cs="宋体" w:eastAsia="宋体" w:hint="default"/>
          <w:sz w:val="20"/>
          <w:szCs w:val="20"/>
        </w:rPr>
      </w:pPr>
      <w:r>
        <w:rPr>
          <w:rFonts w:ascii="宋体" w:hAnsi="宋体" w:cs="宋体" w:eastAsia="宋体" w:hint="default"/>
          <w:position w:val="-71"/>
          <w:sz w:val="20"/>
          <w:szCs w:val="20"/>
        </w:rPr>
        <w:drawing>
          <wp:inline distT="0" distB="0" distL="0" distR="0">
            <wp:extent cx="4593590" cy="22860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4" cstate="print"/>
                    <a:stretch>
                      <a:fillRect/>
                    </a:stretch>
                  </pic:blipFill>
                  <pic:spPr>
                    <a:xfrm>
                      <a:off x="0" y="0"/>
                      <a:ext cx="4593590" cy="2286000"/>
                    </a:xfrm>
                    <a:prstGeom prst="rect">
                      <a:avLst/>
                    </a:prstGeom>
                  </pic:spPr>
                </pic:pic>
              </a:graphicData>
            </a:graphic>
          </wp:inline>
        </w:drawing>
      </w:r>
      <w:r>
        <w:rPr>
          <w:rFonts w:ascii="宋体" w:hAnsi="宋体" w:cs="宋体" w:eastAsia="宋体" w:hint="default"/>
          <w:position w:val="-71"/>
          <w:sz w:val="20"/>
          <w:szCs w:val="20"/>
        </w:rPr>
      </w:r>
    </w:p>
    <w:p>
      <w:pPr>
        <w:spacing w:line="240" w:lineRule="auto" w:before="6"/>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267"/>
        <w:gridCol w:w="1561"/>
        <w:gridCol w:w="1844"/>
        <w:gridCol w:w="1416"/>
        <w:gridCol w:w="2482"/>
      </w:tblGrid>
      <w:tr>
        <w:trPr>
          <w:trHeight w:val="715"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法人股东名称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95" w:right="26" w:hanging="565"/>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首都信息发展股份有限公司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林艳坤</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28980.8609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应用信息系统的建设与运维</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5"/>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45" w:right="0"/>
        <w:jc w:val="left"/>
        <w:rPr>
          <w:b w:val="0"/>
          <w:bCs w:val="0"/>
        </w:rPr>
      </w:pPr>
      <w:bookmarkStart w:name="_bookmark5" w:id="6"/>
      <w:bookmarkEnd w:id="6"/>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12" w:right="75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059" w:right="0"/>
        <w:jc w:val="left"/>
        <w:rPr>
          <w:b w:val="0"/>
          <w:bCs w:val="0"/>
        </w:rPr>
      </w:pPr>
      <w:bookmarkStart w:name="_bookmark6" w:id="7"/>
      <w:bookmarkEnd w:id="7"/>
      <w:r>
        <w:rPr>
          <w:b w:val="0"/>
          <w:bCs w:val="0"/>
        </w:rPr>
      </w:r>
      <w:r>
        <w:rPr/>
        <w:t>第八节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532" w:right="0"/>
        <w:jc w:val="left"/>
        <w:rPr>
          <w:b w:val="0"/>
          <w:bCs w:val="0"/>
        </w:rPr>
      </w:pPr>
      <w:r>
        <w:rPr/>
        <w:t>一、董事、监事和高级管理人员持股变动</w:t>
      </w:r>
      <w:r>
        <w:rPr>
          <w:b w:val="0"/>
          <w:bCs w:val="0"/>
        </w:rPr>
      </w:r>
    </w:p>
    <w:p>
      <w:pPr>
        <w:spacing w:line="240" w:lineRule="auto" w:before="6"/>
        <w:rPr>
          <w:rFonts w:ascii="宋体" w:hAnsi="宋体" w:cs="宋体" w:eastAsia="宋体" w:hint="default"/>
          <w:b/>
          <w:bCs/>
          <w:sz w:val="25"/>
          <w:szCs w:val="25"/>
        </w:rPr>
      </w:pPr>
    </w:p>
    <w:tbl>
      <w:tblPr>
        <w:tblW w:w="0" w:type="auto"/>
        <w:jc w:val="left"/>
        <w:tblInd w:w="100" w:type="dxa"/>
        <w:tblLayout w:type="fixed"/>
        <w:tblCellMar>
          <w:top w:w="0" w:type="dxa"/>
          <w:left w:w="0" w:type="dxa"/>
          <w:bottom w:w="0" w:type="dxa"/>
          <w:right w:w="0" w:type="dxa"/>
        </w:tblCellMar>
        <w:tblLook w:val="01E0"/>
      </w:tblPr>
      <w:tblGrid>
        <w:gridCol w:w="852"/>
        <w:gridCol w:w="850"/>
        <w:gridCol w:w="569"/>
        <w:gridCol w:w="708"/>
        <w:gridCol w:w="567"/>
        <w:gridCol w:w="1666"/>
        <w:gridCol w:w="1596"/>
        <w:gridCol w:w="850"/>
        <w:gridCol w:w="709"/>
        <w:gridCol w:w="710"/>
        <w:gridCol w:w="566"/>
        <w:gridCol w:w="850"/>
      </w:tblGrid>
      <w:tr>
        <w:trPr>
          <w:trHeight w:val="1339"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98" w:right="98"/>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59" w:right="59"/>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7"/>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7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9"/>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7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6"/>
              <w:jc w:val="both"/>
              <w:rPr>
                <w:rFonts w:ascii="宋体" w:hAnsi="宋体" w:cs="宋体" w:eastAsia="宋体" w:hint="default"/>
                <w:sz w:val="18"/>
                <w:szCs w:val="18"/>
              </w:rPr>
            </w:pPr>
            <w:r>
              <w:rPr>
                <w:rFonts w:ascii="宋体" w:hAnsi="宋体" w:cs="宋体" w:eastAsia="宋体" w:hint="default"/>
                <w:sz w:val="18"/>
                <w:szCs w:val="18"/>
              </w:rPr>
              <w:t>其他 增减 变动</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60" w:right="59"/>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詹榜华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54</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2,202,208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2,202,208</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林雪焰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0" w:right="57" w:hanging="180"/>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550,638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550,638</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卢磊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38</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蒋峰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雷毅平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王渝次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65</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杜美杰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张文亮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41</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吴舜皋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331" w:right="57" w:hanging="27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495,471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495,471</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刘明哲</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李志梅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48</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张益谦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385,825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385,825</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侯鹏亮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齐秀彬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60" w:right="57" w:firstLine="2"/>
              <w:jc w:val="center"/>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41</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吴伟东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49</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高青山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31" w:right="57" w:hanging="272"/>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徐哲</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48</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刘汉莎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60" w:right="57"/>
              <w:jc w:val="center"/>
              <w:rPr>
                <w:rFonts w:ascii="宋体" w:hAnsi="宋体" w:cs="宋体" w:eastAsia="宋体" w:hint="default"/>
                <w:sz w:val="18"/>
                <w:szCs w:val="18"/>
              </w:rPr>
            </w:pPr>
            <w:r>
              <w:rPr>
                <w:rFonts w:ascii="宋体" w:hAnsi="宋体" w:cs="宋体" w:eastAsia="宋体" w:hint="default"/>
                <w:sz w:val="18"/>
                <w:szCs w:val="18"/>
              </w:rPr>
              <w:t>董事、副 总经理、 董事会秘 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44</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550,638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550,638</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冯晔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2,800</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周贤伟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55</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600" w:right="580"/>
        </w:sectPr>
      </w:pPr>
    </w:p>
    <w:p>
      <w:pPr>
        <w:spacing w:line="240" w:lineRule="auto" w:before="6"/>
        <w:rPr>
          <w:rFonts w:ascii="宋体" w:hAnsi="宋体" w:cs="宋体" w:eastAsia="宋体" w:hint="default"/>
          <w:b/>
          <w:bCs/>
          <w:sz w:val="28"/>
          <w:szCs w:val="28"/>
        </w:rPr>
      </w:pPr>
    </w:p>
    <w:tbl>
      <w:tblPr>
        <w:tblW w:w="0" w:type="auto"/>
        <w:jc w:val="left"/>
        <w:tblInd w:w="100" w:type="dxa"/>
        <w:tblLayout w:type="fixed"/>
        <w:tblCellMar>
          <w:top w:w="0" w:type="dxa"/>
          <w:left w:w="0" w:type="dxa"/>
          <w:bottom w:w="0" w:type="dxa"/>
          <w:right w:w="0" w:type="dxa"/>
        </w:tblCellMar>
        <w:tblLook w:val="01E0"/>
      </w:tblPr>
      <w:tblGrid>
        <w:gridCol w:w="852"/>
        <w:gridCol w:w="850"/>
        <w:gridCol w:w="569"/>
        <w:gridCol w:w="708"/>
        <w:gridCol w:w="567"/>
        <w:gridCol w:w="1666"/>
        <w:gridCol w:w="1596"/>
        <w:gridCol w:w="850"/>
        <w:gridCol w:w="709"/>
        <w:gridCol w:w="710"/>
        <w:gridCol w:w="566"/>
        <w:gridCol w:w="850"/>
      </w:tblGrid>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金锦萍</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46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罗炜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0" w:right="0"/>
              <w:jc w:val="left"/>
              <w:rPr>
                <w:rFonts w:ascii="Times New Roman" w:hAnsi="Times New Roman" w:cs="Times New Roman" w:eastAsia="Times New Roman" w:hint="default"/>
                <w:sz w:val="18"/>
                <w:szCs w:val="18"/>
              </w:rPr>
            </w:pPr>
            <w:r>
              <w:rPr>
                <w:rFonts w:ascii="Times New Roman"/>
                <w:sz w:val="18"/>
              </w:rPr>
              <w:t>43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卢贺会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40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19" w:right="0"/>
              <w:jc w:val="left"/>
              <w:rPr>
                <w:rFonts w:ascii="Times New Roman" w:hAnsi="Times New Roman" w:cs="Times New Roman" w:eastAsia="Times New Roman" w:hint="default"/>
                <w:sz w:val="18"/>
                <w:szCs w:val="18"/>
              </w:rPr>
            </w:pPr>
            <w:r>
              <w:rPr>
                <w:rFonts w:ascii="Times New Roman"/>
                <w:sz w:val="18"/>
              </w:rPr>
              <w:t>--</w:t>
            </w: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4,184,780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1" w:right="0"/>
              <w:jc w:val="left"/>
              <w:rPr>
                <w:rFonts w:ascii="Times New Roman" w:hAnsi="Times New Roman" w:cs="Times New Roman" w:eastAsia="Times New Roman" w:hint="default"/>
                <w:sz w:val="18"/>
                <w:szCs w:val="18"/>
              </w:rPr>
            </w:pPr>
            <w:r>
              <w:rPr>
                <w:rFonts w:ascii="Times New Roman"/>
                <w:sz w:val="18"/>
              </w:rPr>
              <w:t>2,800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4,187,580</w:t>
            </w:r>
          </w:p>
        </w:tc>
      </w:tr>
    </w:tbl>
    <w:p>
      <w:pPr>
        <w:spacing w:line="240" w:lineRule="auto" w:before="3"/>
        <w:rPr>
          <w:rFonts w:ascii="宋体" w:hAnsi="宋体" w:cs="宋体" w:eastAsia="宋体" w:hint="default"/>
          <w:b/>
          <w:bCs/>
          <w:sz w:val="18"/>
          <w:szCs w:val="18"/>
        </w:rPr>
      </w:pPr>
    </w:p>
    <w:p>
      <w:pPr>
        <w:pStyle w:val="Heading2"/>
        <w:spacing w:line="240" w:lineRule="auto" w:before="26"/>
        <w:ind w:left="532" w:right="0"/>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spacing w:before="0"/>
        <w:ind w:left="5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994"/>
        <w:gridCol w:w="1277"/>
        <w:gridCol w:w="992"/>
        <w:gridCol w:w="1560"/>
        <w:gridCol w:w="5173"/>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5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64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詹榜华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49"/>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公司第二届董事会第二十次会议审议表决，选举詹榜华先生为第 二届董事会董事长。第二届董事会任期届满后，公司于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309" w:lineRule="auto"/>
              <w:ind w:left="23" w:right="96"/>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年第三次临时股东大会，选举詹榜华先生为第 三届董事会董事；同日召开第三届董事会第一次会议，选举詹榜 华先生为第三届董事会董事长。</w:t>
            </w:r>
          </w:p>
        </w:tc>
      </w:tr>
      <w:tr>
        <w:trPr>
          <w:trHeight w:val="133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林雪焰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2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年第二次临时股东大会，选举 林雪焰先生为第二届董事会董事。第二届董事会任期届满后，公 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年第三次临时股东大会，选举林 雪焰先生为第三届董事会董事。</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蒋峰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雷毅平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王渝次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杜美杰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张文亮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李志梅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监事会换届选举</w:t>
            </w:r>
          </w:p>
        </w:tc>
      </w:tr>
      <w:tr>
        <w:trPr>
          <w:trHeight w:val="133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林雪焰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日召开第二届董事会第二十一次会议，同意</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聘任林雪焰先生担任公司总经理，其任期届满后，公司于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300" w:lineRule="auto" w:before="63"/>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日召开第三届董事会第一次会议，同意继续聘任林雪焰先 生担任公司总经理。</w:t>
            </w:r>
          </w:p>
        </w:tc>
      </w:tr>
      <w:tr>
        <w:trPr>
          <w:trHeight w:val="133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侯鹏亮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日召开第二届董事会第二十一次会议，同意</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聘任侯鹏亮先生担任公司副总经理，其任期届满后，公司于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300"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日召开第三届董事会第一次会议，同意继续聘任侯鹏亮 先生担任公司副总经理。</w:t>
            </w:r>
          </w:p>
        </w:tc>
      </w:tr>
      <w:tr>
        <w:trPr>
          <w:trHeight w:val="133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齐秀彬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62" w:right="21" w:hanging="339"/>
              <w:jc w:val="left"/>
              <w:rPr>
                <w:rFonts w:ascii="宋体" w:hAnsi="宋体" w:cs="宋体" w:eastAsia="宋体" w:hint="default"/>
                <w:sz w:val="18"/>
                <w:szCs w:val="18"/>
              </w:rPr>
            </w:pPr>
            <w:r>
              <w:rPr>
                <w:rFonts w:ascii="宋体" w:hAnsi="宋体" w:cs="宋体" w:eastAsia="宋体" w:hint="default"/>
                <w:spacing w:val="-6"/>
                <w:sz w:val="18"/>
                <w:szCs w:val="18"/>
              </w:rPr>
              <w:t>副总经理、董事</w:t>
            </w:r>
            <w:r>
              <w:rPr>
                <w:rFonts w:ascii="宋体" w:hAnsi="宋体" w:cs="宋体" w:eastAsia="宋体" w:hint="default"/>
                <w:sz w:val="18"/>
                <w:szCs w:val="18"/>
              </w:rPr>
              <w:t> 会秘书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96"/>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日召开第二届董事会第二十五次会议，同 意聘任齐秀彬女士担任公司副总经理、董事会秘书，其任期届满 后，公司于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日召开第三届董事会第一次会议，同 意继续聘任齐秀彬女士担任公司副总经理、董事会秘书。</w:t>
            </w:r>
          </w:p>
        </w:tc>
      </w:tr>
      <w:tr>
        <w:trPr>
          <w:trHeight w:val="71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吴伟东</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日召开第三届董事会第四次会议，同意聘 任吴伟东女士担任公司副总经理。</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高青山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公司第二届董事会第二十次会议审议通过，同意聘任高青山先生</w:t>
            </w:r>
          </w:p>
        </w:tc>
      </w:tr>
    </w:tbl>
    <w:p>
      <w:pPr>
        <w:spacing w:after="0" w:line="240" w:lineRule="auto"/>
        <w:jc w:val="left"/>
        <w:rPr>
          <w:rFonts w:ascii="宋体" w:hAnsi="宋体" w:cs="宋体" w:eastAsia="宋体" w:hint="default"/>
          <w:sz w:val="18"/>
          <w:szCs w:val="18"/>
        </w:rPr>
        <w:sectPr>
          <w:pgSz w:w="11910" w:h="16840"/>
          <w:pgMar w:header="867" w:footer="979" w:top="1060" w:bottom="1160" w:left="600" w:right="58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994"/>
        <w:gridCol w:w="1277"/>
        <w:gridCol w:w="992"/>
        <w:gridCol w:w="1560"/>
        <w:gridCol w:w="5173"/>
      </w:tblGrid>
      <w:tr>
        <w:trPr>
          <w:trHeight w:val="987"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23" w:right="95"/>
              <w:jc w:val="both"/>
              <w:rPr>
                <w:rFonts w:ascii="宋体" w:hAnsi="宋体" w:cs="宋体" w:eastAsia="宋体" w:hint="default"/>
                <w:sz w:val="18"/>
                <w:szCs w:val="18"/>
              </w:rPr>
            </w:pPr>
            <w:r>
              <w:rPr>
                <w:rFonts w:ascii="宋体" w:hAnsi="宋体" w:cs="宋体" w:eastAsia="宋体" w:hint="default"/>
                <w:sz w:val="18"/>
                <w:szCs w:val="18"/>
              </w:rPr>
              <w:t>担任公司财务负责人，其任期届满后，公司于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 召开第三届董事会第一次会议，同意继续聘任高青山先生担任公 司财务负责人。</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徐哲</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7"/>
              <w:jc w:val="left"/>
              <w:rPr>
                <w:rFonts w:ascii="宋体" w:hAnsi="宋体" w:cs="宋体" w:eastAsia="宋体" w:hint="default"/>
                <w:sz w:val="18"/>
                <w:szCs w:val="18"/>
              </w:rPr>
            </w:pPr>
            <w:r>
              <w:rPr>
                <w:rFonts w:ascii="宋体" w:hAnsi="宋体" w:cs="宋体" w:eastAsia="宋体" w:hint="default"/>
                <w:sz w:val="18"/>
                <w:szCs w:val="18"/>
              </w:rPr>
              <w:t>因工作安排原因，辞去公司董事长、董事、董事会战略委员会委 员及召集人职务。</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詹榜华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7"/>
              <w:jc w:val="left"/>
              <w:rPr>
                <w:rFonts w:ascii="宋体" w:hAnsi="宋体" w:cs="宋体" w:eastAsia="宋体" w:hint="default"/>
                <w:sz w:val="18"/>
                <w:szCs w:val="18"/>
              </w:rPr>
            </w:pPr>
            <w:r>
              <w:rPr>
                <w:rFonts w:ascii="宋体" w:hAnsi="宋体" w:cs="宋体" w:eastAsia="宋体" w:hint="default"/>
                <w:sz w:val="18"/>
                <w:szCs w:val="18"/>
              </w:rPr>
              <w:t>因拟任公司董事长，为更好的进行工作管理及分工，辞去公司总 经理职务。</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林雪焰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因拟任公司总经理，辞去公司副总经理职务。</w:t>
            </w:r>
          </w:p>
        </w:tc>
      </w:tr>
      <w:tr>
        <w:trPr>
          <w:trHeight w:val="71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刘汉莎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firstLine="69"/>
              <w:jc w:val="left"/>
              <w:rPr>
                <w:rFonts w:ascii="宋体" w:hAnsi="宋体" w:cs="宋体" w:eastAsia="宋体" w:hint="default"/>
                <w:sz w:val="18"/>
                <w:szCs w:val="18"/>
              </w:rPr>
            </w:pPr>
            <w:r>
              <w:rPr>
                <w:rFonts w:ascii="宋体" w:hAnsi="宋体" w:cs="宋体" w:eastAsia="宋体" w:hint="default"/>
                <w:sz w:val="18"/>
                <w:szCs w:val="18"/>
              </w:rPr>
              <w:t>董事、副总经 </w:t>
            </w:r>
            <w:r>
              <w:rPr>
                <w:rFonts w:ascii="宋体" w:hAnsi="宋体" w:cs="宋体" w:eastAsia="宋体" w:hint="default"/>
                <w:spacing w:val="-6"/>
                <w:sz w:val="18"/>
                <w:szCs w:val="18"/>
              </w:rPr>
              <w:t>理、董事会秘书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因个人原因，辞去公司董事、副总经理、董事会秘书职务。</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冯晔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第二届董事会董事任期届满后离任。</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刘汉莎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解聘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因工作安排原因，申请辞去公司财务负责人职务。</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周贤伟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第二届董事会任期届满后离任。</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金锦萍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第二届董事会任期届满后离任。</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罗炜</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第二届董事会任期届满后离任。</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卢贺会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第二届监事会监事任期届满后离任。</w:t>
            </w:r>
          </w:p>
        </w:tc>
      </w:tr>
    </w:tbl>
    <w:p>
      <w:pPr>
        <w:spacing w:line="240" w:lineRule="auto" w:before="3"/>
        <w:rPr>
          <w:rFonts w:ascii="宋体" w:hAnsi="宋体" w:cs="宋体" w:eastAsia="宋体" w:hint="default"/>
          <w:sz w:val="18"/>
          <w:szCs w:val="18"/>
        </w:rPr>
      </w:pPr>
    </w:p>
    <w:p>
      <w:pPr>
        <w:pStyle w:val="Heading2"/>
        <w:spacing w:line="240" w:lineRule="auto" w:before="26"/>
        <w:ind w:left="532" w:right="0"/>
        <w:jc w:val="both"/>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532" w:right="0" w:firstLine="0"/>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
        <w:rPr>
          <w:rFonts w:ascii="宋体" w:hAnsi="宋体" w:cs="宋体" w:eastAsia="宋体" w:hint="default"/>
          <w:sz w:val="15"/>
          <w:szCs w:val="15"/>
        </w:rPr>
      </w:pPr>
    </w:p>
    <w:p>
      <w:pPr>
        <w:pStyle w:val="BodyText"/>
        <w:spacing w:line="240" w:lineRule="auto"/>
        <w:ind w:left="953" w:right="0"/>
        <w:jc w:val="left"/>
      </w:pPr>
      <w:r>
        <w:rPr>
          <w:rFonts w:ascii="Times New Roman" w:hAnsi="Times New Roman" w:cs="Times New Roman" w:eastAsia="Times New Roman" w:hint="default"/>
          <w:spacing w:val="-2"/>
        </w:rPr>
        <w:t>1</w:t>
      </w:r>
      <w:r>
        <w:rPr>
          <w:spacing w:val="-2"/>
        </w:rPr>
        <w:t>、詹榜华先生：</w:t>
      </w:r>
      <w:r>
        <w:rPr>
          <w:rFonts w:ascii="Times New Roman" w:hAnsi="Times New Roman" w:cs="Times New Roman" w:eastAsia="Times New Roman" w:hint="default"/>
          <w:spacing w:val="-2"/>
        </w:rPr>
        <w:t>1964</w:t>
      </w:r>
      <w:r>
        <w:rPr>
          <w:spacing w:val="-2"/>
        </w:rPr>
        <w:t>年出生，中国国籍，无境外永久居留权。</w:t>
      </w:r>
      <w:r>
        <w:rPr>
          <w:rFonts w:ascii="Times New Roman" w:hAnsi="Times New Roman" w:cs="Times New Roman" w:eastAsia="Times New Roman" w:hint="default"/>
          <w:spacing w:val="-2"/>
        </w:rPr>
        <w:t>1988</w:t>
      </w:r>
      <w:r>
        <w:rPr>
          <w:spacing w:val="-2"/>
        </w:rPr>
        <w:t>年毕业于中南大学，获硕士学位；</w:t>
      </w:r>
    </w:p>
    <w:p>
      <w:pPr>
        <w:pStyle w:val="BodyText"/>
        <w:spacing w:line="307" w:lineRule="auto" w:before="67"/>
        <w:ind w:left="532" w:right="206"/>
        <w:jc w:val="both"/>
      </w:pPr>
      <w:r>
        <w:rPr>
          <w:rFonts w:ascii="Times New Roman" w:hAnsi="Times New Roman" w:cs="Times New Roman" w:eastAsia="Times New Roman" w:hint="default"/>
          <w:spacing w:val="-2"/>
        </w:rPr>
        <w:t>2004</w:t>
      </w:r>
      <w:r>
        <w:rPr>
          <w:spacing w:val="-2"/>
        </w:rPr>
        <w:t>年毕业于北京邮电大学，获博士学位。</w:t>
      </w:r>
      <w:r>
        <w:rPr>
          <w:rFonts w:ascii="Times New Roman" w:hAnsi="Times New Roman" w:cs="Times New Roman" w:eastAsia="Times New Roman" w:hint="default"/>
          <w:spacing w:val="-2"/>
        </w:rPr>
        <w:t>1988</w:t>
      </w:r>
      <w:r>
        <w:rPr>
          <w:spacing w:val="-2"/>
        </w:rPr>
        <w:t>年至</w:t>
      </w:r>
      <w:r>
        <w:rPr>
          <w:rFonts w:ascii="Times New Roman" w:hAnsi="Times New Roman" w:cs="Times New Roman" w:eastAsia="Times New Roman" w:hint="default"/>
          <w:spacing w:val="-2"/>
        </w:rPr>
        <w:t>2002</w:t>
      </w:r>
      <w:r>
        <w:rPr>
          <w:spacing w:val="-2"/>
        </w:rPr>
        <w:t>年任职于解放军某研究所，任副研究员；</w:t>
      </w:r>
      <w:r>
        <w:rPr>
          <w:rFonts w:ascii="Times New Roman" w:hAnsi="Times New Roman" w:cs="Times New Roman" w:eastAsia="Times New Roman" w:hint="default"/>
          <w:spacing w:val="-2"/>
        </w:rPr>
        <w:t>2002</w:t>
      </w:r>
      <w:r>
        <w:rPr>
          <w:spacing w:val="-2"/>
        </w:rPr>
        <w:t>年</w:t>
      </w:r>
      <w:r>
        <w:rPr>
          <w:spacing w:val="-29"/>
        </w:rPr>
        <w:t> </w:t>
      </w:r>
      <w:r>
        <w:rPr>
          <w:spacing w:val="-2"/>
        </w:rPr>
        <w:t>至今任职于本公司，历任总经理，现任公司董事长，同时兼任北京邮电大学兼职教授、全国信息安全标准</w:t>
      </w:r>
      <w:r>
        <w:rPr>
          <w:spacing w:val="-50"/>
        </w:rPr>
        <w:t> </w:t>
      </w:r>
      <w:r>
        <w:rPr>
          <w:spacing w:val="-50"/>
        </w:rPr>
      </w:r>
      <w:r>
        <w:rPr>
          <w:spacing w:val="-2"/>
        </w:rPr>
        <w:t>化技术委员会委员、全国版权标准化技术委员会委员、国家密码行业标准化技术委员会副主任委员、国家</w:t>
      </w:r>
      <w:r>
        <w:rPr>
          <w:spacing w:val="-42"/>
        </w:rPr>
        <w:t> </w:t>
      </w:r>
      <w:r>
        <w:rPr>
          <w:spacing w:val="-42"/>
        </w:rPr>
      </w:r>
      <w:r>
        <w:rPr>
          <w:spacing w:val="-2"/>
        </w:rPr>
        <w:t>商用密码技术总体专家组专家、北京市信息化专家咨询委员会委员、卫计委人口健康信息化专家咨询委员</w:t>
      </w:r>
      <w:r>
        <w:rPr>
          <w:spacing w:val="-43"/>
        </w:rPr>
        <w:t> </w:t>
      </w:r>
      <w:r>
        <w:rPr>
          <w:spacing w:val="-43"/>
        </w:rPr>
      </w:r>
      <w:r>
        <w:rPr>
          <w:spacing w:val="-2"/>
        </w:rPr>
        <w:t>会委员、北京市商用密码行业协会会长、中国密码学会电子认证专业委员会副主任委员、中国保密协会科</w:t>
      </w:r>
      <w:r>
        <w:rPr>
          <w:spacing w:val="-43"/>
        </w:rPr>
        <w:t> </w:t>
      </w:r>
      <w:r>
        <w:rPr>
          <w:spacing w:val="-43"/>
        </w:rPr>
      </w:r>
      <w:r>
        <w:rPr>
          <w:spacing w:val="-1"/>
        </w:rPr>
        <w:t>学技术分会副主任委员等。曾获</w:t>
      </w:r>
      <w:r>
        <w:rPr>
          <w:rFonts w:ascii="Times New Roman" w:hAnsi="Times New Roman" w:cs="Times New Roman" w:eastAsia="Times New Roman" w:hint="default"/>
          <w:spacing w:val="-1"/>
        </w:rPr>
        <w:t>“</w:t>
      </w:r>
      <w:r>
        <w:rPr>
          <w:spacing w:val="-1"/>
        </w:rPr>
        <w:t>国家科技进步二等奖</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“2014</w:t>
      </w:r>
      <w:r>
        <w:rPr>
          <w:spacing w:val="-1"/>
        </w:rPr>
        <w:t>中国计算机行业发展成就奖之人物成就奖</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0"/>
        </w:rPr>
        <w:t> </w:t>
      </w:r>
      <w:r>
        <w:rPr/>
        <w:t>等。</w:t>
      </w:r>
    </w:p>
    <w:p>
      <w:pPr>
        <w:pStyle w:val="BodyText"/>
        <w:spacing w:line="300" w:lineRule="auto" w:before="144"/>
        <w:ind w:left="532" w:right="206" w:firstLine="420"/>
        <w:jc w:val="both"/>
      </w:pPr>
      <w:r>
        <w:rPr>
          <w:rFonts w:ascii="Times New Roman" w:hAnsi="Times New Roman" w:cs="Times New Roman" w:eastAsia="Times New Roman" w:hint="default"/>
        </w:rPr>
        <w:t>2</w:t>
      </w:r>
      <w:r>
        <w:rPr/>
        <w:t>、林雪焰先生：</w:t>
      </w:r>
      <w:r>
        <w:rPr>
          <w:rFonts w:ascii="Times New Roman" w:hAnsi="Times New Roman" w:cs="Times New Roman" w:eastAsia="Times New Roman" w:hint="default"/>
        </w:rPr>
        <w:t>1972</w:t>
      </w:r>
      <w:r>
        <w:rPr/>
        <w:t>年出生，中国国籍，无境外永久居留权。</w:t>
      </w:r>
      <w:r>
        <w:rPr>
          <w:rFonts w:ascii="Times New Roman" w:hAnsi="Times New Roman" w:cs="Times New Roman" w:eastAsia="Times New Roman" w:hint="default"/>
        </w:rPr>
        <w:t>1999</w:t>
      </w:r>
      <w:r>
        <w:rPr/>
        <w:t>年毕业于电子科技集团第</w:t>
      </w:r>
      <w:r>
        <w:rPr>
          <w:rFonts w:ascii="Times New Roman" w:hAnsi="Times New Roman" w:cs="Times New Roman" w:eastAsia="Times New Roman" w:hint="default"/>
        </w:rPr>
        <w:t>30</w:t>
      </w:r>
      <w:r>
        <w:rPr/>
        <w:t>研究</w:t>
      </w:r>
      <w:r>
        <w:rPr>
          <w:w w:val="100"/>
        </w:rPr>
        <w:t> </w:t>
      </w:r>
      <w:r>
        <w:rPr>
          <w:spacing w:val="-2"/>
        </w:rPr>
        <w:t>所，获硕士学位。</w:t>
      </w:r>
      <w:r>
        <w:rPr>
          <w:rFonts w:ascii="Times New Roman" w:hAnsi="Times New Roman" w:cs="Times New Roman" w:eastAsia="Times New Roman" w:hint="default"/>
          <w:spacing w:val="-2"/>
        </w:rPr>
        <w:t>1993</w:t>
      </w:r>
      <w:r>
        <w:rPr>
          <w:spacing w:val="-2"/>
        </w:rPr>
        <w:t>年至</w:t>
      </w:r>
      <w:r>
        <w:rPr>
          <w:rFonts w:ascii="Times New Roman" w:hAnsi="Times New Roman" w:cs="Times New Roman" w:eastAsia="Times New Roman" w:hint="default"/>
          <w:spacing w:val="-2"/>
        </w:rPr>
        <w:t>1996</w:t>
      </w:r>
      <w:r>
        <w:rPr>
          <w:spacing w:val="-2"/>
        </w:rPr>
        <w:t>年任职于电子科技集团第</w:t>
      </w:r>
      <w:r>
        <w:rPr>
          <w:rFonts w:ascii="Times New Roman" w:hAnsi="Times New Roman" w:cs="Times New Roman" w:eastAsia="Times New Roman" w:hint="default"/>
          <w:spacing w:val="-2"/>
        </w:rPr>
        <w:t>29</w:t>
      </w:r>
      <w:r>
        <w:rPr>
          <w:spacing w:val="-2"/>
        </w:rPr>
        <w:t>研究所；</w:t>
      </w:r>
      <w:r>
        <w:rPr>
          <w:rFonts w:ascii="Times New Roman" w:hAnsi="Times New Roman" w:cs="Times New Roman" w:eastAsia="Times New Roman" w:hint="default"/>
          <w:spacing w:val="-2"/>
        </w:rPr>
        <w:t>1999</w:t>
      </w:r>
      <w:r>
        <w:rPr>
          <w:spacing w:val="-2"/>
        </w:rPr>
        <w:t>年至</w:t>
      </w:r>
      <w:r>
        <w:rPr>
          <w:rFonts w:ascii="Times New Roman" w:hAnsi="Times New Roman" w:cs="Times New Roman" w:eastAsia="Times New Roman" w:hint="default"/>
          <w:spacing w:val="-2"/>
        </w:rPr>
        <w:t>2005</w:t>
      </w:r>
      <w:r>
        <w:rPr>
          <w:spacing w:val="-2"/>
        </w:rPr>
        <w:t>年分别任职于成都卫士</w:t>
      </w:r>
      <w:r>
        <w:rPr>
          <w:spacing w:val="-26"/>
        </w:rPr>
        <w:t> </w:t>
      </w:r>
      <w:r>
        <w:rPr>
          <w:spacing w:val="-26"/>
        </w:rPr>
      </w:r>
      <w:r>
        <w:rPr>
          <w:spacing w:val="-2"/>
        </w:rPr>
        <w:t>通信息产业股份有限公司、北京天威诚信电子商务服务有限公司、北京创原天地科技有限公司；</w:t>
      </w:r>
      <w:r>
        <w:rPr>
          <w:rFonts w:ascii="Times New Roman" w:hAnsi="Times New Roman" w:cs="Times New Roman" w:eastAsia="Times New Roman" w:hint="default"/>
          <w:spacing w:val="-2"/>
        </w:rPr>
        <w:t>2005</w:t>
      </w:r>
      <w:r>
        <w:rPr>
          <w:spacing w:val="-2"/>
        </w:rPr>
        <w:t>年至</w:t>
      </w:r>
      <w:r>
        <w:rPr>
          <w:spacing w:val="-43"/>
        </w:rPr>
        <w:t> </w:t>
      </w:r>
      <w:r>
        <w:rPr/>
        <w:t>今任职于本公司，现任公司董事、总经理。公司多项发明专利的主要发明人，曾先后主持或参加国家</w:t>
      </w:r>
      <w:r>
        <w:rPr>
          <w:rFonts w:ascii="Times New Roman" w:hAnsi="Times New Roman" w:cs="Times New Roman" w:eastAsia="Times New Roman" w:hint="default"/>
        </w:rPr>
        <w:t>863</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spacing w:val="-2"/>
        </w:rPr>
        <w:t>计划项目、国家科技支撑计划项目、国家发改委信息化专项等多个课题的研发。作为研发负责人负责公司</w:t>
      </w:r>
      <w:r>
        <w:rPr>
          <w:spacing w:val="-44"/>
        </w:rPr>
        <w:t> </w:t>
      </w:r>
      <w:r>
        <w:rPr>
          <w:spacing w:val="-44"/>
        </w:rPr>
      </w:r>
      <w:r>
        <w:rPr/>
        <w:t>多项产品研发，研发成果先后在</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2014</w:t>
      </w:r>
      <w:r>
        <w:rPr/>
        <w:t>年获北京市科技进步奖</w:t>
      </w:r>
      <w:r>
        <w:rPr>
          <w:rFonts w:ascii="Times New Roman" w:hAnsi="Times New Roman" w:cs="Times New Roman" w:eastAsia="Times New Roman" w:hint="default"/>
        </w:rPr>
        <w:t>(</w:t>
      </w:r>
      <w:r>
        <w:rPr/>
        <w:t>省部级</w:t>
      </w:r>
      <w:r>
        <w:rPr>
          <w:rFonts w:ascii="Times New Roman" w:hAnsi="Times New Roman" w:cs="Times New Roman" w:eastAsia="Times New Roman" w:hint="default"/>
        </w:rPr>
        <w:t>)</w:t>
      </w:r>
      <w:r>
        <w:rPr/>
        <w:t>三等奖，</w:t>
      </w:r>
      <w:r>
        <w:rPr>
          <w:rFonts w:ascii="Times New Roman" w:hAnsi="Times New Roman" w:cs="Times New Roman" w:eastAsia="Times New Roman" w:hint="default"/>
        </w:rPr>
        <w:t>2012</w:t>
      </w:r>
      <w:r>
        <w:rPr/>
        <w:t>年获得国家密</w:t>
      </w:r>
      <w:r>
        <w:rPr>
          <w:spacing w:val="-55"/>
        </w:rPr>
        <w:t> </w:t>
      </w:r>
      <w:r>
        <w:rPr/>
        <w:t>码科技进步奖</w:t>
      </w:r>
      <w:r>
        <w:rPr>
          <w:rFonts w:ascii="Times New Roman" w:hAnsi="Times New Roman" w:cs="Times New Roman" w:eastAsia="Times New Roman" w:hint="default"/>
        </w:rPr>
        <w:t>(</w:t>
      </w:r>
      <w:r>
        <w:rPr/>
        <w:t>省部级</w:t>
      </w:r>
      <w:r>
        <w:rPr>
          <w:rFonts w:ascii="Times New Roman" w:hAnsi="Times New Roman" w:cs="Times New Roman" w:eastAsia="Times New Roman" w:hint="default"/>
        </w:rPr>
        <w:t>)</w:t>
      </w:r>
      <w:r>
        <w:rPr/>
        <w:t>二等奖。</w:t>
      </w:r>
    </w:p>
    <w:p>
      <w:pPr>
        <w:pStyle w:val="BodyText"/>
        <w:spacing w:line="240" w:lineRule="auto" w:before="131"/>
        <w:ind w:left="953" w:right="0"/>
        <w:jc w:val="left"/>
      </w:pPr>
      <w:r>
        <w:rPr>
          <w:rFonts w:ascii="Times New Roman" w:hAnsi="Times New Roman" w:cs="Times New Roman" w:eastAsia="Times New Roman" w:hint="default"/>
        </w:rPr>
        <w:t>3</w:t>
      </w:r>
      <w:r>
        <w:rPr/>
        <w:t>、卢磊先生：</w:t>
      </w:r>
      <w:r>
        <w:rPr>
          <w:rFonts w:ascii="Times New Roman" w:hAnsi="Times New Roman" w:cs="Times New Roman" w:eastAsia="Times New Roman" w:hint="default"/>
        </w:rPr>
        <w:t>1980</w:t>
      </w:r>
      <w:r>
        <w:rPr/>
        <w:t>年出生，中国国籍，无境外永久居留权。</w:t>
      </w:r>
      <w:r>
        <w:rPr>
          <w:rFonts w:ascii="Times New Roman" w:hAnsi="Times New Roman" w:cs="Times New Roman" w:eastAsia="Times New Roman" w:hint="default"/>
        </w:rPr>
        <w:t>2003</w:t>
      </w:r>
      <w:r>
        <w:rPr/>
        <w:t>年毕业于复旦大学，获学士学位。</w:t>
      </w:r>
    </w:p>
    <w:p>
      <w:pPr>
        <w:pStyle w:val="BodyText"/>
        <w:spacing w:line="240" w:lineRule="auto" w:before="67"/>
        <w:ind w:left="532" w:right="0"/>
        <w:jc w:val="both"/>
        <w:rPr>
          <w:rFonts w:ascii="Times New Roman" w:hAnsi="Times New Roman" w:cs="Times New Roman" w:eastAsia="Times New Roman" w:hint="default"/>
        </w:rPr>
      </w:pPr>
      <w:r>
        <w:rPr>
          <w:rFonts w:ascii="Times New Roman" w:hAnsi="Times New Roman" w:cs="Times New Roman" w:eastAsia="Times New Roman" w:hint="default"/>
        </w:rPr>
        <w:t>2016</w:t>
      </w:r>
      <w:r>
        <w:rPr/>
        <w:t>年毕业于南开大学，获高级管理人员工商管理硕士学位。</w:t>
      </w:r>
      <w:r>
        <w:rPr>
          <w:rFonts w:ascii="Times New Roman" w:hAnsi="Times New Roman" w:cs="Times New Roman" w:eastAsia="Times New Roman" w:hint="default"/>
        </w:rPr>
        <w:t>2003</w:t>
      </w:r>
      <w:r>
        <w:rPr/>
        <w:t>年至</w:t>
      </w:r>
      <w:r>
        <w:rPr>
          <w:rFonts w:ascii="Times New Roman" w:hAnsi="Times New Roman" w:cs="Times New Roman" w:eastAsia="Times New Roman" w:hint="default"/>
        </w:rPr>
        <w:t>2005</w:t>
      </w:r>
      <w:r>
        <w:rPr/>
        <w:t>年任职于北大青鸟华育国际</w:t>
      </w:r>
      <w:r>
        <w:rPr>
          <w:rFonts w:ascii="Times New Roman" w:hAnsi="Times New Roman" w:cs="Times New Roman" w:eastAsia="Times New Roman" w:hint="default"/>
        </w:rPr>
        <w:t>IT</w:t>
      </w:r>
    </w:p>
    <w:p>
      <w:pPr>
        <w:pStyle w:val="BodyText"/>
        <w:spacing w:line="240" w:lineRule="auto" w:before="69"/>
        <w:ind w:left="532" w:right="0"/>
        <w:jc w:val="both"/>
      </w:pPr>
      <w:r>
        <w:rPr/>
        <w:t>培训中心，任策划经理；</w:t>
      </w:r>
      <w:r>
        <w:rPr>
          <w:rFonts w:ascii="Times New Roman" w:hAnsi="Times New Roman" w:cs="Times New Roman" w:eastAsia="Times New Roman" w:hint="default"/>
        </w:rPr>
        <w:t>2005</w:t>
      </w:r>
      <w:r>
        <w:rPr/>
        <w:t>年至</w:t>
      </w:r>
      <w:r>
        <w:rPr>
          <w:rFonts w:ascii="Times New Roman" w:hAnsi="Times New Roman" w:cs="Times New Roman" w:eastAsia="Times New Roman" w:hint="default"/>
        </w:rPr>
        <w:t>2011</w:t>
      </w:r>
      <w:r>
        <w:rPr/>
        <w:t>年任职于北京大岳咨询公司，任项目经理；</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2014</w:t>
      </w:r>
      <w:r>
        <w:rPr/>
        <w:t>年任职于</w:t>
      </w:r>
    </w:p>
    <w:p>
      <w:pPr>
        <w:spacing w:after="0" w:line="240" w:lineRule="auto"/>
        <w:jc w:val="both"/>
        <w:sectPr>
          <w:pgSz w:w="11910" w:h="16840"/>
          <w:pgMar w:header="867" w:footer="979" w:top="1060" w:bottom="1160" w:left="600" w:right="920"/>
        </w:sectPr>
      </w:pPr>
    </w:p>
    <w:p>
      <w:pPr>
        <w:spacing w:line="240" w:lineRule="auto" w:before="8"/>
        <w:rPr>
          <w:rFonts w:ascii="宋体" w:hAnsi="宋体" w:cs="宋体" w:eastAsia="宋体" w:hint="default"/>
          <w:sz w:val="26"/>
          <w:szCs w:val="26"/>
        </w:rPr>
      </w:pPr>
    </w:p>
    <w:p>
      <w:pPr>
        <w:pStyle w:val="BodyText"/>
        <w:spacing w:line="312" w:lineRule="auto" w:before="36"/>
        <w:ind w:right="0"/>
        <w:jc w:val="left"/>
      </w:pPr>
      <w:r>
        <w:rPr>
          <w:spacing w:val="-2"/>
        </w:rPr>
        <w:t>北京市国有资产经营有限责任公司，历任金融资产管理部项目经理、科技与现代制造业投资部项目经理、</w:t>
      </w:r>
      <w:r>
        <w:rPr>
          <w:spacing w:val="-21"/>
        </w:rPr>
        <w:t> </w:t>
      </w:r>
      <w:r>
        <w:rPr>
          <w:spacing w:val="-21"/>
        </w:rPr>
      </w:r>
      <w:r>
        <w:rPr/>
        <w:t>高级经理。现任本公司董事，兼任首都信息发展股份有限公司副总裁、董事会秘书。</w:t>
      </w:r>
    </w:p>
    <w:p>
      <w:pPr>
        <w:pStyle w:val="BodyText"/>
        <w:spacing w:line="302" w:lineRule="auto" w:before="142"/>
        <w:ind w:right="206" w:firstLine="420"/>
        <w:jc w:val="both"/>
      </w:pPr>
      <w:r>
        <w:rPr>
          <w:rFonts w:ascii="Times New Roman" w:hAnsi="Times New Roman" w:cs="Times New Roman" w:eastAsia="Times New Roman" w:hint="default"/>
        </w:rPr>
        <w:t>4</w:t>
      </w:r>
      <w:r>
        <w:rPr/>
        <w:t>、蒋峰先生：</w:t>
      </w:r>
      <w:r>
        <w:rPr>
          <w:rFonts w:ascii="Times New Roman" w:hAnsi="Times New Roman" w:cs="Times New Roman" w:eastAsia="Times New Roman" w:hint="default"/>
        </w:rPr>
        <w:t>1981</w:t>
      </w:r>
      <w:r>
        <w:rPr/>
        <w:t>年出生，中国国籍，无境外永久居留权。</w:t>
      </w:r>
      <w:r>
        <w:rPr>
          <w:rFonts w:ascii="Times New Roman" w:hAnsi="Times New Roman" w:cs="Times New Roman" w:eastAsia="Times New Roman" w:hint="default"/>
        </w:rPr>
        <w:t>2005</w:t>
      </w:r>
      <w:r>
        <w:rPr/>
        <w:t>年毕业于北京大学，获电子系、经</w:t>
      </w:r>
      <w:r>
        <w:rPr>
          <w:w w:val="100"/>
        </w:rPr>
        <w:t> </w:t>
      </w:r>
      <w:r>
        <w:rPr>
          <w:spacing w:val="-2"/>
        </w:rPr>
        <w:t>济学双学士学位。</w:t>
      </w:r>
      <w:r>
        <w:rPr>
          <w:rFonts w:ascii="Times New Roman" w:hAnsi="Times New Roman" w:cs="Times New Roman" w:eastAsia="Times New Roman" w:hint="default"/>
          <w:spacing w:val="-2"/>
        </w:rPr>
        <w:t>2008</w:t>
      </w:r>
      <w:r>
        <w:rPr>
          <w:spacing w:val="-2"/>
        </w:rPr>
        <w:t>年毕业于工信部电信科技研究院，获通信工程硕士学位。</w:t>
      </w:r>
      <w:r>
        <w:rPr>
          <w:rFonts w:ascii="Times New Roman" w:hAnsi="Times New Roman" w:cs="Times New Roman" w:eastAsia="Times New Roman" w:hint="default"/>
          <w:spacing w:val="-2"/>
        </w:rPr>
        <w:t>2008</w:t>
      </w:r>
      <w:r>
        <w:rPr>
          <w:spacing w:val="-2"/>
        </w:rPr>
        <w:t>年至</w:t>
      </w:r>
      <w:r>
        <w:rPr>
          <w:rFonts w:ascii="Times New Roman" w:hAnsi="Times New Roman" w:cs="Times New Roman" w:eastAsia="Times New Roman" w:hint="default"/>
          <w:spacing w:val="-2"/>
        </w:rPr>
        <w:t>2017</w:t>
      </w:r>
      <w:r>
        <w:rPr>
          <w:spacing w:val="-2"/>
        </w:rPr>
        <w:t>年先后任职</w:t>
      </w:r>
      <w:r>
        <w:rPr>
          <w:spacing w:val="-34"/>
        </w:rPr>
        <w:t> </w:t>
      </w:r>
      <w:r>
        <w:rPr>
          <w:spacing w:val="-34"/>
        </w:rPr>
      </w:r>
      <w:r>
        <w:rPr>
          <w:spacing w:val="-2"/>
        </w:rPr>
        <w:t>于工信部电信研究院、中国普天信息产业股份有限公司。现任本公司董事，兼任首都信息发展股份有限公</w:t>
      </w:r>
      <w:r>
        <w:rPr>
          <w:spacing w:val="-44"/>
        </w:rPr>
        <w:t> </w:t>
      </w:r>
      <w:r>
        <w:rPr>
          <w:spacing w:val="-44"/>
        </w:rPr>
      </w:r>
      <w:r>
        <w:rPr/>
        <w:t>司投资部副总经理。</w:t>
      </w:r>
    </w:p>
    <w:p>
      <w:pPr>
        <w:pStyle w:val="BodyText"/>
        <w:spacing w:line="302" w:lineRule="auto" w:before="150"/>
        <w:ind w:right="0" w:firstLine="420"/>
        <w:jc w:val="left"/>
      </w:pPr>
      <w:r>
        <w:rPr>
          <w:rFonts w:ascii="Times New Roman" w:hAnsi="Times New Roman" w:cs="Times New Roman" w:eastAsia="Times New Roman" w:hint="default"/>
        </w:rPr>
        <w:t>5</w:t>
      </w:r>
      <w:r>
        <w:rPr/>
        <w:t>、雷毅平先生：</w:t>
      </w:r>
      <w:r>
        <w:rPr>
          <w:rFonts w:ascii="Times New Roman" w:hAnsi="Times New Roman" w:cs="Times New Roman" w:eastAsia="Times New Roman" w:hint="default"/>
        </w:rPr>
        <w:t>1985</w:t>
      </w:r>
      <w:r>
        <w:rPr/>
        <w:t>年出生，中国国籍，无境外永久居留权。</w:t>
      </w:r>
      <w:r>
        <w:rPr>
          <w:rFonts w:ascii="Times New Roman" w:hAnsi="Times New Roman" w:cs="Times New Roman" w:eastAsia="Times New Roman" w:hint="default"/>
        </w:rPr>
        <w:t>2009</w:t>
      </w:r>
      <w:r>
        <w:rPr/>
        <w:t>年毕业于北京工业大学，获学士</w:t>
      </w:r>
      <w:r>
        <w:rPr>
          <w:w w:val="100"/>
        </w:rPr>
        <w:t> </w:t>
      </w:r>
      <w:r>
        <w:rPr>
          <w:spacing w:val="-4"/>
        </w:rPr>
        <w:t>学位。</w:t>
      </w:r>
      <w:r>
        <w:rPr>
          <w:rFonts w:ascii="Times New Roman" w:hAnsi="Times New Roman" w:cs="Times New Roman" w:eastAsia="Times New Roman" w:hint="default"/>
          <w:spacing w:val="-4"/>
        </w:rPr>
        <w:t>2011</w:t>
      </w:r>
      <w:r>
        <w:rPr>
          <w:spacing w:val="-4"/>
        </w:rPr>
        <w:t>年毕业于澳大利亚新南威尔士大学，获硕士学位。</w:t>
      </w:r>
      <w:r>
        <w:rPr>
          <w:rFonts w:ascii="Times New Roman" w:hAnsi="Times New Roman" w:cs="Times New Roman" w:eastAsia="Times New Roman" w:hint="default"/>
          <w:spacing w:val="-4"/>
        </w:rPr>
        <w:t>2012</w:t>
      </w:r>
      <w:r>
        <w:rPr>
          <w:spacing w:val="-4"/>
        </w:rPr>
        <w:t>年至</w:t>
      </w:r>
      <w:r>
        <w:rPr>
          <w:rFonts w:ascii="Times New Roman" w:hAnsi="Times New Roman" w:cs="Times New Roman" w:eastAsia="Times New Roman" w:hint="default"/>
          <w:spacing w:val="-4"/>
        </w:rPr>
        <w:t>2016</w:t>
      </w:r>
      <w:r>
        <w:rPr>
          <w:spacing w:val="-4"/>
        </w:rPr>
        <w:t>年先后任职于英利能源（北京）</w:t>
      </w:r>
      <w:r>
        <w:rPr>
          <w:spacing w:val="-36"/>
        </w:rPr>
        <w:t> </w:t>
      </w:r>
      <w:r>
        <w:rPr>
          <w:spacing w:val="-36"/>
        </w:rPr>
      </w:r>
      <w:r>
        <w:rPr>
          <w:spacing w:val="-5"/>
        </w:rPr>
        <w:t>有限公司集团系统工程部、中清能绿洲科技股份有限公司、北京天星资本股份有限公司。现任本公司董事，</w:t>
      </w:r>
      <w:r>
        <w:rPr>
          <w:spacing w:val="-6"/>
        </w:rPr>
        <w:t> </w:t>
      </w:r>
      <w:r>
        <w:rPr>
          <w:spacing w:val="-6"/>
        </w:rPr>
      </w:r>
      <w:r>
        <w:rPr/>
        <w:t>兼任北京工业发展投资管理有限公司投资经理、北京新能源汽车股份有限公司董事。</w:t>
      </w:r>
    </w:p>
    <w:p>
      <w:pPr>
        <w:pStyle w:val="BodyText"/>
        <w:spacing w:line="295" w:lineRule="auto" w:before="150"/>
        <w:ind w:right="206" w:firstLine="420"/>
        <w:jc w:val="both"/>
      </w:pPr>
      <w:r>
        <w:rPr>
          <w:rFonts w:ascii="Times New Roman" w:hAnsi="Times New Roman" w:cs="Times New Roman" w:eastAsia="Times New Roman" w:hint="default"/>
        </w:rPr>
        <w:t>6</w:t>
      </w:r>
      <w:r>
        <w:rPr/>
        <w:t>、王渝次先生：</w:t>
      </w:r>
      <w:r>
        <w:rPr>
          <w:rFonts w:ascii="Times New Roman" w:hAnsi="Times New Roman" w:cs="Times New Roman" w:eastAsia="Times New Roman" w:hint="default"/>
        </w:rPr>
        <w:t>1953</w:t>
      </w:r>
      <w:r>
        <w:rPr/>
        <w:t>年出生，中国国籍，无境外永久居留权。</w:t>
      </w:r>
      <w:r>
        <w:rPr>
          <w:rFonts w:ascii="Times New Roman" w:hAnsi="Times New Roman" w:cs="Times New Roman" w:eastAsia="Times New Roman" w:hint="default"/>
        </w:rPr>
        <w:t>1998</w:t>
      </w:r>
      <w:r>
        <w:rPr/>
        <w:t>年毕业于陕西财经学院商业经济</w:t>
      </w:r>
      <w:r>
        <w:rPr>
          <w:w w:val="100"/>
        </w:rPr>
        <w:t> </w:t>
      </w:r>
      <w:r>
        <w:rPr>
          <w:spacing w:val="-2"/>
        </w:rPr>
        <w:t>学专业，获经济学博士学位。</w:t>
      </w:r>
      <w:r>
        <w:rPr>
          <w:rFonts w:ascii="Times New Roman" w:hAnsi="Times New Roman" w:cs="Times New Roman" w:eastAsia="Times New Roman" w:hint="default"/>
          <w:spacing w:val="-2"/>
        </w:rPr>
        <w:t>1982</w:t>
      </w:r>
      <w:r>
        <w:rPr>
          <w:spacing w:val="-2"/>
        </w:rPr>
        <w:t>年至</w:t>
      </w:r>
      <w:r>
        <w:rPr>
          <w:rFonts w:ascii="Times New Roman" w:hAnsi="Times New Roman" w:cs="Times New Roman" w:eastAsia="Times New Roman" w:hint="default"/>
          <w:spacing w:val="-2"/>
        </w:rPr>
        <w:t>1995</w:t>
      </w:r>
      <w:r>
        <w:rPr>
          <w:spacing w:val="-2"/>
        </w:rPr>
        <w:t>年就职于中共中央办公厅；</w:t>
      </w:r>
      <w:r>
        <w:rPr>
          <w:rFonts w:ascii="Times New Roman" w:hAnsi="Times New Roman" w:cs="Times New Roman" w:eastAsia="Times New Roman" w:hint="default"/>
          <w:spacing w:val="-2"/>
        </w:rPr>
        <w:t>1995</w:t>
      </w:r>
      <w:r>
        <w:rPr>
          <w:spacing w:val="-2"/>
        </w:rPr>
        <w:t>年至</w:t>
      </w:r>
      <w:r>
        <w:rPr>
          <w:rFonts w:ascii="Times New Roman" w:hAnsi="Times New Roman" w:cs="Times New Roman" w:eastAsia="Times New Roman" w:hint="default"/>
          <w:spacing w:val="-2"/>
        </w:rPr>
        <w:t>2001</w:t>
      </w:r>
      <w:r>
        <w:rPr>
          <w:spacing w:val="-2"/>
        </w:rPr>
        <w:t>年就职于中央财经领</w:t>
      </w:r>
      <w:r>
        <w:rPr>
          <w:spacing w:val="-27"/>
        </w:rPr>
        <w:t> </w:t>
      </w:r>
      <w:r>
        <w:rPr>
          <w:spacing w:val="-27"/>
        </w:rPr>
      </w:r>
      <w:r>
        <w:rPr>
          <w:spacing w:val="-2"/>
        </w:rPr>
        <w:t>导小组办公室，历任秘书组处长、副组长、经贸组巡视员；</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2006</w:t>
      </w:r>
      <w:r>
        <w:rPr>
          <w:spacing w:val="-2"/>
        </w:rPr>
        <w:t>年就职于国务院信息化工作办公</w:t>
      </w:r>
      <w:r>
        <w:rPr>
          <w:spacing w:val="-38"/>
        </w:rPr>
        <w:t> </w:t>
      </w:r>
      <w:r>
        <w:rPr>
          <w:spacing w:val="-38"/>
        </w:rPr>
      </w:r>
      <w:r>
        <w:rPr>
          <w:spacing w:val="-2"/>
        </w:rPr>
        <w:t>室，担任综合组副组长、国家信息化专家委秘书长、网络与信息安全组组长；</w:t>
      </w:r>
      <w:r>
        <w:rPr>
          <w:rFonts w:ascii="Times New Roman" w:hAnsi="Times New Roman" w:cs="Times New Roman" w:eastAsia="Times New Roman" w:hint="default"/>
          <w:spacing w:val="-2"/>
        </w:rPr>
        <w:t>2006</w:t>
      </w:r>
      <w:r>
        <w:rPr>
          <w:spacing w:val="-2"/>
        </w:rPr>
        <w:t>年至</w:t>
      </w:r>
      <w:r>
        <w:rPr>
          <w:rFonts w:ascii="Times New Roman" w:hAnsi="Times New Roman" w:cs="Times New Roman" w:eastAsia="Times New Roman" w:hint="default"/>
          <w:spacing w:val="-2"/>
        </w:rPr>
        <w:t>2012</w:t>
      </w:r>
      <w:r>
        <w:rPr>
          <w:spacing w:val="-2"/>
        </w:rPr>
        <w:t>年就职于国家</w:t>
      </w:r>
      <w:r>
        <w:rPr>
          <w:spacing w:val="-42"/>
        </w:rPr>
        <w:t> </w:t>
      </w:r>
      <w:r>
        <w:rPr>
          <w:spacing w:val="-42"/>
        </w:rPr>
      </w:r>
      <w:r>
        <w:rPr>
          <w:spacing w:val="-2"/>
        </w:rPr>
        <w:t>邮政局，担任副局长；</w:t>
      </w:r>
      <w:r>
        <w:rPr>
          <w:rFonts w:ascii="Times New Roman" w:hAnsi="Times New Roman" w:cs="Times New Roman" w:eastAsia="Times New Roman" w:hint="default"/>
          <w:spacing w:val="-2"/>
        </w:rPr>
        <w:t>2012</w:t>
      </w:r>
      <w:r>
        <w:rPr>
          <w:spacing w:val="-2"/>
        </w:rPr>
        <w:t>年至</w:t>
      </w:r>
      <w:r>
        <w:rPr>
          <w:rFonts w:ascii="Times New Roman" w:hAnsi="Times New Roman" w:cs="Times New Roman" w:eastAsia="Times New Roman" w:hint="default"/>
          <w:spacing w:val="-2"/>
        </w:rPr>
        <w:t>2016</w:t>
      </w:r>
      <w:r>
        <w:rPr>
          <w:spacing w:val="-2"/>
        </w:rPr>
        <w:t>年担任中央企业专职外部董事。现任本公司独立董事，兼任国民技术</w:t>
      </w:r>
      <w:r>
        <w:rPr>
          <w:spacing w:val="-43"/>
        </w:rPr>
        <w:t> </w:t>
      </w:r>
      <w:r>
        <w:rPr>
          <w:spacing w:val="-43"/>
        </w:rPr>
      </w:r>
      <w:r>
        <w:rPr/>
        <w:t>股份有限公司独立董事。</w:t>
      </w:r>
    </w:p>
    <w:p>
      <w:pPr>
        <w:pStyle w:val="BodyText"/>
        <w:spacing w:line="302" w:lineRule="auto" w:before="157"/>
        <w:ind w:right="208" w:firstLine="420"/>
        <w:jc w:val="both"/>
      </w:pPr>
      <w:r>
        <w:rPr>
          <w:rFonts w:ascii="Times New Roman" w:hAnsi="Times New Roman" w:cs="Times New Roman" w:eastAsia="Times New Roman" w:hint="default"/>
        </w:rPr>
        <w:t>7</w:t>
      </w:r>
      <w:r>
        <w:rPr/>
        <w:t>、杜美杰女士：</w:t>
      </w:r>
      <w:r>
        <w:rPr>
          <w:rFonts w:ascii="Times New Roman" w:hAnsi="Times New Roman" w:cs="Times New Roman" w:eastAsia="Times New Roman" w:hint="default"/>
        </w:rPr>
        <w:t>1975</w:t>
      </w:r>
      <w:r>
        <w:rPr/>
        <w:t>年出生，中国国籍，无境外永久居留权。中国人民大学商学院会计系管理学博</w:t>
      </w:r>
      <w:r>
        <w:rPr>
          <w:w w:val="100"/>
        </w:rPr>
        <w:t> </w:t>
      </w:r>
      <w:r>
        <w:rPr>
          <w:spacing w:val="-2"/>
        </w:rPr>
        <w:t>士，北京大学光华管理学院博士后。曾先后取得中国注册会计师、美国注册内部审计师、美国注册管理会</w:t>
      </w:r>
      <w:r>
        <w:rPr>
          <w:spacing w:val="-50"/>
        </w:rPr>
        <w:t> </w:t>
      </w:r>
      <w:r>
        <w:rPr>
          <w:spacing w:val="-50"/>
        </w:rPr>
      </w:r>
      <w:r>
        <w:rPr>
          <w:spacing w:val="-3"/>
        </w:rPr>
        <w:t>计师等资格证书。现任本公司独立董事，兼任北京语言大学商学院会计系副教授、会计系主任、</w:t>
      </w:r>
      <w:r>
        <w:rPr>
          <w:rFonts w:ascii="Times New Roman" w:hAnsi="Times New Roman" w:cs="Times New Roman" w:eastAsia="Times New Roman" w:hint="default"/>
          <w:spacing w:val="-3"/>
        </w:rPr>
        <w:t>MPAcc</w:t>
      </w:r>
      <w:r>
        <w:rPr>
          <w:spacing w:val="-3"/>
        </w:rPr>
        <w:t>中</w:t>
      </w:r>
      <w:r>
        <w:rPr>
          <w:spacing w:val="-7"/>
        </w:rPr>
        <w:t> </w:t>
      </w:r>
      <w:r>
        <w:rPr/>
        <w:t>心主任；福建实达集团股份有限公司独立董事。</w:t>
      </w:r>
    </w:p>
    <w:p>
      <w:pPr>
        <w:pStyle w:val="BodyText"/>
        <w:spacing w:line="295" w:lineRule="auto" w:before="150"/>
        <w:ind w:right="208" w:firstLine="420"/>
        <w:jc w:val="both"/>
      </w:pPr>
      <w:r>
        <w:rPr>
          <w:rFonts w:ascii="Times New Roman" w:hAnsi="Times New Roman" w:cs="Times New Roman" w:eastAsia="Times New Roman" w:hint="default"/>
        </w:rPr>
        <w:t>8</w:t>
      </w:r>
      <w:r>
        <w:rPr/>
        <w:t>、张文亮先生：</w:t>
      </w:r>
      <w:r>
        <w:rPr>
          <w:rFonts w:ascii="Times New Roman" w:hAnsi="Times New Roman" w:cs="Times New Roman" w:eastAsia="Times New Roman" w:hint="default"/>
        </w:rPr>
        <w:t>1977</w:t>
      </w:r>
      <w:r>
        <w:rPr/>
        <w:t>年出生，中国国籍，无境外永久居留权。</w:t>
      </w:r>
      <w:r>
        <w:rPr>
          <w:rFonts w:ascii="Times New Roman" w:hAnsi="Times New Roman" w:cs="Times New Roman" w:eastAsia="Times New Roman" w:hint="default"/>
        </w:rPr>
        <w:t>2001</w:t>
      </w:r>
      <w:r>
        <w:rPr/>
        <w:t>年毕业于北京大学法学院，获学</w:t>
      </w:r>
      <w:r>
        <w:rPr>
          <w:w w:val="100"/>
        </w:rPr>
        <w:t> </w:t>
      </w:r>
      <w:r>
        <w:rPr/>
        <w:t>士学位，</w:t>
      </w:r>
      <w:r>
        <w:rPr>
          <w:rFonts w:ascii="Times New Roman" w:hAnsi="Times New Roman" w:cs="Times New Roman" w:eastAsia="Times New Roman" w:hint="default"/>
        </w:rPr>
        <w:t>2009</w:t>
      </w:r>
      <w:r>
        <w:rPr/>
        <w:t>年取得律师执业资格。现任本公司独立董事，兼任北京观韬中茂律师事务所合伙人。</w:t>
      </w:r>
    </w:p>
    <w:p>
      <w:pPr>
        <w:pStyle w:val="BodyText"/>
        <w:spacing w:line="240" w:lineRule="auto" w:before="136"/>
        <w:ind w:left="533" w:right="0"/>
        <w:jc w:val="left"/>
      </w:pPr>
      <w:r>
        <w:rPr>
          <w:rFonts w:ascii="Times New Roman" w:hAnsi="Times New Roman" w:cs="Times New Roman" w:eastAsia="Times New Roman" w:hint="default"/>
          <w:spacing w:val="-2"/>
        </w:rPr>
        <w:t>9</w:t>
      </w:r>
      <w:r>
        <w:rPr>
          <w:spacing w:val="-2"/>
        </w:rPr>
        <w:t>、吴舜皋先生：</w:t>
      </w:r>
      <w:r>
        <w:rPr>
          <w:rFonts w:ascii="Times New Roman" w:hAnsi="Times New Roman" w:cs="Times New Roman" w:eastAsia="Times New Roman" w:hint="default"/>
          <w:spacing w:val="-2"/>
        </w:rPr>
        <w:t>1965</w:t>
      </w:r>
      <w:r>
        <w:rPr>
          <w:spacing w:val="-2"/>
        </w:rPr>
        <w:t>年出生，中国国籍，无境外永久居留权。</w:t>
      </w:r>
      <w:r>
        <w:rPr>
          <w:rFonts w:ascii="Times New Roman" w:hAnsi="Times New Roman" w:cs="Times New Roman" w:eastAsia="Times New Roman" w:hint="default"/>
          <w:spacing w:val="-2"/>
        </w:rPr>
        <w:t>1986</w:t>
      </w:r>
      <w:r>
        <w:rPr>
          <w:spacing w:val="-2"/>
        </w:rPr>
        <w:t>年毕业于武汉大学，获学士学位。</w:t>
      </w:r>
    </w:p>
    <w:p>
      <w:pPr>
        <w:pStyle w:val="BodyText"/>
        <w:spacing w:line="297" w:lineRule="auto" w:before="67"/>
        <w:ind w:right="0"/>
        <w:jc w:val="left"/>
      </w:pPr>
      <w:r>
        <w:rPr>
          <w:rFonts w:ascii="Times New Roman" w:hAnsi="Times New Roman" w:cs="Times New Roman" w:eastAsia="Times New Roman" w:hint="default"/>
          <w:spacing w:val="-2"/>
        </w:rPr>
        <w:t>1986</w:t>
      </w:r>
      <w:r>
        <w:rPr>
          <w:spacing w:val="-2"/>
        </w:rPr>
        <w:t>年至</w:t>
      </w:r>
      <w:r>
        <w:rPr>
          <w:rFonts w:ascii="Times New Roman" w:hAnsi="Times New Roman" w:cs="Times New Roman" w:eastAsia="Times New Roman" w:hint="default"/>
          <w:spacing w:val="-2"/>
        </w:rPr>
        <w:t>2003</w:t>
      </w:r>
      <w:r>
        <w:rPr>
          <w:spacing w:val="-2"/>
        </w:rPr>
        <w:t>年任职于解放军某研究所，任高级工程师；</w:t>
      </w:r>
      <w:r>
        <w:rPr>
          <w:rFonts w:ascii="Times New Roman" w:hAnsi="Times New Roman" w:cs="Times New Roman" w:eastAsia="Times New Roman" w:hint="default"/>
          <w:spacing w:val="-2"/>
        </w:rPr>
        <w:t>2003</w:t>
      </w:r>
      <w:r>
        <w:rPr>
          <w:spacing w:val="-2"/>
        </w:rPr>
        <w:t>年至今任职于本公司，现任本公司总监、监</w:t>
      </w:r>
      <w:r>
        <w:rPr>
          <w:spacing w:val="-37"/>
        </w:rPr>
        <w:t> </w:t>
      </w:r>
      <w:r>
        <w:rPr>
          <w:spacing w:val="-37"/>
        </w:rPr>
      </w:r>
      <w:r>
        <w:rPr/>
        <w:t>事会主席。曾获</w:t>
      </w:r>
      <w:r>
        <w:rPr>
          <w:rFonts w:ascii="Times New Roman" w:hAnsi="Times New Roman" w:cs="Times New Roman" w:eastAsia="Times New Roman" w:hint="default"/>
        </w:rPr>
        <w:t>“</w:t>
      </w:r>
      <w:r>
        <w:rPr/>
        <w:t>国家科技进步二等奖</w:t>
      </w:r>
      <w:r>
        <w:rPr>
          <w:rFonts w:ascii="Times New Roman" w:hAnsi="Times New Roman" w:cs="Times New Roman" w:eastAsia="Times New Roman" w:hint="default"/>
        </w:rPr>
        <w:t>”</w:t>
      </w:r>
      <w:r>
        <w:rPr/>
        <w:t>。</w:t>
      </w:r>
    </w:p>
    <w:p>
      <w:pPr>
        <w:pStyle w:val="BodyText"/>
        <w:spacing w:line="295" w:lineRule="auto" w:before="131"/>
        <w:ind w:right="206" w:firstLine="420"/>
        <w:jc w:val="both"/>
      </w:pPr>
      <w:r>
        <w:rPr>
          <w:rFonts w:ascii="Times New Roman" w:hAnsi="Times New Roman" w:cs="Times New Roman" w:eastAsia="Times New Roman" w:hint="default"/>
          <w:spacing w:val="-2"/>
        </w:rPr>
        <w:t>10</w:t>
      </w:r>
      <w:r>
        <w:rPr>
          <w:spacing w:val="-2"/>
        </w:rPr>
        <w:t>、刘明哲先生：</w:t>
      </w:r>
      <w:r>
        <w:rPr>
          <w:rFonts w:ascii="Times New Roman" w:hAnsi="Times New Roman" w:cs="Times New Roman" w:eastAsia="Times New Roman" w:hint="default"/>
          <w:spacing w:val="-2"/>
        </w:rPr>
        <w:t>1981</w:t>
      </w:r>
      <w:r>
        <w:rPr>
          <w:spacing w:val="-2"/>
        </w:rPr>
        <w:t>年出生，中国国籍，无境外永久居留权。</w:t>
      </w:r>
      <w:r>
        <w:rPr>
          <w:rFonts w:ascii="Times New Roman" w:hAnsi="Times New Roman" w:cs="Times New Roman" w:eastAsia="Times New Roman" w:hint="default"/>
          <w:spacing w:val="-2"/>
        </w:rPr>
        <w:t>2005</w:t>
      </w:r>
      <w:r>
        <w:rPr>
          <w:spacing w:val="-2"/>
        </w:rPr>
        <w:t>年毕业于北京物资学院。</w:t>
      </w:r>
      <w:r>
        <w:rPr>
          <w:rFonts w:ascii="Times New Roman" w:hAnsi="Times New Roman" w:cs="Times New Roman" w:eastAsia="Times New Roman" w:hint="default"/>
          <w:spacing w:val="-2"/>
        </w:rPr>
        <w:t>2005</w:t>
      </w:r>
      <w:r>
        <w:rPr>
          <w:spacing w:val="-2"/>
        </w:rPr>
        <w:t>年</w:t>
      </w:r>
      <w:r>
        <w:rPr>
          <w:w w:val="100"/>
        </w:rPr>
        <w:t> </w:t>
      </w:r>
      <w:r>
        <w:rPr>
          <w:spacing w:val="-2"/>
        </w:rPr>
        <w:t>至</w:t>
      </w:r>
      <w:r>
        <w:rPr>
          <w:rFonts w:ascii="Times New Roman" w:hAnsi="Times New Roman" w:cs="Times New Roman" w:eastAsia="Times New Roman" w:hint="default"/>
          <w:spacing w:val="-2"/>
        </w:rPr>
        <w:t>2007</w:t>
      </w:r>
      <w:r>
        <w:rPr>
          <w:spacing w:val="-2"/>
        </w:rPr>
        <w:t>年任职于北京七六一通信雷达有限责任公司；</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2012</w:t>
      </w:r>
      <w:r>
        <w:rPr>
          <w:spacing w:val="-2"/>
        </w:rPr>
        <w:t>年任职于北京北广电子集团有限责任公</w:t>
      </w:r>
      <w:r>
        <w:rPr>
          <w:spacing w:val="-32"/>
        </w:rPr>
        <w:t> </w:t>
      </w:r>
      <w:r>
        <w:rPr>
          <w:spacing w:val="-32"/>
        </w:rPr>
      </w:r>
      <w:r>
        <w:rPr/>
        <w:t>司，任财务部副部长。现任本公司监事，兼任北京市国有资产经营有限责任公司计划财务部副总经理。</w:t>
      </w:r>
    </w:p>
    <w:p>
      <w:pPr>
        <w:pStyle w:val="BodyText"/>
        <w:spacing w:line="295" w:lineRule="auto" w:before="157"/>
        <w:ind w:right="206" w:firstLine="420"/>
        <w:jc w:val="both"/>
      </w:pPr>
      <w:r>
        <w:rPr>
          <w:rFonts w:ascii="Times New Roman" w:hAnsi="Times New Roman" w:cs="Times New Roman" w:eastAsia="Times New Roman" w:hint="default"/>
          <w:spacing w:val="-2"/>
        </w:rPr>
        <w:t>11</w:t>
      </w:r>
      <w:r>
        <w:rPr>
          <w:spacing w:val="-2"/>
        </w:rPr>
        <w:t>、李志梅女士：</w:t>
      </w:r>
      <w:r>
        <w:rPr>
          <w:rFonts w:ascii="Times New Roman" w:hAnsi="Times New Roman" w:cs="Times New Roman" w:eastAsia="Times New Roman" w:hint="default"/>
          <w:spacing w:val="-2"/>
        </w:rPr>
        <w:t>1970</w:t>
      </w:r>
      <w:r>
        <w:rPr>
          <w:spacing w:val="-2"/>
        </w:rPr>
        <w:t>年出生，中国国籍，无境外永久居留权。</w:t>
      </w:r>
      <w:r>
        <w:rPr>
          <w:rFonts w:ascii="Times New Roman" w:hAnsi="Times New Roman" w:cs="Times New Roman" w:eastAsia="Times New Roman" w:hint="default"/>
          <w:spacing w:val="-2"/>
        </w:rPr>
        <w:t>1992</w:t>
      </w:r>
      <w:r>
        <w:rPr>
          <w:spacing w:val="-2"/>
        </w:rPr>
        <w:t>年毕业于辽宁广播电视大学对外</w:t>
      </w:r>
      <w:r>
        <w:rPr>
          <w:w w:val="100"/>
        </w:rPr>
        <w:t> </w:t>
      </w:r>
      <w:r>
        <w:rPr>
          <w:spacing w:val="-2"/>
        </w:rPr>
        <w:t>经济贸易专业。</w:t>
      </w:r>
      <w:r>
        <w:rPr>
          <w:rFonts w:ascii="Times New Roman" w:hAnsi="Times New Roman" w:cs="Times New Roman" w:eastAsia="Times New Roman" w:hint="default"/>
          <w:spacing w:val="-2"/>
        </w:rPr>
        <w:t>1992</w:t>
      </w:r>
      <w:r>
        <w:rPr>
          <w:spacing w:val="-2"/>
        </w:rPr>
        <w:t>年至</w:t>
      </w:r>
      <w:r>
        <w:rPr>
          <w:rFonts w:ascii="Times New Roman" w:hAnsi="Times New Roman" w:cs="Times New Roman" w:eastAsia="Times New Roman" w:hint="default"/>
          <w:spacing w:val="-2"/>
        </w:rPr>
        <w:t>2001</w:t>
      </w:r>
      <w:r>
        <w:rPr>
          <w:spacing w:val="-2"/>
        </w:rPr>
        <w:t>年任职于北京华科电子技术公司，任财务主管；</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2005</w:t>
      </w:r>
      <w:r>
        <w:rPr>
          <w:spacing w:val="-2"/>
        </w:rPr>
        <w:t>年先后任职于</w:t>
      </w:r>
      <w:r>
        <w:rPr>
          <w:spacing w:val="-37"/>
        </w:rPr>
        <w:t> </w:t>
      </w:r>
      <w:r>
        <w:rPr>
          <w:spacing w:val="-37"/>
        </w:rPr>
      </w:r>
      <w:r>
        <w:rPr/>
        <w:t>北京美加教育集团、北京金汛新世纪机器人制造有限公司、荣诚机电</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w:t>
      </w:r>
      <w:r>
        <w:rPr/>
        <w:t>有限公司。现任本公司监事，</w:t>
      </w:r>
      <w:r>
        <w:rPr>
          <w:spacing w:val="-59"/>
        </w:rPr>
        <w:t> </w:t>
      </w:r>
      <w:r>
        <w:rPr>
          <w:spacing w:val="-59"/>
        </w:rPr>
      </w:r>
      <w:r>
        <w:rPr/>
        <w:t>兼任首都信息发展股份有限公司审计部经理。</w:t>
      </w:r>
    </w:p>
    <w:p>
      <w:pPr>
        <w:pStyle w:val="BodyText"/>
        <w:spacing w:line="302" w:lineRule="auto" w:before="157"/>
        <w:ind w:right="0" w:firstLine="420"/>
        <w:jc w:val="left"/>
      </w:pPr>
      <w:r>
        <w:rPr>
          <w:rFonts w:ascii="Times New Roman" w:hAnsi="Times New Roman" w:cs="Times New Roman" w:eastAsia="Times New Roman" w:hint="default"/>
          <w:spacing w:val="-2"/>
        </w:rPr>
        <w:t>12</w:t>
      </w:r>
      <w:r>
        <w:rPr>
          <w:spacing w:val="-2"/>
        </w:rPr>
        <w:t>、张益谦先生：</w:t>
      </w:r>
      <w:r>
        <w:rPr>
          <w:rFonts w:ascii="Times New Roman" w:hAnsi="Times New Roman" w:cs="Times New Roman" w:eastAsia="Times New Roman" w:hint="default"/>
          <w:spacing w:val="-2"/>
        </w:rPr>
        <w:t>1978</w:t>
      </w:r>
      <w:r>
        <w:rPr>
          <w:spacing w:val="-2"/>
        </w:rPr>
        <w:t>年出生，中国国籍，无境外永久居留权。</w:t>
      </w:r>
      <w:r>
        <w:rPr>
          <w:rFonts w:ascii="Times New Roman" w:hAnsi="Times New Roman" w:cs="Times New Roman" w:eastAsia="Times New Roman" w:hint="default"/>
          <w:spacing w:val="-2"/>
        </w:rPr>
        <w:t>2012</w:t>
      </w:r>
      <w:r>
        <w:rPr>
          <w:spacing w:val="-2"/>
        </w:rPr>
        <w:t>年毕业于北京航空航天大学软件</w:t>
      </w:r>
      <w:r>
        <w:rPr>
          <w:w w:val="100"/>
        </w:rPr>
        <w:t> </w:t>
      </w:r>
      <w:r>
        <w:rPr>
          <w:spacing w:val="-5"/>
        </w:rPr>
        <w:t>工程领域工程专业，获工程硕士学位。</w:t>
      </w:r>
      <w:r>
        <w:rPr>
          <w:rFonts w:ascii="Times New Roman" w:hAnsi="Times New Roman" w:cs="Times New Roman" w:eastAsia="Times New Roman" w:hint="default"/>
          <w:spacing w:val="-5"/>
        </w:rPr>
        <w:t>2001</w:t>
      </w:r>
      <w:r>
        <w:rPr>
          <w:spacing w:val="-5"/>
        </w:rPr>
        <w:t>年至今任职于本公司，历任销售代表、政府与公共服务部经理、</w:t>
      </w:r>
      <w:r>
        <w:rPr>
          <w:spacing w:val="-3"/>
        </w:rPr>
        <w:t> </w:t>
      </w:r>
      <w:r>
        <w:rPr>
          <w:spacing w:val="-3"/>
        </w:rPr>
      </w:r>
      <w:r>
        <w:rPr/>
        <w:t>大客户中心总监、营销中心总监、公司总监，现任公司副总经理，兼任北京安信天行科技有限公司董事、</w:t>
      </w:r>
      <w:r>
        <w:rPr>
          <w:w w:val="100"/>
        </w:rPr>
        <w:t> </w:t>
      </w:r>
      <w:r>
        <w:rPr/>
        <w:t>北京数字医信科技有限公司董事长。</w:t>
      </w:r>
    </w:p>
    <w:p>
      <w:pPr>
        <w:spacing w:after="0" w:line="302" w:lineRule="auto"/>
        <w:jc w:val="left"/>
        <w:sectPr>
          <w:footerReference w:type="default" r:id="rId15"/>
          <w:pgSz w:w="11910" w:h="16840"/>
          <w:pgMar w:footer="979" w:header="867" w:top="1060" w:bottom="1160" w:left="1020" w:right="920"/>
          <w:pgNumType w:start="57"/>
        </w:sectPr>
      </w:pPr>
    </w:p>
    <w:p>
      <w:pPr>
        <w:spacing w:line="240" w:lineRule="auto" w:before="8"/>
        <w:rPr>
          <w:rFonts w:ascii="宋体" w:hAnsi="宋体" w:cs="宋体" w:eastAsia="宋体" w:hint="default"/>
          <w:sz w:val="26"/>
          <w:szCs w:val="26"/>
        </w:rPr>
      </w:pPr>
    </w:p>
    <w:p>
      <w:pPr>
        <w:pStyle w:val="BodyText"/>
        <w:spacing w:line="295" w:lineRule="auto" w:before="36"/>
        <w:ind w:right="0" w:firstLine="420"/>
        <w:jc w:val="left"/>
      </w:pPr>
      <w:r>
        <w:rPr>
          <w:rFonts w:ascii="Times New Roman" w:hAnsi="Times New Roman" w:cs="Times New Roman" w:eastAsia="Times New Roman" w:hint="default"/>
          <w:spacing w:val="-2"/>
        </w:rPr>
        <w:t>13</w:t>
      </w:r>
      <w:r>
        <w:rPr>
          <w:spacing w:val="-2"/>
        </w:rPr>
        <w:t>、侯鹏亮先生：</w:t>
      </w:r>
      <w:r>
        <w:rPr>
          <w:rFonts w:ascii="Times New Roman" w:hAnsi="Times New Roman" w:cs="Times New Roman" w:eastAsia="Times New Roman" w:hint="default"/>
          <w:spacing w:val="-2"/>
        </w:rPr>
        <w:t>1975</w:t>
      </w:r>
      <w:r>
        <w:rPr>
          <w:spacing w:val="-2"/>
        </w:rPr>
        <w:t>年出生，中国国籍，无境外永久居留权。</w:t>
      </w:r>
      <w:r>
        <w:rPr>
          <w:rFonts w:ascii="Times New Roman" w:hAnsi="Times New Roman" w:cs="Times New Roman" w:eastAsia="Times New Roman" w:hint="default"/>
          <w:spacing w:val="-2"/>
        </w:rPr>
        <w:t>1997</w:t>
      </w:r>
      <w:r>
        <w:rPr>
          <w:spacing w:val="-2"/>
        </w:rPr>
        <w:t>毕业于江汉大学计算机技术系分</w:t>
      </w:r>
      <w:r>
        <w:rPr>
          <w:w w:val="100"/>
        </w:rPr>
        <w:t> </w:t>
      </w:r>
      <w:r>
        <w:rPr>
          <w:spacing w:val="-2"/>
        </w:rPr>
        <w:t>析测试专业，大学专科学历；</w:t>
      </w:r>
      <w:r>
        <w:rPr>
          <w:rFonts w:ascii="Times New Roman" w:hAnsi="Times New Roman" w:cs="Times New Roman" w:eastAsia="Times New Roman" w:hint="default"/>
          <w:spacing w:val="-2"/>
        </w:rPr>
        <w:t>2004</w:t>
      </w:r>
      <w:r>
        <w:rPr>
          <w:spacing w:val="-2"/>
        </w:rPr>
        <w:t>毕业于武汉大学软件工程专业，在职硕士研究生学历。</w:t>
      </w:r>
      <w:r>
        <w:rPr>
          <w:rFonts w:ascii="Times New Roman" w:hAnsi="Times New Roman" w:cs="Times New Roman" w:eastAsia="Times New Roman" w:hint="default"/>
          <w:spacing w:val="-2"/>
        </w:rPr>
        <w:t>1997</w:t>
      </w:r>
      <w:r>
        <w:rPr>
          <w:spacing w:val="-2"/>
        </w:rPr>
        <w:t>至</w:t>
      </w:r>
      <w:r>
        <w:rPr>
          <w:rFonts w:ascii="Times New Roman" w:hAnsi="Times New Roman" w:cs="Times New Roman" w:eastAsia="Times New Roman" w:hint="default"/>
          <w:spacing w:val="-2"/>
        </w:rPr>
        <w:t>2011</w:t>
      </w:r>
      <w:r>
        <w:rPr>
          <w:spacing w:val="-2"/>
        </w:rPr>
        <w:t>年分</w:t>
      </w:r>
      <w:r>
        <w:rPr>
          <w:spacing w:val="-37"/>
        </w:rPr>
        <w:t> </w:t>
      </w:r>
      <w:r>
        <w:rPr/>
        <w:t>别任职于武汉维豪信息技术有限公司、上海维豪信息安全有限公司。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月至今任职于本公司，现任</w:t>
      </w:r>
      <w:r>
        <w:rPr>
          <w:spacing w:val="-25"/>
        </w:rPr>
        <w:t> </w:t>
      </w:r>
      <w:r>
        <w:rPr>
          <w:spacing w:val="-25"/>
        </w:rPr>
      </w:r>
      <w:r>
        <w:rPr>
          <w:spacing w:val="-7"/>
          <w:w w:val="100"/>
        </w:rPr>
        <w:t>公司副总经理。曾先后荣获</w:t>
      </w:r>
      <w:r>
        <w:rPr>
          <w:rFonts w:ascii="Times New Roman" w:hAnsi="Times New Roman" w:cs="Times New Roman" w:eastAsia="Times New Roman" w:hint="default"/>
          <w:spacing w:val="-7"/>
          <w:w w:val="100"/>
        </w:rPr>
        <w:t>“</w:t>
      </w:r>
      <w:r>
        <w:rPr>
          <w:spacing w:val="-7"/>
          <w:w w:val="100"/>
        </w:rPr>
        <w:t>武汉市科技进步三等奖</w:t>
      </w:r>
      <w:r>
        <w:rPr>
          <w:rFonts w:ascii="Times New Roman" w:hAnsi="Times New Roman" w:cs="Times New Roman" w:eastAsia="Times New Roman" w:hint="default"/>
          <w:spacing w:val="-7"/>
          <w:w w:val="100"/>
        </w:rPr>
        <w:t>”</w:t>
      </w:r>
      <w:r>
        <w:rPr>
          <w:spacing w:val="-7"/>
          <w:w w:val="100"/>
        </w:rPr>
        <w:t>、</w:t>
      </w:r>
      <w:r>
        <w:rPr>
          <w:rFonts w:ascii="Times New Roman" w:hAnsi="Times New Roman" w:cs="Times New Roman" w:eastAsia="Times New Roman" w:hint="default"/>
          <w:spacing w:val="-7"/>
          <w:w w:val="100"/>
        </w:rPr>
        <w:t>“</w:t>
      </w:r>
      <w:r>
        <w:rPr>
          <w:spacing w:val="-7"/>
          <w:w w:val="100"/>
        </w:rPr>
        <w:t>上海市科技进步一等奖</w:t>
      </w:r>
      <w:r>
        <w:rPr>
          <w:rFonts w:ascii="Times New Roman" w:hAnsi="Times New Roman" w:cs="Times New Roman" w:eastAsia="Times New Roman" w:hint="default"/>
          <w:spacing w:val="-7"/>
          <w:w w:val="100"/>
        </w:rPr>
        <w:t>”</w:t>
      </w:r>
      <w:r>
        <w:rPr>
          <w:spacing w:val="-7"/>
          <w:w w:val="100"/>
        </w:rPr>
        <w:t>、</w:t>
      </w:r>
      <w:r>
        <w:rPr>
          <w:rFonts w:ascii="Times New Roman" w:hAnsi="Times New Roman" w:cs="Times New Roman" w:eastAsia="Times New Roman" w:hint="default"/>
          <w:spacing w:val="-7"/>
          <w:w w:val="100"/>
        </w:rPr>
        <w:t>“</w:t>
      </w:r>
      <w:r>
        <w:rPr>
          <w:spacing w:val="-7"/>
          <w:w w:val="100"/>
        </w:rPr>
        <w:t>北京市科学技术三等奖</w:t>
      </w:r>
      <w:r>
        <w:rPr>
          <w:rFonts w:ascii="Times New Roman" w:hAnsi="Times New Roman" w:cs="Times New Roman" w:eastAsia="Times New Roman" w:hint="default"/>
          <w:spacing w:val="-7"/>
          <w:w w:val="100"/>
        </w:rPr>
        <w:t>”</w:t>
      </w:r>
      <w:r>
        <w:rPr>
          <w:spacing w:val="-7"/>
          <w:w w:val="100"/>
        </w:rPr>
        <w:t>，</w:t>
      </w:r>
      <w:r>
        <w:rPr>
          <w:spacing w:val="-86"/>
          <w:w w:val="100"/>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w:t>
      </w:r>
      <w:r>
        <w:rPr/>
        <w:t>工业控制系统密码应用研究项目</w:t>
      </w:r>
      <w:r>
        <w:rPr>
          <w:rFonts w:ascii="Times New Roman" w:hAnsi="Times New Roman" w:cs="Times New Roman" w:eastAsia="Times New Roman" w:hint="default"/>
        </w:rPr>
        <w:t>”</w:t>
      </w:r>
      <w:r>
        <w:rPr/>
        <w:t>获得省部级密码奖三等奖。</w:t>
      </w:r>
    </w:p>
    <w:p>
      <w:pPr>
        <w:pStyle w:val="BodyText"/>
        <w:spacing w:line="295" w:lineRule="auto" w:before="133"/>
        <w:ind w:right="206" w:firstLine="420"/>
        <w:jc w:val="both"/>
      </w:pPr>
      <w:r>
        <w:rPr>
          <w:rFonts w:ascii="Times New Roman" w:hAnsi="Times New Roman" w:cs="Times New Roman" w:eastAsia="Times New Roman" w:hint="default"/>
          <w:spacing w:val="-2"/>
        </w:rPr>
        <w:t>14</w:t>
      </w:r>
      <w:r>
        <w:rPr>
          <w:spacing w:val="-2"/>
        </w:rPr>
        <w:t>、齐秀彬女士：中国国籍，无境外永久居留权，</w:t>
      </w:r>
      <w:r>
        <w:rPr>
          <w:rFonts w:ascii="Times New Roman" w:hAnsi="Times New Roman" w:cs="Times New Roman" w:eastAsia="Times New Roman" w:hint="default"/>
          <w:spacing w:val="-2"/>
        </w:rPr>
        <w:t>1977</w:t>
      </w:r>
      <w:r>
        <w:rPr>
          <w:spacing w:val="-2"/>
        </w:rPr>
        <w:t>年出生。</w:t>
      </w:r>
      <w:r>
        <w:rPr>
          <w:rFonts w:ascii="Times New Roman" w:hAnsi="Times New Roman" w:cs="Times New Roman" w:eastAsia="Times New Roman" w:hint="default"/>
          <w:spacing w:val="-2"/>
        </w:rPr>
        <w:t>2001</w:t>
      </w:r>
      <w:r>
        <w:rPr>
          <w:spacing w:val="-2"/>
        </w:rPr>
        <w:t>年毕业于哈尔滨工业大学，获硕</w:t>
      </w:r>
      <w:r>
        <w:rPr>
          <w:w w:val="100"/>
        </w:rPr>
        <w:t> </w:t>
      </w:r>
      <w:r>
        <w:rPr>
          <w:spacing w:val="-6"/>
        </w:rPr>
        <w:t>士学位。</w:t>
      </w:r>
      <w:r>
        <w:rPr>
          <w:rFonts w:ascii="Times New Roman" w:hAnsi="Times New Roman" w:cs="Times New Roman" w:eastAsia="Times New Roman" w:hint="default"/>
          <w:spacing w:val="-6"/>
        </w:rPr>
        <w:t>2001</w:t>
      </w:r>
      <w:r>
        <w:rPr>
          <w:spacing w:val="-6"/>
        </w:rPr>
        <w:t>年至</w:t>
      </w:r>
      <w:r>
        <w:rPr>
          <w:rFonts w:ascii="Times New Roman" w:hAnsi="Times New Roman" w:cs="Times New Roman" w:eastAsia="Times New Roman" w:hint="default"/>
          <w:spacing w:val="-6"/>
        </w:rPr>
        <w:t>2016</w:t>
      </w:r>
      <w:r>
        <w:rPr>
          <w:spacing w:val="-6"/>
        </w:rPr>
        <w:t>年就职于大唐电信科技股份有限公司，</w:t>
      </w:r>
      <w:r>
        <w:rPr>
          <w:rFonts w:ascii="Times New Roman" w:hAnsi="Times New Roman" w:cs="Times New Roman" w:eastAsia="Times New Roman" w:hint="default"/>
          <w:spacing w:val="-6"/>
        </w:rPr>
        <w:t>2005</w:t>
      </w:r>
      <w:r>
        <w:rPr>
          <w:spacing w:val="-6"/>
        </w:rPr>
        <w:t>年至</w:t>
      </w:r>
      <w:r>
        <w:rPr>
          <w:rFonts w:ascii="Times New Roman" w:hAnsi="Times New Roman" w:cs="Times New Roman" w:eastAsia="Times New Roman" w:hint="default"/>
          <w:spacing w:val="-6"/>
        </w:rPr>
        <w:t>2016</w:t>
      </w:r>
      <w:r>
        <w:rPr>
          <w:spacing w:val="-6"/>
        </w:rPr>
        <w:t>年担任该公司董事会秘书，</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年至</w:t>
      </w:r>
      <w:r>
        <w:rPr>
          <w:rFonts w:ascii="Times New Roman" w:hAnsi="Times New Roman" w:cs="Times New Roman" w:eastAsia="Times New Roman" w:hint="default"/>
        </w:rPr>
        <w:t>2016</w:t>
      </w:r>
      <w:r>
        <w:rPr/>
        <w:t>年兼任总法律顾问；</w:t>
      </w:r>
      <w:r>
        <w:rPr>
          <w:rFonts w:ascii="Times New Roman" w:hAnsi="Times New Roman" w:cs="Times New Roman" w:eastAsia="Times New Roman" w:hint="default"/>
        </w:rPr>
        <w:t>2017</w:t>
      </w:r>
      <w:r>
        <w:rPr/>
        <w:t>年至今任职于本公司，现任公司副总经理、董事会秘书。</w:t>
      </w:r>
    </w:p>
    <w:p>
      <w:pPr>
        <w:pStyle w:val="BodyText"/>
        <w:spacing w:line="295" w:lineRule="auto" w:before="136"/>
        <w:ind w:right="208" w:firstLine="420"/>
        <w:jc w:val="both"/>
      </w:pPr>
      <w:r>
        <w:rPr>
          <w:rFonts w:ascii="Times New Roman" w:hAnsi="Times New Roman" w:cs="Times New Roman" w:eastAsia="Times New Roman" w:hint="default"/>
          <w:spacing w:val="-2"/>
        </w:rPr>
        <w:t>15</w:t>
      </w:r>
      <w:r>
        <w:rPr>
          <w:spacing w:val="-2"/>
        </w:rPr>
        <w:t>、吴伟东女士：中国国籍，无境外永久居留权，</w:t>
      </w:r>
      <w:r>
        <w:rPr>
          <w:rFonts w:ascii="Times New Roman" w:hAnsi="Times New Roman" w:cs="Times New Roman" w:eastAsia="Times New Roman" w:hint="default"/>
          <w:spacing w:val="-2"/>
        </w:rPr>
        <w:t>1969</w:t>
      </w:r>
      <w:r>
        <w:rPr>
          <w:spacing w:val="-2"/>
        </w:rPr>
        <w:t>年出生。</w:t>
      </w:r>
      <w:r>
        <w:rPr>
          <w:rFonts w:ascii="Times New Roman" w:hAnsi="Times New Roman" w:cs="Times New Roman" w:eastAsia="Times New Roman" w:hint="default"/>
          <w:spacing w:val="-2"/>
        </w:rPr>
        <w:t>1991</w:t>
      </w:r>
      <w:r>
        <w:rPr>
          <w:spacing w:val="-2"/>
        </w:rPr>
        <w:t>年毕业于中国人民大学社会学专</w:t>
      </w:r>
      <w:r>
        <w:rPr>
          <w:w w:val="100"/>
        </w:rPr>
        <w:t> </w:t>
      </w:r>
      <w:r>
        <w:rPr>
          <w:spacing w:val="-2"/>
        </w:rPr>
        <w:t>业，获法学学士学位。</w:t>
      </w:r>
      <w:r>
        <w:rPr>
          <w:rFonts w:ascii="Times New Roman" w:hAnsi="Times New Roman" w:cs="Times New Roman" w:eastAsia="Times New Roman" w:hint="default"/>
          <w:spacing w:val="-2"/>
        </w:rPr>
        <w:t>1991</w:t>
      </w:r>
      <w:r>
        <w:rPr>
          <w:spacing w:val="-2"/>
        </w:rPr>
        <w:t>年至</w:t>
      </w:r>
      <w:r>
        <w:rPr>
          <w:rFonts w:ascii="Times New Roman" w:hAnsi="Times New Roman" w:cs="Times New Roman" w:eastAsia="Times New Roman" w:hint="default"/>
          <w:spacing w:val="-2"/>
        </w:rPr>
        <w:t>2017</w:t>
      </w:r>
      <w:r>
        <w:rPr>
          <w:spacing w:val="-2"/>
        </w:rPr>
        <w:t>年先后任职于北京市人事局政策法规处、华理经济文化发展公司、北</w:t>
      </w:r>
      <w:r>
        <w:rPr>
          <w:spacing w:val="-43"/>
        </w:rPr>
        <w:t> </w:t>
      </w:r>
      <w:r>
        <w:rPr>
          <w:spacing w:val="-43"/>
        </w:rPr>
      </w:r>
      <w:r>
        <w:rPr/>
        <w:t>京大发正大有限公司、北京科技园建设（集团）股份有限公司、首都信息发展股份有限公司；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spacing w:val="-24"/>
        </w:rPr>
        <w:t> </w:t>
      </w:r>
      <w:r>
        <w:rPr/>
        <w:t>至今任职于本公司，现任公司副总经理。</w:t>
      </w:r>
    </w:p>
    <w:p>
      <w:pPr>
        <w:pStyle w:val="BodyText"/>
        <w:spacing w:line="295" w:lineRule="auto" w:before="157"/>
        <w:ind w:right="208" w:firstLine="420"/>
        <w:jc w:val="both"/>
      </w:pPr>
      <w:r>
        <w:rPr>
          <w:rFonts w:ascii="Times New Roman" w:hAnsi="Times New Roman" w:cs="Times New Roman" w:eastAsia="Times New Roman" w:hint="default"/>
          <w:spacing w:val="-2"/>
        </w:rPr>
        <w:t>16</w:t>
      </w:r>
      <w:r>
        <w:rPr>
          <w:spacing w:val="-2"/>
        </w:rPr>
        <w:t>、高青山先生：中国国籍，无境外永久居留权，</w:t>
      </w:r>
      <w:r>
        <w:rPr>
          <w:rFonts w:ascii="Times New Roman" w:hAnsi="Times New Roman" w:cs="Times New Roman" w:eastAsia="Times New Roman" w:hint="default"/>
          <w:spacing w:val="-2"/>
        </w:rPr>
        <w:t>1976</w:t>
      </w:r>
      <w:r>
        <w:rPr>
          <w:spacing w:val="-2"/>
        </w:rPr>
        <w:t>年出生。</w:t>
      </w:r>
      <w:r>
        <w:rPr>
          <w:rFonts w:ascii="Times New Roman" w:hAnsi="Times New Roman" w:cs="Times New Roman" w:eastAsia="Times New Roman" w:hint="default"/>
          <w:spacing w:val="-2"/>
        </w:rPr>
        <w:t>2000</w:t>
      </w:r>
      <w:r>
        <w:rPr>
          <w:spacing w:val="-2"/>
        </w:rPr>
        <w:t>年毕业于郑州轻工业学院会计学</w:t>
      </w:r>
      <w:r>
        <w:rPr>
          <w:w w:val="100"/>
        </w:rPr>
        <w:t> </w:t>
      </w:r>
      <w:r>
        <w:rPr>
          <w:spacing w:val="-2"/>
        </w:rPr>
        <w:t>专业，获学士学位。</w:t>
      </w:r>
      <w:r>
        <w:rPr>
          <w:rFonts w:ascii="Times New Roman" w:hAnsi="Times New Roman" w:cs="Times New Roman" w:eastAsia="Times New Roman" w:hint="default"/>
          <w:spacing w:val="-2"/>
        </w:rPr>
        <w:t>2000</w:t>
      </w:r>
      <w:r>
        <w:rPr>
          <w:spacing w:val="-2"/>
        </w:rPr>
        <w:t>年任职于贵州航天乌江机电设备有限公司财务部，</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月，任职</w:t>
      </w:r>
      <w:r>
        <w:rPr>
          <w:spacing w:val="-33"/>
        </w:rPr>
        <w:t> </w:t>
      </w:r>
      <w:r>
        <w:rPr>
          <w:spacing w:val="-33"/>
        </w:rPr>
      </w:r>
      <w:r>
        <w:rPr/>
        <w:t>于致同会计师事务所审计部，历任审计员、审计经理、高级经理、审计总监。</w:t>
      </w:r>
      <w:r>
        <w:rPr>
          <w:spacing w:val="-30"/>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月至今任职于本公</w:t>
      </w:r>
      <w:r>
        <w:rPr>
          <w:w w:val="100"/>
        </w:rPr>
        <w:t> </w:t>
      </w:r>
      <w:r>
        <w:rPr/>
        <w:t>司，现任公司财务负责人，兼任北京版信通技术有限公司董事。</w:t>
      </w:r>
    </w:p>
    <w:p>
      <w:pPr>
        <w:spacing w:before="156"/>
        <w:ind w:left="11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200"/>
        <w:gridCol w:w="2770"/>
        <w:gridCol w:w="1486"/>
        <w:gridCol w:w="1776"/>
        <w:gridCol w:w="1275"/>
        <w:gridCol w:w="1063"/>
      </w:tblGrid>
      <w:tr>
        <w:trPr>
          <w:trHeight w:val="102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67" w:right="106"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在股东单位 是否领取报 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卢磊</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首都信息发展股份有限公司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2"/>
                <w:sz w:val="18"/>
                <w:szCs w:val="18"/>
              </w:rPr>
              <w:t>副总裁、董事会秘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书</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刘明哲</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北京市国有资产经营有限责任公司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计划财务部副总 经理</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蒋峰</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首都信息发展股份有限公司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投资部副总经理</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李志梅</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首都信息发展股份有限公司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审计部经理</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200"/>
        <w:gridCol w:w="2629"/>
        <w:gridCol w:w="1135"/>
        <w:gridCol w:w="1688"/>
        <w:gridCol w:w="1856"/>
        <w:gridCol w:w="1063"/>
      </w:tblGrid>
      <w:tr>
        <w:trPr>
          <w:trHeight w:val="102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2" w:right="110"/>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北京邮电大学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教授</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全国信息安全标准化技术委员会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委员</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全国版权标准化技术委员会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委员</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国家密码行业标准化技术委员会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副主任委员</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67" w:footer="979" w:top="1060" w:bottom="1160" w:left="1020" w:right="9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200"/>
        <w:gridCol w:w="2629"/>
        <w:gridCol w:w="1135"/>
        <w:gridCol w:w="1688"/>
        <w:gridCol w:w="1856"/>
        <w:gridCol w:w="1063"/>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国家商用密码技术总体专家组</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专家</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北京市信息化专家咨询委员会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委员</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41" w:right="46" w:hanging="992"/>
              <w:jc w:val="left"/>
              <w:rPr>
                <w:rFonts w:ascii="宋体" w:hAnsi="宋体" w:cs="宋体" w:eastAsia="宋体" w:hint="default"/>
                <w:sz w:val="18"/>
                <w:szCs w:val="18"/>
              </w:rPr>
            </w:pPr>
            <w:r>
              <w:rPr>
                <w:rFonts w:ascii="宋体" w:hAnsi="宋体" w:cs="宋体" w:eastAsia="宋体" w:hint="default"/>
                <w:sz w:val="18"/>
                <w:szCs w:val="18"/>
              </w:rPr>
              <w:t>卫计委人口健康信息化专家咨询 委员会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委员</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北京市商用密码行业协会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221" w:right="46" w:hanging="1172"/>
              <w:jc w:val="left"/>
              <w:rPr>
                <w:rFonts w:ascii="宋体" w:hAnsi="宋体" w:cs="宋体" w:eastAsia="宋体" w:hint="default"/>
                <w:sz w:val="18"/>
                <w:szCs w:val="18"/>
              </w:rPr>
            </w:pPr>
            <w:r>
              <w:rPr>
                <w:rFonts w:ascii="宋体" w:hAnsi="宋体" w:cs="宋体" w:eastAsia="宋体" w:hint="default"/>
                <w:sz w:val="18"/>
                <w:szCs w:val="18"/>
              </w:rPr>
              <w:t>中国密码学会电子认证专业委员 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副主任委员</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中国保密协会科学技术分会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副主任委员</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安信天行</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版信通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卢磊</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首都信息科技发展有限公司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卢磊</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北京文化体育科技有限公司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卢磊</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厦门融通信息技术有限公司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卢磊</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950" w:right="46" w:hanging="900"/>
              <w:jc w:val="left"/>
              <w:rPr>
                <w:rFonts w:ascii="宋体" w:hAnsi="宋体" w:cs="宋体" w:eastAsia="宋体" w:hint="default"/>
                <w:sz w:val="18"/>
                <w:szCs w:val="18"/>
              </w:rPr>
            </w:pPr>
            <w:r>
              <w:rPr>
                <w:rFonts w:ascii="宋体" w:hAnsi="宋体" w:cs="宋体" w:eastAsia="宋体" w:hint="default"/>
                <w:sz w:val="18"/>
                <w:szCs w:val="18"/>
              </w:rPr>
              <w:t>北京首信网创网络信息服务有限 责任公司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卢磊</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首信医联信息技术有限公司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雷毅平</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北京工业发展投资管理有限公司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投资经理</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雷毅平</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北京新能源汽车股份有限公司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王渝次</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国民技术股份有限公司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4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杜美杰</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北京语言大学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hanging="1"/>
              <w:jc w:val="center"/>
              <w:rPr>
                <w:rFonts w:ascii="宋体" w:hAnsi="宋体" w:cs="宋体" w:eastAsia="宋体" w:hint="default"/>
                <w:sz w:val="18"/>
                <w:szCs w:val="18"/>
              </w:rPr>
            </w:pPr>
            <w:r>
              <w:rPr>
                <w:rFonts w:ascii="宋体" w:hAnsi="宋体" w:cs="宋体" w:eastAsia="宋体" w:hint="default"/>
                <w:sz w:val="18"/>
                <w:szCs w:val="18"/>
              </w:rPr>
              <w:t>商学院会计 系副教授、会 计系主任、 </w:t>
            </w:r>
            <w:r>
              <w:rPr>
                <w:rFonts w:ascii="Times New Roman" w:hAnsi="Times New Roman" w:cs="Times New Roman" w:eastAsia="Times New Roman" w:hint="default"/>
                <w:spacing w:val="-4"/>
                <w:sz w:val="18"/>
                <w:szCs w:val="18"/>
              </w:rPr>
              <w:t>MPAcc</w:t>
            </w:r>
            <w:r>
              <w:rPr>
                <w:rFonts w:ascii="Times New Roman" w:hAnsi="Times New Roman" w:cs="Times New Roman" w:eastAsia="Times New Roman" w:hint="default"/>
                <w:sz w:val="18"/>
                <w:szCs w:val="18"/>
              </w:rPr>
              <w:t> </w:t>
            </w:r>
            <w:r>
              <w:rPr>
                <w:rFonts w:ascii="宋体" w:hAnsi="宋体" w:cs="宋体" w:eastAsia="宋体" w:hint="default"/>
                <w:sz w:val="18"/>
                <w:szCs w:val="18"/>
              </w:rPr>
              <w:t>中心 主任</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杜美杰</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福建实达集团股份有限公司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张文亮</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北京观韬中茂律师事务所</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合伙人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张益谦</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安信天行</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张益谦</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北京数字医信科技有限公司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吴舜皋</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北京数字医信科技有限公司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刘明哲</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221" w:right="46" w:hanging="1172"/>
              <w:jc w:val="left"/>
              <w:rPr>
                <w:rFonts w:ascii="宋体" w:hAnsi="宋体" w:cs="宋体" w:eastAsia="宋体" w:hint="default"/>
                <w:sz w:val="18"/>
                <w:szCs w:val="18"/>
              </w:rPr>
            </w:pPr>
            <w:r>
              <w:rPr>
                <w:rFonts w:ascii="宋体" w:hAnsi="宋体" w:cs="宋体" w:eastAsia="宋体" w:hint="default"/>
                <w:sz w:val="18"/>
                <w:szCs w:val="18"/>
              </w:rPr>
              <w:t>北京集成电路设计园有限责任公 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刘明哲</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北京华誉能源技术股份有限公司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刘明哲</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北京产权交易所有限公司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李志梅</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厦门融通信息技术有限责任公司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李志梅</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首信医联信息技术有限公司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高青山</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版信通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3"/>
        <w:rPr>
          <w:rFonts w:ascii="Times New Roman" w:hAnsi="Times New Roman" w:cs="Times New Roman" w:eastAsia="Times New Roman" w:hint="default"/>
          <w:sz w:val="29"/>
          <w:szCs w:val="29"/>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9"/>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4"/>
        <w:rPr>
          <w:rFonts w:ascii="宋体" w:hAnsi="宋体" w:cs="宋体" w:eastAsia="宋体" w:hint="default"/>
          <w:sz w:val="15"/>
          <w:szCs w:val="15"/>
        </w:rPr>
      </w:pPr>
    </w:p>
    <w:p>
      <w:pPr>
        <w:pStyle w:val="BodyText"/>
        <w:spacing w:line="393" w:lineRule="auto"/>
        <w:ind w:left="533" w:right="0"/>
        <w:jc w:val="left"/>
      </w:pPr>
      <w:r>
        <w:rPr>
          <w:rFonts w:ascii="Times New Roman" w:hAnsi="Times New Roman" w:cs="Times New Roman" w:eastAsia="Times New Roman" w:hint="default"/>
        </w:rPr>
        <w:t>1</w:t>
      </w:r>
      <w:r>
        <w:rPr/>
        <w:t>、董事、监事、高级管理人员报酬的决策程序</w:t>
      </w:r>
      <w:r>
        <w:rPr>
          <w:w w:val="100"/>
        </w:rPr>
        <w:t> </w:t>
      </w:r>
      <w:r>
        <w:rPr>
          <w:spacing w:val="-2"/>
        </w:rPr>
        <w:t>公司董事、监事报酬由股东大会决定，高级管理人员报酬由董事会决定；与公司签署劳动合同的非独</w:t>
      </w:r>
      <w:r>
        <w:rPr/>
      </w:r>
    </w:p>
    <w:p>
      <w:pPr>
        <w:pStyle w:val="BodyText"/>
        <w:spacing w:line="223" w:lineRule="exact"/>
        <w:ind w:right="0"/>
        <w:jc w:val="left"/>
      </w:pPr>
      <w:r>
        <w:rPr/>
        <w:t>立董事、监事、高级管理人员报酬由公司支付，非独立董事、监事不另外支付津贴。独立董事津贴根据股</w:t>
      </w:r>
    </w:p>
    <w:p>
      <w:pPr>
        <w:pStyle w:val="BodyText"/>
        <w:spacing w:line="240" w:lineRule="auto" w:before="85"/>
        <w:ind w:right="0"/>
        <w:jc w:val="left"/>
      </w:pPr>
      <w:r>
        <w:rPr/>
        <w:t>东大会通过的决议进行支付。</w:t>
      </w:r>
    </w:p>
    <w:p>
      <w:pPr>
        <w:spacing w:line="240" w:lineRule="auto" w:before="7"/>
        <w:rPr>
          <w:rFonts w:ascii="宋体" w:hAnsi="宋体" w:cs="宋体" w:eastAsia="宋体" w:hint="default"/>
          <w:sz w:val="15"/>
          <w:szCs w:val="15"/>
        </w:rPr>
      </w:pPr>
    </w:p>
    <w:p>
      <w:pPr>
        <w:pStyle w:val="BodyText"/>
        <w:spacing w:line="403" w:lineRule="auto"/>
        <w:ind w:left="533" w:right="0"/>
        <w:jc w:val="left"/>
      </w:pPr>
      <w:r>
        <w:rPr>
          <w:rFonts w:ascii="Times New Roman" w:hAnsi="Times New Roman" w:cs="Times New Roman" w:eastAsia="Times New Roman" w:hint="default"/>
        </w:rPr>
        <w:t>2</w:t>
      </w:r>
      <w:r>
        <w:rPr/>
        <w:t>、董事、监事、高级管理人员报酬确定依据</w:t>
      </w:r>
      <w:r>
        <w:rPr>
          <w:w w:val="100"/>
        </w:rPr>
        <w:t> </w:t>
      </w:r>
      <w:r>
        <w:rPr>
          <w:spacing w:val="-2"/>
        </w:rPr>
        <w:t>依据公司盈利水平及董事、监事、高级管理人员的职责履行情况并结合年度绩效完成情况综合确定。</w:t>
      </w:r>
      <w:r>
        <w:rPr>
          <w:spacing w:val="-25"/>
        </w:rPr>
        <w:t> </w:t>
      </w:r>
      <w:r>
        <w:rPr>
          <w:spacing w:val="-25"/>
        </w:rPr>
      </w:r>
      <w:r>
        <w:rPr>
          <w:rFonts w:ascii="Times New Roman" w:hAnsi="Times New Roman" w:cs="Times New Roman" w:eastAsia="Times New Roman" w:hint="default"/>
        </w:rPr>
        <w:t>3</w:t>
      </w:r>
      <w:r>
        <w:rPr/>
        <w:t>、董事、监事、高级管理人员报酬的实际支付情况</w:t>
      </w:r>
      <w:r>
        <w:rPr>
          <w:w w:val="100"/>
        </w:rPr>
        <w:t> </w:t>
      </w:r>
      <w:r>
        <w:rPr>
          <w:spacing w:val="-2"/>
        </w:rPr>
        <w:t>公司董事、监事、高级管理人员基本工资已按月支付，绩效年薪根据公司相关规定发放；公司独立董</w:t>
      </w:r>
    </w:p>
    <w:p>
      <w:pPr>
        <w:pStyle w:val="BodyText"/>
        <w:spacing w:line="215" w:lineRule="exact"/>
        <w:ind w:right="0"/>
        <w:jc w:val="left"/>
      </w:pPr>
      <w:r>
        <w:rPr/>
        <w:t>事津贴已按照确定的薪酬标准全额支付。</w:t>
      </w:r>
    </w:p>
    <w:p>
      <w:pPr>
        <w:spacing w:before="122"/>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2036"/>
        <w:gridCol w:w="701"/>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林雪焰</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刘汉莎</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95" w:right="22" w:hanging="269"/>
              <w:jc w:val="left"/>
              <w:rPr>
                <w:rFonts w:ascii="宋体" w:hAnsi="宋体" w:cs="宋体" w:eastAsia="宋体" w:hint="default"/>
                <w:sz w:val="18"/>
                <w:szCs w:val="18"/>
              </w:rPr>
            </w:pPr>
            <w:r>
              <w:rPr>
                <w:rFonts w:ascii="宋体" w:hAnsi="宋体" w:cs="宋体" w:eastAsia="宋体" w:hint="default"/>
                <w:sz w:val="18"/>
                <w:szCs w:val="18"/>
              </w:rPr>
              <w:t>董事、副总经理、董事会 秘书、财务负责人</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王渝次</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杜美杰</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张文亮</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罗炜</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金锦萍</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周贤伟</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吴舜皋</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张益谦</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86.29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侯鹏亮</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齐秀彬</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高青山</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567.59</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67" w:footer="979" w:top="1060" w:bottom="1160" w:left="1020" w:right="1000"/>
        </w:sectPr>
      </w:pPr>
    </w:p>
    <w:p>
      <w:pPr>
        <w:spacing w:line="240" w:lineRule="auto" w:before="10"/>
        <w:rPr>
          <w:rFonts w:ascii="宋体" w:hAnsi="宋体" w:cs="宋体" w:eastAsia="宋体" w:hint="default"/>
          <w:sz w:val="25"/>
          <w:szCs w:val="25"/>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9"/>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1,001</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156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1,001</w:t>
            </w:r>
          </w:p>
        </w:tc>
      </w:tr>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硕士研究生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大学专科及以下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1,001</w:t>
            </w:r>
          </w:p>
        </w:tc>
      </w:tr>
    </w:tbl>
    <w:p>
      <w:pPr>
        <w:spacing w:line="240" w:lineRule="auto" w:before="5"/>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firstLine="420"/>
        <w:jc w:val="left"/>
      </w:pPr>
      <w:r>
        <w:rPr>
          <w:spacing w:val="-2"/>
        </w:rPr>
        <w:t>公司根据员工贡献、能力、责任及行业薪酬水平等因素来作为判定员工薪酬的依据，通过建立公平、</w:t>
      </w:r>
      <w:r>
        <w:rPr>
          <w:w w:val="100"/>
        </w:rPr>
        <w:t> </w:t>
      </w:r>
      <w:r>
        <w:rPr/>
        <w:t>公正的薪酬管理体系，发挥薪酬的激励作用，调动员工的工作积极性，促进员工和企业的共同发展。</w:t>
      </w:r>
    </w:p>
    <w:p>
      <w:pPr>
        <w:pStyle w:val="BodyText"/>
        <w:spacing w:line="256" w:lineRule="auto" w:before="127"/>
        <w:ind w:right="0" w:firstLine="420"/>
        <w:jc w:val="left"/>
      </w:pPr>
      <w:r>
        <w:rPr>
          <w:rFonts w:ascii="Times New Roman" w:hAnsi="Times New Roman" w:cs="Times New Roman" w:eastAsia="Times New Roman" w:hint="default"/>
          <w:spacing w:val="-6"/>
        </w:rPr>
        <w:t>(1</w:t>
      </w:r>
      <w:r>
        <w:rPr>
          <w:rFonts w:ascii="宋体" w:hAnsi="宋体" w:cs="宋体" w:eastAsia="宋体" w:hint="default"/>
          <w:spacing w:val="-6"/>
        </w:rPr>
        <w:t>)</w:t>
      </w:r>
      <w:r>
        <w:rPr>
          <w:spacing w:val="-6"/>
        </w:rPr>
        <w:t>公司员工薪酬由基本工资、绩效工资、补贴、绩效奖金四部分组成，其中根据员工责任和能力定薪，</w:t>
      </w:r>
      <w:r>
        <w:rPr>
          <w:w w:val="100"/>
        </w:rPr>
        <w:t> </w:t>
      </w:r>
      <w:r>
        <w:rPr/>
        <w:t>根据绩效发薪。</w:t>
      </w:r>
    </w:p>
    <w:p>
      <w:pPr>
        <w:pStyle w:val="BodyText"/>
        <w:spacing w:line="256" w:lineRule="auto" w:before="142"/>
        <w:ind w:right="0" w:firstLine="420"/>
        <w:jc w:val="left"/>
      </w:pPr>
      <w:r>
        <w:rPr>
          <w:rFonts w:ascii="Times New Roman" w:hAnsi="Times New Roman" w:cs="Times New Roman" w:eastAsia="Times New Roman" w:hint="default"/>
          <w:spacing w:val="-4"/>
        </w:rPr>
        <w:t>(2</w:t>
      </w:r>
      <w:r>
        <w:rPr>
          <w:rFonts w:ascii="宋体" w:hAnsi="宋体" w:cs="宋体" w:eastAsia="宋体" w:hint="default"/>
          <w:spacing w:val="-4"/>
        </w:rPr>
        <w:t>)</w:t>
      </w:r>
      <w:r>
        <w:rPr>
          <w:spacing w:val="-4"/>
        </w:rPr>
        <w:t>公司薪酬分为销售序列和非销售序列：销售序列包含</w:t>
      </w:r>
      <w:r>
        <w:rPr>
          <w:rFonts w:ascii="Times New Roman" w:hAnsi="Times New Roman" w:cs="Times New Roman" w:eastAsia="Times New Roman" w:hint="default"/>
          <w:spacing w:val="-4"/>
        </w:rPr>
        <w:t>6</w:t>
      </w:r>
      <w:r>
        <w:rPr>
          <w:spacing w:val="-4"/>
        </w:rPr>
        <w:t>个薪酬级别、每级</w:t>
      </w:r>
      <w:r>
        <w:rPr>
          <w:rFonts w:ascii="Times New Roman" w:hAnsi="Times New Roman" w:cs="Times New Roman" w:eastAsia="Times New Roman" w:hint="default"/>
          <w:spacing w:val="-4"/>
        </w:rPr>
        <w:t>5</w:t>
      </w:r>
      <w:r>
        <w:rPr>
          <w:spacing w:val="-4"/>
        </w:rPr>
        <w:t>个薪酬档位；非销售序列</w:t>
      </w:r>
      <w:r>
        <w:rPr>
          <w:w w:val="100"/>
        </w:rPr>
        <w:t> </w:t>
      </w:r>
      <w:r>
        <w:rPr/>
        <w:t>包含</w:t>
      </w:r>
      <w:r>
        <w:rPr>
          <w:rFonts w:ascii="Times New Roman" w:hAnsi="Times New Roman" w:cs="Times New Roman" w:eastAsia="Times New Roman" w:hint="default"/>
        </w:rPr>
        <w:t>8</w:t>
      </w:r>
      <w:r>
        <w:rPr/>
        <w:t>个薪酬级别、每级</w:t>
      </w:r>
      <w:r>
        <w:rPr>
          <w:rFonts w:ascii="Times New Roman" w:hAnsi="Times New Roman" w:cs="Times New Roman" w:eastAsia="Times New Roman" w:hint="default"/>
        </w:rPr>
        <w:t>5</w:t>
      </w:r>
      <w:r>
        <w:rPr/>
        <w:t>个薪酬档位，合计</w:t>
      </w:r>
      <w:r>
        <w:rPr>
          <w:rFonts w:ascii="Times New Roman" w:hAnsi="Times New Roman" w:cs="Times New Roman" w:eastAsia="Times New Roman" w:hint="default"/>
        </w:rPr>
        <w:t>70</w:t>
      </w:r>
      <w:r>
        <w:rPr/>
        <w:t>个薪酬等级。</w:t>
      </w:r>
    </w:p>
    <w:p>
      <w:pPr>
        <w:spacing w:after="0" w:line="256" w:lineRule="auto"/>
        <w:jc w:val="left"/>
        <w:sectPr>
          <w:pgSz w:w="11910" w:h="16840"/>
          <w:pgMar w:header="867" w:footer="979" w:top="1060" w:bottom="1160" w:left="1020" w:right="920"/>
        </w:sectPr>
      </w:pPr>
    </w:p>
    <w:p>
      <w:pPr>
        <w:spacing w:line="240" w:lineRule="auto" w:before="13"/>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0" w:firstLine="420"/>
        <w:jc w:val="left"/>
      </w:pPr>
      <w:r>
        <w:rPr/>
        <w:t>（</w:t>
      </w:r>
      <w:r>
        <w:rPr>
          <w:rFonts w:ascii="Times New Roman" w:hAnsi="Times New Roman" w:cs="Times New Roman" w:eastAsia="Times New Roman" w:hint="default"/>
        </w:rPr>
        <w:t>1</w:t>
      </w:r>
      <w:r>
        <w:rPr/>
        <w:t>）公司致力于打造全方位的人才培养体系，助力公司战略目标的顺利达成和员工综合能力的持续</w:t>
      </w:r>
      <w:r>
        <w:rPr>
          <w:w w:val="100"/>
        </w:rPr>
        <w:t> </w:t>
      </w:r>
      <w:r>
        <w:rPr/>
        <w:t>提高。</w:t>
      </w:r>
    </w:p>
    <w:p>
      <w:pPr>
        <w:pStyle w:val="BodyText"/>
        <w:spacing w:line="256" w:lineRule="auto" w:before="142"/>
        <w:ind w:right="0" w:firstLine="420"/>
        <w:jc w:val="left"/>
      </w:pPr>
      <w:r>
        <w:rPr>
          <w:spacing w:val="-2"/>
        </w:rPr>
        <w:t>（</w:t>
      </w:r>
      <w:r>
        <w:rPr>
          <w:rFonts w:ascii="Times New Roman" w:hAnsi="Times New Roman" w:cs="Times New Roman" w:eastAsia="Times New Roman" w:hint="default"/>
          <w:spacing w:val="-2"/>
        </w:rPr>
        <w:t>2</w:t>
      </w:r>
      <w:r>
        <w:rPr>
          <w:spacing w:val="-2"/>
        </w:rPr>
        <w:t>）公司建立了健全的培训体系，并有针对性地制定了</w:t>
      </w:r>
      <w:r>
        <w:rPr>
          <w:rFonts w:ascii="Times New Roman" w:hAnsi="Times New Roman" w:cs="Times New Roman" w:eastAsia="Times New Roman" w:hint="default"/>
          <w:spacing w:val="-2"/>
        </w:rPr>
        <w:t>“</w:t>
      </w:r>
      <w:r>
        <w:rPr>
          <w:spacing w:val="-2"/>
        </w:rPr>
        <w:t>新员工入职培训</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通用或管理技能培训</w:t>
      </w:r>
      <w:r>
        <w:rPr>
          <w:rFonts w:ascii="Times New Roman" w:hAnsi="Times New Roman" w:cs="Times New Roman" w:eastAsia="Times New Roman" w:hint="default"/>
          <w:spacing w:val="-2"/>
        </w:rPr>
        <w:t>”</w:t>
      </w:r>
      <w:r>
        <w:rPr>
          <w:spacing w:val="-2"/>
        </w:rPr>
        <w:t>、</w:t>
      </w:r>
      <w:r>
        <w:rPr>
          <w:w w:val="100"/>
        </w:rPr>
        <w:t> </w:t>
      </w:r>
      <w:r>
        <w:rPr>
          <w:rFonts w:ascii="Times New Roman" w:hAnsi="Times New Roman" w:cs="Times New Roman" w:eastAsia="Times New Roman" w:hint="default"/>
        </w:rPr>
        <w:t>“</w:t>
      </w:r>
      <w:r>
        <w:rPr/>
        <w:t>专业、技术培训</w:t>
      </w:r>
      <w:r>
        <w:rPr>
          <w:rFonts w:ascii="Times New Roman" w:hAnsi="Times New Roman" w:cs="Times New Roman" w:eastAsia="Times New Roman" w:hint="default"/>
        </w:rPr>
        <w:t>”</w:t>
      </w:r>
      <w:r>
        <w:rPr/>
        <w:t>；培训采取了外部讲师内训、外部公开课、内部讲师授课等多种形式，与多家专业培训</w:t>
      </w:r>
      <w:r>
        <w:rPr>
          <w:w w:val="100"/>
        </w:rPr>
        <w:t> </w:t>
      </w:r>
      <w:r>
        <w:rPr/>
        <w:t>机构建立良好的合作关系，共同开发各类培训项目。其中，公司定期开展</w:t>
      </w:r>
      <w:r>
        <w:rPr>
          <w:rFonts w:ascii="Times New Roman" w:hAnsi="Times New Roman" w:cs="Times New Roman" w:eastAsia="Times New Roman" w:hint="default"/>
        </w:rPr>
        <w:t>“</w:t>
      </w:r>
      <w:r>
        <w:rPr/>
        <w:t>新员工入职培训</w:t>
      </w:r>
      <w:r>
        <w:rPr>
          <w:rFonts w:ascii="Times New Roman" w:hAnsi="Times New Roman" w:cs="Times New Roman" w:eastAsia="Times New Roman" w:hint="default"/>
        </w:rPr>
        <w:t>”</w:t>
      </w:r>
      <w:r>
        <w:rPr/>
        <w:t>，通过产品、</w:t>
      </w:r>
      <w:r>
        <w:rPr>
          <w:w w:val="100"/>
        </w:rPr>
        <w:t> </w:t>
      </w:r>
      <w:r>
        <w:rPr/>
        <w:t>业务知识交流，制度流程宣导等方式帮助新入职员工了解与融入公司。公司每年组织开展</w:t>
      </w:r>
      <w:r>
        <w:rPr>
          <w:rFonts w:ascii="Times New Roman" w:hAnsi="Times New Roman" w:cs="Times New Roman" w:eastAsia="Times New Roman" w:hint="default"/>
        </w:rPr>
        <w:t>“</w:t>
      </w:r>
      <w:r>
        <w:rPr/>
        <w:t>通用或管理技</w:t>
      </w:r>
      <w:r>
        <w:rPr>
          <w:spacing w:val="-12"/>
        </w:rPr>
        <w:t> </w:t>
      </w:r>
      <w:r>
        <w:rPr>
          <w:spacing w:val="-12"/>
        </w:rPr>
      </w:r>
      <w:r>
        <w:rPr/>
        <w:t>能培训</w:t>
      </w:r>
      <w:r>
        <w:rPr>
          <w:rFonts w:ascii="Times New Roman" w:hAnsi="Times New Roman" w:cs="Times New Roman" w:eastAsia="Times New Roman" w:hint="default"/>
        </w:rPr>
        <w:t>”</w:t>
      </w:r>
      <w:r>
        <w:rPr/>
        <w:t>，提升了各层级领导干部团队管理与统筹规划能力和员工的职场通用技能。公司定期组织开展</w:t>
      </w:r>
      <w:r>
        <w:rPr>
          <w:rFonts w:ascii="Times New Roman" w:hAnsi="Times New Roman" w:cs="Times New Roman" w:eastAsia="Times New Roman" w:hint="default"/>
        </w:rPr>
        <w:t>“</w:t>
      </w:r>
      <w:r>
        <w:rPr/>
        <w:t>专</w:t>
      </w:r>
      <w:r>
        <w:rPr>
          <w:w w:val="100"/>
        </w:rPr>
        <w:t> </w:t>
      </w:r>
      <w:r>
        <w:rPr/>
        <w:t>业、技术培训</w:t>
      </w:r>
      <w:r>
        <w:rPr>
          <w:rFonts w:ascii="Times New Roman" w:hAnsi="Times New Roman" w:cs="Times New Roman" w:eastAsia="Times New Roman" w:hint="default"/>
        </w:rPr>
        <w:t>”</w:t>
      </w:r>
      <w:r>
        <w:rPr/>
        <w:t>，鼓励员工学习先进技术，提升专业能力，从研发、销售、生产等专业角度提升岗位胜任</w:t>
      </w:r>
      <w:r>
        <w:rPr>
          <w:spacing w:val="-17"/>
        </w:rPr>
        <w:t> </w:t>
      </w:r>
      <w:r>
        <w:rPr>
          <w:spacing w:val="-17"/>
        </w:rPr>
      </w:r>
      <w:r>
        <w:rPr/>
        <w:t>力。</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1,540,747.00</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102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389" w:right="3485"/>
        <w:jc w:val="center"/>
        <w:rPr>
          <w:b w:val="0"/>
          <w:bCs w:val="0"/>
        </w:rPr>
      </w:pPr>
      <w:bookmarkStart w:name="_bookmark7" w:id="8"/>
      <w:bookmarkEnd w:id="8"/>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5"/>
        <w:rPr>
          <w:rFonts w:ascii="宋体" w:hAnsi="宋体" w:cs="宋体" w:eastAsia="宋体" w:hint="default"/>
          <w:b/>
          <w:bCs/>
          <w:sz w:val="26"/>
          <w:szCs w:val="26"/>
        </w:rPr>
      </w:pPr>
    </w:p>
    <w:p>
      <w:pPr>
        <w:pStyle w:val="BodyText"/>
        <w:spacing w:line="314" w:lineRule="auto"/>
        <w:ind w:right="206" w:firstLine="420"/>
        <w:jc w:val="both"/>
      </w:pPr>
      <w:r>
        <w:rPr>
          <w:spacing w:val="-2"/>
        </w:rPr>
        <w:t>公司严格按照《公司法》、《证券法》、《上市公司治理准则》、《深圳证券交易所创业板股票上市</w:t>
      </w:r>
      <w:r>
        <w:rPr>
          <w:w w:val="100"/>
        </w:rPr>
        <w:t> </w:t>
      </w:r>
      <w:r>
        <w:rPr>
          <w:spacing w:val="-2"/>
        </w:rPr>
        <w:t>规则》、《深圳证券交易所创业板上市公司规范运作指引》等有关法律法规的要求，结合本公司的实际情</w:t>
      </w:r>
      <w:r>
        <w:rPr>
          <w:spacing w:val="-43"/>
        </w:rPr>
        <w:t> </w:t>
      </w:r>
      <w:r>
        <w:rPr>
          <w:spacing w:val="-43"/>
        </w:rPr>
      </w:r>
      <w:r>
        <w:rPr>
          <w:spacing w:val="-2"/>
        </w:rPr>
        <w:t>况不断完善公司法人治理结构，建立健全公司内部控制体系，持续开展各项公司治理活动，保证公司规范</w:t>
      </w:r>
      <w:r>
        <w:rPr>
          <w:spacing w:val="-45"/>
        </w:rPr>
        <w:t> </w:t>
      </w:r>
      <w:r>
        <w:rPr>
          <w:spacing w:val="-45"/>
        </w:rPr>
      </w:r>
      <w:r>
        <w:rPr/>
        <w:t>运作，提高公司治理水平。</w:t>
      </w:r>
    </w:p>
    <w:p>
      <w:pPr>
        <w:pStyle w:val="BodyText"/>
        <w:spacing w:line="314" w:lineRule="auto" w:before="138"/>
        <w:ind w:right="206" w:firstLine="420"/>
        <w:jc w:val="both"/>
      </w:pPr>
      <w:r>
        <w:rPr>
          <w:spacing w:val="-2"/>
        </w:rPr>
        <w:t>报告期内，公司股东大会、董事会、监事会坚持规范运作，保证了股东大会、董事会、监事会在各自</w:t>
      </w:r>
      <w:r>
        <w:rPr>
          <w:w w:val="100"/>
        </w:rPr>
        <w:t> </w:t>
      </w:r>
      <w:r>
        <w:rPr>
          <w:spacing w:val="-2"/>
        </w:rPr>
        <w:t>的权限范围内履行职责，实现了生产经营的规范性和监督管理的有效性。公司治理的实际状况符合中国证</w:t>
      </w:r>
      <w:r>
        <w:rPr>
          <w:spacing w:val="-43"/>
        </w:rPr>
        <w:t> </w:t>
      </w:r>
      <w:r>
        <w:rPr>
          <w:spacing w:val="-43"/>
        </w:rPr>
      </w:r>
      <w:r>
        <w:rPr/>
        <w:t>监会、深圳证券交易所发布的有关上市公司治理的法律法规和规范性文件的要求。</w:t>
      </w:r>
    </w:p>
    <w:p>
      <w:pPr>
        <w:pStyle w:val="BodyText"/>
        <w:spacing w:line="393" w:lineRule="auto" w:before="140"/>
        <w:ind w:left="533" w:right="0" w:firstLine="2"/>
        <w:jc w:val="left"/>
      </w:pPr>
      <w:r>
        <w:rPr>
          <w:rFonts w:ascii="Times New Roman" w:hAnsi="Times New Roman" w:cs="Times New Roman" w:eastAsia="Times New Roman" w:hint="default"/>
          <w:b/>
          <w:bCs/>
        </w:rPr>
        <w:t>1</w:t>
      </w:r>
      <w:r>
        <w:rPr>
          <w:rFonts w:ascii="宋体" w:hAnsi="宋体" w:cs="宋体" w:eastAsia="宋体" w:hint="default"/>
          <w:b/>
          <w:bCs/>
        </w:rPr>
        <w:t>、股东与股东大会</w:t>
      </w:r>
      <w:r>
        <w:rPr>
          <w:rFonts w:ascii="宋体" w:hAnsi="宋体" w:cs="宋体" w:eastAsia="宋体" w:hint="default"/>
          <w:b/>
          <w:bCs/>
          <w:w w:val="100"/>
        </w:rPr>
        <w:t> </w:t>
      </w:r>
      <w:r>
        <w:rPr>
          <w:spacing w:val="-5"/>
        </w:rPr>
        <w:t>公司股东大会的召集、召开均严格按照《公司法》、《深圳证券交易所创业板上市公司规范运作指引》</w:t>
      </w:r>
    </w:p>
    <w:p>
      <w:pPr>
        <w:pStyle w:val="BodyText"/>
        <w:spacing w:line="226" w:lineRule="exact"/>
        <w:ind w:right="0"/>
        <w:jc w:val="both"/>
      </w:pPr>
      <w:r>
        <w:rPr>
          <w:spacing w:val="-5"/>
        </w:rPr>
        <w:t>以及《公司章程》、《股东大会议事规则》的要求规范运行，确保所有股东特别是中小股东享有平等地位，</w:t>
      </w:r>
    </w:p>
    <w:p>
      <w:pPr>
        <w:pStyle w:val="BodyText"/>
        <w:spacing w:line="297" w:lineRule="auto" w:before="82"/>
        <w:ind w:right="208"/>
        <w:jc w:val="both"/>
      </w:pPr>
      <w:r>
        <w:rPr>
          <w:spacing w:val="-2"/>
        </w:rPr>
        <w:t>充分行使自己的合法权利。报告期内，公司共召开</w:t>
      </w:r>
      <w:r>
        <w:rPr>
          <w:rFonts w:ascii="Times New Roman" w:hAnsi="Times New Roman" w:cs="Times New Roman" w:eastAsia="Times New Roman" w:hint="default"/>
          <w:spacing w:val="-2"/>
        </w:rPr>
        <w:t>1</w:t>
      </w:r>
      <w:r>
        <w:rPr>
          <w:spacing w:val="-2"/>
        </w:rPr>
        <w:t>次年度股东大会，</w:t>
      </w:r>
      <w:r>
        <w:rPr>
          <w:rFonts w:ascii="Times New Roman" w:hAnsi="Times New Roman" w:cs="Times New Roman" w:eastAsia="Times New Roman" w:hint="default"/>
          <w:spacing w:val="-2"/>
        </w:rPr>
        <w:t>3</w:t>
      </w:r>
      <w:r>
        <w:rPr>
          <w:spacing w:val="-2"/>
        </w:rPr>
        <w:t>次临时股东大会，均由公司董事会</w:t>
      </w:r>
      <w:r>
        <w:rPr>
          <w:spacing w:val="-45"/>
        </w:rPr>
        <w:t> </w:t>
      </w:r>
      <w:r>
        <w:rPr>
          <w:spacing w:val="-45"/>
        </w:rPr>
      </w:r>
      <w:r>
        <w:rPr/>
        <w:t>召集，股东大会的召开及决议内容合法有效，并有见证律师现场见证。</w:t>
      </w:r>
    </w:p>
    <w:p>
      <w:pPr>
        <w:pStyle w:val="BodyText"/>
        <w:spacing w:line="480" w:lineRule="exact" w:before="14"/>
        <w:ind w:left="533" w:right="0" w:firstLine="2"/>
        <w:jc w:val="left"/>
      </w:pPr>
      <w:r>
        <w:rPr>
          <w:rFonts w:ascii="Times New Roman" w:hAnsi="Times New Roman" w:cs="Times New Roman" w:eastAsia="Times New Roman" w:hint="default"/>
          <w:b/>
          <w:bCs/>
        </w:rPr>
        <w:t>2</w:t>
      </w:r>
      <w:r>
        <w:rPr>
          <w:rFonts w:ascii="宋体" w:hAnsi="宋体" w:cs="宋体" w:eastAsia="宋体" w:hint="default"/>
          <w:b/>
          <w:bCs/>
        </w:rPr>
        <w:t>、董事与董事会</w:t>
      </w:r>
      <w:r>
        <w:rPr>
          <w:rFonts w:ascii="宋体" w:hAnsi="宋体" w:cs="宋体" w:eastAsia="宋体" w:hint="default"/>
          <w:b/>
          <w:bCs/>
          <w:w w:val="100"/>
        </w:rPr>
        <w:t> </w:t>
      </w:r>
      <w:r>
        <w:rPr>
          <w:spacing w:val="-2"/>
        </w:rPr>
        <w:t>公司董事会由</w:t>
      </w:r>
      <w:r>
        <w:rPr>
          <w:rFonts w:ascii="Times New Roman" w:hAnsi="Times New Roman" w:cs="Times New Roman" w:eastAsia="Times New Roman" w:hint="default"/>
          <w:spacing w:val="-2"/>
        </w:rPr>
        <w:t>8</w:t>
      </w:r>
      <w:r>
        <w:rPr>
          <w:spacing w:val="-2"/>
        </w:rPr>
        <w:t>名董事组成，其中独立董事</w:t>
      </w:r>
      <w:r>
        <w:rPr>
          <w:rFonts w:ascii="Times New Roman" w:hAnsi="Times New Roman" w:cs="Times New Roman" w:eastAsia="Times New Roman" w:hint="default"/>
          <w:spacing w:val="-2"/>
        </w:rPr>
        <w:t>3</w:t>
      </w:r>
      <w:r>
        <w:rPr>
          <w:spacing w:val="-2"/>
        </w:rPr>
        <w:t>名，董事会的人数及人员构成符合有关法律法规和《公司</w:t>
      </w:r>
    </w:p>
    <w:p>
      <w:pPr>
        <w:pStyle w:val="BodyText"/>
        <w:spacing w:line="307" w:lineRule="auto" w:before="16"/>
        <w:ind w:right="206"/>
        <w:jc w:val="both"/>
      </w:pPr>
      <w:r>
        <w:rPr>
          <w:spacing w:val="-2"/>
        </w:rPr>
        <w:t>章程》的要求。报告期内，公司共召开</w:t>
      </w:r>
      <w:r>
        <w:rPr>
          <w:rFonts w:ascii="Times New Roman" w:hAnsi="Times New Roman" w:cs="Times New Roman" w:eastAsia="Times New Roman" w:hint="default"/>
          <w:spacing w:val="-2"/>
        </w:rPr>
        <w:t>14</w:t>
      </w:r>
      <w:r>
        <w:rPr>
          <w:spacing w:val="-2"/>
        </w:rPr>
        <w:t>次董事会会议。公司董事会严格按照《公司法》、《深圳证券交</w:t>
      </w:r>
      <w:r>
        <w:rPr>
          <w:spacing w:val="-50"/>
        </w:rPr>
        <w:t> </w:t>
      </w:r>
      <w:r>
        <w:rPr>
          <w:spacing w:val="-50"/>
        </w:rPr>
      </w:r>
      <w:r>
        <w:rPr>
          <w:spacing w:val="-2"/>
        </w:rPr>
        <w:t>易所创业板上市公司规范运作指引》以及《公司章程》、《董事会议事规则》的要求规范运行，董事会召</w:t>
      </w:r>
      <w:r>
        <w:rPr>
          <w:spacing w:val="-44"/>
        </w:rPr>
        <w:t> </w:t>
      </w:r>
      <w:r>
        <w:rPr>
          <w:spacing w:val="-44"/>
        </w:rPr>
      </w:r>
      <w:r>
        <w:rPr>
          <w:spacing w:val="-2"/>
        </w:rPr>
        <w:t>集、召开及决议内容合法有效。公司董事严格按照相关规定，积极出席相关会议，勤勉规范履行职责，认</w:t>
      </w:r>
      <w:r>
        <w:rPr>
          <w:spacing w:val="-43"/>
        </w:rPr>
        <w:t> </w:t>
      </w:r>
      <w:r>
        <w:rPr>
          <w:spacing w:val="-43"/>
        </w:rPr>
      </w:r>
      <w:r>
        <w:rPr/>
        <w:t>真审议各项议案，促使董事会规范高效运作、科学审慎决策，积极维护公司和股东利益。</w:t>
      </w:r>
    </w:p>
    <w:p>
      <w:pPr>
        <w:pStyle w:val="BodyText"/>
        <w:spacing w:line="480" w:lineRule="exact" w:before="5"/>
        <w:ind w:left="533" w:right="0" w:firstLine="2"/>
        <w:jc w:val="left"/>
      </w:pPr>
      <w:r>
        <w:rPr>
          <w:rFonts w:ascii="Times New Roman" w:hAnsi="Times New Roman" w:cs="Times New Roman" w:eastAsia="Times New Roman" w:hint="default"/>
          <w:b/>
          <w:bCs/>
        </w:rPr>
        <w:t>3</w:t>
      </w:r>
      <w:r>
        <w:rPr>
          <w:rFonts w:ascii="宋体" w:hAnsi="宋体" w:cs="宋体" w:eastAsia="宋体" w:hint="default"/>
          <w:b/>
          <w:bCs/>
        </w:rPr>
        <w:t>、监事与监事会</w:t>
      </w:r>
      <w:r>
        <w:rPr>
          <w:rFonts w:ascii="宋体" w:hAnsi="宋体" w:cs="宋体" w:eastAsia="宋体" w:hint="default"/>
          <w:b/>
          <w:bCs/>
          <w:w w:val="100"/>
        </w:rPr>
        <w:t> </w:t>
      </w:r>
      <w:r>
        <w:rPr>
          <w:spacing w:val="-2"/>
        </w:rPr>
        <w:t>公司监事会由</w:t>
      </w:r>
      <w:r>
        <w:rPr>
          <w:rFonts w:ascii="Times New Roman" w:hAnsi="Times New Roman" w:cs="Times New Roman" w:eastAsia="Times New Roman" w:hint="default"/>
          <w:spacing w:val="-2"/>
        </w:rPr>
        <w:t>3</w:t>
      </w:r>
      <w:r>
        <w:rPr>
          <w:spacing w:val="-2"/>
        </w:rPr>
        <w:t>名监事组成，其中职工监事</w:t>
      </w:r>
      <w:r>
        <w:rPr>
          <w:rFonts w:ascii="Times New Roman" w:hAnsi="Times New Roman" w:cs="Times New Roman" w:eastAsia="Times New Roman" w:hint="default"/>
          <w:spacing w:val="-2"/>
        </w:rPr>
        <w:t>1</w:t>
      </w:r>
      <w:r>
        <w:rPr>
          <w:spacing w:val="-2"/>
        </w:rPr>
        <w:t>名，监事会的人数及人员构成符合有关法律法规和《公司</w:t>
      </w:r>
    </w:p>
    <w:p>
      <w:pPr>
        <w:pStyle w:val="BodyText"/>
        <w:spacing w:line="307" w:lineRule="auto" w:before="16"/>
        <w:ind w:right="185"/>
        <w:jc w:val="both"/>
      </w:pPr>
      <w:r>
        <w:rPr/>
        <w:t>章程》的要求。报告期内，公司共召开</w:t>
      </w:r>
      <w:r>
        <w:rPr>
          <w:rFonts w:ascii="Times New Roman" w:hAnsi="Times New Roman" w:cs="Times New Roman" w:eastAsia="Times New Roman" w:hint="default"/>
        </w:rPr>
        <w:t>7</w:t>
      </w:r>
      <w:r>
        <w:rPr/>
        <w:t>次监事会会议。公司监事会根据《公司法》、《深圳证券交易所</w:t>
      </w:r>
      <w:r>
        <w:rPr>
          <w:spacing w:val="-23"/>
        </w:rPr>
        <w:t> </w:t>
      </w:r>
      <w:r>
        <w:rPr>
          <w:spacing w:val="-23"/>
        </w:rPr>
      </w:r>
      <w:r>
        <w:rPr>
          <w:spacing w:val="-2"/>
        </w:rPr>
        <w:t>创业板上市公司规范运作指引》等法律法规、规范性文件及《公司章程》的相关规定，认真履行监事会职</w:t>
      </w:r>
      <w:r>
        <w:rPr>
          <w:spacing w:val="-43"/>
        </w:rPr>
        <w:t> </w:t>
      </w:r>
      <w:r>
        <w:rPr>
          <w:spacing w:val="-43"/>
        </w:rPr>
      </w:r>
      <w:r>
        <w:rPr>
          <w:spacing w:val="-2"/>
        </w:rPr>
        <w:t>责，及时了解公司的生产经营情况，监督公司财务及资金运作等情况，检查公司董事及高级管理人员执行</w:t>
      </w:r>
      <w:r>
        <w:rPr>
          <w:spacing w:val="-43"/>
        </w:rPr>
        <w:t> </w:t>
      </w:r>
      <w:r>
        <w:rPr>
          <w:spacing w:val="-43"/>
        </w:rPr>
      </w:r>
      <w:r>
        <w:rPr>
          <w:spacing w:val="-2"/>
        </w:rPr>
        <w:t>职务行为，核查公司经营管理层实施公司股东大会和董事会决议情况，切实维护公司和股东的合法权益。</w:t>
      </w:r>
    </w:p>
    <w:p>
      <w:pPr>
        <w:spacing w:before="61"/>
        <w:ind w:left="112"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7"/>
        <w:ind w:left="112" w:right="2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33" w:right="0"/>
        <w:jc w:val="left"/>
      </w:pPr>
      <w:r>
        <w:rPr>
          <w:spacing w:val="-5"/>
        </w:rPr>
        <w:t>公司严格按照《公司法》、《证券法》和《公司章程》的要求规范运作，在业务、人员、资产、机构、</w:t>
      </w:r>
    </w:p>
    <w:p>
      <w:pPr>
        <w:spacing w:after="0" w:line="240" w:lineRule="auto"/>
        <w:jc w:val="left"/>
        <w:sectPr>
          <w:pgSz w:w="11910" w:h="16840"/>
          <w:pgMar w:header="867" w:footer="979" w:top="1060" w:bottom="1160" w:left="1020" w:right="920"/>
        </w:sectPr>
      </w:pPr>
    </w:p>
    <w:p>
      <w:pPr>
        <w:spacing w:line="240" w:lineRule="auto" w:before="8"/>
        <w:rPr>
          <w:rFonts w:ascii="宋体" w:hAnsi="宋体" w:cs="宋体" w:eastAsia="宋体" w:hint="default"/>
          <w:sz w:val="26"/>
          <w:szCs w:val="26"/>
        </w:rPr>
      </w:pPr>
    </w:p>
    <w:p>
      <w:pPr>
        <w:pStyle w:val="BodyText"/>
        <w:spacing w:line="312" w:lineRule="auto" w:before="36"/>
        <w:ind w:right="0"/>
        <w:jc w:val="left"/>
      </w:pPr>
      <w:r>
        <w:rPr>
          <w:spacing w:val="-2"/>
        </w:rPr>
        <w:t>财务等方面与控股股东完全分开，独立运作经营。报告期内不存在不能保证独立性、不能保持自主经营能</w:t>
      </w:r>
      <w:r>
        <w:rPr>
          <w:spacing w:val="-42"/>
        </w:rPr>
        <w:t> </w:t>
      </w:r>
      <w:r>
        <w:rPr>
          <w:spacing w:val="-42"/>
        </w:rPr>
      </w:r>
      <w:r>
        <w:rPr/>
        <w:t>力的情况。</w:t>
      </w:r>
    </w:p>
    <w:p>
      <w:pPr>
        <w:spacing w:line="240" w:lineRule="auto" w:before="0"/>
        <w:rPr>
          <w:rFonts w:ascii="宋体" w:hAnsi="宋体" w:cs="宋体" w:eastAsia="宋体" w:hint="default"/>
          <w:sz w:val="21"/>
          <w:szCs w:val="21"/>
        </w:rPr>
      </w:pPr>
    </w:p>
    <w:p>
      <w:pPr>
        <w:pStyle w:val="Heading2"/>
        <w:spacing w:line="240" w:lineRule="auto"/>
        <w:ind w:right="0"/>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596"/>
        <w:gridCol w:w="1239"/>
        <w:gridCol w:w="994"/>
        <w:gridCol w:w="1560"/>
        <w:gridCol w:w="1699"/>
        <w:gridCol w:w="2480"/>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12" w:right="41" w:hanging="272"/>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72.05%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年第一次临时股东大会决 议公告（公告编号：</w:t>
            </w:r>
            <w:r>
              <w:rPr>
                <w:rFonts w:ascii="Times New Roman" w:hAnsi="Times New Roman" w:cs="Times New Roman" w:eastAsia="Times New Roman" w:hint="default"/>
                <w:sz w:val="18"/>
                <w:szCs w:val="18"/>
              </w:rPr>
              <w:t>2017-014</w:t>
            </w:r>
            <w:r>
              <w:rPr>
                <w:rFonts w:ascii="宋体" w:hAnsi="宋体" w:cs="宋体" w:eastAsia="宋体" w:hint="default"/>
                <w:sz w:val="18"/>
                <w:szCs w:val="18"/>
              </w:rPr>
              <w:t>）</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年年度股东大会决议公告</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2017-036</w:t>
            </w:r>
            <w:r>
              <w:rPr>
                <w:rFonts w:ascii="宋体" w:hAnsi="宋体" w:cs="宋体" w:eastAsia="宋体" w:hint="default"/>
                <w:sz w:val="18"/>
                <w:szCs w:val="18"/>
              </w:rPr>
              <w:t>）</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年第二次临时股东大会决 议公告（公告编号：</w:t>
            </w:r>
            <w:r>
              <w:rPr>
                <w:rFonts w:ascii="Times New Roman" w:hAnsi="Times New Roman" w:cs="Times New Roman" w:eastAsia="Times New Roman" w:hint="default"/>
                <w:sz w:val="18"/>
                <w:szCs w:val="18"/>
              </w:rPr>
              <w:t>2017-051</w:t>
            </w:r>
            <w:r>
              <w:rPr>
                <w:rFonts w:ascii="宋体" w:hAnsi="宋体" w:cs="宋体" w:eastAsia="宋体" w:hint="default"/>
                <w:sz w:val="18"/>
                <w:szCs w:val="18"/>
              </w:rPr>
              <w:t>）</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67.98%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年第三次临时股东大会决 议公告（公告编号：</w:t>
            </w:r>
            <w:r>
              <w:rPr>
                <w:rFonts w:ascii="Times New Roman" w:hAnsi="Times New Roman" w:cs="Times New Roman" w:eastAsia="Times New Roman" w:hint="default"/>
                <w:sz w:val="18"/>
                <w:szCs w:val="18"/>
              </w:rPr>
              <w:t>2017-083</w:t>
            </w:r>
            <w:r>
              <w:rPr>
                <w:rFonts w:ascii="宋体" w:hAnsi="宋体" w:cs="宋体" w:eastAsia="宋体" w:hint="default"/>
                <w:sz w:val="18"/>
                <w:szCs w:val="18"/>
              </w:rPr>
              <w:t>）</w:t>
            </w:r>
          </w:p>
        </w:tc>
      </w:tr>
    </w:tbl>
    <w:p>
      <w:pPr>
        <w:spacing w:line="240" w:lineRule="auto" w:before="5"/>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428"/>
        <w:gridCol w:w="1164"/>
        <w:gridCol w:w="1164"/>
        <w:gridCol w:w="1162"/>
        <w:gridCol w:w="1164"/>
        <w:gridCol w:w="1162"/>
        <w:gridCol w:w="1165"/>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4"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罗炜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金锦萍</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周贤伟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王渝次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杜美杰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张文亮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1020" w:right="1020"/>
        </w:sectPr>
      </w:pPr>
    </w:p>
    <w:p>
      <w:pPr>
        <w:spacing w:line="240" w:lineRule="auto" w:before="10"/>
        <w:rPr>
          <w:rFonts w:ascii="宋体" w:hAnsi="宋体" w:cs="宋体" w:eastAsia="宋体" w:hint="default"/>
          <w:b/>
          <w:bCs/>
          <w:sz w:val="25"/>
          <w:szCs w:val="25"/>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22"/>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5"/>
        <w:ind w:left="112" w:right="6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2"/>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7"/>
        <w:ind w:left="112" w:right="5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pStyle w:val="BodyText"/>
        <w:spacing w:line="312" w:lineRule="auto" w:before="122"/>
        <w:ind w:right="206" w:firstLine="420"/>
        <w:jc w:val="both"/>
      </w:pPr>
      <w:r>
        <w:rPr>
          <w:spacing w:val="-2"/>
        </w:rPr>
        <w:t>报告期内，独立董事根据《公司法》、《独立董事工作制度》、《公司章程》等有关规定和要求，勤</w:t>
      </w:r>
      <w:r>
        <w:rPr>
          <w:w w:val="100"/>
        </w:rPr>
        <w:t> </w:t>
      </w:r>
      <w:r>
        <w:rPr>
          <w:spacing w:val="-2"/>
        </w:rPr>
        <w:t>勉尽责地行使权利和履行义务，出席董事会和股东大会，对公司利润分配、内部控制、对外担保、续聘会</w:t>
      </w:r>
      <w:r>
        <w:rPr>
          <w:spacing w:val="-43"/>
        </w:rPr>
        <w:t> </w:t>
      </w:r>
      <w:r>
        <w:rPr>
          <w:spacing w:val="-43"/>
        </w:rPr>
      </w:r>
      <w:r>
        <w:rPr>
          <w:spacing w:val="-2"/>
        </w:rPr>
        <w:t>计师事务所、关联交易、董事会换届选举、聘任高级管理人员、募集资金使用及管理、变更公司会计政策</w:t>
      </w:r>
      <w:r>
        <w:rPr>
          <w:spacing w:val="-43"/>
        </w:rPr>
        <w:t> </w:t>
      </w:r>
      <w:r>
        <w:rPr>
          <w:spacing w:val="-43"/>
        </w:rPr>
      </w:r>
      <w:r>
        <w:rPr/>
        <w:t>等重要事项发表独立意见，并对公司财务及生产经营活动进行监督，维护了公司和股东的合法权益。</w:t>
      </w:r>
    </w:p>
    <w:p>
      <w:pPr>
        <w:spacing w:line="240" w:lineRule="auto" w:before="0"/>
        <w:rPr>
          <w:rFonts w:ascii="宋体" w:hAnsi="宋体" w:cs="宋体" w:eastAsia="宋体" w:hint="default"/>
          <w:sz w:val="21"/>
          <w:szCs w:val="21"/>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5"/>
        <w:rPr>
          <w:rFonts w:ascii="宋体" w:hAnsi="宋体" w:cs="宋体" w:eastAsia="宋体" w:hint="default"/>
          <w:b/>
          <w:bCs/>
          <w:sz w:val="26"/>
          <w:szCs w:val="26"/>
        </w:rPr>
      </w:pPr>
    </w:p>
    <w:p>
      <w:pPr>
        <w:pStyle w:val="BodyText"/>
        <w:spacing w:line="304" w:lineRule="auto"/>
        <w:ind w:right="0" w:firstLine="420"/>
        <w:jc w:val="left"/>
      </w:pPr>
      <w:r>
        <w:rPr>
          <w:spacing w:val="-2"/>
        </w:rPr>
        <w:t>公司董事会下设</w:t>
      </w:r>
      <w:r>
        <w:rPr>
          <w:rFonts w:ascii="Times New Roman" w:hAnsi="Times New Roman" w:cs="Times New Roman" w:eastAsia="Times New Roman" w:hint="default"/>
          <w:spacing w:val="-2"/>
        </w:rPr>
        <w:t>4</w:t>
      </w:r>
      <w:r>
        <w:rPr>
          <w:spacing w:val="-2"/>
        </w:rPr>
        <w:t>个专门委员会，分别为战略委员会、审计委员会、薪酬与考核委员会、提名委员会。</w:t>
      </w:r>
      <w:r>
        <w:rPr>
          <w:w w:val="100"/>
        </w:rPr>
        <w:t> </w:t>
      </w:r>
      <w:r>
        <w:rPr>
          <w:spacing w:val="-2"/>
        </w:rPr>
        <w:t>各专门委员会严格按照《公司章程》及各专门委员会实施细则的规定认真履行职责。报告期内，各专门委</w:t>
      </w:r>
      <w:r>
        <w:rPr>
          <w:spacing w:val="-47"/>
        </w:rPr>
        <w:t> </w:t>
      </w:r>
      <w:r>
        <w:rPr>
          <w:spacing w:val="-47"/>
        </w:rPr>
      </w:r>
      <w:r>
        <w:rPr/>
        <w:t>员会履职情况如下：</w:t>
      </w:r>
    </w:p>
    <w:p>
      <w:pPr>
        <w:pStyle w:val="BodyText"/>
        <w:spacing w:line="393" w:lineRule="auto" w:before="148"/>
        <w:ind w:left="533" w:right="0"/>
        <w:jc w:val="left"/>
      </w:pPr>
      <w:r>
        <w:rPr>
          <w:rFonts w:ascii="Times New Roman" w:hAnsi="Times New Roman" w:cs="Times New Roman" w:eastAsia="Times New Roman" w:hint="default"/>
          <w:b/>
          <w:bCs/>
        </w:rPr>
        <w:t>1</w:t>
      </w:r>
      <w:r>
        <w:rPr>
          <w:rFonts w:ascii="宋体" w:hAnsi="宋体" w:cs="宋体" w:eastAsia="宋体" w:hint="default"/>
          <w:b/>
          <w:bCs/>
        </w:rPr>
        <w:t>、战略委员会</w:t>
      </w:r>
      <w:r>
        <w:rPr>
          <w:rFonts w:ascii="宋体" w:hAnsi="宋体" w:cs="宋体" w:eastAsia="宋体" w:hint="default"/>
          <w:b/>
          <w:bCs/>
          <w:spacing w:val="-103"/>
        </w:rPr>
        <w:t> </w:t>
      </w:r>
      <w:r>
        <w:rPr>
          <w:spacing w:val="-2"/>
        </w:rPr>
        <w:t>报告期内，战略委员会严格按照《公司章程》及《战略委员会实施细则》等相关规定，对公司募集资</w:t>
      </w:r>
    </w:p>
    <w:p>
      <w:pPr>
        <w:pStyle w:val="BodyText"/>
        <w:spacing w:line="226" w:lineRule="exact"/>
        <w:ind w:right="0"/>
        <w:jc w:val="left"/>
      </w:pPr>
      <w:r>
        <w:rPr/>
        <w:t>金使用及管理等有关事项进行了审议，确保公司募集资金使用及管理符合《深圳证券交易所创业板股票上</w:t>
      </w:r>
    </w:p>
    <w:p>
      <w:pPr>
        <w:pStyle w:val="BodyText"/>
        <w:spacing w:line="314" w:lineRule="auto" w:before="82"/>
        <w:ind w:right="0"/>
        <w:jc w:val="left"/>
      </w:pPr>
      <w:r>
        <w:rPr>
          <w:spacing w:val="-2"/>
        </w:rPr>
        <w:t>市规则》、《深圳证券交易所创业板上市公司规范运作指引》及《公司募集资金管理及使用制度》等相关</w:t>
      </w:r>
      <w:r>
        <w:rPr>
          <w:spacing w:val="-42"/>
        </w:rPr>
        <w:t> </w:t>
      </w:r>
      <w:r>
        <w:rPr>
          <w:spacing w:val="-42"/>
        </w:rPr>
      </w:r>
      <w:r>
        <w:rPr/>
        <w:t>规定。</w:t>
      </w:r>
    </w:p>
    <w:p>
      <w:pPr>
        <w:pStyle w:val="Heading3"/>
        <w:spacing w:line="240" w:lineRule="auto" w:before="138"/>
        <w:ind w:left="533" w:right="0"/>
        <w:jc w:val="left"/>
        <w:rPr>
          <w:b w:val="0"/>
          <w:bCs w:val="0"/>
        </w:rPr>
      </w:pPr>
      <w:r>
        <w:rPr>
          <w:rFonts w:ascii="Times New Roman" w:hAnsi="Times New Roman" w:cs="Times New Roman" w:eastAsia="Times New Roman" w:hint="default"/>
        </w:rPr>
        <w:t>2</w:t>
      </w:r>
      <w:r>
        <w:rPr/>
        <w:t>、审计委员会</w:t>
      </w:r>
      <w:r>
        <w:rPr>
          <w:b w:val="0"/>
          <w:bCs w:val="0"/>
        </w:rPr>
      </w:r>
    </w:p>
    <w:p>
      <w:pPr>
        <w:pStyle w:val="BodyText"/>
        <w:spacing w:line="295" w:lineRule="auto" w:before="189"/>
        <w:ind w:right="206" w:firstLine="420"/>
        <w:jc w:val="both"/>
      </w:pPr>
      <w:r>
        <w:rPr>
          <w:spacing w:val="-2"/>
        </w:rPr>
        <w:t>报告期内，审计委员会严格按照《公司章程》及《审计委员会实施细则》等相关规定，对</w:t>
      </w:r>
      <w:r>
        <w:rPr>
          <w:rFonts w:ascii="Times New Roman" w:hAnsi="Times New Roman" w:cs="Times New Roman" w:eastAsia="Times New Roman" w:hint="default"/>
          <w:spacing w:val="-2"/>
        </w:rPr>
        <w:t>2016</w:t>
      </w:r>
      <w:r>
        <w:rPr>
          <w:spacing w:val="-2"/>
        </w:rPr>
        <w:t>年年度</w:t>
      </w:r>
      <w:r>
        <w:rPr>
          <w:w w:val="100"/>
        </w:rPr>
        <w:t> </w:t>
      </w:r>
      <w:r>
        <w:rPr>
          <w:spacing w:val="-2"/>
        </w:rPr>
        <w:t>审计、聘请</w:t>
      </w:r>
      <w:r>
        <w:rPr>
          <w:rFonts w:ascii="Times New Roman" w:hAnsi="Times New Roman" w:cs="Times New Roman" w:eastAsia="Times New Roman" w:hint="default"/>
          <w:spacing w:val="-2"/>
        </w:rPr>
        <w:t>2017</w:t>
      </w:r>
      <w:r>
        <w:rPr>
          <w:spacing w:val="-2"/>
        </w:rPr>
        <w:t>年度审计机构、</w:t>
      </w:r>
      <w:r>
        <w:rPr>
          <w:rFonts w:ascii="Times New Roman" w:hAnsi="Times New Roman" w:cs="Times New Roman" w:eastAsia="Times New Roman" w:hint="default"/>
          <w:spacing w:val="-2"/>
        </w:rPr>
        <w:t>2016</w:t>
      </w:r>
      <w:r>
        <w:rPr>
          <w:spacing w:val="-2"/>
        </w:rPr>
        <w:t>年度审计报告、</w:t>
      </w:r>
      <w:r>
        <w:rPr>
          <w:rFonts w:ascii="Times New Roman" w:hAnsi="Times New Roman" w:cs="Times New Roman" w:eastAsia="Times New Roman" w:hint="default"/>
          <w:spacing w:val="-2"/>
        </w:rPr>
        <w:t>2016</w:t>
      </w:r>
      <w:r>
        <w:rPr>
          <w:spacing w:val="-2"/>
        </w:rPr>
        <w:t>年年度报告及其摘要、</w:t>
      </w:r>
      <w:r>
        <w:rPr>
          <w:rFonts w:ascii="Times New Roman" w:hAnsi="Times New Roman" w:cs="Times New Roman" w:eastAsia="Times New Roman" w:hint="default"/>
          <w:spacing w:val="-2"/>
        </w:rPr>
        <w:t>2016</w:t>
      </w:r>
      <w:r>
        <w:rPr>
          <w:spacing w:val="-2"/>
        </w:rPr>
        <w:t>年度财务决算、</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spacing w:val="-2"/>
        </w:rPr>
        <w:t>年度内部控制、</w:t>
      </w:r>
      <w:r>
        <w:rPr>
          <w:rFonts w:ascii="Times New Roman" w:hAnsi="Times New Roman" w:cs="Times New Roman" w:eastAsia="Times New Roman" w:hint="default"/>
          <w:spacing w:val="-2"/>
        </w:rPr>
        <w:t>2017</w:t>
      </w:r>
      <w:r>
        <w:rPr>
          <w:spacing w:val="-2"/>
        </w:rPr>
        <w:t>年半年度报告及其摘要等事项进行了沟通与审议。审计委员会在报告期内，积极履行</w:t>
      </w:r>
      <w:r>
        <w:rPr>
          <w:spacing w:val="-39"/>
        </w:rPr>
        <w:t> </w:t>
      </w:r>
      <w:r>
        <w:rPr>
          <w:spacing w:val="-39"/>
        </w:rPr>
      </w:r>
      <w:r>
        <w:rPr/>
        <w:t>职责，对公司董事会及经营管理层进行有效监督，进一步完善公司治理结构。</w:t>
      </w:r>
    </w:p>
    <w:p>
      <w:pPr>
        <w:pStyle w:val="BodyText"/>
        <w:spacing w:line="393" w:lineRule="auto" w:before="157"/>
        <w:ind w:left="533" w:right="0"/>
        <w:jc w:val="left"/>
      </w:pPr>
      <w:r>
        <w:rPr>
          <w:rFonts w:ascii="Times New Roman" w:hAnsi="Times New Roman" w:cs="Times New Roman" w:eastAsia="Times New Roman" w:hint="default"/>
          <w:b/>
          <w:bCs/>
        </w:rPr>
        <w:t>3</w:t>
      </w:r>
      <w:r>
        <w:rPr>
          <w:rFonts w:ascii="宋体" w:hAnsi="宋体" w:cs="宋体" w:eastAsia="宋体" w:hint="default"/>
          <w:b/>
          <w:bCs/>
        </w:rPr>
        <w:t>、薪酬与考核委员会</w:t>
      </w:r>
      <w:r>
        <w:rPr>
          <w:rFonts w:ascii="宋体" w:hAnsi="宋体" w:cs="宋体" w:eastAsia="宋体" w:hint="default"/>
          <w:b/>
          <w:bCs/>
          <w:w w:val="100"/>
        </w:rPr>
        <w:t> </w:t>
      </w:r>
      <w:r>
        <w:rPr>
          <w:spacing w:val="-2"/>
        </w:rPr>
        <w:t>报告期内，薪酬与考核委员会严格按照《公司章程》及《薪酬与考核委员会实施细则》等相关规定，</w:t>
      </w:r>
    </w:p>
    <w:p>
      <w:pPr>
        <w:pStyle w:val="BodyText"/>
        <w:spacing w:line="241" w:lineRule="exact"/>
        <w:ind w:right="0"/>
        <w:jc w:val="left"/>
      </w:pPr>
      <w:r>
        <w:rPr/>
        <w:t>对公司董事及高级管理人员</w:t>
      </w:r>
      <w:r>
        <w:rPr>
          <w:rFonts w:ascii="Times New Roman" w:hAnsi="Times New Roman" w:cs="Times New Roman" w:eastAsia="Times New Roman" w:hint="default"/>
        </w:rPr>
        <w:t>2016</w:t>
      </w:r>
      <w:r>
        <w:rPr/>
        <w:t>年度履职情况、公司董事、监事及高级管理人员</w:t>
      </w:r>
      <w:r>
        <w:rPr>
          <w:rFonts w:ascii="Times New Roman" w:hAnsi="Times New Roman" w:cs="Times New Roman" w:eastAsia="Times New Roman" w:hint="default"/>
        </w:rPr>
        <w:t>2017</w:t>
      </w:r>
      <w:r>
        <w:rPr/>
        <w:t>年薪酬方案等进行了</w:t>
      </w:r>
    </w:p>
    <w:p>
      <w:pPr>
        <w:pStyle w:val="BodyText"/>
        <w:spacing w:line="240" w:lineRule="auto" w:before="67"/>
        <w:ind w:right="0"/>
        <w:jc w:val="left"/>
      </w:pPr>
      <w:r>
        <w:rPr/>
        <w:t>审议评价，各位委员均无异议。</w:t>
      </w:r>
    </w:p>
    <w:p>
      <w:pPr>
        <w:spacing w:line="240" w:lineRule="auto" w:before="9"/>
        <w:rPr>
          <w:rFonts w:ascii="宋体" w:hAnsi="宋体" w:cs="宋体" w:eastAsia="宋体" w:hint="default"/>
          <w:sz w:val="15"/>
          <w:szCs w:val="15"/>
        </w:rPr>
      </w:pPr>
    </w:p>
    <w:p>
      <w:pPr>
        <w:pStyle w:val="Heading3"/>
        <w:spacing w:line="240" w:lineRule="auto"/>
        <w:ind w:left="533" w:right="0"/>
        <w:jc w:val="left"/>
        <w:rPr>
          <w:b w:val="0"/>
          <w:bCs w:val="0"/>
        </w:rPr>
      </w:pPr>
      <w:r>
        <w:rPr>
          <w:rFonts w:ascii="Times New Roman" w:hAnsi="Times New Roman" w:cs="Times New Roman" w:eastAsia="Times New Roman" w:hint="default"/>
        </w:rPr>
        <w:t>4</w:t>
      </w:r>
      <w:r>
        <w:rPr/>
        <w:t>、提名委员会</w:t>
      </w:r>
      <w:r>
        <w:rPr>
          <w:b w:val="0"/>
          <w:bCs w:val="0"/>
        </w:rPr>
      </w:r>
    </w:p>
    <w:p>
      <w:pPr>
        <w:spacing w:after="0" w:line="240" w:lineRule="auto"/>
        <w:jc w:val="left"/>
        <w:sectPr>
          <w:pgSz w:w="11910" w:h="16840"/>
          <w:pgMar w:header="867" w:footer="979" w:top="1060" w:bottom="1160" w:left="1020" w:right="920"/>
        </w:sectPr>
      </w:pPr>
    </w:p>
    <w:p>
      <w:pPr>
        <w:spacing w:line="240" w:lineRule="auto" w:before="8"/>
        <w:rPr>
          <w:rFonts w:ascii="宋体" w:hAnsi="宋体" w:cs="宋体" w:eastAsia="宋体" w:hint="default"/>
          <w:b/>
          <w:bCs/>
          <w:sz w:val="26"/>
          <w:szCs w:val="26"/>
        </w:rPr>
      </w:pPr>
    </w:p>
    <w:p>
      <w:pPr>
        <w:pStyle w:val="BodyText"/>
        <w:spacing w:line="314" w:lineRule="auto" w:before="36"/>
        <w:ind w:right="105" w:firstLine="420"/>
        <w:jc w:val="both"/>
      </w:pPr>
      <w:r>
        <w:rPr>
          <w:spacing w:val="-2"/>
        </w:rPr>
        <w:t>报告期内，提名委员会严格按照《公司章程》及《提名委员会实施细则》等相关规定，对公司提名董</w:t>
      </w:r>
      <w:r>
        <w:rPr>
          <w:w w:val="100"/>
        </w:rPr>
        <w:t> </w:t>
      </w:r>
      <w:r>
        <w:rPr>
          <w:spacing w:val="-2"/>
        </w:rPr>
        <w:t>事及高级管理人员进行认真审议，确保公司董事、高级管理人员具备履行职责所必须的经营和管理经验、</w:t>
      </w:r>
      <w:r>
        <w:rPr>
          <w:spacing w:val="-21"/>
        </w:rPr>
        <w:t> </w:t>
      </w:r>
      <w:r>
        <w:rPr>
          <w:spacing w:val="-21"/>
        </w:rPr>
      </w:r>
      <w:r>
        <w:rPr/>
        <w:t>业务专长，提名程序符合《上市公司治理准则》及《公司章程》等相关规定。</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38" w:lineRule="auto" w:before="117"/>
        <w:ind w:left="112" w:right="6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公司监事会对报告期内的监督事项无异议。</w:t>
      </w: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26" w:firstLine="420"/>
        <w:jc w:val="both"/>
      </w:pPr>
      <w:r>
        <w:rPr>
          <w:spacing w:val="-2"/>
        </w:rPr>
        <w:t>公司建立了高级管理人员的薪酬与公司业绩挂钩的绩效考核与激励约束机制，公司高级管理人员实行</w:t>
      </w:r>
      <w:r>
        <w:rPr>
          <w:w w:val="100"/>
        </w:rPr>
        <w:t> </w:t>
      </w:r>
      <w:r>
        <w:rPr>
          <w:spacing w:val="-2"/>
        </w:rPr>
        <w:t>基本年薪和绩效年薪相结合的薪酬制度。由董事会薪酬与考核委员会根据公司年度经营目标完成情况和高</w:t>
      </w:r>
      <w:r>
        <w:rPr>
          <w:spacing w:val="-43"/>
        </w:rPr>
        <w:t> </w:t>
      </w:r>
      <w:r>
        <w:rPr>
          <w:spacing w:val="-43"/>
        </w:rPr>
      </w:r>
      <w:r>
        <w:rPr/>
        <w:t>级管理人员的业绩与述职情况进行考评。公司根据考评结果兑现其绩效年薪。</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spacing w:before="44"/>
        <w:ind w:left="0" w:right="139" w:firstLine="0"/>
        <w:jc w:val="right"/>
        <w:rPr>
          <w:rFonts w:ascii="宋体" w:hAnsi="宋体" w:cs="宋体" w:eastAsia="宋体" w:hint="default"/>
          <w:sz w:val="18"/>
          <w:szCs w:val="18"/>
        </w:rPr>
      </w:pPr>
      <w:r>
        <w:rPr/>
        <w:pict>
          <v:shape style="position:absolute;margin-left:56.400002pt;margin-top:-152.678284pt;width:479.3pt;height:295.2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327"/>
                    <w:gridCol w:w="3053"/>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3"/>
                            <w:sz w:val="18"/>
                            <w:szCs w:val="18"/>
                          </w:rPr>
                          <w:t> </w:t>
                        </w:r>
                        <w:hyperlink r:id="rId16">
                          <w:r>
                            <w:rPr>
                              <w:rFonts w:ascii="Times New Roman" w:hAnsi="Times New Roman" w:cs="Times New Roman" w:eastAsia="Times New Roman" w:hint="default"/>
                              <w:sz w:val="18"/>
                              <w:szCs w:val="18"/>
                            </w:rPr>
                            <w:t>http://www.cninfo.com.cn</w:t>
                          </w:r>
                        </w:hyperlink>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234"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4" w:space="0" w:color="000000"/>
                        </w:tcBorders>
                      </w:tcPr>
                      <w:p>
                        <w:pPr>
                          <w:pStyle w:val="TableParagraph"/>
                          <w:spacing w:line="314" w:lineRule="auto" w:before="51"/>
                          <w:ind w:left="29" w:right="17"/>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、重大缺陷：公司董事、监事或高级管理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人员舞弊行为并给公司造成重要损失和不 利影响；公司更正已公告的财务报表；注 册会计师发现的却未被公司内部控制识别 的当期财务报表重大错报；审计委员会和 </w:t>
                        </w:r>
                        <w:r>
                          <w:rPr>
                            <w:rFonts w:ascii="宋体" w:hAnsi="宋体" w:cs="宋体" w:eastAsia="宋体" w:hint="default"/>
                            <w:spacing w:val="-4"/>
                            <w:sz w:val="18"/>
                            <w:szCs w:val="18"/>
                          </w:rPr>
                          <w:t>审计部对公司内部控制监督无效。</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缺陷：未依照公认会计准则选择和应用会 计政策；未建立反舞弊程序和控制措施； 对于非常规或特殊交易的账务处理没有建</w:t>
                        </w:r>
                      </w:p>
                    </w:tc>
                    <w:tc>
                      <w:tcPr>
                        <w:tcW w:w="3053" w:type="dxa"/>
                        <w:vMerge w:val="restart"/>
                        <w:tcBorders>
                          <w:top w:val="single" w:sz="4" w:space="0" w:color="000000"/>
                          <w:left w:val="single" w:sz="4" w:space="0" w:color="000000"/>
                          <w:right w:val="single" w:sz="4" w:space="0" w:color="000000"/>
                        </w:tcBorders>
                      </w:tcPr>
                      <w:p>
                        <w:pPr>
                          <w:pStyle w:val="TableParagraph"/>
                          <w:spacing w:line="314" w:lineRule="auto" w:before="51"/>
                          <w:ind w:left="26" w:right="-4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、重大缺陷：决策程序导致重大失误</w:t>
                        </w:r>
                        <w:r>
                          <w:rPr>
                            <w:rFonts w:ascii="宋体" w:hAnsi="宋体" w:cs="宋体" w:eastAsia="宋体" w:hint="default"/>
                            <w:sz w:val="18"/>
                            <w:szCs w:val="18"/>
                          </w:rPr>
                          <w:t> 重要业务缺乏制度控制或系统性失效， 且缺乏有效的补</w:t>
                        </w:r>
                        <w:r>
                          <w:rPr>
                            <w:rFonts w:ascii="宋体" w:hAnsi="宋体" w:cs="宋体" w:eastAsia="宋体" w:hint="default"/>
                            <w:spacing w:val="1"/>
                            <w:sz w:val="18"/>
                            <w:szCs w:val="18"/>
                          </w:rPr>
                          <w:t> </w:t>
                        </w:r>
                        <w:r>
                          <w:rPr>
                            <w:rFonts w:ascii="宋体" w:hAnsi="宋体" w:cs="宋体" w:eastAsia="宋体" w:hint="default"/>
                            <w:sz w:val="18"/>
                            <w:szCs w:val="18"/>
                          </w:rPr>
                          <w:t>偿性控制；内部控制</w:t>
                        </w:r>
                        <w:r>
                          <w:rPr>
                            <w:rFonts w:ascii="宋体" w:hAnsi="宋体" w:cs="宋体" w:eastAsia="宋体" w:hint="default"/>
                            <w:sz w:val="18"/>
                            <w:szCs w:val="18"/>
                          </w:rPr>
                          <w:t> 评价的结果特别是重大缺陷未得到整 </w:t>
                        </w:r>
                        <w:r>
                          <w:rPr>
                            <w:rFonts w:ascii="宋体" w:hAnsi="宋体" w:cs="宋体" w:eastAsia="宋体" w:hint="default"/>
                            <w:spacing w:val="-4"/>
                            <w:sz w:val="18"/>
                            <w:szCs w:val="18"/>
                          </w:rPr>
                          <w:t>改；其他对公司产生重大负面影响的情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形。</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、重要缺陷：决策程序导致出现 </w:t>
                        </w:r>
                        <w:r>
                          <w:rPr>
                            <w:rFonts w:ascii="宋体" w:hAnsi="宋体" w:cs="宋体" w:eastAsia="宋体" w:hint="default"/>
                            <w:spacing w:val="-4"/>
                            <w:sz w:val="18"/>
                            <w:szCs w:val="18"/>
                          </w:rPr>
                          <w:t>一般性失误；重要业务制度或系统存在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缺陷；内部控制评价的结果特别是重要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缺陷未得到整改；其他对公司产生较大</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1234"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67" w:footer="979" w:top="1060" w:bottom="1160" w:left="1020" w:right="100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94"/>
        <w:gridCol w:w="3322"/>
        <w:gridCol w:w="3053"/>
      </w:tblGrid>
      <w:tr>
        <w:trPr>
          <w:trHeight w:val="196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21"/>
              <w:jc w:val="both"/>
              <w:rPr>
                <w:rFonts w:ascii="宋体" w:hAnsi="宋体" w:cs="宋体" w:eastAsia="宋体" w:hint="default"/>
                <w:sz w:val="18"/>
                <w:szCs w:val="18"/>
              </w:rPr>
            </w:pPr>
            <w:r>
              <w:rPr>
                <w:rFonts w:ascii="宋体" w:hAnsi="宋体" w:cs="宋体" w:eastAsia="宋体" w:hint="default"/>
                <w:sz w:val="18"/>
                <w:szCs w:val="18"/>
              </w:rPr>
              <w:t>立相应的控制机制或没有实施且没有相应 的补偿性控制；对于期末财务报告过程的 控制存在一项或多项缺陷且不能合理保证 编制的财务报表达到真实、完整的目标。</w:t>
            </w:r>
          </w:p>
          <w:p>
            <w:pPr>
              <w:pStyle w:val="TableParagraph"/>
              <w:spacing w:line="300" w:lineRule="auto" w:before="59"/>
              <w:ind w:left="24" w:right="21"/>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、一般缺陷：除上述重大缺陷、重要缺陷</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以外的其他控制缺陷。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26" w:right="19"/>
              <w:jc w:val="both"/>
              <w:rPr>
                <w:rFonts w:ascii="宋体" w:hAnsi="宋体" w:cs="宋体" w:eastAsia="宋体" w:hint="default"/>
                <w:sz w:val="18"/>
                <w:szCs w:val="18"/>
              </w:rPr>
            </w:pPr>
            <w:r>
              <w:rPr>
                <w:rFonts w:ascii="宋体" w:hAnsi="宋体" w:cs="宋体" w:eastAsia="宋体" w:hint="default"/>
                <w:sz w:val="18"/>
                <w:szCs w:val="18"/>
              </w:rPr>
              <w:t>负面影响的情形。</w:t>
            </w:r>
            <w:r>
              <w:rPr>
                <w:rFonts w:ascii="宋体" w:hAnsi="宋体" w:cs="宋体" w:eastAsia="宋体" w:hint="default"/>
                <w:spacing w:val="-14"/>
                <w:sz w:val="18"/>
                <w:szCs w:val="18"/>
              </w:rPr>
              <w:t> </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、一般缺陷：决策</w:t>
            </w:r>
            <w:r>
              <w:rPr>
                <w:rFonts w:ascii="宋体" w:hAnsi="宋体" w:cs="宋体" w:eastAsia="宋体" w:hint="default"/>
                <w:sz w:val="18"/>
                <w:szCs w:val="18"/>
              </w:rPr>
              <w:t> </w:t>
            </w:r>
            <w:r>
              <w:rPr>
                <w:rFonts w:ascii="宋体" w:hAnsi="宋体" w:cs="宋体" w:eastAsia="宋体" w:hint="default"/>
                <w:spacing w:val="-4"/>
                <w:sz w:val="18"/>
                <w:szCs w:val="18"/>
              </w:rPr>
              <w:t>程序效率不高；一般业务制度或系统存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在缺陷；一般缺陷未得到整改。</w:t>
            </w:r>
          </w:p>
        </w:tc>
      </w:tr>
      <w:tr>
        <w:trPr>
          <w:trHeight w:val="227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00" w:lineRule="auto"/>
              <w:ind w:left="24"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重要缺陷：利润总额的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z w:val="18"/>
                <w:szCs w:val="18"/>
              </w:rPr>
              <w:t>≤</w:t>
            </w:r>
            <w:r>
              <w:rPr>
                <w:rFonts w:ascii="宋体" w:hAnsi="宋体" w:cs="宋体" w:eastAsia="宋体" w:hint="default"/>
                <w:sz w:val="18"/>
                <w:szCs w:val="18"/>
              </w:rPr>
              <w:t>错报＜利润总 额的</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10%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、一般缺陷：错报＜利润总额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3053" w:type="dxa"/>
            <w:tcBorders>
              <w:top w:val="single" w:sz="4" w:space="0" w:color="000000"/>
              <w:left w:val="single" w:sz="10" w:space="0" w:color="FFFFFF"/>
              <w:bottom w:val="single" w:sz="4" w:space="0" w:color="000000"/>
              <w:right w:val="single" w:sz="10" w:space="0" w:color="FFFFFF"/>
            </w:tcBorders>
          </w:tcPr>
          <w:p>
            <w:pPr>
              <w:pStyle w:val="TableParagraph"/>
              <w:spacing w:line="307" w:lineRule="auto" w:before="53"/>
              <w:ind w:left="19"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、重大缺陷：非财务报告内部控制缺 陷导致的直接经济损失金额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非财务报 告内部控</w:t>
            </w:r>
            <w:r>
              <w:rPr>
                <w:rFonts w:ascii="宋体" w:hAnsi="宋体" w:cs="宋体" w:eastAsia="宋体" w:hint="default"/>
                <w:spacing w:val="1"/>
                <w:sz w:val="18"/>
                <w:szCs w:val="18"/>
              </w:rPr>
              <w:t> </w:t>
            </w:r>
            <w:r>
              <w:rPr>
                <w:rFonts w:ascii="宋体" w:hAnsi="宋体" w:cs="宋体" w:eastAsia="宋体" w:hint="default"/>
                <w:sz w:val="18"/>
                <w:szCs w:val="18"/>
              </w:rPr>
              <w:t>制缺陷导致的直接经济损失</w:t>
            </w:r>
            <w:r>
              <w:rPr>
                <w:rFonts w:ascii="宋体" w:hAnsi="宋体" w:cs="宋体" w:eastAsia="宋体" w:hint="default"/>
                <w:sz w:val="18"/>
                <w:szCs w:val="18"/>
              </w:rPr>
              <w:t> 金额＜</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、一般缺陷：非财 务报告内部控制缺陷导致的直接经济 损失金额＜</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r>
        <w:rPr/>
        <w:pict>
          <v:shape style="position:absolute;margin-left:376.75pt;margin-top:-205.98436pt;width:158.2pt;height:113.2pt;mso-position-horizontal-relative:page;mso-position-vertical-relative:paragraph;z-index:-8321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1"/>
        <w:gridCol w:w="6908"/>
      </w:tblGrid>
      <w:tr>
        <w:trPr>
          <w:trHeight w:val="402"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我们认为，北京数字认证公司于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日在所有重大方面有效地保持了按照《企业内部控制基本规范》建立的 与财务报表相关的内部控制。</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3"/>
                <w:sz w:val="18"/>
                <w:szCs w:val="18"/>
              </w:rPr>
              <w:t> </w:t>
            </w:r>
            <w:hyperlink r:id="rId16">
              <w:r>
                <w:rPr>
                  <w:rFonts w:ascii="Times New Roman" w:hAnsi="Times New Roman" w:cs="Times New Roman" w:eastAsia="Times New Roman" w:hint="default"/>
                  <w:sz w:val="18"/>
                  <w:szCs w:val="18"/>
                </w:rPr>
                <w:t>http://www.cninfo.com.cn</w:t>
              </w:r>
            </w:hyperlink>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40" w:lineRule="auto" w:before="117"/>
        <w:ind w:left="112" w:right="3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4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085" w:right="0"/>
        <w:jc w:val="left"/>
        <w:rPr>
          <w:b w:val="0"/>
          <w:bCs w:val="0"/>
        </w:rPr>
      </w:pPr>
      <w:bookmarkStart w:name="_bookmark8" w:id="9"/>
      <w:bookmarkEnd w:id="9"/>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12" w:right="109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551"/>
        <w:jc w:val="center"/>
        <w:rPr>
          <w:b w:val="0"/>
          <w:bCs w:val="0"/>
        </w:rPr>
      </w:pPr>
      <w:bookmarkStart w:name="_bookmark9" w:id="10"/>
      <w:bookmarkEnd w:id="10"/>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110ZA2880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曹阳、王艳艳</w:t>
            </w:r>
          </w:p>
        </w:tc>
      </w:tr>
    </w:tbl>
    <w:p>
      <w:pPr>
        <w:spacing w:before="49"/>
        <w:ind w:left="3550" w:right="3550"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9"/>
        <w:rPr>
          <w:rFonts w:ascii="宋体" w:hAnsi="宋体" w:cs="宋体" w:eastAsia="宋体" w:hint="default"/>
          <w:sz w:val="10"/>
          <w:szCs w:val="10"/>
        </w:rPr>
      </w:pPr>
    </w:p>
    <w:p>
      <w:pPr>
        <w:pStyle w:val="Heading3"/>
        <w:spacing w:line="376" w:lineRule="auto" w:before="36"/>
        <w:ind w:left="535" w:right="5454" w:hanging="423"/>
        <w:jc w:val="left"/>
        <w:rPr>
          <w:b w:val="0"/>
          <w:bCs w:val="0"/>
        </w:rPr>
      </w:pPr>
      <w:r>
        <w:rPr>
          <w:spacing w:val="-1"/>
        </w:rPr>
        <w:t>北京数字认证股份有限公司全体股东：</w:t>
      </w:r>
      <w:r>
        <w:rPr>
          <w:spacing w:val="-89"/>
        </w:rPr>
        <w:t> </w:t>
      </w:r>
      <w:r>
        <w:rPr>
          <w:spacing w:val="-89"/>
        </w:rPr>
      </w:r>
      <w:r>
        <w:rPr/>
        <w:t>一、审计意见</w:t>
      </w:r>
      <w:r>
        <w:rPr>
          <w:b w:val="0"/>
          <w:bCs w:val="0"/>
        </w:rPr>
      </w:r>
    </w:p>
    <w:p>
      <w:pPr>
        <w:pStyle w:val="BodyText"/>
        <w:spacing w:line="256" w:lineRule="auto" w:before="37"/>
        <w:ind w:right="108" w:firstLine="420"/>
        <w:jc w:val="both"/>
      </w:pPr>
      <w:r>
        <w:rPr>
          <w:spacing w:val="-2"/>
        </w:rPr>
        <w:t>我们审计了北京数字认证股份有限公司（以下简称数字认证公司）财务报表，包括</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w:t>
      </w:r>
      <w:r>
        <w:rPr>
          <w:spacing w:val="-3"/>
          <w:w w:val="100"/>
        </w:rPr>
        <w:t> </w:t>
      </w:r>
      <w:r>
        <w:rPr>
          <w:spacing w:val="-2"/>
        </w:rPr>
        <w:t>合并及公司资产负债表，</w:t>
      </w:r>
      <w:r>
        <w:rPr>
          <w:rFonts w:ascii="Times New Roman" w:hAnsi="Times New Roman" w:cs="Times New Roman" w:eastAsia="Times New Roman" w:hint="default"/>
          <w:spacing w:val="-2"/>
        </w:rPr>
        <w:t>2017</w:t>
      </w:r>
      <w:r>
        <w:rPr>
          <w:spacing w:val="-2"/>
        </w:rPr>
        <w:t>年度的合并及公司利润表、合并及公司现金流量表、合并及公司股东权益变</w:t>
      </w:r>
      <w:r>
        <w:rPr>
          <w:spacing w:val="-41"/>
        </w:rPr>
        <w:t> </w:t>
      </w:r>
      <w:r>
        <w:rPr>
          <w:spacing w:val="-41"/>
        </w:rPr>
      </w:r>
      <w:r>
        <w:rPr/>
        <w:t>动表以及相关财务报表附注。</w:t>
      </w:r>
    </w:p>
    <w:p>
      <w:pPr>
        <w:pStyle w:val="BodyText"/>
        <w:spacing w:line="240" w:lineRule="auto" w:before="143"/>
        <w:ind w:left="533" w:right="0"/>
        <w:jc w:val="left"/>
      </w:pPr>
      <w:r>
        <w:rPr/>
        <w:t>我们认为，后附的财务报表在所有重大方面按照企业会计准则的规定编制，公允反映了数字认证公司</w:t>
      </w:r>
    </w:p>
    <w:p>
      <w:pPr>
        <w:pStyle w:val="BodyText"/>
        <w:spacing w:line="240" w:lineRule="auto" w:before="37"/>
        <w:ind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2017</w:t>
      </w:r>
      <w:r>
        <w:rPr/>
        <w:t>年度的合并及公司经营成果和现金流量。</w:t>
      </w:r>
    </w:p>
    <w:p>
      <w:pPr>
        <w:spacing w:line="432" w:lineRule="exact" w:before="41"/>
        <w:ind w:left="550" w:right="0" w:hanging="15"/>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z w:val="21"/>
          <w:szCs w:val="21"/>
        </w:rPr>
        <w:t>我们按照中国注册会计师审计准则的规定执行了审计工作。审计报告的</w:t>
      </w:r>
      <w:r>
        <w:rPr>
          <w:rFonts w:ascii="Times New Roman" w:hAnsi="Times New Roman" w:cs="Times New Roman" w:eastAsia="Times New Roman" w:hint="default"/>
          <w:sz w:val="21"/>
          <w:szCs w:val="21"/>
        </w:rPr>
        <w:t>“</w:t>
      </w:r>
      <w:r>
        <w:rPr>
          <w:rFonts w:ascii="宋体" w:hAnsi="宋体" w:cs="宋体" w:eastAsia="宋体" w:hint="default"/>
          <w:sz w:val="21"/>
          <w:szCs w:val="21"/>
        </w:rPr>
        <w:t>注册会计师对财务报表审计</w:t>
      </w:r>
    </w:p>
    <w:p>
      <w:pPr>
        <w:pStyle w:val="BodyText"/>
        <w:spacing w:line="271" w:lineRule="exact"/>
        <w:ind w:right="0"/>
        <w:jc w:val="left"/>
      </w:pPr>
      <w:r>
        <w:rPr/>
        <w:t>的责任</w:t>
      </w:r>
      <w:r>
        <w:rPr>
          <w:rFonts w:ascii="Times New Roman" w:hAnsi="Times New Roman" w:cs="Times New Roman" w:eastAsia="Times New Roman" w:hint="default"/>
        </w:rPr>
        <w:t>”</w:t>
      </w:r>
      <w:r>
        <w:rPr/>
        <w:t>部分进一步阐述了我们在这些准则下的责任。按照中国注册会计师职业道德守则，我们独立于数</w:t>
      </w:r>
    </w:p>
    <w:p>
      <w:pPr>
        <w:pStyle w:val="BodyText"/>
        <w:spacing w:line="273" w:lineRule="auto" w:before="21"/>
        <w:ind w:right="0"/>
        <w:jc w:val="left"/>
      </w:pPr>
      <w:r>
        <w:rPr>
          <w:spacing w:val="-2"/>
        </w:rPr>
        <w:t>字认证公司，并履行了职业道德方面的其他责任。我们相信，我们获取的审计证据是充分、适当的，为发</w:t>
      </w:r>
      <w:r>
        <w:rPr>
          <w:spacing w:val="-43"/>
        </w:rPr>
        <w:t> </w:t>
      </w:r>
      <w:r>
        <w:rPr>
          <w:spacing w:val="-43"/>
        </w:rPr>
      </w:r>
      <w:r>
        <w:rPr/>
        <w:t>表审计意见提供了基础。</w:t>
      </w:r>
    </w:p>
    <w:p>
      <w:pPr>
        <w:pStyle w:val="BodyText"/>
        <w:spacing w:line="432" w:lineRule="exact" w:before="27"/>
        <w:ind w:left="550" w:right="0" w:hanging="15"/>
        <w:jc w:val="left"/>
      </w:pPr>
      <w:r>
        <w:rPr>
          <w:rFonts w:ascii="宋体" w:hAnsi="宋体" w:cs="宋体" w:eastAsia="宋体" w:hint="default"/>
          <w:b/>
          <w:bCs/>
        </w:rPr>
        <w:t>三、关键审计事项</w:t>
      </w:r>
      <w:r>
        <w:rPr>
          <w:rFonts w:ascii="宋体" w:hAnsi="宋体" w:cs="宋体" w:eastAsia="宋体" w:hint="default"/>
          <w:b/>
          <w:bCs/>
          <w:spacing w:val="-103"/>
        </w:rPr>
        <w:t> </w:t>
      </w:r>
      <w:r>
        <w:rPr>
          <w:spacing w:val="-3"/>
        </w:rPr>
        <w:t>关键审计事项是我们根据职业判断，认为对本期财务报表审计最为重要的事项。这些事项的应对以对</w:t>
      </w:r>
    </w:p>
    <w:p>
      <w:pPr>
        <w:pStyle w:val="BodyText"/>
        <w:spacing w:line="256" w:lineRule="exact"/>
        <w:ind w:right="0"/>
        <w:jc w:val="left"/>
      </w:pPr>
      <w:r>
        <w:rPr/>
        <w:t>财务报表整体进行审计并形成审计意见为背景，我们不对这些事项单独发表意见。我们在审计中识别出的</w:t>
      </w:r>
    </w:p>
    <w:p>
      <w:pPr>
        <w:pStyle w:val="BodyText"/>
        <w:spacing w:line="240" w:lineRule="auto" w:before="37"/>
        <w:ind w:right="0"/>
        <w:jc w:val="left"/>
      </w:pPr>
      <w:r>
        <w:rPr/>
        <w:t>关键审计事项如下：</w:t>
      </w:r>
    </w:p>
    <w:p>
      <w:pPr>
        <w:spacing w:line="240" w:lineRule="auto" w:before="3"/>
        <w:rPr>
          <w:rFonts w:ascii="宋体" w:hAnsi="宋体" w:cs="宋体" w:eastAsia="宋体" w:hint="default"/>
          <w:sz w:val="9"/>
          <w:szCs w:val="9"/>
        </w:rPr>
      </w:pPr>
    </w:p>
    <w:p>
      <w:pPr>
        <w:pStyle w:val="BodyText"/>
        <w:spacing w:line="240" w:lineRule="auto" w:before="36"/>
        <w:ind w:left="550" w:right="0"/>
        <w:jc w:val="left"/>
      </w:pPr>
      <w:r>
        <w:rPr/>
        <w:t>（一）劳务收入确认中完工百分比法的应用</w:t>
      </w:r>
    </w:p>
    <w:p>
      <w:pPr>
        <w:pStyle w:val="BodyText"/>
        <w:spacing w:line="240" w:lineRule="auto" w:before="157"/>
        <w:ind w:left="550" w:right="0"/>
        <w:jc w:val="left"/>
      </w:pPr>
      <w:r>
        <w:rPr>
          <w:rFonts w:ascii="Times New Roman" w:hAnsi="Times New Roman" w:cs="Times New Roman" w:eastAsia="Times New Roman" w:hint="default"/>
        </w:rPr>
        <w:t>1</w:t>
      </w:r>
      <w:r>
        <w:rPr/>
        <w:t>、事项描述</w:t>
      </w:r>
    </w:p>
    <w:p>
      <w:pPr>
        <w:pStyle w:val="BodyText"/>
        <w:spacing w:line="357" w:lineRule="auto" w:before="141"/>
        <w:ind w:left="550" w:right="0"/>
        <w:jc w:val="left"/>
      </w:pPr>
      <w:r>
        <w:rPr/>
        <w:t>数字认证公司会计政策和估计的披露参见附注三、</w:t>
      </w:r>
      <w:r>
        <w:rPr>
          <w:rFonts w:ascii="Times New Roman" w:hAnsi="Times New Roman" w:cs="Times New Roman" w:eastAsia="Times New Roman" w:hint="default"/>
        </w:rPr>
        <w:t>24</w:t>
      </w:r>
      <w:r>
        <w:rPr>
          <w:rFonts w:ascii="Times New Roman" w:hAnsi="Times New Roman" w:cs="Times New Roman" w:eastAsia="Times New Roman" w:hint="default"/>
          <w:spacing w:val="30"/>
        </w:rPr>
        <w:t> </w:t>
      </w:r>
      <w:r>
        <w:rPr/>
        <w:t>，关于收入的金额的披露参见附注五、</w:t>
      </w:r>
      <w:r>
        <w:rPr>
          <w:rFonts w:ascii="Times New Roman" w:hAnsi="Times New Roman" w:cs="Times New Roman" w:eastAsia="Times New Roman" w:hint="default"/>
        </w:rPr>
        <w:t>25</w:t>
      </w:r>
      <w:r>
        <w:rPr/>
        <w:t>。</w:t>
      </w:r>
      <w:r>
        <w:rPr>
          <w:w w:val="100"/>
        </w:rPr>
        <w:t> </w:t>
      </w:r>
      <w:r>
        <w:rPr>
          <w:spacing w:val="2"/>
        </w:rPr>
        <w:t>数字认证公司的营业收入分为电子认证服务收入、安全咨询与安全运维服务收入和安全集成收入三</w:t>
      </w:r>
    </w:p>
    <w:p>
      <w:pPr>
        <w:pStyle w:val="BodyText"/>
        <w:spacing w:line="209" w:lineRule="exact"/>
        <w:ind w:right="0"/>
        <w:jc w:val="left"/>
      </w:pPr>
      <w:r>
        <w:rPr/>
        <w:t>类。</w:t>
      </w:r>
    </w:p>
    <w:p>
      <w:pPr>
        <w:spacing w:line="240" w:lineRule="auto" w:before="3"/>
        <w:rPr>
          <w:rFonts w:ascii="宋体" w:hAnsi="宋体" w:cs="宋体" w:eastAsia="宋体" w:hint="default"/>
          <w:sz w:val="9"/>
          <w:szCs w:val="9"/>
        </w:rPr>
      </w:pPr>
    </w:p>
    <w:p>
      <w:pPr>
        <w:pStyle w:val="BodyText"/>
        <w:spacing w:line="273" w:lineRule="auto" w:before="36"/>
        <w:ind w:right="106" w:firstLine="437"/>
        <w:jc w:val="both"/>
      </w:pPr>
      <w:r>
        <w:rPr>
          <w:spacing w:val="-3"/>
        </w:rPr>
        <w:t>①电子认证服务收入主要包括数字证书收入、电子签名服务收入和证书介质收入，其中数字证书收入</w:t>
      </w:r>
      <w:r>
        <w:rPr>
          <w:w w:val="100"/>
        </w:rPr>
        <w:t> </w:t>
      </w:r>
      <w:r>
        <w:rPr>
          <w:spacing w:val="-2"/>
        </w:rPr>
        <w:t>在数字证书签发或更新生效当月开始在数字证书的有效期内分期确认收入；电子签名服务收入按照约定的</w:t>
      </w:r>
      <w:r>
        <w:rPr>
          <w:spacing w:val="-42"/>
        </w:rPr>
        <w:t> </w:t>
      </w:r>
      <w:r>
        <w:rPr>
          <w:spacing w:val="-42"/>
        </w:rPr>
      </w:r>
      <w:r>
        <w:rPr>
          <w:spacing w:val="-2"/>
        </w:rPr>
        <w:t>服务期限分期确认收入，约定电子签名服务单价的则按照双方确认的服务量及单价确认收入；证书介质收</w:t>
      </w:r>
      <w:r>
        <w:rPr>
          <w:spacing w:val="-42"/>
        </w:rPr>
        <w:t> </w:t>
      </w:r>
      <w:r>
        <w:rPr>
          <w:spacing w:val="-42"/>
        </w:rPr>
      </w:r>
      <w:r>
        <w:rPr/>
        <w:t>入在移交给客户并经客户验收后一次性确认收入。</w:t>
      </w:r>
    </w:p>
    <w:p>
      <w:pPr>
        <w:spacing w:after="0" w:line="273" w:lineRule="auto"/>
        <w:jc w:val="both"/>
        <w:sectPr>
          <w:pgSz w:w="11910" w:h="16840"/>
          <w:pgMar w:header="867" w:footer="979" w:top="1060" w:bottom="1160" w:left="1020" w:right="1020"/>
        </w:sectPr>
      </w:pPr>
    </w:p>
    <w:p>
      <w:pPr>
        <w:spacing w:line="240" w:lineRule="auto" w:before="13"/>
        <w:rPr>
          <w:rFonts w:ascii="宋体" w:hAnsi="宋体" w:cs="宋体" w:eastAsia="宋体" w:hint="default"/>
          <w:sz w:val="24"/>
          <w:szCs w:val="24"/>
        </w:rPr>
      </w:pPr>
    </w:p>
    <w:p>
      <w:pPr>
        <w:pStyle w:val="BodyText"/>
        <w:spacing w:line="273" w:lineRule="auto" w:before="36"/>
        <w:ind w:right="206" w:firstLine="437"/>
        <w:jc w:val="both"/>
      </w:pPr>
      <w:r>
        <w:rPr>
          <w:spacing w:val="-3"/>
        </w:rPr>
        <w:t>②安全咨询与安全运维服务在资产负债表日按完工百分比法确认收入。对于提供专业咨询研究并编制</w:t>
      </w:r>
      <w:r>
        <w:rPr>
          <w:w w:val="100"/>
        </w:rPr>
        <w:t> </w:t>
      </w:r>
      <w:r>
        <w:rPr/>
        <w:t>报告的咨询研究业务，在提交咨询研究报告且通过相关评审验收时一次性确认收入。</w:t>
      </w:r>
    </w:p>
    <w:p>
      <w:pPr>
        <w:pStyle w:val="BodyText"/>
        <w:spacing w:line="240" w:lineRule="auto" w:before="127"/>
        <w:ind w:left="550" w:right="0"/>
        <w:jc w:val="left"/>
      </w:pPr>
      <w:r>
        <w:rPr>
          <w:spacing w:val="-5"/>
        </w:rPr>
        <w:t>③对于安全集成，根据合同的约定，在取得了客户的初步验收确认时，按照合同约定的金额确认收入。</w:t>
      </w:r>
    </w:p>
    <w:p>
      <w:pPr>
        <w:pStyle w:val="BodyText"/>
        <w:spacing w:line="256" w:lineRule="auto" w:before="157"/>
        <w:ind w:right="170" w:firstLine="437"/>
        <w:jc w:val="both"/>
      </w:pPr>
      <w:r>
        <w:rPr>
          <w:rFonts w:ascii="Times New Roman" w:hAnsi="Times New Roman" w:cs="Times New Roman" w:eastAsia="Times New Roman" w:hint="default"/>
          <w:spacing w:val="-2"/>
        </w:rPr>
        <w:t>2017</w:t>
      </w:r>
      <w:r>
        <w:rPr>
          <w:spacing w:val="-2"/>
        </w:rPr>
        <w:t>年数字认证公司的营业收入为人民币</w:t>
      </w:r>
      <w:r>
        <w:rPr>
          <w:rFonts w:ascii="Times New Roman" w:hAnsi="Times New Roman" w:cs="Times New Roman" w:eastAsia="Times New Roman" w:hint="default"/>
          <w:spacing w:val="-2"/>
        </w:rPr>
        <w:t>51,984.84</w:t>
      </w:r>
      <w:r>
        <w:rPr>
          <w:spacing w:val="-2"/>
        </w:rPr>
        <w:t>万元，其中电子认证服务收入共计</w:t>
      </w:r>
      <w:r>
        <w:rPr>
          <w:rFonts w:ascii="Times New Roman" w:hAnsi="Times New Roman" w:cs="Times New Roman" w:eastAsia="Times New Roman" w:hint="default"/>
          <w:spacing w:val="-2"/>
        </w:rPr>
        <w:t>23,156.01</w:t>
      </w:r>
      <w:r>
        <w:rPr>
          <w:spacing w:val="-2"/>
        </w:rPr>
        <w:t>万元，</w:t>
      </w:r>
      <w:r>
        <w:rPr>
          <w:spacing w:val="-3"/>
          <w:w w:val="100"/>
        </w:rPr>
        <w:t> </w:t>
      </w:r>
      <w:r>
        <w:rPr>
          <w:spacing w:val="-2"/>
        </w:rPr>
        <w:t>电子认证服务收入中认证服务收入</w:t>
      </w:r>
      <w:r>
        <w:rPr>
          <w:rFonts w:ascii="Times New Roman" w:hAnsi="Times New Roman" w:cs="Times New Roman" w:eastAsia="Times New Roman" w:hint="default"/>
          <w:spacing w:val="-2"/>
        </w:rPr>
        <w:t>19,477.76</w:t>
      </w:r>
      <w:r>
        <w:rPr>
          <w:spacing w:val="-2"/>
        </w:rPr>
        <w:t>万元按完工百分比法确认收入；安全咨询与安全运维服务共计</w:t>
      </w:r>
      <w:r>
        <w:rPr>
          <w:spacing w:val="-34"/>
        </w:rPr>
        <w:t> </w:t>
      </w:r>
      <w:r>
        <w:rPr>
          <w:spacing w:val="-34"/>
        </w:rPr>
      </w:r>
      <w:r>
        <w:rPr>
          <w:rFonts w:ascii="Times New Roman" w:hAnsi="Times New Roman" w:cs="Times New Roman" w:eastAsia="Times New Roman" w:hint="default"/>
        </w:rPr>
        <w:t>11,108.25</w:t>
      </w:r>
      <w:r>
        <w:rPr/>
        <w:t>万元，全部按完工百分比确认收入。</w:t>
      </w:r>
    </w:p>
    <w:p>
      <w:pPr>
        <w:pStyle w:val="BodyText"/>
        <w:spacing w:line="273" w:lineRule="auto" w:before="125"/>
        <w:ind w:right="206" w:firstLine="437"/>
        <w:jc w:val="both"/>
      </w:pPr>
      <w:r>
        <w:rPr>
          <w:spacing w:val="-3"/>
        </w:rPr>
        <w:t>在使用完工百分比法时，涉及对合同完工进度的估计、预计完成合同所需的总成本及预计合同是否会</w:t>
      </w:r>
      <w:r>
        <w:rPr>
          <w:w w:val="100"/>
        </w:rPr>
        <w:t> </w:t>
      </w:r>
      <w:r>
        <w:rPr>
          <w:spacing w:val="-2"/>
        </w:rPr>
        <w:t>引起亏损，这些往往需要管理层作出大量的判断。管理层的判断，一般以历史经验为基础；如果这些判断</w:t>
      </w:r>
      <w:r>
        <w:rPr>
          <w:spacing w:val="-50"/>
        </w:rPr>
        <w:t> </w:t>
      </w:r>
      <w:r>
        <w:rPr>
          <w:spacing w:val="-50"/>
        </w:rPr>
      </w:r>
      <w:r>
        <w:rPr>
          <w:spacing w:val="-2"/>
        </w:rPr>
        <w:t>的基础或环境发生了变化，可能会对确认的收入及成本金额产生重大影响。由于应用完工百分比法确认收</w:t>
      </w:r>
      <w:r>
        <w:rPr>
          <w:spacing w:val="-43"/>
        </w:rPr>
        <w:t> </w:t>
      </w:r>
      <w:r>
        <w:rPr>
          <w:spacing w:val="-43"/>
        </w:rPr>
      </w:r>
      <w:r>
        <w:rPr>
          <w:spacing w:val="-2"/>
        </w:rPr>
        <w:t>入需要运用大量的估计和专业判断，且对数字认证公司报告期的经营业绩具有重大影响，我们将该事项确</w:t>
      </w:r>
      <w:r>
        <w:rPr>
          <w:spacing w:val="-43"/>
        </w:rPr>
        <w:t> </w:t>
      </w:r>
      <w:r>
        <w:rPr>
          <w:spacing w:val="-43"/>
        </w:rPr>
      </w:r>
      <w:r>
        <w:rPr/>
        <w:t>定为关键审计事项。</w:t>
      </w:r>
    </w:p>
    <w:p>
      <w:pPr>
        <w:pStyle w:val="BodyText"/>
        <w:spacing w:line="357" w:lineRule="auto" w:before="127"/>
        <w:ind w:left="550" w:right="2264"/>
        <w:jc w:val="left"/>
      </w:pPr>
      <w:r>
        <w:rPr>
          <w:rFonts w:ascii="Times New Roman" w:hAnsi="Times New Roman" w:cs="Times New Roman" w:eastAsia="Times New Roman" w:hint="default"/>
        </w:rPr>
        <w:t>2</w:t>
      </w:r>
      <w:r>
        <w:rPr/>
        <w:t>、审计应对</w:t>
      </w:r>
      <w:r>
        <w:rPr>
          <w:w w:val="100"/>
        </w:rPr>
        <w:t> </w:t>
      </w:r>
      <w:r>
        <w:rPr>
          <w:spacing w:val="-2"/>
        </w:rPr>
        <w:t>我们对劳务收入确认中完工百分比法的应用实施的审计程序主要包括：</w:t>
      </w:r>
    </w:p>
    <w:p>
      <w:pPr>
        <w:pStyle w:val="BodyText"/>
        <w:spacing w:line="240" w:lineRule="auto" w:before="54"/>
        <w:ind w:left="550" w:right="0"/>
        <w:jc w:val="left"/>
      </w:pPr>
      <w:r>
        <w:rPr/>
        <w:t>（</w:t>
      </w:r>
      <w:r>
        <w:rPr>
          <w:rFonts w:ascii="Times New Roman" w:hAnsi="Times New Roman" w:cs="Times New Roman" w:eastAsia="Times New Roman" w:hint="default"/>
        </w:rPr>
        <w:t>1</w:t>
      </w:r>
      <w:r>
        <w:rPr/>
        <w:t>）了解并评价了项目管理流程及内部控制制度，并执行了控制测试。</w:t>
      </w:r>
    </w:p>
    <w:p>
      <w:pPr>
        <w:pStyle w:val="BodyText"/>
        <w:spacing w:line="256" w:lineRule="auto" w:before="141"/>
        <w:ind w:right="185" w:firstLine="437"/>
        <w:jc w:val="both"/>
      </w:pPr>
      <w:r>
        <w:rPr/>
        <w:t>（</w:t>
      </w:r>
      <w:r>
        <w:rPr>
          <w:rFonts w:ascii="Times New Roman" w:hAnsi="Times New Roman" w:cs="Times New Roman" w:eastAsia="Times New Roman" w:hint="default"/>
        </w:rPr>
        <w:t>2</w:t>
      </w:r>
      <w:r>
        <w:rPr/>
        <w:t>）对重要项目的预计完成合同所需的总成本的合理性和实际发生的成本的真实性进行测试，抽样</w:t>
      </w:r>
      <w:r>
        <w:rPr>
          <w:spacing w:val="2"/>
          <w:w w:val="100"/>
        </w:rPr>
        <w:t> </w:t>
      </w:r>
      <w:r>
        <w:rPr>
          <w:spacing w:val="-2"/>
        </w:rPr>
        <w:t>检查大额采购合同、发票、出入库单、工时费用分配表等支持性文件并对存货的出入库进行截止性测试。</w:t>
      </w:r>
    </w:p>
    <w:p>
      <w:pPr>
        <w:pStyle w:val="BodyText"/>
        <w:spacing w:line="256" w:lineRule="auto" w:before="142"/>
        <w:ind w:right="209" w:firstLine="437"/>
        <w:jc w:val="both"/>
      </w:pPr>
      <w:r>
        <w:rPr/>
        <w:t>（</w:t>
      </w:r>
      <w:r>
        <w:rPr>
          <w:rFonts w:ascii="Times New Roman" w:hAnsi="Times New Roman" w:cs="Times New Roman" w:eastAsia="Times New Roman" w:hint="default"/>
        </w:rPr>
        <w:t>3</w:t>
      </w:r>
      <w:r>
        <w:rPr/>
        <w:t>）抽样选取重要项目的合同，查看合同金额、约定的完工进度、付款条件、双方主要的权利义务</w:t>
      </w:r>
      <w:r>
        <w:rPr>
          <w:w w:val="100"/>
        </w:rPr>
        <w:t> </w:t>
      </w:r>
      <w:r>
        <w:rPr/>
        <w:t>等关键条款。</w:t>
      </w:r>
    </w:p>
    <w:p>
      <w:pPr>
        <w:pStyle w:val="BodyText"/>
        <w:spacing w:line="256" w:lineRule="auto" w:before="143"/>
        <w:ind w:right="208" w:firstLine="437"/>
        <w:jc w:val="both"/>
      </w:pPr>
      <w:r>
        <w:rPr/>
        <w:t>（</w:t>
      </w:r>
      <w:r>
        <w:rPr>
          <w:rFonts w:ascii="Times New Roman" w:hAnsi="Times New Roman" w:cs="Times New Roman" w:eastAsia="Times New Roman" w:hint="default"/>
        </w:rPr>
        <w:t>4</w:t>
      </w:r>
      <w:r>
        <w:rPr/>
        <w:t>）对本期安全咨询与安全运维服务确认收入的大额项目检查项目进度单和验收报告，并核查平台</w:t>
      </w:r>
      <w:r>
        <w:rPr>
          <w:w w:val="100"/>
        </w:rPr>
        <w:t> </w:t>
      </w:r>
      <w:r>
        <w:rPr/>
        <w:t>项目完工进度和外部进度单。</w:t>
      </w:r>
    </w:p>
    <w:p>
      <w:pPr>
        <w:pStyle w:val="BodyText"/>
        <w:spacing w:line="256" w:lineRule="auto" w:before="142"/>
        <w:ind w:right="206" w:firstLine="437"/>
        <w:jc w:val="both"/>
      </w:pPr>
      <w:r>
        <w:rPr/>
        <w:t>（</w:t>
      </w:r>
      <w:r>
        <w:rPr>
          <w:rFonts w:ascii="Times New Roman" w:hAnsi="Times New Roman" w:cs="Times New Roman" w:eastAsia="Times New Roman" w:hint="default"/>
        </w:rPr>
        <w:t>5</w:t>
      </w:r>
      <w:r>
        <w:rPr/>
        <w:t>）对报告期内确认电子认证服务收入的大额客户及确认安全咨询与安全运维服务收入的大额项目</w:t>
      </w:r>
      <w:r>
        <w:rPr>
          <w:w w:val="100"/>
        </w:rPr>
        <w:t> </w:t>
      </w:r>
      <w:r>
        <w:rPr/>
        <w:t>执行函证程序。</w:t>
      </w:r>
    </w:p>
    <w:p>
      <w:pPr>
        <w:pStyle w:val="BodyText"/>
        <w:spacing w:line="264" w:lineRule="auto" w:before="142"/>
        <w:ind w:right="208" w:firstLine="437"/>
        <w:jc w:val="both"/>
      </w:pPr>
      <w:r>
        <w:rPr/>
        <w:t>（</w:t>
      </w:r>
      <w:r>
        <w:rPr>
          <w:rFonts w:ascii="Times New Roman" w:hAnsi="Times New Roman" w:cs="Times New Roman" w:eastAsia="Times New Roman" w:hint="default"/>
        </w:rPr>
        <w:t>6</w:t>
      </w:r>
      <w:r>
        <w:rPr/>
        <w:t>）对本期确认的电子认证服务收入，核查直属渠道的运行服务平台数据以及渠道供应商的结算单</w:t>
      </w:r>
      <w:r>
        <w:rPr>
          <w:w w:val="100"/>
        </w:rPr>
        <w:t> </w:t>
      </w:r>
      <w:r>
        <w:rPr>
          <w:spacing w:val="-2"/>
        </w:rPr>
        <w:t>与财务数据是否一致，对最终用户进行电话回访，并根据实际发生的成本、完成合同预算及回函情况，通</w:t>
      </w:r>
      <w:r>
        <w:rPr>
          <w:spacing w:val="-47"/>
        </w:rPr>
        <w:t> </w:t>
      </w:r>
      <w:r>
        <w:rPr>
          <w:spacing w:val="-47"/>
        </w:rPr>
      </w:r>
      <w:r>
        <w:rPr/>
        <w:t>过重新计算完工百分比法确认的收入金额来验证企业分期收入的准确性。</w:t>
      </w:r>
    </w:p>
    <w:p>
      <w:pPr>
        <w:pStyle w:val="BodyText"/>
        <w:spacing w:line="273" w:lineRule="auto" w:before="136"/>
        <w:ind w:right="223" w:firstLine="437"/>
        <w:jc w:val="both"/>
      </w:pPr>
      <w:r>
        <w:rPr>
          <w:spacing w:val="2"/>
        </w:rPr>
        <w:t>我们所实施的审计程序及获得的审计证据能够说明数字认证公司管理层对报告期内劳务收入确认完</w:t>
      </w:r>
      <w:r>
        <w:rPr>
          <w:w w:val="100"/>
        </w:rPr>
        <w:t> </w:t>
      </w:r>
      <w:r>
        <w:rPr/>
        <w:t>工百分比法的应用中所作出的相关估计和判断是合理的。</w:t>
      </w:r>
    </w:p>
    <w:p>
      <w:pPr>
        <w:pStyle w:val="BodyText"/>
        <w:spacing w:line="240" w:lineRule="auto" w:before="128"/>
        <w:ind w:left="550" w:right="0"/>
        <w:jc w:val="left"/>
      </w:pPr>
      <w:r>
        <w:rPr/>
        <w:t>（二）丧失控制权产生的投资收益的确认</w:t>
      </w:r>
    </w:p>
    <w:p>
      <w:pPr>
        <w:pStyle w:val="BodyText"/>
        <w:spacing w:line="430" w:lineRule="atLeast" w:before="18"/>
        <w:ind w:left="550" w:right="0"/>
        <w:jc w:val="left"/>
      </w:pPr>
      <w:r>
        <w:rPr>
          <w:rFonts w:ascii="Times New Roman" w:hAnsi="Times New Roman" w:cs="Times New Roman" w:eastAsia="Times New Roman" w:hint="default"/>
        </w:rPr>
        <w:t>1</w:t>
      </w:r>
      <w:r>
        <w:rPr/>
        <w:t>、事项描述</w:t>
      </w:r>
      <w:r>
        <w:rPr>
          <w:w w:val="100"/>
        </w:rPr>
        <w:t> </w:t>
      </w:r>
      <w:r>
        <w:rPr>
          <w:spacing w:val="-3"/>
        </w:rPr>
        <w:t>数字认证公司丧失控制权采用的会计政策和会计估计的披露参见附注三、</w:t>
      </w:r>
      <w:r>
        <w:rPr>
          <w:rFonts w:ascii="Times New Roman" w:hAnsi="Times New Roman" w:cs="Times New Roman" w:eastAsia="Times New Roman" w:hint="default"/>
          <w:spacing w:val="-3"/>
        </w:rPr>
        <w:t>14</w:t>
      </w:r>
      <w:r>
        <w:rPr>
          <w:spacing w:val="-3"/>
        </w:rPr>
        <w:t>，关于丧失控制权事项及</w:t>
      </w:r>
    </w:p>
    <w:p>
      <w:pPr>
        <w:pStyle w:val="BodyText"/>
        <w:spacing w:line="357" w:lineRule="auto" w:before="21"/>
        <w:ind w:left="550" w:right="0" w:hanging="438"/>
        <w:jc w:val="left"/>
      </w:pPr>
      <w:r>
        <w:rPr/>
        <w:t>产生的投资收益的披露参见附注六、</w:t>
      </w:r>
      <w:r>
        <w:rPr>
          <w:rFonts w:ascii="Times New Roman" w:hAnsi="Times New Roman" w:cs="Times New Roman" w:eastAsia="Times New Roman" w:hint="default"/>
        </w:rPr>
        <w:t>5</w:t>
      </w:r>
      <w:r>
        <w:rPr/>
        <w:t>和附注五、</w:t>
      </w:r>
      <w:r>
        <w:rPr>
          <w:rFonts w:ascii="Times New Roman" w:hAnsi="Times New Roman" w:cs="Times New Roman" w:eastAsia="Times New Roman" w:hint="default"/>
        </w:rPr>
        <w:t>31</w:t>
      </w:r>
      <w:r>
        <w:rPr>
          <w:rFonts w:ascii="Times New Roman" w:hAnsi="Times New Roman" w:cs="Times New Roman" w:eastAsia="Times New Roman" w:hint="default"/>
          <w:spacing w:val="-3"/>
          <w:w w:val="100"/>
        </w:rPr>
        <w:t> </w:t>
      </w:r>
      <w:r>
        <w:rPr>
          <w:spacing w:val="-3"/>
        </w:rPr>
        <w:t>数字认证公司之子公司北京版信通技术有限公司（下简称版信通公司）增资，增资完成后注册资本由</w:t>
      </w:r>
    </w:p>
    <w:p>
      <w:pPr>
        <w:pStyle w:val="BodyText"/>
        <w:spacing w:line="225" w:lineRule="exact"/>
        <w:ind w:right="0"/>
        <w:jc w:val="both"/>
      </w:pPr>
      <w:r>
        <w:rPr/>
        <w:t>人民币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万元增加至</w:t>
      </w:r>
      <w:r>
        <w:rPr>
          <w:rFonts w:ascii="Times New Roman" w:hAnsi="Times New Roman" w:cs="Times New Roman" w:eastAsia="Times New Roman" w:hint="default"/>
        </w:rPr>
        <w:t>543.48</w:t>
      </w:r>
      <w:r>
        <w:rPr/>
        <w:t>万元，数字认证公司于增资完成后对版信通持股比例由</w:t>
      </w:r>
      <w:r>
        <w:rPr>
          <w:rFonts w:ascii="Times New Roman" w:hAnsi="Times New Roman" w:cs="Times New Roman" w:eastAsia="Times New Roman" w:hint="default"/>
        </w:rPr>
        <w:t>51%</w:t>
      </w:r>
      <w:r>
        <w:rPr/>
        <w:t>变更为</w:t>
      </w:r>
      <w:r>
        <w:rPr>
          <w:rFonts w:ascii="Times New Roman" w:hAnsi="Times New Roman" w:cs="Times New Roman" w:eastAsia="Times New Roman" w:hint="default"/>
        </w:rPr>
        <w:t>46.92%</w:t>
      </w:r>
      <w:r>
        <w:rPr/>
        <w:t>，</w:t>
      </w:r>
    </w:p>
    <w:p>
      <w:pPr>
        <w:pStyle w:val="BodyText"/>
        <w:spacing w:line="264" w:lineRule="auto" w:before="21"/>
        <w:ind w:right="206"/>
        <w:jc w:val="both"/>
      </w:pPr>
      <w:r>
        <w:rPr/>
        <w:t>对其不再具有控制权，变为重大影响，自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月不再作为数字认证的子公司纳入财务报表合并范围，</w:t>
      </w:r>
      <w:r>
        <w:rPr>
          <w:spacing w:val="-27"/>
        </w:rPr>
        <w:t> </w:t>
      </w:r>
      <w:r>
        <w:rPr>
          <w:spacing w:val="-27"/>
        </w:rPr>
      </w:r>
      <w:r>
        <w:rPr>
          <w:spacing w:val="-2"/>
        </w:rPr>
        <w:t>重新确认转为对联营企业的投资，对其长期股权投资核算由成本法改为权益法，按照其在丧失控制权日的</w:t>
      </w:r>
      <w:r>
        <w:rPr>
          <w:spacing w:val="-44"/>
        </w:rPr>
        <w:t> </w:t>
      </w:r>
      <w:r>
        <w:rPr>
          <w:spacing w:val="-44"/>
        </w:rPr>
      </w:r>
      <w:r>
        <w:rPr/>
        <w:t>公允价值进行重新计量。此项交易产生的投资收益为</w:t>
      </w:r>
      <w:r>
        <w:rPr>
          <w:rFonts w:ascii="Times New Roman" w:hAnsi="Times New Roman" w:cs="Times New Roman" w:eastAsia="Times New Roman" w:hint="default"/>
        </w:rPr>
        <w:t>1,344.25</w:t>
      </w:r>
      <w:r>
        <w:rPr/>
        <w:t>万元。</w:t>
      </w:r>
    </w:p>
    <w:p>
      <w:pPr>
        <w:pStyle w:val="BodyText"/>
        <w:spacing w:line="256" w:lineRule="auto" w:before="118"/>
        <w:ind w:right="209" w:firstLine="437"/>
        <w:jc w:val="both"/>
      </w:pPr>
      <w:r>
        <w:rPr/>
        <w:t>由于该项交易影响了数字认证公司的合并范围，并形成了</w:t>
      </w:r>
      <w:r>
        <w:rPr>
          <w:rFonts w:ascii="Times New Roman" w:hAnsi="Times New Roman" w:cs="Times New Roman" w:eastAsia="Times New Roman" w:hint="default"/>
        </w:rPr>
        <w:t>1,344.25</w:t>
      </w:r>
      <w:r>
        <w:rPr/>
        <w:t>万元的投资收益，且该项交易在确</w:t>
      </w:r>
      <w:r>
        <w:rPr>
          <w:w w:val="100"/>
        </w:rPr>
        <w:t> </w:t>
      </w:r>
      <w:r>
        <w:rPr/>
        <w:t>定丧失控制权日的剩余股权的公允价值需要管理层作出重大判断，我们将该事项确定为关键审计事项。</w:t>
      </w:r>
    </w:p>
    <w:p>
      <w:pPr>
        <w:spacing w:after="0" w:line="256" w:lineRule="auto"/>
        <w:jc w:val="both"/>
        <w:sectPr>
          <w:pgSz w:w="11910" w:h="16840"/>
          <w:pgMar w:header="867" w:footer="979" w:top="1060" w:bottom="1160" w:left="1020" w:right="920"/>
        </w:sectPr>
      </w:pPr>
    </w:p>
    <w:p>
      <w:pPr>
        <w:spacing w:line="240" w:lineRule="auto" w:before="13"/>
        <w:rPr>
          <w:rFonts w:ascii="宋体" w:hAnsi="宋体" w:cs="宋体" w:eastAsia="宋体" w:hint="default"/>
          <w:sz w:val="24"/>
          <w:szCs w:val="24"/>
        </w:rPr>
      </w:pPr>
    </w:p>
    <w:p>
      <w:pPr>
        <w:pStyle w:val="BodyText"/>
        <w:spacing w:line="357" w:lineRule="auto" w:before="36"/>
        <w:ind w:left="550" w:right="2264"/>
        <w:jc w:val="left"/>
      </w:pPr>
      <w:r>
        <w:rPr>
          <w:rFonts w:ascii="Times New Roman" w:hAnsi="Times New Roman" w:cs="Times New Roman" w:eastAsia="Times New Roman" w:hint="default"/>
        </w:rPr>
        <w:t>2</w:t>
      </w:r>
      <w:r>
        <w:rPr/>
        <w:t>、审计应对</w:t>
      </w:r>
      <w:r>
        <w:rPr>
          <w:w w:val="100"/>
        </w:rPr>
        <w:t> </w:t>
      </w:r>
      <w:r>
        <w:rPr>
          <w:spacing w:val="-2"/>
        </w:rPr>
        <w:t>我们对丧失控制权产生的投资收益的确认实施的审计程序主要包括：</w:t>
      </w:r>
    </w:p>
    <w:p>
      <w:pPr>
        <w:pStyle w:val="BodyText"/>
        <w:spacing w:line="240" w:lineRule="auto" w:before="54"/>
        <w:ind w:left="550" w:right="0"/>
        <w:jc w:val="left"/>
      </w:pPr>
      <w:r>
        <w:rPr/>
        <w:t>（</w:t>
      </w:r>
      <w:r>
        <w:rPr>
          <w:rFonts w:ascii="Times New Roman" w:hAnsi="Times New Roman" w:cs="Times New Roman" w:eastAsia="Times New Roman" w:hint="default"/>
        </w:rPr>
        <w:t>1</w:t>
      </w:r>
      <w:r>
        <w:rPr/>
        <w:t>）了解并评价了数字认证公司非日常经营交易事项决策制度，并执行了控制测试。</w:t>
      </w:r>
    </w:p>
    <w:p>
      <w:pPr>
        <w:pStyle w:val="BodyText"/>
        <w:spacing w:line="264" w:lineRule="auto" w:before="141"/>
        <w:ind w:right="206" w:firstLine="437"/>
        <w:jc w:val="both"/>
      </w:pPr>
      <w:r>
        <w:rPr/>
        <w:t>（</w:t>
      </w:r>
      <w:r>
        <w:rPr>
          <w:rFonts w:ascii="Times New Roman" w:hAnsi="Times New Roman" w:cs="Times New Roman" w:eastAsia="Times New Roman" w:hint="default"/>
        </w:rPr>
        <w:t>2</w:t>
      </w:r>
      <w:r>
        <w:rPr/>
        <w:t>）通过检查了版信通公司的增资的股东会决议、增资的验资报告、更新后的版信通公司章程及变</w:t>
      </w:r>
      <w:r>
        <w:rPr>
          <w:w w:val="100"/>
        </w:rPr>
        <w:t> </w:t>
      </w:r>
      <w:r>
        <w:rPr>
          <w:spacing w:val="-2"/>
        </w:rPr>
        <w:t>更工商登记后的营业执照，评估在此次处置交易完成后数字认证公司已丧失对版信通的控制权的判断是否</w:t>
      </w:r>
      <w:r>
        <w:rPr>
          <w:spacing w:val="-43"/>
        </w:rPr>
        <w:t> </w:t>
      </w:r>
      <w:r>
        <w:rPr>
          <w:spacing w:val="-43"/>
        </w:rPr>
      </w:r>
      <w:r>
        <w:rPr/>
        <w:t>符合企业会计准则的相关规定。</w:t>
      </w:r>
    </w:p>
    <w:p>
      <w:pPr>
        <w:pStyle w:val="BodyText"/>
        <w:spacing w:line="256" w:lineRule="auto" w:before="136"/>
        <w:ind w:right="167" w:firstLine="437"/>
        <w:jc w:val="both"/>
      </w:pPr>
      <w:r>
        <w:rPr/>
        <w:t>（</w:t>
      </w:r>
      <w:r>
        <w:rPr>
          <w:rFonts w:ascii="Times New Roman" w:hAnsi="Times New Roman" w:cs="Times New Roman" w:eastAsia="Times New Roman" w:hint="default"/>
        </w:rPr>
        <w:t>3</w:t>
      </w:r>
      <w:r>
        <w:rPr/>
        <w:t>）获取并复核了版信通公司的评估报告上的评估价格、北京产权交易所对版信通公司此次增资的</w:t>
      </w:r>
      <w:r>
        <w:rPr>
          <w:w w:val="100"/>
        </w:rPr>
        <w:t> </w:t>
      </w:r>
      <w:r>
        <w:rPr>
          <w:spacing w:val="-2"/>
        </w:rPr>
        <w:t>挂牌价及成交价以及验资报告上的实际增资额，确认数字认证公司在处置日剩余股权</w:t>
      </w:r>
      <w:r>
        <w:rPr>
          <w:rFonts w:ascii="Times New Roman" w:hAnsi="Times New Roman" w:cs="Times New Roman" w:eastAsia="Times New Roman" w:hint="default"/>
          <w:spacing w:val="-2"/>
        </w:rPr>
        <w:t>46.92%</w:t>
      </w:r>
      <w:r>
        <w:rPr>
          <w:spacing w:val="-2"/>
        </w:rPr>
        <w:t>的公允价值。</w:t>
      </w:r>
    </w:p>
    <w:p>
      <w:pPr>
        <w:pStyle w:val="BodyText"/>
        <w:spacing w:line="259" w:lineRule="auto" w:before="125"/>
        <w:ind w:right="207" w:firstLine="437"/>
        <w:jc w:val="both"/>
      </w:pPr>
      <w:r>
        <w:rPr/>
        <w:t>（</w:t>
      </w:r>
      <w:r>
        <w:rPr>
          <w:rFonts w:ascii="Times New Roman" w:hAnsi="Times New Roman" w:cs="Times New Roman" w:eastAsia="Times New Roman" w:hint="default"/>
        </w:rPr>
        <w:t>4</w:t>
      </w:r>
      <w:r>
        <w:rPr/>
        <w:t>）获取数字认证公司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日的财务报表，对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日增资前后长期股权投资价值进</w:t>
      </w:r>
      <w:r>
        <w:rPr>
          <w:w w:val="100"/>
        </w:rPr>
        <w:t> </w:t>
      </w:r>
      <w:r>
        <w:rPr/>
        <w:t>行重新计算，确认丧失控制权后剩余股权按公允价值重新计量产生的投资收益的准确性。</w:t>
      </w:r>
    </w:p>
    <w:p>
      <w:pPr>
        <w:pStyle w:val="BodyText"/>
        <w:spacing w:line="432" w:lineRule="exact" w:before="40"/>
        <w:ind w:left="535" w:right="0" w:hanging="3"/>
        <w:jc w:val="left"/>
      </w:pPr>
      <w:r>
        <w:rPr/>
        <w:t>我们执行的审计程序和获取的审计证据能够支持因管理层确认的投资收益时所作出的专业判断。</w:t>
      </w:r>
      <w:r>
        <w:rPr>
          <w:w w:val="100"/>
        </w:rPr>
        <w:t> </w:t>
      </w:r>
      <w:r>
        <w:rPr>
          <w:rFonts w:ascii="宋体" w:hAnsi="宋体" w:cs="宋体" w:eastAsia="宋体" w:hint="default"/>
          <w:b/>
          <w:bCs/>
        </w:rPr>
        <w:t>四、其他信息</w:t>
      </w:r>
      <w:r>
        <w:rPr>
          <w:rFonts w:ascii="宋体" w:hAnsi="宋体" w:cs="宋体" w:eastAsia="宋体" w:hint="default"/>
          <w:b/>
          <w:bCs/>
          <w:w w:val="100"/>
        </w:rPr>
        <w:t> </w:t>
      </w:r>
      <w:r>
        <w:rPr>
          <w:spacing w:val="-3"/>
        </w:rPr>
        <w:t>数字认证公司管理层（以下简称管理层）对其他信息负责。其他信息包括数字认证公司</w:t>
      </w:r>
      <w:r>
        <w:rPr>
          <w:rFonts w:ascii="Times New Roman" w:hAnsi="Times New Roman" w:cs="Times New Roman" w:eastAsia="Times New Roman" w:hint="default"/>
          <w:spacing w:val="-3"/>
        </w:rPr>
        <w:t>2017</w:t>
      </w:r>
      <w:r>
        <w:rPr>
          <w:spacing w:val="-3"/>
        </w:rPr>
        <w:t>年年度报</w:t>
      </w:r>
    </w:p>
    <w:p>
      <w:pPr>
        <w:pStyle w:val="BodyText"/>
        <w:spacing w:line="255" w:lineRule="exact"/>
        <w:ind w:right="0"/>
        <w:jc w:val="left"/>
      </w:pPr>
      <w:r>
        <w:rPr/>
        <w:t>告中涵盖的信息，但不包括财务报表和我们的审计报告。</w:t>
      </w:r>
    </w:p>
    <w:p>
      <w:pPr>
        <w:pStyle w:val="BodyText"/>
        <w:spacing w:line="430" w:lineRule="atLeast" w:before="2"/>
        <w:ind w:left="550" w:right="0"/>
        <w:jc w:val="left"/>
      </w:pPr>
      <w:r>
        <w:rPr/>
        <w:t>我们对财务报表发表的审计意见不涵盖其他信息，我们也不对其他信息发表任何形式的鉴证结论。</w:t>
      </w:r>
      <w:r>
        <w:rPr>
          <w:w w:val="100"/>
        </w:rPr>
        <w:t> </w:t>
      </w:r>
      <w:r>
        <w:rPr>
          <w:spacing w:val="-3"/>
        </w:rPr>
        <w:t>结合我们对财务报表的审计，我们的责任是阅读其他信息，在此过程中，考虑其他信息是否与财务报</w:t>
      </w:r>
    </w:p>
    <w:p>
      <w:pPr>
        <w:pStyle w:val="BodyText"/>
        <w:spacing w:line="240" w:lineRule="auto" w:before="37"/>
        <w:ind w:right="0"/>
        <w:jc w:val="left"/>
      </w:pPr>
      <w:r>
        <w:rPr/>
        <w:t>表或我们在审计过程中了解到的情况存在重大不一致或者似乎存在重大错报。</w:t>
      </w:r>
    </w:p>
    <w:p>
      <w:pPr>
        <w:pStyle w:val="BodyText"/>
        <w:spacing w:line="273" w:lineRule="auto" w:before="157"/>
        <w:ind w:right="206" w:firstLine="437"/>
        <w:jc w:val="both"/>
      </w:pPr>
      <w:r>
        <w:rPr>
          <w:spacing w:val="-3"/>
        </w:rPr>
        <w:t>基于我们已执行的工作，如果我们确定其他信息存在重大错报，我们应当报告该事实。在这方面，我</w:t>
      </w:r>
      <w:r>
        <w:rPr>
          <w:w w:val="100"/>
        </w:rPr>
        <w:t> </w:t>
      </w:r>
      <w:r>
        <w:rPr/>
        <w:t>们无任何事项需要报告。</w:t>
      </w:r>
    </w:p>
    <w:p>
      <w:pPr>
        <w:spacing w:line="432" w:lineRule="exact" w:before="27"/>
        <w:ind w:left="550" w:right="0" w:hanging="15"/>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3"/>
          <w:sz w:val="21"/>
          <w:szCs w:val="21"/>
        </w:rPr>
        <w:t>数字认证公司管理层负责按照企业会计准则的规定编制财务报表，使其实现公允反映，并设计、执行</w:t>
      </w:r>
    </w:p>
    <w:p>
      <w:pPr>
        <w:pStyle w:val="BodyText"/>
        <w:spacing w:line="255" w:lineRule="exact"/>
        <w:ind w:right="0"/>
        <w:jc w:val="left"/>
      </w:pPr>
      <w:r>
        <w:rPr/>
        <w:t>和维护必要的内部控制，以使财务报表不存在由于舞弊或错误导致的重大错报。</w:t>
      </w:r>
    </w:p>
    <w:p>
      <w:pPr>
        <w:pStyle w:val="BodyText"/>
        <w:spacing w:line="273" w:lineRule="auto" w:before="157"/>
        <w:ind w:right="209" w:firstLine="437"/>
        <w:jc w:val="both"/>
      </w:pPr>
      <w:r>
        <w:rPr>
          <w:spacing w:val="-3"/>
        </w:rPr>
        <w:t>在编制财务报表时，管理层负责评估数字认证公司的持续经营能力，披露与持续经营相关的事项（如</w:t>
      </w:r>
      <w:r>
        <w:rPr>
          <w:w w:val="100"/>
        </w:rPr>
        <w:t> </w:t>
      </w:r>
      <w:r>
        <w:rPr/>
        <w:t>适用），并运用持续经营假设，除非管理层计划清算数字认证公司、终止运营或别无其他现实的选择。</w:t>
      </w:r>
    </w:p>
    <w:p>
      <w:pPr>
        <w:spacing w:line="376" w:lineRule="auto" w:before="127"/>
        <w:ind w:left="535" w:right="2264" w:firstLine="14"/>
        <w:jc w:val="left"/>
        <w:rPr>
          <w:rFonts w:ascii="宋体" w:hAnsi="宋体" w:cs="宋体" w:eastAsia="宋体" w:hint="default"/>
          <w:sz w:val="21"/>
          <w:szCs w:val="21"/>
        </w:rPr>
      </w:pPr>
      <w:r>
        <w:rPr>
          <w:rFonts w:ascii="宋体" w:hAnsi="宋体" w:cs="宋体" w:eastAsia="宋体" w:hint="default"/>
          <w:spacing w:val="-2"/>
          <w:sz w:val="21"/>
          <w:szCs w:val="21"/>
        </w:rPr>
        <w:t>治理层负责监督数字认证公司的财务报告过程。</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pStyle w:val="BodyText"/>
        <w:spacing w:line="273" w:lineRule="auto" w:before="37"/>
        <w:ind w:right="206" w:firstLine="437"/>
        <w:jc w:val="both"/>
      </w:pPr>
      <w:r>
        <w:rPr>
          <w:spacing w:val="-3"/>
        </w:rPr>
        <w:t>我们的目标是对财务报表整体是否不存在由于舞弊或错误导致的重大错报获取合理保证，并出具包含</w:t>
      </w:r>
      <w:r>
        <w:rPr>
          <w:w w:val="100"/>
        </w:rPr>
        <w:t> </w:t>
      </w:r>
      <w:r>
        <w:rPr>
          <w:spacing w:val="-2"/>
        </w:rPr>
        <w:t>审计意见的审计报告。合理保证是高水平的保证，但并不能保证按照审计准则执行的审计在某一重大错报</w:t>
      </w:r>
      <w:r>
        <w:rPr>
          <w:spacing w:val="-42"/>
        </w:rPr>
        <w:t> </w:t>
      </w:r>
      <w:r>
        <w:rPr>
          <w:spacing w:val="-42"/>
        </w:rPr>
      </w:r>
      <w:r>
        <w:rPr>
          <w:spacing w:val="-2"/>
        </w:rPr>
        <w:t>存在时总能发现。错报可能由于舞弊或错误导致，如果合理预期错报单独或汇总起来可能影响财务报表使</w:t>
      </w:r>
      <w:r>
        <w:rPr>
          <w:spacing w:val="-43"/>
        </w:rPr>
        <w:t> </w:t>
      </w:r>
      <w:r>
        <w:rPr>
          <w:spacing w:val="-43"/>
        </w:rPr>
      </w:r>
      <w:r>
        <w:rPr/>
        <w:t>用者依据财务报表作出的经济决策，则通常认为错报是重大的。</w:t>
      </w:r>
    </w:p>
    <w:p>
      <w:pPr>
        <w:pStyle w:val="BodyText"/>
        <w:spacing w:line="273" w:lineRule="auto" w:before="127"/>
        <w:ind w:right="206" w:firstLine="437"/>
        <w:jc w:val="both"/>
      </w:pPr>
      <w:r>
        <w:rPr>
          <w:spacing w:val="-3"/>
        </w:rPr>
        <w:t>在按照审计准则执行审计工作的过程中，我们运用职业判断，并保持职业怀疑。同时，我们也执行以</w:t>
      </w:r>
      <w:r>
        <w:rPr>
          <w:w w:val="100"/>
        </w:rPr>
        <w:t> </w:t>
      </w:r>
      <w:r>
        <w:rPr/>
        <w:t>下工作：</w:t>
      </w:r>
    </w:p>
    <w:p>
      <w:pPr>
        <w:pStyle w:val="BodyText"/>
        <w:spacing w:line="268" w:lineRule="auto" w:before="127"/>
        <w:ind w:right="0" w:firstLine="437"/>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w:t>
      </w:r>
      <w:r>
        <w:rPr>
          <w:w w:val="100"/>
        </w:rPr>
        <w:t> </w:t>
      </w:r>
      <w:r>
        <w:rPr>
          <w:spacing w:val="-5"/>
        </w:rPr>
        <w:t>险，并获取充分、适当的审计证据，作为发表审计意见的基础。由于舞弊可能涉及串通、伪造、故意遗漏、</w:t>
      </w:r>
      <w:r>
        <w:rPr>
          <w:spacing w:val="-6"/>
        </w:rPr>
        <w:t> </w:t>
      </w:r>
      <w:r>
        <w:rPr>
          <w:spacing w:val="-6"/>
        </w:rPr>
      </w:r>
      <w:r>
        <w:rPr>
          <w:spacing w:val="-2"/>
        </w:rPr>
        <w:t>虚假陈述或凌驾于内部控制之上，未能发现由于舞弊导致的重大错报的风险高于未能发现由于错误导致的</w:t>
      </w:r>
      <w:r>
        <w:rPr>
          <w:spacing w:val="-42"/>
        </w:rPr>
        <w:t> </w:t>
      </w:r>
      <w:r>
        <w:rPr>
          <w:spacing w:val="-42"/>
        </w:rPr>
      </w:r>
      <w:r>
        <w:rPr/>
        <w:t>重大错报的风险。</w:t>
      </w:r>
    </w:p>
    <w:p>
      <w:pPr>
        <w:pStyle w:val="BodyText"/>
        <w:spacing w:line="240" w:lineRule="auto" w:before="132"/>
        <w:ind w:left="550"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w:t>
      </w:r>
    </w:p>
    <w:p>
      <w:pPr>
        <w:spacing w:after="0" w:line="240" w:lineRule="auto"/>
        <w:jc w:val="left"/>
        <w:sectPr>
          <w:pgSz w:w="11910" w:h="16840"/>
          <w:pgMar w:header="867" w:footer="979" w:top="1060" w:bottom="1160" w:left="1020" w:right="920"/>
        </w:sectPr>
      </w:pPr>
    </w:p>
    <w:p>
      <w:pPr>
        <w:spacing w:line="240" w:lineRule="auto" w:before="13"/>
        <w:rPr>
          <w:rFonts w:ascii="宋体" w:hAnsi="宋体" w:cs="宋体" w:eastAsia="宋体" w:hint="default"/>
          <w:sz w:val="24"/>
          <w:szCs w:val="24"/>
        </w:rPr>
      </w:pPr>
    </w:p>
    <w:p>
      <w:pPr>
        <w:pStyle w:val="BodyText"/>
        <w:spacing w:line="240" w:lineRule="auto" w:before="36"/>
        <w:ind w:left="292" w:right="0"/>
        <w:jc w:val="left"/>
      </w:pPr>
      <w:r>
        <w:rPr/>
        <w:t>见。</w:t>
      </w:r>
    </w:p>
    <w:p>
      <w:pPr>
        <w:pStyle w:val="BodyText"/>
        <w:spacing w:line="240" w:lineRule="auto" w:before="157"/>
        <w:ind w:left="730"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240" w:lineRule="auto" w:before="141"/>
        <w:ind w:left="730" w:right="0"/>
        <w:jc w:val="left"/>
      </w:pPr>
      <w:r>
        <w:rPr/>
        <w:t>（</w:t>
      </w:r>
      <w:r>
        <w:rPr>
          <w:rFonts w:ascii="Times New Roman" w:hAnsi="Times New Roman" w:cs="Times New Roman" w:eastAsia="Times New Roman" w:hint="default"/>
        </w:rPr>
        <w:t>4</w:t>
      </w:r>
      <w:r>
        <w:rPr/>
        <w:t>）对管理层使用持续经营假设的恰当性得出结论。同时，根据获取的审计证据，就可能导致对数</w:t>
      </w:r>
    </w:p>
    <w:p>
      <w:pPr>
        <w:pStyle w:val="BodyText"/>
        <w:spacing w:line="273" w:lineRule="auto" w:before="21"/>
        <w:ind w:left="292" w:right="105"/>
        <w:jc w:val="both"/>
      </w:pPr>
      <w:r>
        <w:rPr>
          <w:spacing w:val="-2"/>
        </w:rPr>
        <w:t>字认证公司的持续经营能力产生重大疑虑的事项或情况是否存在重大不确定性得出结论。如果我们得出结</w:t>
      </w:r>
      <w:r>
        <w:rPr>
          <w:spacing w:val="-43"/>
        </w:rPr>
        <w:t> </w:t>
      </w:r>
      <w:r>
        <w:rPr>
          <w:spacing w:val="-43"/>
        </w:rPr>
      </w:r>
      <w:r>
        <w:rPr>
          <w:spacing w:val="-2"/>
        </w:rPr>
        <w:t>论认为存在重大不确定性，审计准则要求我们在审计报告中提请报表使用者注意财务报表中的相关披露；</w:t>
      </w:r>
      <w:r>
        <w:rPr>
          <w:spacing w:val="-21"/>
        </w:rPr>
        <w:t> </w:t>
      </w:r>
      <w:r>
        <w:rPr>
          <w:spacing w:val="-21"/>
        </w:rPr>
      </w:r>
      <w:r>
        <w:rPr>
          <w:spacing w:val="-2"/>
        </w:rPr>
        <w:t>如果披露不充分，我们应当发表非无保留意见。我们的结论基于截至审计报告日可获得的信息。然而，未</w:t>
      </w:r>
      <w:r>
        <w:rPr>
          <w:spacing w:val="-47"/>
        </w:rPr>
        <w:t> </w:t>
      </w:r>
      <w:r>
        <w:rPr>
          <w:spacing w:val="-47"/>
        </w:rPr>
      </w:r>
      <w:r>
        <w:rPr/>
        <w:t>来的事项或情况可能导致数字认证公司不能持续经营。</w:t>
      </w:r>
    </w:p>
    <w:p>
      <w:pPr>
        <w:pStyle w:val="BodyText"/>
        <w:spacing w:line="256" w:lineRule="auto" w:before="127"/>
        <w:ind w:left="292" w:right="129" w:firstLine="437"/>
        <w:jc w:val="both"/>
      </w:pPr>
      <w:r>
        <w:rPr/>
        <w:t>（</w:t>
      </w:r>
      <w:r>
        <w:rPr>
          <w:rFonts w:ascii="Times New Roman" w:hAnsi="Times New Roman" w:cs="Times New Roman" w:eastAsia="Times New Roman" w:hint="default"/>
        </w:rPr>
        <w:t>5</w:t>
      </w:r>
      <w:r>
        <w:rPr/>
        <w:t>）评价财务报表的总体列报、结构和内容（包括披露），并评价财务报表是否公允反映相关交易</w:t>
      </w:r>
      <w:r>
        <w:rPr>
          <w:w w:val="100"/>
        </w:rPr>
        <w:t> </w:t>
      </w:r>
      <w:r>
        <w:rPr/>
        <w:t>和事项。</w:t>
      </w:r>
    </w:p>
    <w:p>
      <w:pPr>
        <w:pStyle w:val="BodyText"/>
        <w:spacing w:line="256" w:lineRule="auto" w:before="143"/>
        <w:ind w:left="292" w:right="129" w:firstLine="437"/>
        <w:jc w:val="both"/>
      </w:pPr>
      <w:r>
        <w:rPr/>
        <w:t>（</w:t>
      </w:r>
      <w:r>
        <w:rPr>
          <w:rFonts w:ascii="Times New Roman" w:hAnsi="Times New Roman" w:cs="Times New Roman" w:eastAsia="Times New Roman" w:hint="default"/>
        </w:rPr>
        <w:t>6</w:t>
      </w:r>
      <w:r>
        <w:rPr/>
        <w:t>）就数字认证公司中实体或业务活动的财务信息获取充分、适当的审计证据，以对财务报表发表</w:t>
      </w:r>
      <w:r>
        <w:rPr>
          <w:w w:val="100"/>
        </w:rPr>
        <w:t> </w:t>
      </w:r>
      <w:r>
        <w:rPr/>
        <w:t>意见。我们负责指导、监督和执行集团审计，并对审计意见承担全部责任。</w:t>
      </w:r>
    </w:p>
    <w:p>
      <w:pPr>
        <w:pStyle w:val="BodyText"/>
        <w:spacing w:line="273" w:lineRule="auto" w:before="142"/>
        <w:ind w:left="292" w:right="126" w:firstLine="437"/>
        <w:jc w:val="both"/>
      </w:pPr>
      <w:r>
        <w:rPr>
          <w:spacing w:val="-3"/>
        </w:rPr>
        <w:t>我们与治理层就计划的审计范围、时间安排和重大审计发现等事项进行沟通，包括沟通我们在审计中</w:t>
      </w:r>
      <w:r>
        <w:rPr>
          <w:w w:val="100"/>
        </w:rPr>
        <w:t> </w:t>
      </w:r>
      <w:r>
        <w:rPr/>
        <w:t>识别出的值得关注的内部控制缺陷。</w:t>
      </w:r>
    </w:p>
    <w:p>
      <w:pPr>
        <w:pStyle w:val="BodyText"/>
        <w:spacing w:line="273" w:lineRule="auto" w:before="127"/>
        <w:ind w:left="292" w:right="126" w:firstLine="437"/>
        <w:jc w:val="both"/>
      </w:pPr>
      <w:r>
        <w:rPr>
          <w:spacing w:val="-3"/>
        </w:rPr>
        <w:t>我们还就已遵守与独立性相关的职业道德要求向治理层提供声明，并与治理层沟通可能被合理认为影</w:t>
      </w:r>
      <w:r>
        <w:rPr>
          <w:w w:val="100"/>
        </w:rPr>
        <w:t> </w:t>
      </w:r>
      <w:r>
        <w:rPr/>
        <w:t>响我们独立性的所有关系和其他事项，以及相关的防范措施（如适用）。</w:t>
      </w:r>
    </w:p>
    <w:p>
      <w:pPr>
        <w:pStyle w:val="BodyText"/>
        <w:spacing w:line="273" w:lineRule="auto" w:before="127"/>
        <w:ind w:left="292" w:right="126" w:firstLine="437"/>
        <w:jc w:val="both"/>
      </w:pPr>
      <w:r>
        <w:rPr>
          <w:spacing w:val="-3"/>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47"/>
        </w:rPr>
        <w:t> </w:t>
      </w:r>
      <w:r>
        <w:rPr>
          <w:spacing w:val="-47"/>
        </w:rPr>
      </w:r>
      <w:r>
        <w:rPr>
          <w:spacing w:val="-2"/>
        </w:rPr>
        <w:t>理预期在审计报告中沟通某事项造成的负面后果超过在公众利益方面产生的益处，我们确定不应在审计报</w:t>
      </w:r>
      <w:r>
        <w:rPr>
          <w:spacing w:val="-43"/>
        </w:rPr>
        <w:t> </w:t>
      </w:r>
      <w:r>
        <w:rPr>
          <w:spacing w:val="-43"/>
        </w:rPr>
      </w:r>
      <w:r>
        <w:rPr/>
        <w:t>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3341"/>
        <w:gridCol w:w="3970"/>
      </w:tblGrid>
      <w:tr>
        <w:trPr>
          <w:trHeight w:val="1519"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致同会计师事务所</w:t>
            </w:r>
          </w:p>
          <w:p>
            <w:pPr>
              <w:pStyle w:val="TableParagraph"/>
              <w:spacing w:line="240" w:lineRule="auto" w:before="37"/>
              <w:ind w:left="200" w:right="0"/>
              <w:jc w:val="left"/>
              <w:rPr>
                <w:rFonts w:ascii="宋体" w:hAnsi="宋体" w:cs="宋体" w:eastAsia="宋体" w:hint="default"/>
                <w:sz w:val="21"/>
                <w:szCs w:val="21"/>
              </w:rPr>
            </w:pPr>
            <w:r>
              <w:rPr>
                <w:rFonts w:ascii="宋体" w:hAnsi="宋体" w:cs="宋体" w:eastAsia="宋体" w:hint="default"/>
                <w:sz w:val="21"/>
                <w:szCs w:val="21"/>
              </w:rPr>
              <w:t>（特殊普通合伙）</w:t>
            </w:r>
          </w:p>
        </w:tc>
        <w:tc>
          <w:tcPr>
            <w:tcW w:w="3970" w:type="dxa"/>
            <w:tcBorders>
              <w:top w:val="nil" w:sz="6" w:space="0" w:color="auto"/>
              <w:left w:val="nil" w:sz="6" w:space="0" w:color="auto"/>
              <w:bottom w:val="nil" w:sz="6" w:space="0" w:color="auto"/>
              <w:right w:val="nil" w:sz="6" w:space="0" w:color="auto"/>
            </w:tcBorders>
          </w:tcPr>
          <w:p>
            <w:pPr>
              <w:pStyle w:val="TableParagraph"/>
              <w:spacing w:line="211" w:lineRule="exact"/>
              <w:ind w:left="1712" w:right="0"/>
              <w:jc w:val="left"/>
              <w:rPr>
                <w:rFonts w:ascii="宋体" w:hAnsi="宋体" w:cs="宋体" w:eastAsia="宋体" w:hint="default"/>
                <w:sz w:val="21"/>
                <w:szCs w:val="21"/>
              </w:rPr>
            </w:pPr>
            <w:r>
              <w:rPr>
                <w:rFonts w:ascii="宋体" w:hAnsi="宋体" w:cs="宋体" w:eastAsia="宋体" w:hint="default"/>
                <w:sz w:val="21"/>
                <w:szCs w:val="21"/>
              </w:rPr>
              <w:t>中国注册会计师</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left="1712" w:right="0"/>
              <w:jc w:val="left"/>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595"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p>
        </w:tc>
        <w:tc>
          <w:tcPr>
            <w:tcW w:w="39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458" w:right="0"/>
              <w:jc w:val="left"/>
              <w:rPr>
                <w:rFonts w:ascii="宋体" w:hAnsi="宋体" w:cs="宋体" w:eastAsia="宋体" w:hint="default"/>
                <w:sz w:val="21"/>
                <w:szCs w:val="21"/>
              </w:rPr>
            </w:pPr>
            <w:r>
              <w:rPr>
                <w:rFonts w:ascii="宋体" w:hAnsi="宋体" w:cs="宋体" w:eastAsia="宋体" w:hint="default"/>
                <w:sz w:val="21"/>
                <w:szCs w:val="21"/>
              </w:rPr>
              <w:t>二Ｏ一八年三月二十八日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2"/>
        <w:spacing w:line="240" w:lineRule="auto" w:before="26"/>
        <w:ind w:left="292"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29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20"/>
        <w:ind w:left="292"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0"/>
        <w:rPr>
          <w:rFonts w:ascii="宋体" w:hAnsi="宋体" w:cs="宋体" w:eastAsia="宋体" w:hint="default"/>
          <w:b/>
          <w:bCs/>
          <w:sz w:val="22"/>
          <w:szCs w:val="22"/>
        </w:rPr>
      </w:pPr>
    </w:p>
    <w:p>
      <w:pPr>
        <w:spacing w:before="44"/>
        <w:ind w:left="292" w:right="0" w:firstLine="0"/>
        <w:jc w:val="left"/>
        <w:rPr>
          <w:rFonts w:ascii="宋体" w:hAnsi="宋体" w:cs="宋体" w:eastAsia="宋体" w:hint="default"/>
          <w:sz w:val="18"/>
          <w:szCs w:val="18"/>
        </w:rPr>
      </w:pPr>
      <w:r>
        <w:rPr>
          <w:rFonts w:ascii="宋体" w:hAnsi="宋体" w:cs="宋体" w:eastAsia="宋体" w:hint="default"/>
          <w:sz w:val="18"/>
          <w:szCs w:val="18"/>
        </w:rPr>
        <w:t>编制单位：北京数字认证股份有限公司</w:t>
      </w:r>
    </w:p>
    <w:p>
      <w:pPr>
        <w:spacing w:before="117"/>
        <w:ind w:left="0" w:right="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28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67" w:footer="979" w:top="1060" w:bottom="1160" w:left="840" w:right="10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482,912,497.52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484,673,492.52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141,573,415.38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132,601,660.00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44,131,611.30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10,461,245.50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24,068,691.85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23,878,042.89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72,934,934.30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43,060,691.62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104,427,727.29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106,390.53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871,048,877.64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695,281,523.06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11,153,905.81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16,311,060.43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16,569,413.87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5,178,985.97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2,053,651.30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13,551.07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26,959,233.22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23,169,702.85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3,861,331.00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60,297,185.43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45,667,650.09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931,346,063.07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740,949,173.15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76,764,889.05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38,748,744.34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193,632,423.20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116,730,720.09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61,053,494.19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39,301,615.23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35,473,808.56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46,574,765.18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5,379,440.97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2,335,302.29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1,949,050.00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372,304,055.97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245,640,197.13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13,612,332.09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10,659,818.50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13,612,332.09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10,659,818.50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385,916,388.06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256,300,015.63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242,254,231.31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242,254,231.31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24,727,641.08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19,101,729.88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198,447,802.62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143,828,203.88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545,429,675.01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485,184,165.07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-535,007.55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545,429,675.01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484,649,157.52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931,346,063.07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740,949,173.15</w:t>
            </w:r>
          </w:p>
        </w:tc>
      </w:tr>
    </w:tbl>
    <w:p>
      <w:pPr>
        <w:spacing w:line="240" w:lineRule="auto" w:before="2"/>
        <w:rPr>
          <w:rFonts w:ascii="Times New Roman" w:hAnsi="Times New Roman" w:cs="Times New Roman" w:eastAsia="Times New Roman" w:hint="default"/>
          <w:sz w:val="23"/>
          <w:szCs w:val="23"/>
        </w:rPr>
      </w:pPr>
    </w:p>
    <w:p>
      <w:pPr>
        <w:tabs>
          <w:tab w:pos="3538" w:val="left" w:leader="none"/>
          <w:tab w:pos="7681" w:val="left" w:leader="none"/>
        </w:tabs>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法定代表人：詹榜华</w:t>
        <w:tab/>
      </w:r>
      <w:r>
        <w:rPr>
          <w:rFonts w:ascii="宋体" w:hAnsi="宋体" w:cs="宋体" w:eastAsia="宋体" w:hint="default"/>
          <w:spacing w:val="-1"/>
          <w:sz w:val="18"/>
          <w:szCs w:val="18"/>
        </w:rPr>
        <w:t>主管会计工作负责人：林雪焰</w:t>
        <w:tab/>
      </w:r>
      <w:r>
        <w:rPr>
          <w:rFonts w:ascii="宋体" w:hAnsi="宋体" w:cs="宋体" w:eastAsia="宋体" w:hint="default"/>
          <w:sz w:val="18"/>
          <w:szCs w:val="18"/>
        </w:rPr>
        <w:t>会计机构负责人：高青山</w:t>
      </w:r>
    </w:p>
    <w:p>
      <w:pPr>
        <w:spacing w:after="0"/>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13"/>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3"/>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389,820,366.87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440,703,384.89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132,338,695.76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120,855,282.26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9,919,481.62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2,895,978.56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22,452,139.47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21,725,848.93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50,451,312.87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33,049,462.94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704,981,996.59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619,229,957.58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22,550,000.00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10,142,604.28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12,382,992.21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4,374,077.04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1,783,134.99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26,119,115.59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21,208,256.10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3,861,331.00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61,329,796.91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61,785,714.30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766,311,793.50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681,015,671.88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75,758,443.50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67,193,824.69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101,965,469.87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69,460,878.73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45,091,599.59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29,375,095.61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31,790,674.26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36,730,321.44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3,833,790.00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1,096,310.73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1,949,050.00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258,439,977.22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205,805,481.20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13,612,332.09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10,659,818.50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13,612,332.09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10,659,818.50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272,052,309.31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216,465,299.70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242,254,231.31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242,254,231.31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24,727,641.08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19,101,729.88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147,277,611.80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123,194,410.99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494,259,484.19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464,550,372.18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766,311,793.50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681,015,671.88</w:t>
            </w:r>
          </w:p>
        </w:tc>
      </w:tr>
    </w:tbl>
    <w:p>
      <w:pPr>
        <w:spacing w:line="240" w:lineRule="auto" w:before="1"/>
        <w:rPr>
          <w:rFonts w:ascii="Times New Roman" w:hAnsi="Times New Roman" w:cs="Times New Roman" w:eastAsia="Times New Roman" w:hint="default"/>
          <w:sz w:val="22"/>
          <w:szCs w:val="22"/>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519,848,359.34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445,515,080.90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519,848,359.34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445,515,080.90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453,266,146.71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382,989,877.24</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217,352,457.39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185,425,381.41</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2,993,260.00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3,959,334.84</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1020" w:right="1020"/>
        </w:sectPr>
      </w:pPr>
    </w:p>
    <w:p>
      <w:pPr>
        <w:spacing w:line="240" w:lineRule="auto" w:before="0"/>
        <w:rPr>
          <w:rFonts w:ascii="Times New Roman" w:hAnsi="Times New Roman" w:cs="Times New Roman" w:eastAsia="Times New Roman" w:hint="default"/>
          <w:sz w:val="20"/>
          <w:szCs w:val="20"/>
        </w:rPr>
      </w:pPr>
      <w:r>
        <w:rPr/>
        <w:pict>
          <v:shape style="position:absolute;margin-left:177.860001pt;margin-top:396.28598pt;width:193.15pt;height:19.6pt;mso-position-horizontal-relative:page;mso-position-vertical-relative:page;z-index:-83209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group style="position:absolute;margin-left:211.009995pt;margin-top:260.089996pt;width:160pt;height:19.6pt;mso-position-horizontal-relative:page;mso-position-vertical-relative:page;z-index:-832072" coordorigin="4220,5202" coordsize="3200,392">
            <v:group style="position:absolute;left:7398;top:5202;width:22;height:392" coordorigin="7398,5202" coordsize="22,392">
              <v:shape style="position:absolute;left:7398;top:5202;width:22;height:392" coordorigin="7398,5202" coordsize="22,392" path="m7398,5593l7420,5593,7420,5202,7398,5202,7398,5593xe" filled="true" fillcolor="#ffffff" stroked="false">
                <v:path arrowok="t"/>
                <v:fill type="solid"/>
              </v:shape>
            </v:group>
            <v:group style="position:absolute;left:4220;top:5202;width:22;height:392" coordorigin="4220,5202" coordsize="22,392">
              <v:shape style="position:absolute;left:4220;top:5202;width:22;height:392" coordorigin="4220,5202" coordsize="22,392" path="m4220,5593l4242,5593,4242,5202,4220,5202,4220,5593xe" filled="true" fillcolor="#ffffff" stroked="false">
                <v:path arrowok="t"/>
                <v:fill type="solid"/>
              </v:shape>
            </v:group>
            <v:group style="position:absolute;left:4242;top:5202;width:3157;height:392" coordorigin="4242,5202" coordsize="3157,392">
              <v:shape style="position:absolute;left:4242;top:5202;width:3157;height:392" coordorigin="4242,5202" coordsize="3157,392" path="m4242,5593l7398,5593,7398,5202,4242,5202,4242,559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079"/>
        <w:gridCol w:w="1106"/>
        <w:gridCol w:w="2105"/>
        <w:gridCol w:w="3277"/>
      </w:tblGrid>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83,571,357.58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68,437,371.17</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140,317,263.14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115,806,538.54</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-3,409,131.34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-1,561,590.41</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12,440,939.94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10,922,841.69</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15,865,879.85</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-552,634.19</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3"/>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-21,846.96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181,135.08</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13,748,053.97</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96,174,299.49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62,706,338.74</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9,130,805.54</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7,246.96</w:t>
            </w:r>
          </w:p>
        </w:tc>
      </w:tr>
      <w:tr>
        <w:trPr>
          <w:trHeight w:val="404" w:hRule="exact"/>
        </w:trPr>
        <w:tc>
          <w:tcPr>
            <w:tcW w:w="307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106" w:type="dxa"/>
            <w:tcBorders>
              <w:top w:val="single" w:sz="4" w:space="0" w:color="000000"/>
              <w:left w:val="single" w:sz="13" w:space="0" w:color="FFFFFF"/>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4"/>
              <w:ind w:left="1042" w:right="0"/>
              <w:jc w:val="left"/>
              <w:rPr>
                <w:rFonts w:ascii="Times New Roman" w:hAnsi="Times New Roman" w:cs="Times New Roman" w:eastAsia="Times New Roman" w:hint="default"/>
                <w:sz w:val="18"/>
                <w:szCs w:val="18"/>
              </w:rPr>
            </w:pPr>
            <w:r>
              <w:rPr>
                <w:rFonts w:ascii="Times New Roman"/>
                <w:sz w:val="18"/>
              </w:rPr>
              <w:t>96,124,299.49</w:t>
            </w:r>
          </w:p>
        </w:tc>
        <w:tc>
          <w:tcPr>
            <w:tcW w:w="3277"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71,829,897.32</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13,011,646.37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14,273,168.63</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83,112,653.12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57,556,728.69</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84,245,509.94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59,960,793.41</w:t>
            </w:r>
          </w:p>
        </w:tc>
      </w:tr>
      <w:tr>
        <w:trPr>
          <w:trHeight w:val="404"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-1,132,856.82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-2,404,064.72</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16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20"/>
              <w:jc w:val="righ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3080"/>
        <w:gridCol w:w="3212"/>
        <w:gridCol w:w="3277"/>
      </w:tblGrid>
      <w:tr>
        <w:trPr>
          <w:trHeight w:val="36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83,112,653.12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57,556,728.69</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84,245,509.94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59,960,793.41</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-1,132,856.82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-2,404,064.72</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w:t>
            </w:r>
          </w:p>
        </w:tc>
      </w:tr>
    </w:tbl>
    <w:p>
      <w:pPr>
        <w:tabs>
          <w:tab w:pos="3538" w:val="left" w:leader="none"/>
          <w:tab w:pos="7681" w:val="left" w:leader="none"/>
        </w:tabs>
        <w:spacing w:line="626" w:lineRule="auto" w:before="49"/>
        <w:ind w:left="112" w:right="203"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法定代表人：詹榜华</w:t>
        <w:tab/>
      </w:r>
      <w:r>
        <w:rPr>
          <w:rFonts w:ascii="宋体" w:hAnsi="宋体" w:cs="宋体" w:eastAsia="宋体" w:hint="default"/>
          <w:spacing w:val="-1"/>
          <w:sz w:val="18"/>
          <w:szCs w:val="18"/>
        </w:rPr>
        <w:t>主管会计工作负责人：林雪焰</w:t>
        <w:tab/>
      </w:r>
      <w:r>
        <w:rPr>
          <w:rFonts w:ascii="宋体" w:hAnsi="宋体" w:cs="宋体" w:eastAsia="宋体" w:hint="default"/>
          <w:sz w:val="18"/>
          <w:szCs w:val="18"/>
        </w:rPr>
        <w:t>会计机构负责人：高青山</w:t>
      </w:r>
    </w:p>
    <w:p>
      <w:pPr>
        <w:pStyle w:val="Heading3"/>
        <w:spacing w:line="240" w:lineRule="auto" w:before="66"/>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spacing w:before="0"/>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356,024,952.00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346,460,038.72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129,366,540.38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143,864,593.24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2,506,950.30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3,020,621.83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62,145,931.03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51,373,585.11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102,405,677.99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86,705,739.00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-3,120,315.43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-1,538,545.02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10,354,487.48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9,454,664.30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2,976,033.57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-21,846.96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12,346,608.07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67,666,474.93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53,579,380.26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8,380,892.42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7,246.96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67,666,474.93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61,953,025.72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11,407,362.92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13,474,491.20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56,259,112.01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48,478,534.52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56,259,112.01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48,478,534.52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5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Times New Roman" w:hAnsi="Times New Roman" w:cs="Times New Roman" w:eastAsia="Times New Roman" w:hint="default"/>
          <w:sz w:val="22"/>
          <w:szCs w:val="22"/>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631,383,385.89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446,704,590.25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8,277,640.54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6,593,064.32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13,841,893.21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2,443,627.96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653,502,919.64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455,741,282.53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212,363,608.75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149,078,698.35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51"/>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195,943,642.23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167,184,227.74</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58,428,430.19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42,876,336.27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71,443,887.15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56,430,752.64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538,179,568.32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415,570,015.00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115,323,351.32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40,171,267.53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2,976,033.57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293,096.12</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-179,556.29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52,798,477.28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293,096.12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7,594,081.31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9,936,336.53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157,594,081.31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9,936,336.53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-104,795,604.03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-9,643,240.41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1,773,910.00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240,400,000.00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1,773,910.00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1,773,910.00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240,400,000.00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12,600,000.00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4,409,816.97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17,009,816.97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-22,226,090.00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223,390,183.03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-11,698,342.71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253,918,210.15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477,542,904.34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223,624,694.19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465,844,561.63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477,542,904.34</w:t>
            </w:r>
          </w:p>
        </w:tc>
      </w:tr>
    </w:tbl>
    <w:p>
      <w:pPr>
        <w:spacing w:line="240" w:lineRule="auto" w:before="1"/>
        <w:rPr>
          <w:rFonts w:ascii="Times New Roman" w:hAnsi="Times New Roman" w:cs="Times New Roman" w:eastAsia="Times New Roman" w:hint="default"/>
          <w:sz w:val="22"/>
          <w:szCs w:val="22"/>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404,102,272.91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307,835,713.93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6,932,394.65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5,843,151.20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14,919,573.38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4,808,188.62</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425,954,240.94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318,487,053.75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124,783,628.51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111,670,474.69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137,078,523.73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123,015,560.56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41,520,949.08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34,236,742.92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58,320,476.78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42,815,100.40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361,703,578.10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311,737,878.57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64,250,662.84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6,749,175.18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2,976,033.57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52,978,033.57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2,467,480.34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6,609,604.66</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152,467,480.34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6,609,604.66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-99,489,446.77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-6,609,604.66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240,400,000.00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240,400,000.00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4,409,816.97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17,009,816.97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223,390,183.03</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-59,238,783.93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223,529,753.55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437,280,626.17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213,750,872.62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378,041,842.24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437,280,626.17</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3"/>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403"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1437"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3"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9"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713"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71"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242,254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,231.31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19,101,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729.88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143,828</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,203.88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-535,00</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7.55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484,649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,157.52</w:t>
            </w:r>
          </w:p>
        </w:tc>
      </w:tr>
    </w:tbl>
    <w:p>
      <w:pPr>
        <w:spacing w:after="0" w:line="240" w:lineRule="auto"/>
        <w:jc w:val="left"/>
        <w:rPr>
          <w:rFonts w:ascii="Times New Roman" w:hAnsi="Times New Roman" w:cs="Times New Roman" w:eastAsia="Times New Roman" w:hint="default"/>
          <w:sz w:val="18"/>
          <w:szCs w:val="18"/>
        </w:rPr>
        <w:sectPr>
          <w:pgSz w:w="11910" w:h="16840"/>
          <w:pgMar w:header="867"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242,254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,231.31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19,101,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729.88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143,828</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,203.88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-535,00</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7.55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484,649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,157.52</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5,625,9</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11.20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54,619,</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598.74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535,007</w:t>
            </w:r>
          </w:p>
          <w:p>
            <w:pPr>
              <w:pStyle w:val="TableParagraph"/>
              <w:spacing w:line="240" w:lineRule="auto" w:before="102"/>
              <w:ind w:left="408" w:right="0"/>
              <w:jc w:val="left"/>
              <w:rPr>
                <w:rFonts w:ascii="Times New Roman" w:hAnsi="Times New Roman" w:cs="Times New Roman" w:eastAsia="Times New Roman" w:hint="default"/>
                <w:sz w:val="18"/>
                <w:szCs w:val="18"/>
              </w:rPr>
            </w:pPr>
            <w:r>
              <w:rPr>
                <w:rFonts w:ascii="Times New Roman"/>
                <w:sz w:val="18"/>
              </w:rPr>
              <w:t>.55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60,780,</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517.49</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4" w:right="0"/>
              <w:jc w:val="left"/>
              <w:rPr>
                <w:rFonts w:ascii="Times New Roman" w:hAnsi="Times New Roman" w:cs="Times New Roman" w:eastAsia="Times New Roman" w:hint="default"/>
                <w:sz w:val="18"/>
                <w:szCs w:val="18"/>
              </w:rPr>
            </w:pPr>
            <w:r>
              <w:rPr>
                <w:rFonts w:ascii="Times New Roman"/>
                <w:sz w:val="18"/>
              </w:rPr>
              <w:t>84,245,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509.94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-1,132,8</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56.82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83,112,</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653.12</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center"/>
              <w:rPr>
                <w:rFonts w:ascii="Times New Roman" w:hAnsi="Times New Roman" w:cs="Times New Roman" w:eastAsia="Times New Roman" w:hint="default"/>
                <w:sz w:val="18"/>
                <w:szCs w:val="18"/>
              </w:rPr>
            </w:pPr>
            <w:r>
              <w:rPr>
                <w:rFonts w:ascii="Times New Roman"/>
                <w:sz w:val="18"/>
              </w:rPr>
              <w:t>1,667,8</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64.37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center"/>
              <w:rPr>
                <w:rFonts w:ascii="Times New Roman" w:hAnsi="Times New Roman" w:cs="Times New Roman" w:eastAsia="Times New Roman" w:hint="default"/>
                <w:sz w:val="18"/>
                <w:szCs w:val="18"/>
              </w:rPr>
            </w:pPr>
            <w:r>
              <w:rPr>
                <w:rFonts w:ascii="Times New Roman"/>
                <w:sz w:val="18"/>
              </w:rPr>
              <w:t>1,667,8</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64.37</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center"/>
              <w:rPr>
                <w:rFonts w:ascii="Times New Roman" w:hAnsi="Times New Roman" w:cs="Times New Roman" w:eastAsia="Times New Roman" w:hint="default"/>
                <w:sz w:val="18"/>
                <w:szCs w:val="18"/>
              </w:rPr>
            </w:pPr>
            <w:r>
              <w:rPr>
                <w:rFonts w:ascii="Times New Roman"/>
                <w:sz w:val="18"/>
              </w:rPr>
              <w:t>1,667,8</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64.37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center"/>
              <w:rPr>
                <w:rFonts w:ascii="Times New Roman" w:hAnsi="Times New Roman" w:cs="Times New Roman" w:eastAsia="Times New Roman" w:hint="default"/>
                <w:sz w:val="18"/>
                <w:szCs w:val="18"/>
              </w:rPr>
            </w:pPr>
            <w:r>
              <w:rPr>
                <w:rFonts w:ascii="Times New Roman"/>
                <w:sz w:val="18"/>
              </w:rPr>
              <w:t>1,667,8</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64.37</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5,625,9</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11.20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-29,625,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911.20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center"/>
              <w:rPr>
                <w:rFonts w:ascii="Times New Roman" w:hAnsi="Times New Roman" w:cs="Times New Roman" w:eastAsia="Times New Roman" w:hint="default"/>
                <w:sz w:val="18"/>
                <w:szCs w:val="18"/>
              </w:rPr>
            </w:pPr>
            <w:r>
              <w:rPr>
                <w:rFonts w:ascii="Times New Roman"/>
                <w:sz w:val="18"/>
              </w:rPr>
              <w:t>5,625,9</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11.20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-5,625,9</w:t>
            </w:r>
          </w:p>
          <w:p>
            <w:pPr>
              <w:pStyle w:val="TableParagraph"/>
              <w:spacing w:line="240" w:lineRule="auto" w:before="102"/>
              <w:ind w:left="235" w:right="0"/>
              <w:jc w:val="left"/>
              <w:rPr>
                <w:rFonts w:ascii="Times New Roman" w:hAnsi="Times New Roman" w:cs="Times New Roman" w:eastAsia="Times New Roman" w:hint="default"/>
                <w:sz w:val="18"/>
                <w:szCs w:val="18"/>
              </w:rPr>
            </w:pPr>
            <w:r>
              <w:rPr>
                <w:rFonts w:ascii="Times New Roman"/>
                <w:sz w:val="18"/>
              </w:rPr>
              <w:t>11.20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2"/>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242,254</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,231.31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24,727,</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641.08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198,447</w:t>
            </w:r>
          </w:p>
          <w:p>
            <w:pPr>
              <w:pStyle w:val="TableParagraph"/>
              <w:spacing w:line="240" w:lineRule="auto" w:before="102"/>
              <w:ind w:left="94" w:right="0"/>
              <w:jc w:val="left"/>
              <w:rPr>
                <w:rFonts w:ascii="Times New Roman" w:hAnsi="Times New Roman" w:cs="Times New Roman" w:eastAsia="Times New Roman" w:hint="default"/>
                <w:sz w:val="18"/>
                <w:szCs w:val="18"/>
              </w:rPr>
            </w:pPr>
            <w:r>
              <w:rPr>
                <w:rFonts w:ascii="Times New Roman"/>
                <w:sz w:val="18"/>
              </w:rPr>
              <w:t>,802.62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545,429</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,675.01</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438"/>
        <w:gridCol w:w="562"/>
        <w:gridCol w:w="530"/>
        <w:gridCol w:w="531"/>
        <w:gridCol w:w="533"/>
        <w:gridCol w:w="662"/>
        <w:gridCol w:w="665"/>
        <w:gridCol w:w="668"/>
        <w:gridCol w:w="665"/>
        <w:gridCol w:w="662"/>
        <w:gridCol w:w="665"/>
        <w:gridCol w:w="680"/>
        <w:gridCol w:w="653"/>
        <w:gridCol w:w="658"/>
      </w:tblGrid>
      <w:tr>
        <w:trPr>
          <w:trHeight w:val="403"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9"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3"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54" w:right="63"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713"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71"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80"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33,499,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230.33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14,253,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876.43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101,315</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,263.92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1,869,0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57.17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210,937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,427.85</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33,499,</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230.33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14,253,</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876.43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101,315</w:t>
            </w:r>
          </w:p>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,263.92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1,869,0</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57.17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210,937</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,427.85</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208,755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4,847,8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53.45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42,512,</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939.96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-2,404,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064.72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273,711</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,729.67</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6" w:right="0"/>
              <w:jc w:val="left"/>
              <w:rPr>
                <w:rFonts w:ascii="Times New Roman" w:hAnsi="Times New Roman" w:cs="Times New Roman" w:eastAsia="Times New Roman" w:hint="default"/>
                <w:sz w:val="18"/>
                <w:szCs w:val="18"/>
              </w:rPr>
            </w:pPr>
            <w:r>
              <w:rPr>
                <w:rFonts w:ascii="Times New Roman"/>
                <w:sz w:val="18"/>
              </w:rPr>
              <w:t>59,960,</w:t>
            </w:r>
          </w:p>
          <w:p>
            <w:pPr>
              <w:pStyle w:val="TableParagraph"/>
              <w:spacing w:line="240" w:lineRule="auto" w:before="103"/>
              <w:ind w:left="151" w:right="0"/>
              <w:jc w:val="left"/>
              <w:rPr>
                <w:rFonts w:ascii="Times New Roman" w:hAnsi="Times New Roman" w:cs="Times New Roman" w:eastAsia="Times New Roman" w:hint="default"/>
                <w:sz w:val="18"/>
                <w:szCs w:val="18"/>
              </w:rPr>
            </w:pPr>
            <w:r>
              <w:rPr>
                <w:rFonts w:ascii="Times New Roman"/>
                <w:sz w:val="18"/>
              </w:rPr>
              <w:t>793.41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-2,404,</w:t>
            </w:r>
          </w:p>
          <w:p>
            <w:pPr>
              <w:pStyle w:val="TableParagraph"/>
              <w:spacing w:line="240" w:lineRule="auto" w:before="103"/>
              <w:ind w:left="124" w:right="0"/>
              <w:jc w:val="left"/>
              <w:rPr>
                <w:rFonts w:ascii="Times New Roman" w:hAnsi="Times New Roman" w:cs="Times New Roman" w:eastAsia="Times New Roman" w:hint="default"/>
                <w:sz w:val="18"/>
                <w:szCs w:val="18"/>
              </w:rPr>
            </w:pPr>
            <w:r>
              <w:rPr>
                <w:rFonts w:ascii="Times New Roman"/>
                <w:sz w:val="18"/>
              </w:rPr>
              <w:t>064.72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57,556,</w:t>
            </w:r>
          </w:p>
          <w:p>
            <w:pPr>
              <w:pStyle w:val="TableParagraph"/>
              <w:spacing w:line="240" w:lineRule="auto" w:before="103"/>
              <w:ind w:left="131" w:right="0"/>
              <w:jc w:val="left"/>
              <w:rPr>
                <w:rFonts w:ascii="Times New Roman" w:hAnsi="Times New Roman" w:cs="Times New Roman" w:eastAsia="Times New Roman" w:hint="default"/>
                <w:sz w:val="18"/>
                <w:szCs w:val="18"/>
              </w:rPr>
            </w:pPr>
            <w:r>
              <w:rPr>
                <w:rFonts w:ascii="Times New Roman"/>
                <w:sz w:val="18"/>
              </w:rPr>
              <w:t>728.69</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22"/>
              <w:jc w:val="right"/>
              <w:rPr>
                <w:rFonts w:ascii="宋体" w:hAnsi="宋体" w:cs="宋体" w:eastAsia="宋体" w:hint="default"/>
                <w:sz w:val="18"/>
                <w:szCs w:val="18"/>
              </w:rPr>
            </w:pPr>
            <w:r>
              <w:rPr>
                <w:rFonts w:ascii="宋体" w:hAnsi="宋体" w:cs="宋体" w:eastAsia="宋体" w:hint="default"/>
                <w:spacing w:val="-8"/>
                <w:sz w:val="18"/>
                <w:szCs w:val="18"/>
              </w:rPr>
              <w:t>（二）所有者投入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5" w:right="0"/>
              <w:jc w:val="left"/>
              <w:rPr>
                <w:rFonts w:ascii="Times New Roman" w:hAnsi="Times New Roman" w:cs="Times New Roman" w:eastAsia="Times New Roman" w:hint="default"/>
                <w:sz w:val="18"/>
                <w:szCs w:val="18"/>
              </w:rPr>
            </w:pPr>
            <w:r>
              <w:rPr>
                <w:rFonts w:ascii="Times New Roman"/>
                <w:sz w:val="18"/>
              </w:rPr>
              <w:t>20,000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5" w:right="0"/>
              <w:jc w:val="left"/>
              <w:rPr>
                <w:rFonts w:ascii="Times New Roman" w:hAnsi="Times New Roman" w:cs="Times New Roman" w:eastAsia="Times New Roman" w:hint="default"/>
                <w:sz w:val="18"/>
                <w:szCs w:val="18"/>
              </w:rPr>
            </w:pPr>
            <w:r>
              <w:rPr>
                <w:rFonts w:ascii="Times New Roman"/>
                <w:sz w:val="18"/>
              </w:rPr>
              <w:t>208,755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0" w:right="0"/>
              <w:jc w:val="left"/>
              <w:rPr>
                <w:rFonts w:ascii="Times New Roman" w:hAnsi="Times New Roman" w:cs="Times New Roman" w:eastAsia="Times New Roman" w:hint="default"/>
                <w:sz w:val="18"/>
                <w:szCs w:val="18"/>
              </w:rPr>
            </w:pPr>
            <w:r>
              <w:rPr>
                <w:rFonts w:ascii="Times New Roman"/>
                <w:sz w:val="18"/>
              </w:rPr>
              <w:t>228,755</w:t>
            </w:r>
          </w:p>
        </w:tc>
      </w:tr>
    </w:tbl>
    <w:p>
      <w:pPr>
        <w:spacing w:after="0" w:line="240" w:lineRule="auto"/>
        <w:jc w:val="left"/>
        <w:rPr>
          <w:rFonts w:ascii="Times New Roman" w:hAnsi="Times New Roman" w:cs="Times New Roman" w:eastAsia="Times New Roman" w:hint="default"/>
          <w:sz w:val="18"/>
          <w:szCs w:val="18"/>
        </w:rPr>
        <w:sectPr>
          <w:pgSz w:w="11910" w:h="16840"/>
          <w:pgMar w:header="867"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67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1" w:right="0"/>
              <w:jc w:val="left"/>
              <w:rPr>
                <w:rFonts w:ascii="Times New Roman" w:hAnsi="Times New Roman" w:cs="Times New Roman" w:eastAsia="Times New Roman" w:hint="default"/>
                <w:sz w:val="18"/>
                <w:szCs w:val="18"/>
              </w:rPr>
            </w:pPr>
            <w:r>
              <w:rPr>
                <w:rFonts w:ascii="Times New Roman"/>
                <w:sz w:val="18"/>
              </w:rPr>
              <w:t>,000.98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6" w:right="0"/>
              <w:jc w:val="left"/>
              <w:rPr>
                <w:rFonts w:ascii="Times New Roman" w:hAnsi="Times New Roman" w:cs="Times New Roman" w:eastAsia="Times New Roman" w:hint="default"/>
                <w:sz w:val="18"/>
                <w:szCs w:val="18"/>
              </w:rPr>
            </w:pPr>
            <w:r>
              <w:rPr>
                <w:rFonts w:ascii="Times New Roman"/>
                <w:sz w:val="18"/>
              </w:rPr>
              <w:t>,000.98</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208,755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228,755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,000.98</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4,847,8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53.45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-17,447,</w:t>
            </w:r>
          </w:p>
          <w:p>
            <w:pPr>
              <w:pStyle w:val="TableParagraph"/>
              <w:spacing w:line="240" w:lineRule="auto" w:before="105"/>
              <w:ind w:left="128" w:right="0"/>
              <w:jc w:val="center"/>
              <w:rPr>
                <w:rFonts w:ascii="Times New Roman" w:hAnsi="Times New Roman" w:cs="Times New Roman" w:eastAsia="Times New Roman" w:hint="default"/>
                <w:sz w:val="18"/>
                <w:szCs w:val="18"/>
              </w:rPr>
            </w:pPr>
            <w:r>
              <w:rPr>
                <w:rFonts w:ascii="Times New Roman"/>
                <w:sz w:val="18"/>
              </w:rPr>
              <w:t>853.45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-12,600,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4,847,8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53.45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-4,847,8</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53.45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-12,600,</w:t>
            </w:r>
          </w:p>
          <w:p>
            <w:pPr>
              <w:pStyle w:val="TableParagraph"/>
              <w:spacing w:line="240" w:lineRule="auto" w:before="105"/>
              <w:ind w:left="128" w:right="0"/>
              <w:jc w:val="center"/>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-12,600,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242,254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,231.31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19,101,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729.88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143,828</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,203.88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-535,00</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7.55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484,649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,157.52</w:t>
            </w:r>
          </w:p>
        </w:tc>
      </w:tr>
    </w:tbl>
    <w:p>
      <w:pPr>
        <w:spacing w:after="0" w:line="240" w:lineRule="auto"/>
        <w:jc w:val="left"/>
        <w:rPr>
          <w:rFonts w:ascii="Times New Roman" w:hAnsi="Times New Roman" w:cs="Times New Roman" w:eastAsia="Times New Roman" w:hint="default"/>
          <w:sz w:val="18"/>
          <w:szCs w:val="18"/>
        </w:rPr>
        <w:sectPr>
          <w:pgSz w:w="11910" w:h="16840"/>
          <w:pgMar w:header="867" w:footer="979" w:top="1060" w:bottom="1160" w:left="1020" w:right="102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242,254,2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31.31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19,101,72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9.88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123,194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,410.99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464,550,3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72.18</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242,254,2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31.31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19,101,72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9.88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123,194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,410.99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464,550,3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72.18</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5,625,911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24,083,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200.81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29,709,11</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2.01</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18"/>
                <w:szCs w:val="18"/>
              </w:rPr>
            </w:pPr>
            <w:r>
              <w:rPr>
                <w:rFonts w:ascii="Times New Roman"/>
                <w:sz w:val="18"/>
              </w:rPr>
              <w:t>56,259,</w:t>
            </w:r>
          </w:p>
          <w:p>
            <w:pPr>
              <w:pStyle w:val="TableParagraph"/>
              <w:spacing w:line="240" w:lineRule="auto" w:before="102"/>
              <w:ind w:left="155" w:right="0"/>
              <w:jc w:val="left"/>
              <w:rPr>
                <w:rFonts w:ascii="Times New Roman" w:hAnsi="Times New Roman" w:cs="Times New Roman" w:eastAsia="Times New Roman" w:hint="default"/>
                <w:sz w:val="18"/>
                <w:szCs w:val="18"/>
              </w:rPr>
            </w:pPr>
            <w:r>
              <w:rPr>
                <w:rFonts w:ascii="Times New Roman"/>
                <w:sz w:val="18"/>
              </w:rPr>
              <w:t>112.01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 w:right="0"/>
              <w:jc w:val="left"/>
              <w:rPr>
                <w:rFonts w:ascii="Times New Roman" w:hAnsi="Times New Roman" w:cs="Times New Roman" w:eastAsia="Times New Roman" w:hint="default"/>
                <w:sz w:val="18"/>
                <w:szCs w:val="18"/>
              </w:rPr>
            </w:pPr>
            <w:r>
              <w:rPr>
                <w:rFonts w:ascii="Times New Roman"/>
                <w:sz w:val="18"/>
              </w:rPr>
              <w:t>56,259,11</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2.01</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4"/>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w w:val="95"/>
                <w:sz w:val="18"/>
              </w:rPr>
              <w:t>5,625,911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 w:right="0"/>
              <w:jc w:val="center"/>
              <w:rPr>
                <w:rFonts w:ascii="Times New Roman" w:hAnsi="Times New Roman" w:cs="Times New Roman" w:eastAsia="Times New Roman" w:hint="default"/>
                <w:sz w:val="18"/>
                <w:szCs w:val="18"/>
              </w:rPr>
            </w:pPr>
            <w:r>
              <w:rPr>
                <w:rFonts w:ascii="Times New Roman"/>
                <w:sz w:val="18"/>
              </w:rPr>
              <w:t>-29,625,</w:t>
            </w:r>
          </w:p>
          <w:p>
            <w:pPr>
              <w:pStyle w:val="TableParagraph"/>
              <w:spacing w:line="240" w:lineRule="auto" w:before="102"/>
              <w:ind w:left="132" w:right="0"/>
              <w:jc w:val="center"/>
              <w:rPr>
                <w:rFonts w:ascii="Times New Roman" w:hAnsi="Times New Roman" w:cs="Times New Roman" w:eastAsia="Times New Roman" w:hint="default"/>
                <w:sz w:val="18"/>
                <w:szCs w:val="18"/>
              </w:rPr>
            </w:pPr>
            <w:r>
              <w:rPr>
                <w:rFonts w:ascii="Times New Roman"/>
                <w:sz w:val="18"/>
              </w:rPr>
              <w:t>911.20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 w:right="0"/>
              <w:jc w:val="left"/>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5,625,911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-5,625,9</w:t>
            </w:r>
          </w:p>
          <w:p>
            <w:pPr>
              <w:pStyle w:val="TableParagraph"/>
              <w:spacing w:line="240" w:lineRule="auto" w:before="105"/>
              <w:ind w:left="244" w:right="0"/>
              <w:jc w:val="left"/>
              <w:rPr>
                <w:rFonts w:ascii="Times New Roman" w:hAnsi="Times New Roman" w:cs="Times New Roman" w:eastAsia="Times New Roman" w:hint="default"/>
                <w:sz w:val="18"/>
                <w:szCs w:val="18"/>
              </w:rPr>
            </w:pPr>
            <w:r>
              <w:rPr>
                <w:rFonts w:ascii="Times New Roman"/>
                <w:sz w:val="18"/>
              </w:rPr>
              <w:t>11.20</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-2,550,0</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-2,550,00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242,254,2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31.31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24,727,64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147,277</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,611.80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494,259,4</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84.19</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3"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3"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33,499,23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14,253,87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6.43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92,163,</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729.92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199,916,8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36.68</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33,499,23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14,253,87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6.43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92,163,</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729.92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199,916,8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36.68</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208,755,0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4,847,853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31,030,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681.07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264,633,5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35.50</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48,478,</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534.52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48,478,53</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4.52</w:t>
            </w: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208,755,0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228,755,0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00.98</w:t>
            </w:r>
          </w:p>
        </w:tc>
      </w:tr>
    </w:tbl>
    <w:p>
      <w:pPr>
        <w:spacing w:after="0" w:line="240" w:lineRule="auto"/>
        <w:jc w:val="left"/>
        <w:rPr>
          <w:rFonts w:ascii="Times New Roman" w:hAnsi="Times New Roman" w:cs="Times New Roman" w:eastAsia="Times New Roman" w:hint="default"/>
          <w:sz w:val="18"/>
          <w:szCs w:val="18"/>
        </w:rPr>
        <w:sectPr>
          <w:pgSz w:w="11910" w:h="16840"/>
          <w:pgMar w:header="867"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1"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208,755,0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 w:right="0"/>
              <w:jc w:val="left"/>
              <w:rPr>
                <w:rFonts w:ascii="Times New Roman" w:hAnsi="Times New Roman" w:cs="Times New Roman" w:eastAsia="Times New Roman" w:hint="default"/>
                <w:sz w:val="18"/>
                <w:szCs w:val="18"/>
              </w:rPr>
            </w:pPr>
            <w:r>
              <w:rPr>
                <w:rFonts w:ascii="Times New Roman"/>
                <w:sz w:val="18"/>
              </w:rPr>
              <w:t>228,755,0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00.98</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4,847,853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-17,447,</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853.45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-12,600,0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4,847,853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center"/>
              <w:rPr>
                <w:rFonts w:ascii="Times New Roman" w:hAnsi="Times New Roman" w:cs="Times New Roman" w:eastAsia="Times New Roman" w:hint="default"/>
                <w:sz w:val="18"/>
                <w:szCs w:val="18"/>
              </w:rPr>
            </w:pPr>
            <w:r>
              <w:rPr>
                <w:rFonts w:ascii="Times New Roman"/>
                <w:sz w:val="18"/>
              </w:rPr>
              <w:t>-4,847,8</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53.45</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-12,600,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-12,600,0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242,254,2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31.31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19,101,72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9.88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123,194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,410.99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464,550,3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72.18</w:t>
            </w:r>
          </w:p>
        </w:tc>
      </w:tr>
    </w:tbl>
    <w:p>
      <w:pPr>
        <w:spacing w:line="240" w:lineRule="auto" w:before="3"/>
        <w:rPr>
          <w:rFonts w:ascii="宋体" w:hAnsi="宋体" w:cs="宋体" w:eastAsia="宋体" w:hint="default"/>
          <w:sz w:val="18"/>
          <w:szCs w:val="18"/>
        </w:rPr>
      </w:pPr>
    </w:p>
    <w:p>
      <w:pPr>
        <w:pStyle w:val="Heading2"/>
        <w:spacing w:line="240" w:lineRule="auto" w:before="26"/>
        <w:ind w:left="533" w:right="0" w:hanging="421"/>
        <w:jc w:val="left"/>
        <w:rPr>
          <w:b w:val="0"/>
          <w:bCs w:val="0"/>
        </w:rPr>
      </w:pPr>
      <w:r>
        <w:rPr/>
        <w:t>三、公司基本情况</w:t>
      </w:r>
      <w:r>
        <w:rPr>
          <w:b w:val="0"/>
          <w:bCs w:val="0"/>
        </w:rPr>
      </w:r>
    </w:p>
    <w:p>
      <w:pPr>
        <w:pStyle w:val="BodyText"/>
        <w:spacing w:line="430" w:lineRule="atLeast" w:before="186"/>
        <w:ind w:left="533"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、公司概况</w:t>
      </w:r>
      <w:r>
        <w:rPr>
          <w:w w:val="100"/>
        </w:rPr>
        <w:t> </w:t>
      </w:r>
      <w:r>
        <w:rPr>
          <w:spacing w:val="-1"/>
        </w:rPr>
        <w:t>北京数字认证股份有限公司（以下简称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）是经北京市工商行政管理局核准，于</w:t>
      </w:r>
      <w:r>
        <w:rPr>
          <w:rFonts w:ascii="Times New Roman" w:hAnsi="Times New Roman" w:cs="Times New Roman" w:eastAsia="Times New Roman" w:hint="default"/>
          <w:spacing w:val="-1"/>
        </w:rPr>
        <w:t>2001</w:t>
      </w:r>
    </w:p>
    <w:p>
      <w:pPr>
        <w:pStyle w:val="BodyText"/>
        <w:spacing w:line="256" w:lineRule="auto" w:before="21"/>
        <w:ind w:right="0"/>
        <w:jc w:val="left"/>
      </w:pP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日由首都信息发展股份有限公司与上海市电子商务安全证书管理中心有限公司共同在北京市投资</w:t>
      </w:r>
      <w:r>
        <w:rPr>
          <w:spacing w:val="-26"/>
        </w:rPr>
        <w:t> </w:t>
      </w:r>
      <w:r>
        <w:rPr>
          <w:spacing w:val="-26"/>
        </w:rPr>
      </w:r>
      <w:r>
        <w:rPr>
          <w:spacing w:val="-4"/>
        </w:rPr>
        <w:t>设立。公司设立时注册资本为人民币</w:t>
      </w:r>
      <w:r>
        <w:rPr>
          <w:rFonts w:ascii="Times New Roman" w:hAnsi="Times New Roman" w:cs="Times New Roman" w:eastAsia="Times New Roman" w:hint="default"/>
          <w:spacing w:val="-4"/>
        </w:rPr>
        <w:t>500</w:t>
      </w:r>
      <w:r>
        <w:rPr>
          <w:spacing w:val="-4"/>
        </w:rPr>
        <w:t>万元，其中首都信息发展股份有限公司出资额为</w:t>
      </w:r>
      <w:r>
        <w:rPr>
          <w:rFonts w:ascii="Times New Roman" w:hAnsi="Times New Roman" w:cs="Times New Roman" w:eastAsia="Times New Roman" w:hint="default"/>
          <w:spacing w:val="-4"/>
        </w:rPr>
        <w:t>450</w:t>
      </w:r>
      <w:r>
        <w:rPr>
          <w:spacing w:val="-4"/>
        </w:rPr>
        <w:t>万元，占</w:t>
      </w:r>
      <w:r>
        <w:rPr>
          <w:rFonts w:ascii="Times New Roman" w:hAnsi="Times New Roman" w:cs="Times New Roman" w:eastAsia="Times New Roman" w:hint="default"/>
          <w:spacing w:val="-4"/>
        </w:rPr>
        <w:t>90%</w:t>
      </w:r>
      <w:r>
        <w:rPr>
          <w:spacing w:val="-4"/>
        </w:rPr>
        <w:t>，</w:t>
      </w:r>
      <w:r>
        <w:rPr/>
        <w:t> 上海市电子商务安全证书管理中心有限公司出资额为</w:t>
      </w:r>
      <w:r>
        <w:rPr>
          <w:rFonts w:ascii="Times New Roman" w:hAnsi="Times New Roman" w:cs="Times New Roman" w:eastAsia="Times New Roman" w:hint="default"/>
        </w:rPr>
        <w:t>50</w:t>
      </w:r>
      <w:r>
        <w:rPr/>
        <w:t>万元，占</w:t>
      </w:r>
      <w:r>
        <w:rPr>
          <w:rFonts w:ascii="Times New Roman" w:hAnsi="Times New Roman" w:cs="Times New Roman" w:eastAsia="Times New Roman" w:hint="default"/>
        </w:rPr>
        <w:t>10%</w:t>
      </w:r>
      <w:r>
        <w:rPr/>
        <w:t>。上述出资业经北京永拓会计师事务</w:t>
      </w:r>
      <w:r>
        <w:rPr>
          <w:spacing w:val="-100"/>
        </w:rPr>
        <w:t> </w:t>
      </w:r>
      <w:r>
        <w:rPr>
          <w:spacing w:val="-100"/>
        </w:rPr>
      </w:r>
      <w:r>
        <w:rPr>
          <w:spacing w:val="-2"/>
        </w:rPr>
        <w:t>所有限责任公司审验并出具京永验字（</w:t>
      </w:r>
      <w:r>
        <w:rPr>
          <w:rFonts w:ascii="Times New Roman" w:hAnsi="Times New Roman" w:cs="Times New Roman" w:eastAsia="Times New Roman" w:hint="default"/>
          <w:spacing w:val="-2"/>
        </w:rPr>
        <w:t>2001</w:t>
      </w:r>
      <w:r>
        <w:rPr>
          <w:spacing w:val="-2"/>
        </w:rPr>
        <w:t>）第</w:t>
      </w:r>
      <w:r>
        <w:rPr>
          <w:rFonts w:ascii="Times New Roman" w:hAnsi="Times New Roman" w:cs="Times New Roman" w:eastAsia="Times New Roman" w:hint="default"/>
          <w:spacing w:val="-2"/>
        </w:rPr>
        <w:t>015</w:t>
      </w:r>
      <w:r>
        <w:rPr>
          <w:spacing w:val="-2"/>
        </w:rPr>
        <w:t>号验资报告。本公司于</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28</w:t>
      </w:r>
      <w:r>
        <w:rPr>
          <w:spacing w:val="-2"/>
        </w:rPr>
        <w:t>日在北京市工商行</w:t>
      </w:r>
    </w:p>
    <w:p>
      <w:pPr>
        <w:spacing w:after="0" w:line="256" w:lineRule="auto"/>
        <w:jc w:val="left"/>
        <w:sectPr>
          <w:pgSz w:w="11910" w:h="16840"/>
          <w:pgMar w:header="867" w:footer="979" w:top="1060" w:bottom="1160" w:left="1020" w:right="920"/>
        </w:sectPr>
      </w:pPr>
    </w:p>
    <w:p>
      <w:pPr>
        <w:spacing w:line="240" w:lineRule="auto" w:before="13"/>
        <w:rPr>
          <w:rFonts w:ascii="宋体" w:hAnsi="宋体" w:cs="宋体" w:eastAsia="宋体" w:hint="default"/>
          <w:sz w:val="24"/>
          <w:szCs w:val="24"/>
        </w:rPr>
      </w:pPr>
    </w:p>
    <w:p>
      <w:pPr>
        <w:pStyle w:val="BodyText"/>
        <w:spacing w:line="240" w:lineRule="auto" w:before="36"/>
        <w:ind w:right="0"/>
        <w:jc w:val="both"/>
      </w:pPr>
      <w:r>
        <w:rPr/>
        <w:t>政管理局办理工商登记，领取了注册号为</w:t>
      </w:r>
      <w:r>
        <w:rPr>
          <w:rFonts w:ascii="Times New Roman" w:hAnsi="Times New Roman" w:cs="Times New Roman" w:eastAsia="Times New Roman" w:hint="default"/>
        </w:rPr>
        <w:t>1100001196650</w:t>
      </w:r>
      <w:r>
        <w:rPr/>
        <w:t>的企业法人营业执照。</w:t>
      </w:r>
    </w:p>
    <w:p>
      <w:pPr>
        <w:pStyle w:val="BodyText"/>
        <w:spacing w:line="259" w:lineRule="auto" w:before="141"/>
        <w:ind w:right="0" w:firstLine="420"/>
        <w:jc w:val="left"/>
      </w:pP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16</w:t>
      </w:r>
      <w:r>
        <w:rPr>
          <w:spacing w:val="-2"/>
        </w:rPr>
        <w:t>日，首都信息发展股份有限公司和北京市国有资产经营有限责任公司签订股权转让协议，</w:t>
      </w:r>
      <w:r>
        <w:rPr>
          <w:w w:val="100"/>
        </w:rPr>
        <w:t> </w:t>
      </w:r>
      <w:r>
        <w:rPr/>
        <w:t>根据该协议，首都信息发展股份有限公司将其持有的</w:t>
      </w:r>
      <w:r>
        <w:rPr>
          <w:rFonts w:ascii="Times New Roman" w:hAnsi="Times New Roman" w:cs="Times New Roman" w:eastAsia="Times New Roman" w:hint="default"/>
        </w:rPr>
        <w:t>250</w:t>
      </w:r>
      <w:r>
        <w:rPr/>
        <w:t>万元股份转让给北京市国有资产经营有限责任公</w:t>
      </w:r>
      <w:r>
        <w:rPr>
          <w:spacing w:val="-25"/>
        </w:rPr>
        <w:t> </w:t>
      </w:r>
      <w:r>
        <w:rPr>
          <w:spacing w:val="-25"/>
        </w:rPr>
      </w:r>
      <w:r>
        <w:rPr>
          <w:spacing w:val="-4"/>
        </w:rPr>
        <w:t>司。转让后，北京市国有资产经营有限责任公司出资额为</w:t>
      </w:r>
      <w:r>
        <w:rPr>
          <w:rFonts w:ascii="Times New Roman" w:hAnsi="Times New Roman" w:cs="Times New Roman" w:eastAsia="Times New Roman" w:hint="default"/>
          <w:spacing w:val="-4"/>
        </w:rPr>
        <w:t>250</w:t>
      </w:r>
      <w:r>
        <w:rPr>
          <w:spacing w:val="-4"/>
        </w:rPr>
        <w:t>万元（占</w:t>
      </w:r>
      <w:r>
        <w:rPr>
          <w:rFonts w:ascii="Times New Roman" w:hAnsi="Times New Roman" w:cs="Times New Roman" w:eastAsia="Times New Roman" w:hint="default"/>
          <w:spacing w:val="-4"/>
        </w:rPr>
        <w:t>50%</w:t>
      </w:r>
      <w:r>
        <w:rPr>
          <w:spacing w:val="-4"/>
        </w:rPr>
        <w:t>），首都信息发展股份有限公司</w:t>
      </w:r>
      <w:r>
        <w:rPr>
          <w:spacing w:val="-13"/>
        </w:rPr>
        <w:t> </w:t>
      </w:r>
      <w:r>
        <w:rPr>
          <w:spacing w:val="-13"/>
        </w:rPr>
      </w:r>
      <w:r>
        <w:rPr>
          <w:spacing w:val="-7"/>
        </w:rPr>
        <w:t>出资额为</w:t>
      </w:r>
      <w:r>
        <w:rPr>
          <w:rFonts w:ascii="Times New Roman" w:hAnsi="Times New Roman" w:cs="Times New Roman" w:eastAsia="Times New Roman" w:hint="default"/>
          <w:spacing w:val="-7"/>
        </w:rPr>
        <w:t>200</w:t>
      </w:r>
      <w:r>
        <w:rPr>
          <w:spacing w:val="-7"/>
        </w:rPr>
        <w:t>万元（占</w:t>
      </w:r>
      <w:r>
        <w:rPr>
          <w:rFonts w:ascii="Times New Roman" w:hAnsi="Times New Roman" w:cs="Times New Roman" w:eastAsia="Times New Roman" w:hint="default"/>
          <w:spacing w:val="-7"/>
        </w:rPr>
        <w:t>40%</w:t>
      </w:r>
      <w:r>
        <w:rPr>
          <w:spacing w:val="-7"/>
        </w:rPr>
        <w:t>），上海市电子商务安全证书管理中心有限公司出资额为</w:t>
      </w:r>
      <w:r>
        <w:rPr>
          <w:rFonts w:ascii="Times New Roman" w:hAnsi="Times New Roman" w:cs="Times New Roman" w:eastAsia="Times New Roman" w:hint="default"/>
          <w:spacing w:val="-7"/>
        </w:rPr>
        <w:t>50</w:t>
      </w:r>
      <w:r>
        <w:rPr>
          <w:spacing w:val="-7"/>
        </w:rPr>
        <w:t>万元（占</w:t>
      </w:r>
      <w:r>
        <w:rPr>
          <w:rFonts w:ascii="Times New Roman" w:hAnsi="Times New Roman" w:cs="Times New Roman" w:eastAsia="Times New Roman" w:hint="default"/>
          <w:spacing w:val="-7"/>
        </w:rPr>
        <w:t>10%</w:t>
      </w:r>
      <w:r>
        <w:rPr>
          <w:spacing w:val="-7"/>
        </w:rPr>
        <w:t>）。</w:t>
      </w:r>
      <w:r>
        <w:rPr>
          <w:rFonts w:ascii="Times New Roman" w:hAnsi="Times New Roman" w:cs="Times New Roman" w:eastAsia="Times New Roman" w:hint="default"/>
          <w:spacing w:val="-7"/>
        </w:rPr>
        <w:t>2004</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日，本公司召开的第四次股东会一致通过由北京市国有资产经营有限责任公司、首都信息发展股份</w:t>
      </w:r>
      <w:r>
        <w:rPr>
          <w:w w:val="100"/>
        </w:rPr>
        <w:t> </w:t>
      </w:r>
      <w:r>
        <w:rPr/>
        <w:t>有限公司、上海市电子商务安全证书管理中心有限公司组成新的股东会，并同意将本公司的注册资本增加</w:t>
      </w:r>
      <w:r>
        <w:rPr>
          <w:w w:val="100"/>
        </w:rPr>
        <w:t> </w:t>
      </w:r>
      <w:r>
        <w:rPr>
          <w:rFonts w:ascii="Times New Roman" w:hAnsi="Times New Roman" w:cs="Times New Roman" w:eastAsia="Times New Roman" w:hint="default"/>
        </w:rPr>
        <w:t>1,500</w:t>
      </w:r>
      <w:r>
        <w:rPr/>
        <w:t>万元，即由人民币</w:t>
      </w:r>
      <w:r>
        <w:rPr>
          <w:rFonts w:ascii="Times New Roman" w:hAnsi="Times New Roman" w:cs="Times New Roman" w:eastAsia="Times New Roman" w:hint="default"/>
        </w:rPr>
        <w:t>500</w:t>
      </w:r>
      <w:r>
        <w:rPr/>
        <w:t>万元增至</w:t>
      </w:r>
      <w:r>
        <w:rPr>
          <w:rFonts w:ascii="Times New Roman" w:hAnsi="Times New Roman" w:cs="Times New Roman" w:eastAsia="Times New Roman" w:hint="default"/>
        </w:rPr>
        <w:t>2,000</w:t>
      </w:r>
      <w:r>
        <w:rPr/>
        <w:t>万元。增资后北京市国有资产经营有限责任公司出资额为</w:t>
      </w:r>
      <w:r>
        <w:rPr>
          <w:rFonts w:ascii="Times New Roman" w:hAnsi="Times New Roman" w:cs="Times New Roman" w:eastAsia="Times New Roman" w:hint="default"/>
        </w:rPr>
        <w:t>1,000</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万元（占</w:t>
      </w:r>
      <w:r>
        <w:rPr>
          <w:rFonts w:ascii="Times New Roman" w:hAnsi="Times New Roman" w:cs="Times New Roman" w:eastAsia="Times New Roman" w:hint="default"/>
        </w:rPr>
        <w:t>50%</w:t>
      </w:r>
      <w:r>
        <w:rPr/>
        <w:t>），首都信息发展股份有限公司出资额为</w:t>
      </w:r>
      <w:r>
        <w:rPr>
          <w:rFonts w:ascii="Times New Roman" w:hAnsi="Times New Roman" w:cs="Times New Roman" w:eastAsia="Times New Roman" w:hint="default"/>
        </w:rPr>
        <w:t>934</w:t>
      </w:r>
      <w:r>
        <w:rPr/>
        <w:t>万元（占</w:t>
      </w:r>
      <w:r>
        <w:rPr>
          <w:rFonts w:ascii="Times New Roman" w:hAnsi="Times New Roman" w:cs="Times New Roman" w:eastAsia="Times New Roman" w:hint="default"/>
        </w:rPr>
        <w:t>46.70%</w:t>
      </w:r>
      <w:r>
        <w:rPr/>
        <w:t>），上海市电子商务安全证书</w:t>
      </w:r>
      <w:r>
        <w:rPr>
          <w:spacing w:val="-8"/>
        </w:rPr>
        <w:t> </w:t>
      </w:r>
      <w:r>
        <w:rPr>
          <w:spacing w:val="-8"/>
        </w:rPr>
      </w:r>
      <w:r>
        <w:rPr>
          <w:spacing w:val="-3"/>
        </w:rPr>
        <w:t>管理中心有限公司出资额为</w:t>
      </w:r>
      <w:r>
        <w:rPr>
          <w:rFonts w:ascii="Times New Roman" w:hAnsi="Times New Roman" w:cs="Times New Roman" w:eastAsia="Times New Roman" w:hint="default"/>
          <w:spacing w:val="-3"/>
        </w:rPr>
        <w:t>66</w:t>
      </w:r>
      <w:r>
        <w:rPr>
          <w:spacing w:val="-3"/>
        </w:rPr>
        <w:t>万元（占</w:t>
      </w:r>
      <w:r>
        <w:rPr>
          <w:rFonts w:ascii="Times New Roman" w:hAnsi="Times New Roman" w:cs="Times New Roman" w:eastAsia="Times New Roman" w:hint="default"/>
          <w:spacing w:val="-3"/>
        </w:rPr>
        <w:t>3.30%</w:t>
      </w:r>
      <w:r>
        <w:rPr>
          <w:spacing w:val="-3"/>
        </w:rPr>
        <w:t>）。</w:t>
      </w:r>
      <w:r>
        <w:rPr>
          <w:rFonts w:ascii="Times New Roman" w:hAnsi="Times New Roman" w:cs="Times New Roman" w:eastAsia="Times New Roman" w:hint="default"/>
          <w:spacing w:val="-3"/>
        </w:rPr>
        <w:t>2004</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23</w:t>
      </w:r>
      <w:r>
        <w:rPr>
          <w:spacing w:val="-3"/>
        </w:rPr>
        <w:t>日，公司依据北京市商业银行出具的《交存</w:t>
      </w:r>
      <w:r>
        <w:rPr>
          <w:spacing w:val="1"/>
        </w:rPr>
        <w:t> </w:t>
      </w:r>
      <w:r>
        <w:rPr>
          <w:spacing w:val="1"/>
        </w:rPr>
      </w:r>
      <w:r>
        <w:rPr>
          <w:spacing w:val="-3"/>
        </w:rPr>
        <w:t>入资资金报告单》进行了入资确认，并取得北京市工商局出具的《企业入资核查情况》，确认</w:t>
      </w:r>
      <w:r>
        <w:rPr>
          <w:rFonts w:ascii="Times New Roman" w:hAnsi="Times New Roman" w:cs="Times New Roman" w:eastAsia="Times New Roman" w:hint="default"/>
          <w:spacing w:val="-3"/>
        </w:rPr>
        <w:t>1,500</w:t>
      </w:r>
      <w:r>
        <w:rPr>
          <w:spacing w:val="-3"/>
        </w:rPr>
        <w:t>万元出</w:t>
      </w:r>
      <w:r>
        <w:rPr>
          <w:spacing w:val="-46"/>
        </w:rPr>
        <w:t> </w:t>
      </w:r>
      <w:r>
        <w:rPr>
          <w:spacing w:val="-46"/>
        </w:rPr>
      </w:r>
      <w:r>
        <w:rPr/>
        <w:t>资款已足额缴付。</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日，本公司在北京市工商行政管理局办理了工商变更登记手续。</w:t>
      </w:r>
    </w:p>
    <w:p>
      <w:pPr>
        <w:pStyle w:val="BodyText"/>
        <w:spacing w:line="256" w:lineRule="auto" w:before="122"/>
        <w:ind w:right="0" w:firstLine="420"/>
        <w:jc w:val="left"/>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日，本公司股东上海市电子商务安全证书管理中心有限公司更名为上海市数字证书认证</w:t>
      </w:r>
      <w:r>
        <w:rPr>
          <w:w w:val="100"/>
        </w:rPr>
        <w:t> </w:t>
      </w:r>
      <w:r>
        <w:rPr/>
        <w:t>中心有限公司。</w:t>
      </w:r>
    </w:p>
    <w:p>
      <w:pPr>
        <w:pStyle w:val="BodyText"/>
        <w:spacing w:line="256" w:lineRule="auto" w:before="142"/>
        <w:ind w:right="209" w:firstLine="420"/>
        <w:jc w:val="both"/>
      </w:pP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26</w:t>
      </w:r>
      <w:r>
        <w:rPr>
          <w:spacing w:val="-1"/>
        </w:rPr>
        <w:t>日，本公司召开的第七次股东会一致通过增加注册资本</w:t>
      </w:r>
      <w:r>
        <w:rPr>
          <w:rFonts w:ascii="Times New Roman" w:hAnsi="Times New Roman" w:cs="Times New Roman" w:eastAsia="Times New Roman" w:hint="default"/>
          <w:spacing w:val="-1"/>
        </w:rPr>
        <w:t>1000</w:t>
      </w:r>
      <w:r>
        <w:rPr>
          <w:spacing w:val="-1"/>
        </w:rPr>
        <w:t>万元，即由人民币</w:t>
      </w:r>
      <w:r>
        <w:rPr>
          <w:rFonts w:ascii="Times New Roman" w:hAnsi="Times New Roman" w:cs="Times New Roman" w:eastAsia="Times New Roman" w:hint="default"/>
          <w:spacing w:val="-1"/>
        </w:rPr>
        <w:t>2,000</w:t>
      </w:r>
      <w:r>
        <w:rPr>
          <w:spacing w:val="-1"/>
        </w:rPr>
        <w:t>万元</w:t>
      </w:r>
      <w:r>
        <w:rPr>
          <w:spacing w:val="-3"/>
          <w:w w:val="100"/>
        </w:rPr>
        <w:t> </w:t>
      </w:r>
      <w:r>
        <w:rPr>
          <w:spacing w:val="-1"/>
        </w:rPr>
        <w:t>增至</w:t>
      </w:r>
      <w:r>
        <w:rPr>
          <w:rFonts w:ascii="Times New Roman" w:hAnsi="Times New Roman" w:cs="Times New Roman" w:eastAsia="Times New Roman" w:hint="default"/>
          <w:spacing w:val="-1"/>
        </w:rPr>
        <w:t>3,000</w:t>
      </w:r>
      <w:r>
        <w:rPr>
          <w:spacing w:val="-1"/>
        </w:rPr>
        <w:t>万元。其中，北京市国有资产经营有限责任公司以现金方式增资</w:t>
      </w:r>
      <w:r>
        <w:rPr>
          <w:rFonts w:ascii="Times New Roman" w:hAnsi="Times New Roman" w:cs="Times New Roman" w:eastAsia="Times New Roman" w:hint="default"/>
          <w:spacing w:val="-1"/>
        </w:rPr>
        <w:t>500</w:t>
      </w:r>
      <w:r>
        <w:rPr>
          <w:spacing w:val="-1"/>
        </w:rPr>
        <w:t>万元，首都信息发展股份有</w:t>
      </w:r>
      <w:r>
        <w:rPr>
          <w:spacing w:val="-29"/>
        </w:rPr>
        <w:t> </w:t>
      </w:r>
      <w:r>
        <w:rPr>
          <w:spacing w:val="-29"/>
        </w:rPr>
      </w:r>
      <w:r>
        <w:rPr/>
        <w:t>限公司以现金方式增资</w:t>
      </w:r>
      <w:r>
        <w:rPr>
          <w:rFonts w:ascii="Times New Roman" w:hAnsi="Times New Roman" w:cs="Times New Roman" w:eastAsia="Times New Roman" w:hint="default"/>
        </w:rPr>
        <w:t>497.40</w:t>
      </w:r>
      <w:r>
        <w:rPr/>
        <w:t>万元，上海市数字证书认证中心有限公司以现金方式增资</w:t>
      </w:r>
      <w:r>
        <w:rPr>
          <w:rFonts w:ascii="Times New Roman" w:hAnsi="Times New Roman" w:cs="Times New Roman" w:eastAsia="Times New Roman" w:hint="default"/>
        </w:rPr>
        <w:t>2.60</w:t>
      </w:r>
      <w:r>
        <w:rPr/>
        <w:t>万元。增资后</w:t>
      </w:r>
      <w:r>
        <w:rPr>
          <w:spacing w:val="-24"/>
        </w:rPr>
        <w:t> </w:t>
      </w:r>
      <w:r>
        <w:rPr>
          <w:spacing w:val="-24"/>
        </w:rPr>
      </w:r>
      <w:r>
        <w:rPr/>
        <w:t>北京市国有资产经营有限责任公司出资额为</w:t>
      </w:r>
      <w:r>
        <w:rPr>
          <w:rFonts w:ascii="Times New Roman" w:hAnsi="Times New Roman" w:cs="Times New Roman" w:eastAsia="Times New Roman" w:hint="default"/>
        </w:rPr>
        <w:t>1,500</w:t>
      </w:r>
      <w:r>
        <w:rPr/>
        <w:t>万元（占</w:t>
      </w:r>
      <w:r>
        <w:rPr>
          <w:rFonts w:ascii="Times New Roman" w:hAnsi="Times New Roman" w:cs="Times New Roman" w:eastAsia="Times New Roman" w:hint="default"/>
        </w:rPr>
        <w:t>50%</w:t>
      </w:r>
      <w:r>
        <w:rPr/>
        <w:t>），首都信息发展股份有限公司出资额为</w:t>
      </w:r>
      <w:r>
        <w:rPr>
          <w:spacing w:val="51"/>
        </w:rPr>
        <w:t> </w:t>
      </w:r>
      <w:r>
        <w:rPr>
          <w:spacing w:val="51"/>
        </w:rPr>
      </w:r>
      <w:r>
        <w:rPr>
          <w:rFonts w:ascii="Times New Roman" w:hAnsi="Times New Roman" w:cs="Times New Roman" w:eastAsia="Times New Roman" w:hint="default"/>
        </w:rPr>
        <w:t>1,431.40</w:t>
      </w:r>
      <w:r>
        <w:rPr/>
        <w:t>万元（占</w:t>
      </w:r>
      <w:r>
        <w:rPr>
          <w:rFonts w:ascii="Times New Roman" w:hAnsi="Times New Roman" w:cs="Times New Roman" w:eastAsia="Times New Roman" w:hint="default"/>
        </w:rPr>
        <w:t>47.71%</w:t>
      </w:r>
      <w:r>
        <w:rPr/>
        <w:t>），上海市数字证书认证中心有限公司出资额为</w:t>
      </w:r>
      <w:r>
        <w:rPr>
          <w:rFonts w:ascii="Times New Roman" w:hAnsi="Times New Roman" w:cs="Times New Roman" w:eastAsia="Times New Roman" w:hint="default"/>
        </w:rPr>
        <w:t>68.60</w:t>
      </w:r>
      <w:r>
        <w:rPr/>
        <w:t>万元（占</w:t>
      </w:r>
      <w:r>
        <w:rPr>
          <w:rFonts w:ascii="Times New Roman" w:hAnsi="Times New Roman" w:cs="Times New Roman" w:eastAsia="Times New Roman" w:hint="default"/>
        </w:rPr>
        <w:t>2.29%</w:t>
      </w:r>
      <w:r>
        <w:rPr/>
        <w:t>）。本次变</w:t>
      </w:r>
      <w:r>
        <w:rPr>
          <w:spacing w:val="-10"/>
        </w:rPr>
        <w:t> </w:t>
      </w:r>
      <w:r>
        <w:rPr>
          <w:spacing w:val="-10"/>
        </w:rPr>
      </w:r>
      <w:r>
        <w:rPr/>
        <w:t>更业经北京大通会计师事务所审验并出具大通验字（</w:t>
      </w:r>
      <w:r>
        <w:rPr>
          <w:rFonts w:ascii="Times New Roman" w:hAnsi="Times New Roman" w:cs="Times New Roman" w:eastAsia="Times New Roman" w:hint="default"/>
        </w:rPr>
        <w:t>2005</w:t>
      </w:r>
      <w:r>
        <w:rPr/>
        <w:t>）第</w:t>
      </w:r>
      <w:r>
        <w:rPr>
          <w:rFonts w:ascii="Times New Roman" w:hAnsi="Times New Roman" w:cs="Times New Roman" w:eastAsia="Times New Roman" w:hint="default"/>
        </w:rPr>
        <w:t>022</w:t>
      </w:r>
      <w:r>
        <w:rPr/>
        <w:t>号验资报告。本公司于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日在</w:t>
      </w:r>
      <w:r>
        <w:rPr>
          <w:spacing w:val="-29"/>
        </w:rPr>
        <w:t> </w:t>
      </w:r>
      <w:r>
        <w:rPr/>
        <w:t>北京市工商行政管理局办理工商登记变更，换领了注册号为</w:t>
      </w:r>
      <w:r>
        <w:rPr>
          <w:rFonts w:ascii="Times New Roman" w:hAnsi="Times New Roman" w:cs="Times New Roman" w:eastAsia="Times New Roman" w:hint="default"/>
        </w:rPr>
        <w:t>110000001966505</w:t>
      </w:r>
      <w:r>
        <w:rPr/>
        <w:t>的企业法人营业执照。</w:t>
      </w:r>
    </w:p>
    <w:p>
      <w:pPr>
        <w:pStyle w:val="BodyText"/>
        <w:spacing w:line="256" w:lineRule="auto" w:before="125"/>
        <w:ind w:right="0" w:firstLine="420"/>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日，本公司根据第十六次股东会决议和修改后的公司章程规定，增加注册资本人民币</w:t>
      </w:r>
      <w:r>
        <w:rPr>
          <w:rFonts w:ascii="Times New Roman" w:hAnsi="Times New Roman" w:cs="Times New Roman" w:eastAsia="Times New Roman" w:hint="default"/>
        </w:rPr>
        <w:t>113</w:t>
      </w:r>
      <w:r>
        <w:rPr>
          <w:rFonts w:ascii="Times New Roman" w:hAnsi="Times New Roman" w:cs="Times New Roman" w:eastAsia="Times New Roman" w:hint="default"/>
          <w:w w:val="100"/>
        </w:rPr>
        <w:t> </w:t>
      </w:r>
      <w:r>
        <w:rPr>
          <w:spacing w:val="-3"/>
        </w:rPr>
        <w:t>万元，资本公积人民币</w:t>
      </w:r>
      <w:r>
        <w:rPr>
          <w:rFonts w:ascii="Times New Roman" w:hAnsi="Times New Roman" w:cs="Times New Roman" w:eastAsia="Times New Roman" w:hint="default"/>
          <w:spacing w:val="-3"/>
        </w:rPr>
        <w:t>70</w:t>
      </w:r>
      <w:r>
        <w:rPr>
          <w:spacing w:val="-3"/>
        </w:rPr>
        <w:t>万元，变更后的注册资本为人民币</w:t>
      </w:r>
      <w:r>
        <w:rPr>
          <w:rFonts w:ascii="Times New Roman" w:hAnsi="Times New Roman" w:cs="Times New Roman" w:eastAsia="Times New Roman" w:hint="default"/>
          <w:spacing w:val="-3"/>
        </w:rPr>
        <w:t>3,113</w:t>
      </w:r>
      <w:r>
        <w:rPr>
          <w:spacing w:val="-3"/>
        </w:rPr>
        <w:t>万元。新增注册资本由本公司</w:t>
      </w:r>
      <w:r>
        <w:rPr>
          <w:rFonts w:ascii="Times New Roman" w:hAnsi="Times New Roman" w:cs="Times New Roman" w:eastAsia="Times New Roman" w:hint="default"/>
          <w:spacing w:val="-3"/>
        </w:rPr>
        <w:t>46</w:t>
      </w:r>
      <w:r>
        <w:rPr>
          <w:spacing w:val="-3"/>
        </w:rPr>
        <w:t>名核心员</w:t>
      </w:r>
      <w:r>
        <w:rPr>
          <w:spacing w:val="-41"/>
        </w:rPr>
        <w:t> </w:t>
      </w:r>
      <w:r>
        <w:rPr>
          <w:spacing w:val="-41"/>
        </w:rPr>
      </w:r>
      <w:r>
        <w:rPr>
          <w:spacing w:val="-2"/>
        </w:rPr>
        <w:t>工通过增资扩股的方式认缴。增资后北京市国有资产经营有限责任公司出资额为</w:t>
      </w:r>
      <w:r>
        <w:rPr>
          <w:rFonts w:ascii="Times New Roman" w:hAnsi="Times New Roman" w:cs="Times New Roman" w:eastAsia="Times New Roman" w:hint="default"/>
          <w:spacing w:val="-2"/>
        </w:rPr>
        <w:t>1,500</w:t>
      </w:r>
      <w:r>
        <w:rPr>
          <w:spacing w:val="-2"/>
        </w:rPr>
        <w:t>万元（占</w:t>
      </w:r>
      <w:r>
        <w:rPr>
          <w:rFonts w:ascii="Times New Roman" w:hAnsi="Times New Roman" w:cs="Times New Roman" w:eastAsia="Times New Roman" w:hint="default"/>
          <w:spacing w:val="-2"/>
        </w:rPr>
        <w:t>48.19%</w:t>
      </w:r>
      <w:r>
        <w:rPr>
          <w:spacing w:val="-2"/>
        </w:rPr>
        <w:t>），</w:t>
      </w:r>
      <w:r>
        <w:rPr>
          <w:spacing w:val="-13"/>
        </w:rPr>
        <w:t> </w:t>
      </w:r>
      <w:r>
        <w:rPr/>
        <w:t>首都信息发展股份有限公司出资额为</w:t>
      </w:r>
      <w:r>
        <w:rPr>
          <w:rFonts w:ascii="Times New Roman" w:hAnsi="Times New Roman" w:cs="Times New Roman" w:eastAsia="Times New Roman" w:hint="default"/>
        </w:rPr>
        <w:t>1,431.40</w:t>
      </w:r>
      <w:r>
        <w:rPr/>
        <w:t>万元（占</w:t>
      </w:r>
      <w:r>
        <w:rPr>
          <w:rFonts w:ascii="Times New Roman" w:hAnsi="Times New Roman" w:cs="Times New Roman" w:eastAsia="Times New Roman" w:hint="default"/>
        </w:rPr>
        <w:t>45.98%</w:t>
      </w:r>
      <w:r>
        <w:rPr/>
        <w:t>），上海市数字证书认证中心有限公司出资</w:t>
      </w:r>
      <w:r>
        <w:rPr>
          <w:spacing w:val="-44"/>
        </w:rPr>
        <w:t> </w:t>
      </w:r>
      <w:r>
        <w:rPr>
          <w:spacing w:val="-44"/>
        </w:rPr>
      </w:r>
      <w:r>
        <w:rPr/>
        <w:t>额为</w:t>
      </w:r>
      <w:r>
        <w:rPr>
          <w:rFonts w:ascii="Times New Roman" w:hAnsi="Times New Roman" w:cs="Times New Roman" w:eastAsia="Times New Roman" w:hint="default"/>
        </w:rPr>
        <w:t>68.60</w:t>
      </w:r>
      <w:r>
        <w:rPr/>
        <w:t>万元（占</w:t>
      </w:r>
      <w:r>
        <w:rPr>
          <w:rFonts w:ascii="Times New Roman" w:hAnsi="Times New Roman" w:cs="Times New Roman" w:eastAsia="Times New Roman" w:hint="default"/>
        </w:rPr>
        <w:t>2.20%</w:t>
      </w:r>
      <w:r>
        <w:rPr/>
        <w:t>），员工出资额</w:t>
      </w:r>
      <w:r>
        <w:rPr>
          <w:rFonts w:ascii="Times New Roman" w:hAnsi="Times New Roman" w:cs="Times New Roman" w:eastAsia="Times New Roman" w:hint="default"/>
        </w:rPr>
        <w:t>113</w:t>
      </w:r>
      <w:r>
        <w:rPr/>
        <w:t>万元（占</w:t>
      </w:r>
      <w:r>
        <w:rPr>
          <w:rFonts w:ascii="Times New Roman" w:hAnsi="Times New Roman" w:cs="Times New Roman" w:eastAsia="Times New Roman" w:hint="default"/>
        </w:rPr>
        <w:t>3.63%</w:t>
      </w:r>
      <w:r>
        <w:rPr/>
        <w:t>）。本次变更业经京都天华会计师事务所有限</w:t>
      </w:r>
      <w:r>
        <w:rPr>
          <w:w w:val="100"/>
        </w:rPr>
        <w:t> </w:t>
      </w:r>
      <w:r>
        <w:rPr>
          <w:spacing w:val="-2"/>
        </w:rPr>
        <w:t>公司审验并出具京都天华验字（</w:t>
      </w:r>
      <w:r>
        <w:rPr>
          <w:rFonts w:ascii="Times New Roman" w:hAnsi="Times New Roman" w:cs="Times New Roman" w:eastAsia="Times New Roman" w:hint="default"/>
          <w:spacing w:val="-2"/>
        </w:rPr>
        <w:t>2010</w:t>
      </w:r>
      <w:r>
        <w:rPr>
          <w:spacing w:val="-2"/>
        </w:rPr>
        <w:t>）第</w:t>
      </w:r>
      <w:r>
        <w:rPr>
          <w:rFonts w:ascii="Times New Roman" w:hAnsi="Times New Roman" w:cs="Times New Roman" w:eastAsia="Times New Roman" w:hint="default"/>
          <w:spacing w:val="-2"/>
        </w:rPr>
        <w:t>155</w:t>
      </w:r>
      <w:r>
        <w:rPr>
          <w:spacing w:val="-2"/>
        </w:rPr>
        <w:t>号验资报告。本公司于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w:t>
      </w:r>
      <w:r>
        <w:rPr>
          <w:spacing w:val="-2"/>
        </w:rPr>
        <w:t>日在北京市工商行政管理</w:t>
      </w:r>
      <w:r>
        <w:rPr>
          <w:spacing w:val="-33"/>
        </w:rPr>
        <w:t> </w:t>
      </w:r>
      <w:r>
        <w:rPr>
          <w:spacing w:val="-33"/>
        </w:rPr>
      </w:r>
      <w:r>
        <w:rPr/>
        <w:t>局办理工商登记变更。</w:t>
      </w:r>
    </w:p>
    <w:p>
      <w:pPr>
        <w:pStyle w:val="BodyText"/>
        <w:spacing w:line="240" w:lineRule="auto" w:before="142"/>
        <w:ind w:left="533" w:right="0"/>
        <w:jc w:val="left"/>
      </w:pP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16</w:t>
      </w:r>
      <w:r>
        <w:rPr>
          <w:spacing w:val="3"/>
        </w:rPr>
        <w:t>日，本公司根据第十九次股东会决议和修改后的公司章程规定，增加注册资本人民币</w:t>
      </w:r>
    </w:p>
    <w:p>
      <w:pPr>
        <w:pStyle w:val="BodyText"/>
        <w:spacing w:line="256" w:lineRule="auto" w:before="21"/>
        <w:ind w:right="208"/>
        <w:jc w:val="both"/>
      </w:pPr>
      <w:r>
        <w:rPr>
          <w:rFonts w:ascii="Times New Roman" w:hAnsi="Times New Roman" w:cs="Times New Roman" w:eastAsia="Times New Roman" w:hint="default"/>
          <w:spacing w:val="-1"/>
        </w:rPr>
        <w:t>92.3765</w:t>
      </w:r>
      <w:r>
        <w:rPr>
          <w:spacing w:val="-1"/>
        </w:rPr>
        <w:t>万元，变更后的注册资本为人民币</w:t>
      </w:r>
      <w:r>
        <w:rPr>
          <w:rFonts w:ascii="Times New Roman" w:hAnsi="Times New Roman" w:cs="Times New Roman" w:eastAsia="Times New Roman" w:hint="default"/>
          <w:spacing w:val="-1"/>
        </w:rPr>
        <w:t>3,205.3765</w:t>
      </w:r>
      <w:r>
        <w:rPr>
          <w:spacing w:val="-1"/>
        </w:rPr>
        <w:t>万元。新增注册资本由本公司</w:t>
      </w:r>
      <w:r>
        <w:rPr>
          <w:rFonts w:ascii="Times New Roman" w:hAnsi="Times New Roman" w:cs="Times New Roman" w:eastAsia="Times New Roman" w:hint="default"/>
          <w:spacing w:val="-1"/>
        </w:rPr>
        <w:t>46</w:t>
      </w:r>
      <w:r>
        <w:rPr>
          <w:spacing w:val="-1"/>
        </w:rPr>
        <w:t>名核心员工通过增资</w:t>
      </w:r>
      <w:r>
        <w:rPr>
          <w:spacing w:val="-24"/>
        </w:rPr>
        <w:t> </w:t>
      </w:r>
      <w:r>
        <w:rPr>
          <w:spacing w:val="-24"/>
        </w:rPr>
      </w:r>
      <w:r>
        <w:rPr>
          <w:spacing w:val="-4"/>
        </w:rPr>
        <w:t>扩股的方式认缴。增资后北京市国有资产经营有限责任公司出资额为</w:t>
      </w:r>
      <w:r>
        <w:rPr>
          <w:rFonts w:ascii="Times New Roman" w:hAnsi="Times New Roman" w:cs="Times New Roman" w:eastAsia="Times New Roman" w:hint="default"/>
          <w:spacing w:val="-4"/>
        </w:rPr>
        <w:t>1,500</w:t>
      </w:r>
      <w:r>
        <w:rPr>
          <w:spacing w:val="-4"/>
        </w:rPr>
        <w:t>万元（占</w:t>
      </w:r>
      <w:r>
        <w:rPr>
          <w:rFonts w:ascii="Times New Roman" w:hAnsi="Times New Roman" w:cs="Times New Roman" w:eastAsia="Times New Roman" w:hint="default"/>
          <w:spacing w:val="-4"/>
        </w:rPr>
        <w:t>46.7964%</w:t>
      </w:r>
      <w:r>
        <w:rPr>
          <w:spacing w:val="-4"/>
        </w:rPr>
        <w:t>），首都信息</w:t>
      </w:r>
      <w:r>
        <w:rPr>
          <w:spacing w:val="1"/>
        </w:rPr>
        <w:t> </w:t>
      </w:r>
      <w:r>
        <w:rPr>
          <w:spacing w:val="1"/>
        </w:rPr>
      </w:r>
      <w:r>
        <w:rPr>
          <w:spacing w:val="-5"/>
        </w:rPr>
        <w:t>发展股份有限公司出资额为</w:t>
      </w:r>
      <w:r>
        <w:rPr>
          <w:rFonts w:ascii="Times New Roman" w:hAnsi="Times New Roman" w:cs="Times New Roman" w:eastAsia="Times New Roman" w:hint="default"/>
          <w:spacing w:val="-5"/>
        </w:rPr>
        <w:t>1,431.40</w:t>
      </w:r>
      <w:r>
        <w:rPr>
          <w:spacing w:val="-5"/>
        </w:rPr>
        <w:t>万元（占</w:t>
      </w:r>
      <w:r>
        <w:rPr>
          <w:rFonts w:ascii="Times New Roman" w:hAnsi="Times New Roman" w:cs="Times New Roman" w:eastAsia="Times New Roman" w:hint="default"/>
          <w:spacing w:val="-5"/>
        </w:rPr>
        <w:t>44.6562%</w:t>
      </w:r>
      <w:r>
        <w:rPr>
          <w:spacing w:val="-5"/>
        </w:rPr>
        <w:t>），上海市数字证书认证中心有限公司出资额为</w:t>
      </w:r>
      <w:r>
        <w:rPr>
          <w:rFonts w:ascii="Times New Roman" w:hAnsi="Times New Roman" w:cs="Times New Roman" w:eastAsia="Times New Roman" w:hint="default"/>
          <w:spacing w:val="-5"/>
        </w:rPr>
        <w:t>68.60</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spacing w:val="-2"/>
        </w:rPr>
        <w:t>万元（占</w:t>
      </w:r>
      <w:r>
        <w:rPr>
          <w:rFonts w:ascii="Times New Roman" w:hAnsi="Times New Roman" w:cs="Times New Roman" w:eastAsia="Times New Roman" w:hint="default"/>
          <w:spacing w:val="-2"/>
        </w:rPr>
        <w:t>2.1402%</w:t>
      </w:r>
      <w:r>
        <w:rPr>
          <w:spacing w:val="-2"/>
        </w:rPr>
        <w:t>），员工出资额</w:t>
      </w:r>
      <w:r>
        <w:rPr>
          <w:rFonts w:ascii="Times New Roman" w:hAnsi="Times New Roman" w:cs="Times New Roman" w:eastAsia="Times New Roman" w:hint="default"/>
          <w:spacing w:val="-2"/>
        </w:rPr>
        <w:t>205.3765</w:t>
      </w:r>
      <w:r>
        <w:rPr>
          <w:spacing w:val="-2"/>
        </w:rPr>
        <w:t>万元（占</w:t>
      </w:r>
      <w:r>
        <w:rPr>
          <w:rFonts w:ascii="Times New Roman" w:hAnsi="Times New Roman" w:cs="Times New Roman" w:eastAsia="Times New Roman" w:hint="default"/>
          <w:spacing w:val="-2"/>
        </w:rPr>
        <w:t>6.4072%</w:t>
      </w:r>
      <w:r>
        <w:rPr>
          <w:spacing w:val="-2"/>
        </w:rPr>
        <w:t>）。本次变更业经京都天华会计师事务所有限</w:t>
      </w:r>
      <w:r>
        <w:rPr>
          <w:spacing w:val="-5"/>
        </w:rPr>
        <w:t> </w:t>
      </w:r>
      <w:r>
        <w:rPr>
          <w:spacing w:val="-5"/>
        </w:rPr>
      </w:r>
      <w:r>
        <w:rPr/>
        <w:t>公司审验并出具京都天华验字（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0047</w:t>
      </w:r>
      <w:r>
        <w:rPr/>
        <w:t>号验资报告。本公司于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日在北京市工商行政管</w:t>
      </w:r>
      <w:r>
        <w:rPr>
          <w:spacing w:val="-26"/>
        </w:rPr>
        <w:t> </w:t>
      </w:r>
      <w:r>
        <w:rPr>
          <w:spacing w:val="-26"/>
        </w:rPr>
      </w:r>
      <w:r>
        <w:rPr/>
        <w:t>理局办理工商登记变更。</w:t>
      </w:r>
    </w:p>
    <w:p>
      <w:pPr>
        <w:pStyle w:val="BodyText"/>
        <w:spacing w:line="256" w:lineRule="auto" w:before="142"/>
        <w:ind w:right="206" w:firstLine="420"/>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日，本公司全体股东共同签署《发起人协议》并通过修改后的公司章程。根据《发起人</w:t>
      </w:r>
      <w:r>
        <w:rPr>
          <w:w w:val="100"/>
        </w:rPr>
        <w:t> </w:t>
      </w:r>
      <w:r>
        <w:rPr/>
        <w:t>协议》和公司章程，以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日的净资产以发起设立的方式整体变更为股份有限公司，总股本设置</w:t>
      </w:r>
      <w:r>
        <w:rPr>
          <w:spacing w:val="-28"/>
        </w:rPr>
        <w:t> </w:t>
      </w:r>
      <w:r>
        <w:rPr>
          <w:spacing w:val="-28"/>
        </w:rPr>
      </w:r>
      <w:r>
        <w:rPr>
          <w:spacing w:val="-3"/>
        </w:rPr>
        <w:t>为</w:t>
      </w:r>
      <w:r>
        <w:rPr>
          <w:rFonts w:ascii="Times New Roman" w:hAnsi="Times New Roman" w:cs="Times New Roman" w:eastAsia="Times New Roman" w:hint="default"/>
          <w:spacing w:val="-3"/>
        </w:rPr>
        <w:t>4,700</w:t>
      </w:r>
      <w:r>
        <w:rPr>
          <w:spacing w:val="-3"/>
        </w:rPr>
        <w:t>万股，均为每股面值</w:t>
      </w:r>
      <w:r>
        <w:rPr>
          <w:rFonts w:ascii="Times New Roman" w:hAnsi="Times New Roman" w:cs="Times New Roman" w:eastAsia="Times New Roman" w:hint="default"/>
          <w:spacing w:val="-3"/>
        </w:rPr>
        <w:t>1</w:t>
      </w:r>
      <w:r>
        <w:rPr>
          <w:spacing w:val="-3"/>
        </w:rPr>
        <w:t>元的人民币普通股。其中，北京市国有资产经营有限责任公司持有</w:t>
      </w:r>
      <w:r>
        <w:rPr>
          <w:rFonts w:ascii="Times New Roman" w:hAnsi="Times New Roman" w:cs="Times New Roman" w:eastAsia="Times New Roman" w:hint="default"/>
          <w:spacing w:val="-3"/>
        </w:rPr>
        <w:t>2,199.4308</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万股，占总股本的</w:t>
      </w:r>
      <w:r>
        <w:rPr>
          <w:rFonts w:ascii="Times New Roman" w:hAnsi="Times New Roman" w:cs="Times New Roman" w:eastAsia="Times New Roman" w:hint="default"/>
        </w:rPr>
        <w:t>46.7964%</w:t>
      </w:r>
      <w:r>
        <w:rPr/>
        <w:t>；首都信息发展股份有限公司持有</w:t>
      </w:r>
      <w:r>
        <w:rPr>
          <w:rFonts w:ascii="Times New Roman" w:hAnsi="Times New Roman" w:cs="Times New Roman" w:eastAsia="Times New Roman" w:hint="default"/>
        </w:rPr>
        <w:t>2,098.8414</w:t>
      </w:r>
      <w:r>
        <w:rPr/>
        <w:t>万股，占总股本的</w:t>
      </w:r>
      <w:r>
        <w:rPr>
          <w:rFonts w:ascii="Times New Roman" w:hAnsi="Times New Roman" w:cs="Times New Roman" w:eastAsia="Times New Roman" w:hint="default"/>
        </w:rPr>
        <w:t>44.6562%</w:t>
      </w:r>
      <w:r>
        <w:rPr/>
        <w:t>；上</w:t>
      </w:r>
      <w:r>
        <w:rPr>
          <w:spacing w:val="-62"/>
        </w:rPr>
        <w:t> </w:t>
      </w:r>
      <w:r>
        <w:rPr>
          <w:spacing w:val="-2"/>
        </w:rPr>
        <w:t>海市数字证书认证中心有限公司持有</w:t>
      </w:r>
      <w:r>
        <w:rPr>
          <w:rFonts w:ascii="Times New Roman" w:hAnsi="Times New Roman" w:cs="Times New Roman" w:eastAsia="Times New Roman" w:hint="default"/>
          <w:spacing w:val="-2"/>
        </w:rPr>
        <w:t>100.5894</w:t>
      </w:r>
      <w:r>
        <w:rPr>
          <w:spacing w:val="-2"/>
        </w:rPr>
        <w:t>万股，占总股本的</w:t>
      </w:r>
      <w:r>
        <w:rPr>
          <w:rFonts w:ascii="Times New Roman" w:hAnsi="Times New Roman" w:cs="Times New Roman" w:eastAsia="Times New Roman" w:hint="default"/>
          <w:spacing w:val="-2"/>
        </w:rPr>
        <w:t>2.1402%</w:t>
      </w:r>
      <w:r>
        <w:rPr>
          <w:spacing w:val="-2"/>
        </w:rPr>
        <w:t>；员工持有</w:t>
      </w:r>
      <w:r>
        <w:rPr>
          <w:rFonts w:ascii="Times New Roman" w:hAnsi="Times New Roman" w:cs="Times New Roman" w:eastAsia="Times New Roman" w:hint="default"/>
          <w:spacing w:val="-2"/>
        </w:rPr>
        <w:t>301.1384</w:t>
      </w:r>
      <w:r>
        <w:rPr>
          <w:spacing w:val="-2"/>
        </w:rPr>
        <w:t>万股，占总股</w:t>
      </w:r>
      <w:r>
        <w:rPr>
          <w:spacing w:val="-39"/>
        </w:rPr>
        <w:t> </w:t>
      </w:r>
      <w:r>
        <w:rPr>
          <w:spacing w:val="-39"/>
        </w:rPr>
      </w:r>
      <w:r>
        <w:rPr/>
        <w:t>本的</w:t>
      </w:r>
      <w:r>
        <w:rPr>
          <w:rFonts w:ascii="Times New Roman" w:hAnsi="Times New Roman" w:cs="Times New Roman" w:eastAsia="Times New Roman" w:hint="default"/>
        </w:rPr>
        <w:t>6.4072%</w:t>
      </w:r>
      <w:r>
        <w:rPr/>
        <w:t>。本次变更业经京都天华会计师事务所有限公司审验并出具京都天华验字（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0170</w:t>
      </w:r>
      <w:r>
        <w:rPr/>
        <w:t>号</w:t>
      </w:r>
      <w:r>
        <w:rPr>
          <w:spacing w:val="-42"/>
        </w:rPr>
        <w:t> </w:t>
      </w:r>
      <w:r>
        <w:rPr/>
        <w:t>验资报告。本公司于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日在北京市工商行政管理局办理工商登记变更。</w:t>
      </w:r>
    </w:p>
    <w:p>
      <w:pPr>
        <w:spacing w:after="0" w:line="256" w:lineRule="auto"/>
        <w:jc w:val="both"/>
        <w:sectPr>
          <w:pgSz w:w="11910" w:h="16840"/>
          <w:pgMar w:header="867" w:footer="979" w:top="1060" w:bottom="1160" w:left="1020" w:right="920"/>
        </w:sectPr>
      </w:pPr>
    </w:p>
    <w:p>
      <w:pPr>
        <w:spacing w:line="240" w:lineRule="auto" w:before="13"/>
        <w:rPr>
          <w:rFonts w:ascii="宋体" w:hAnsi="宋体" w:cs="宋体" w:eastAsia="宋体" w:hint="default"/>
          <w:sz w:val="24"/>
          <w:szCs w:val="24"/>
        </w:rPr>
      </w:pPr>
    </w:p>
    <w:p>
      <w:pPr>
        <w:pStyle w:val="BodyText"/>
        <w:spacing w:line="256" w:lineRule="auto" w:before="36"/>
        <w:ind w:right="0" w:firstLine="42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日，本公司根据第二次股东大会决议和修改后的章程规定，本公司申请增加注册资本人</w:t>
      </w:r>
      <w:r>
        <w:rPr>
          <w:w w:val="100"/>
        </w:rPr>
        <w:t> </w:t>
      </w:r>
      <w:r>
        <w:rPr/>
        <w:t>民币</w:t>
      </w:r>
      <w:r>
        <w:rPr>
          <w:rFonts w:ascii="Times New Roman" w:hAnsi="Times New Roman" w:cs="Times New Roman" w:eastAsia="Times New Roman" w:hint="default"/>
        </w:rPr>
        <w:t>1,300</w:t>
      </w:r>
      <w:r>
        <w:rPr/>
        <w:t>万元，变更后的注册资本为人民币</w:t>
      </w:r>
      <w:r>
        <w:rPr>
          <w:rFonts w:ascii="Times New Roman" w:hAnsi="Times New Roman" w:cs="Times New Roman" w:eastAsia="Times New Roman" w:hint="default"/>
        </w:rPr>
        <w:t>6,000</w:t>
      </w:r>
      <w:r>
        <w:rPr/>
        <w:t>万元。本次变更经京都天华会计师事务所有限公司审验</w:t>
      </w:r>
      <w:r>
        <w:rPr>
          <w:spacing w:val="-26"/>
        </w:rPr>
        <w:t> </w:t>
      </w:r>
      <w:r>
        <w:rPr>
          <w:spacing w:val="-26"/>
        </w:rPr>
      </w:r>
      <w:r>
        <w:rPr>
          <w:spacing w:val="-2"/>
        </w:rPr>
        <w:t>并出具京都天华验字（</w:t>
      </w:r>
      <w:r>
        <w:rPr>
          <w:rFonts w:ascii="Times New Roman" w:hAnsi="Times New Roman" w:cs="Times New Roman" w:eastAsia="Times New Roman" w:hint="default"/>
          <w:spacing w:val="-2"/>
        </w:rPr>
        <w:t>2011</w:t>
      </w:r>
      <w:r>
        <w:rPr>
          <w:spacing w:val="-2"/>
        </w:rPr>
        <w:t>）第</w:t>
      </w:r>
      <w:r>
        <w:rPr>
          <w:rFonts w:ascii="Times New Roman" w:hAnsi="Times New Roman" w:cs="Times New Roman" w:eastAsia="Times New Roman" w:hint="default"/>
          <w:spacing w:val="-2"/>
        </w:rPr>
        <w:t>0213</w:t>
      </w:r>
      <w:r>
        <w:rPr>
          <w:spacing w:val="-2"/>
        </w:rPr>
        <w:t>号验资报告。北京市国有资产经营有限责任公司持有</w:t>
      </w:r>
      <w:r>
        <w:rPr>
          <w:rFonts w:ascii="Times New Roman" w:hAnsi="Times New Roman" w:cs="Times New Roman" w:eastAsia="Times New Roman" w:hint="default"/>
          <w:spacing w:val="-2"/>
        </w:rPr>
        <w:t>2,199.4308</w:t>
      </w:r>
      <w:r>
        <w:rPr>
          <w:spacing w:val="-2"/>
        </w:rPr>
        <w:t>万股，</w:t>
      </w:r>
      <w:r>
        <w:rPr>
          <w:spacing w:val="-32"/>
        </w:rPr>
        <w:t> </w:t>
      </w:r>
      <w:r>
        <w:rPr/>
        <w:t>占变更后股本的</w:t>
      </w:r>
      <w:r>
        <w:rPr>
          <w:rFonts w:ascii="Times New Roman" w:hAnsi="Times New Roman" w:cs="Times New Roman" w:eastAsia="Times New Roman" w:hint="default"/>
        </w:rPr>
        <w:t>36.6572%</w:t>
      </w:r>
      <w:r>
        <w:rPr/>
        <w:t>；首都信息发展股份有限公司持有</w:t>
      </w:r>
      <w:r>
        <w:rPr>
          <w:rFonts w:ascii="Times New Roman" w:hAnsi="Times New Roman" w:cs="Times New Roman" w:eastAsia="Times New Roman" w:hint="default"/>
        </w:rPr>
        <w:t>2,098.8414</w:t>
      </w:r>
      <w:r>
        <w:rPr/>
        <w:t>万股，占变更后股本的</w:t>
      </w:r>
      <w:r>
        <w:rPr>
          <w:rFonts w:ascii="Times New Roman" w:hAnsi="Times New Roman" w:cs="Times New Roman" w:eastAsia="Times New Roman" w:hint="default"/>
        </w:rPr>
        <w:t>34.9807%</w:t>
      </w:r>
      <w:r>
        <w:rPr/>
        <w:t>；</w:t>
      </w:r>
      <w:r>
        <w:rPr>
          <w:spacing w:val="-63"/>
        </w:rPr>
        <w:t> </w:t>
      </w:r>
      <w:r>
        <w:rPr>
          <w:spacing w:val="-3"/>
        </w:rPr>
        <w:t>上海市数字证书认证中心有限公司持有</w:t>
      </w:r>
      <w:r>
        <w:rPr>
          <w:rFonts w:ascii="Times New Roman" w:hAnsi="Times New Roman" w:cs="Times New Roman" w:eastAsia="Times New Roman" w:hint="default"/>
          <w:spacing w:val="-3"/>
        </w:rPr>
        <w:t>100.5894</w:t>
      </w:r>
      <w:r>
        <w:rPr>
          <w:spacing w:val="-3"/>
        </w:rPr>
        <w:t>万股，占变更后股本的</w:t>
      </w:r>
      <w:r>
        <w:rPr>
          <w:rFonts w:ascii="Times New Roman" w:hAnsi="Times New Roman" w:cs="Times New Roman" w:eastAsia="Times New Roman" w:hint="default"/>
          <w:spacing w:val="-3"/>
        </w:rPr>
        <w:t>1.6765%</w:t>
      </w:r>
      <w:r>
        <w:rPr>
          <w:spacing w:val="-3"/>
        </w:rPr>
        <w:t>；北京科桥投资创业中心持</w:t>
      </w:r>
      <w:r>
        <w:rPr>
          <w:spacing w:val="-47"/>
        </w:rPr>
        <w:t> </w:t>
      </w:r>
      <w:r>
        <w:rPr>
          <w:spacing w:val="-47"/>
        </w:rPr>
      </w:r>
      <w:r>
        <w:rPr/>
        <w:t>有</w:t>
      </w:r>
      <w:r>
        <w:rPr>
          <w:rFonts w:ascii="Times New Roman" w:hAnsi="Times New Roman" w:cs="Times New Roman" w:eastAsia="Times New Roman" w:hint="default"/>
        </w:rPr>
        <w:t>500.0000</w:t>
      </w:r>
      <w:r>
        <w:rPr/>
        <w:t>万股，占变更后股本的</w:t>
      </w:r>
      <w:r>
        <w:rPr>
          <w:rFonts w:ascii="Times New Roman" w:hAnsi="Times New Roman" w:cs="Times New Roman" w:eastAsia="Times New Roman" w:hint="default"/>
        </w:rPr>
        <w:t>8.3333%</w:t>
      </w:r>
      <w:r>
        <w:rPr/>
        <w:t>，员工持有</w:t>
      </w:r>
      <w:r>
        <w:rPr>
          <w:rFonts w:ascii="Times New Roman" w:hAnsi="Times New Roman" w:cs="Times New Roman" w:eastAsia="Times New Roman" w:hint="default"/>
        </w:rPr>
        <w:t>1,101.1384</w:t>
      </w:r>
      <w:r>
        <w:rPr/>
        <w:t>万股，占变更后股本的</w:t>
      </w:r>
      <w:r>
        <w:rPr>
          <w:rFonts w:ascii="Times New Roman" w:hAnsi="Times New Roman" w:cs="Times New Roman" w:eastAsia="Times New Roman" w:hint="default"/>
        </w:rPr>
        <w:t>18.3523%</w:t>
      </w:r>
      <w:r>
        <w:rPr/>
        <w:t>。本公司</w:t>
      </w:r>
      <w:r>
        <w:rPr>
          <w:w w:val="100"/>
        </w:rPr>
        <w:t> </w:t>
      </w: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日在北京市工商行政管理局办理了工商登记变更。</w:t>
      </w:r>
    </w:p>
    <w:p>
      <w:pPr>
        <w:pStyle w:val="BodyText"/>
        <w:spacing w:line="256" w:lineRule="auto" w:before="125"/>
        <w:ind w:right="195" w:firstLine="420"/>
        <w:jc w:val="both"/>
      </w:pP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8</w:t>
      </w:r>
      <w:r>
        <w:rPr>
          <w:spacing w:val="-3"/>
        </w:rPr>
        <w:t>日，本公司根据</w:t>
      </w:r>
      <w:r>
        <w:rPr>
          <w:rFonts w:ascii="Times New Roman" w:hAnsi="Times New Roman" w:cs="Times New Roman" w:eastAsia="Times New Roman" w:hint="default"/>
          <w:spacing w:val="-3"/>
        </w:rPr>
        <w:t>2016</w:t>
      </w:r>
      <w:r>
        <w:rPr>
          <w:spacing w:val="-3"/>
        </w:rPr>
        <w:t>年第一次临时股东大会决议，申请增加注册资本人民币</w:t>
      </w:r>
      <w:r>
        <w:rPr>
          <w:rFonts w:ascii="Times New Roman" w:hAnsi="Times New Roman" w:cs="Times New Roman" w:eastAsia="Times New Roman" w:hint="default"/>
          <w:spacing w:val="-3"/>
        </w:rPr>
        <w:t>20,000,000.00</w:t>
      </w:r>
      <w:r>
        <w:rPr>
          <w:rFonts w:ascii="Times New Roman" w:hAnsi="Times New Roman" w:cs="Times New Roman" w:eastAsia="Times New Roman" w:hint="default"/>
          <w:w w:val="100"/>
        </w:rPr>
        <w:t> </w:t>
      </w:r>
      <w:r>
        <w:rPr>
          <w:spacing w:val="-2"/>
        </w:rPr>
        <w:t>元，</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25</w:t>
      </w:r>
      <w:r>
        <w:rPr>
          <w:spacing w:val="-2"/>
        </w:rPr>
        <w:t>日，经中国证券监督管理委员会证监许可（</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2863</w:t>
      </w:r>
      <w:r>
        <w:rPr>
          <w:spacing w:val="-2"/>
        </w:rPr>
        <w:t>号文核准，同意本公司向社会公</w:t>
      </w:r>
      <w:r>
        <w:rPr>
          <w:spacing w:val="-28"/>
        </w:rPr>
        <w:t> </w:t>
      </w:r>
      <w:r>
        <w:rPr>
          <w:spacing w:val="-28"/>
        </w:rPr>
      </w:r>
      <w:r>
        <w:rPr>
          <w:spacing w:val="-2"/>
        </w:rPr>
        <w:t>众发行人民币普通股（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20,000,000.00</w:t>
      </w:r>
      <w:r>
        <w:rPr>
          <w:spacing w:val="-2"/>
        </w:rPr>
        <w:t>股（每股面值</w:t>
      </w:r>
      <w:r>
        <w:rPr>
          <w:rFonts w:ascii="Times New Roman" w:hAnsi="Times New Roman" w:cs="Times New Roman" w:eastAsia="Times New Roman" w:hint="default"/>
          <w:spacing w:val="-2"/>
        </w:rPr>
        <w:t>1</w:t>
      </w:r>
      <w:r>
        <w:rPr>
          <w:spacing w:val="-2"/>
        </w:rPr>
        <w:t>元）。本次发行采用网下向询价对象配售和网上</w:t>
      </w:r>
      <w:r>
        <w:rPr>
          <w:spacing w:val="-20"/>
        </w:rPr>
        <w:t> </w:t>
      </w:r>
      <w:r>
        <w:rPr>
          <w:spacing w:val="-20"/>
        </w:rPr>
      </w:r>
      <w:r>
        <w:rPr>
          <w:spacing w:val="-2"/>
        </w:rPr>
        <w:t>按市值申购定价发行相结合的方式进行，每股发行价为</w:t>
      </w:r>
      <w:r>
        <w:rPr>
          <w:rFonts w:ascii="Times New Roman" w:hAnsi="Times New Roman" w:cs="Times New Roman" w:eastAsia="Times New Roman" w:hint="default"/>
          <w:spacing w:val="-2"/>
        </w:rPr>
        <w:t>13.32</w:t>
      </w:r>
      <w:r>
        <w:rPr>
          <w:spacing w:val="-2"/>
        </w:rPr>
        <w:t>元。变更后的注册资本为人民币</w:t>
      </w:r>
      <w:r>
        <w:rPr>
          <w:rFonts w:ascii="Times New Roman" w:hAnsi="Times New Roman" w:cs="Times New Roman" w:eastAsia="Times New Roman" w:hint="default"/>
          <w:spacing w:val="-2"/>
        </w:rPr>
        <w:t>80,000,000.00</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spacing w:val="-3"/>
        </w:rPr>
        <w:t>元。截至</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19</w:t>
      </w:r>
      <w:r>
        <w:rPr>
          <w:spacing w:val="-3"/>
        </w:rPr>
        <w:t>日止，本公司已收到社会公众股东认缴股款人民币</w:t>
      </w:r>
      <w:r>
        <w:rPr>
          <w:rFonts w:ascii="Times New Roman" w:hAnsi="Times New Roman" w:cs="Times New Roman" w:eastAsia="Times New Roman" w:hint="default"/>
          <w:spacing w:val="-3"/>
        </w:rPr>
        <w:t>240,400,000.00</w:t>
      </w:r>
      <w:r>
        <w:rPr>
          <w:spacing w:val="-3"/>
        </w:rPr>
        <w:t>元（已扣除发行费</w:t>
      </w:r>
      <w:r>
        <w:rPr>
          <w:spacing w:val="-19"/>
        </w:rPr>
        <w:t> </w:t>
      </w:r>
      <w:r>
        <w:rPr>
          <w:spacing w:val="-19"/>
        </w:rPr>
      </w:r>
      <w:r>
        <w:rPr>
          <w:spacing w:val="-1"/>
        </w:rPr>
        <w:t>人民币</w:t>
      </w:r>
      <w:r>
        <w:rPr>
          <w:rFonts w:ascii="Times New Roman" w:hAnsi="Times New Roman" w:cs="Times New Roman" w:eastAsia="Times New Roman" w:hint="default"/>
          <w:spacing w:val="-1"/>
        </w:rPr>
        <w:t>26,000,000.00</w:t>
      </w:r>
      <w:r>
        <w:rPr>
          <w:spacing w:val="-1"/>
        </w:rPr>
        <w:t>元），其中：股本</w:t>
      </w:r>
      <w:r>
        <w:rPr>
          <w:rFonts w:ascii="Times New Roman" w:hAnsi="Times New Roman" w:cs="Times New Roman" w:eastAsia="Times New Roman" w:hint="default"/>
          <w:spacing w:val="-1"/>
        </w:rPr>
        <w:t>20,000,000.00</w:t>
      </w:r>
      <w:r>
        <w:rPr>
          <w:spacing w:val="-1"/>
        </w:rPr>
        <w:t>元，资本公积</w:t>
      </w:r>
      <w:r>
        <w:rPr>
          <w:rFonts w:ascii="Times New Roman" w:hAnsi="Times New Roman" w:cs="Times New Roman" w:eastAsia="Times New Roman" w:hint="default"/>
          <w:spacing w:val="-1"/>
        </w:rPr>
        <w:t>220,400,000.00</w:t>
      </w:r>
      <w:r>
        <w:rPr>
          <w:spacing w:val="-1"/>
        </w:rPr>
        <w:t>元，社会公众股东全部以</w:t>
      </w:r>
      <w:r>
        <w:rPr>
          <w:spacing w:val="-18"/>
        </w:rPr>
        <w:t> </w:t>
      </w:r>
      <w:r>
        <w:rPr>
          <w:spacing w:val="-18"/>
        </w:rPr>
      </w:r>
      <w:r>
        <w:rPr>
          <w:spacing w:val="8"/>
        </w:rPr>
        <w:t>货币资金形式出资，其中，北京市国有资产经营有限责任公司持有</w:t>
      </w:r>
      <w:r>
        <w:rPr>
          <w:rFonts w:ascii="Times New Roman" w:hAnsi="Times New Roman" w:cs="Times New Roman" w:eastAsia="Times New Roman" w:hint="default"/>
          <w:spacing w:val="8"/>
        </w:rPr>
        <w:t>2,099.4308</w:t>
      </w:r>
      <w:r>
        <w:rPr>
          <w:spacing w:val="8"/>
        </w:rPr>
        <w:t>万股，占变更后股本的</w:t>
      </w:r>
      <w:r>
        <w:rPr>
          <w:spacing w:val="19"/>
        </w:rPr>
        <w:t> </w:t>
      </w:r>
      <w:r>
        <w:rPr>
          <w:rFonts w:ascii="Times New Roman" w:hAnsi="Times New Roman" w:cs="Times New Roman" w:eastAsia="Times New Roman" w:hint="default"/>
        </w:rPr>
        <w:t>26.2429%</w:t>
      </w:r>
      <w:r>
        <w:rPr/>
        <w:t>；首都信息发展股份有限公司持有</w:t>
      </w:r>
      <w:r>
        <w:rPr>
          <w:rFonts w:ascii="Times New Roman" w:hAnsi="Times New Roman" w:cs="Times New Roman" w:eastAsia="Times New Roman" w:hint="default"/>
        </w:rPr>
        <w:t>2,098.8414</w:t>
      </w:r>
      <w:r>
        <w:rPr/>
        <w:t>万股，占变更后股本的</w:t>
      </w:r>
      <w:r>
        <w:rPr>
          <w:rFonts w:ascii="Times New Roman" w:hAnsi="Times New Roman" w:cs="Times New Roman" w:eastAsia="Times New Roman" w:hint="default"/>
        </w:rPr>
        <w:t>26.2355%</w:t>
      </w:r>
      <w:r>
        <w:rPr/>
        <w:t>；上海市数字证书</w:t>
      </w:r>
      <w:r>
        <w:rPr>
          <w:spacing w:val="-60"/>
        </w:rPr>
        <w:t> </w:t>
      </w:r>
      <w:r>
        <w:rPr>
          <w:spacing w:val="-60"/>
        </w:rPr>
      </w:r>
      <w:r>
        <w:rPr>
          <w:spacing w:val="-1"/>
        </w:rPr>
        <w:t>认证中心有限公司持有</w:t>
      </w:r>
      <w:r>
        <w:rPr>
          <w:rFonts w:ascii="Times New Roman" w:hAnsi="Times New Roman" w:cs="Times New Roman" w:eastAsia="Times New Roman" w:hint="default"/>
          <w:spacing w:val="-1"/>
        </w:rPr>
        <w:t>96.016</w:t>
      </w:r>
      <w:r>
        <w:rPr>
          <w:spacing w:val="-1"/>
        </w:rPr>
        <w:t>万股，占变更后股本的</w:t>
      </w:r>
      <w:r>
        <w:rPr>
          <w:rFonts w:ascii="Times New Roman" w:hAnsi="Times New Roman" w:cs="Times New Roman" w:eastAsia="Times New Roman" w:hint="default"/>
          <w:spacing w:val="-1"/>
        </w:rPr>
        <w:t>1.2002%</w:t>
      </w:r>
      <w:r>
        <w:rPr>
          <w:spacing w:val="-1"/>
        </w:rPr>
        <w:t>，北京科桥投资创业中心持有</w:t>
      </w:r>
      <w:r>
        <w:rPr>
          <w:rFonts w:ascii="Times New Roman" w:hAnsi="Times New Roman" w:cs="Times New Roman" w:eastAsia="Times New Roman" w:hint="default"/>
          <w:spacing w:val="-1"/>
        </w:rPr>
        <w:t>500</w:t>
      </w:r>
      <w:r>
        <w:rPr>
          <w:spacing w:val="-1"/>
        </w:rPr>
        <w:t>万股，占变</w:t>
      </w:r>
      <w:r>
        <w:rPr>
          <w:spacing w:val="-41"/>
        </w:rPr>
        <w:t> </w:t>
      </w:r>
      <w:r>
        <w:rPr>
          <w:spacing w:val="-41"/>
        </w:rPr>
      </w:r>
      <w:r>
        <w:rPr>
          <w:spacing w:val="-2"/>
        </w:rPr>
        <w:t>更后股本的</w:t>
      </w:r>
      <w:r>
        <w:rPr>
          <w:rFonts w:ascii="Times New Roman" w:hAnsi="Times New Roman" w:cs="Times New Roman" w:eastAsia="Times New Roman" w:hint="default"/>
          <w:spacing w:val="-2"/>
        </w:rPr>
        <w:t>6.2500%</w:t>
      </w:r>
      <w:r>
        <w:rPr>
          <w:spacing w:val="-2"/>
        </w:rPr>
        <w:t>；全国社会保障基金理事会转持一户持有</w:t>
      </w:r>
      <w:r>
        <w:rPr>
          <w:rFonts w:ascii="Times New Roman" w:hAnsi="Times New Roman" w:cs="Times New Roman" w:eastAsia="Times New Roman" w:hint="default"/>
          <w:spacing w:val="-2"/>
        </w:rPr>
        <w:t>104.5734</w:t>
      </w:r>
      <w:r>
        <w:rPr>
          <w:spacing w:val="-2"/>
        </w:rPr>
        <w:t>万股，占变更后股本的</w:t>
      </w:r>
      <w:r>
        <w:rPr>
          <w:rFonts w:ascii="Times New Roman" w:hAnsi="Times New Roman" w:cs="Times New Roman" w:eastAsia="Times New Roman" w:hint="default"/>
          <w:spacing w:val="-2"/>
        </w:rPr>
        <w:t>1.3072%</w:t>
      </w:r>
      <w:r>
        <w:rPr>
          <w:spacing w:val="-2"/>
        </w:rPr>
        <w:t>；员</w:t>
      </w:r>
      <w:r>
        <w:rPr>
          <w:spacing w:val="-9"/>
        </w:rPr>
        <w:t> </w:t>
      </w:r>
      <w:r>
        <w:rPr/>
        <w:t>工持有</w:t>
      </w:r>
      <w:r>
        <w:rPr>
          <w:rFonts w:ascii="Times New Roman" w:hAnsi="Times New Roman" w:cs="Times New Roman" w:eastAsia="Times New Roman" w:hint="default"/>
        </w:rPr>
        <w:t>1,101.1384</w:t>
      </w:r>
      <w:r>
        <w:rPr/>
        <w:t>万股，占变更后股本的</w:t>
      </w:r>
      <w:r>
        <w:rPr>
          <w:rFonts w:ascii="Times New Roman" w:hAnsi="Times New Roman" w:cs="Times New Roman" w:eastAsia="Times New Roman" w:hint="default"/>
        </w:rPr>
        <w:t>13.7642%</w:t>
      </w:r>
      <w:r>
        <w:rPr/>
        <w:t>；社会公众股持有</w:t>
      </w:r>
      <w:r>
        <w:rPr>
          <w:rFonts w:ascii="Times New Roman" w:hAnsi="Times New Roman" w:cs="Times New Roman" w:eastAsia="Times New Roman" w:hint="default"/>
        </w:rPr>
        <w:t>2,000</w:t>
      </w:r>
      <w:r>
        <w:rPr/>
        <w:t>万股，占变更后股本的</w:t>
      </w:r>
      <w:r>
        <w:rPr>
          <w:rFonts w:ascii="Times New Roman" w:hAnsi="Times New Roman" w:cs="Times New Roman" w:eastAsia="Times New Roman" w:hint="default"/>
        </w:rPr>
        <w:t>25%</w:t>
      </w:r>
      <w:r>
        <w:rPr/>
        <w:t>。上</w:t>
      </w:r>
      <w:r>
        <w:rPr>
          <w:spacing w:val="-62"/>
        </w:rPr>
        <w:t> </w:t>
      </w:r>
      <w:r>
        <w:rPr>
          <w:spacing w:val="5"/>
        </w:rPr>
        <w:t>述增资业经致同会计师事务所（特殊普通合伙）审验，并于</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19</w:t>
      </w:r>
      <w:r>
        <w:rPr>
          <w:spacing w:val="5"/>
        </w:rPr>
        <w:t>日出具致同验字（</w:t>
      </w:r>
      <w:r>
        <w:rPr>
          <w:rFonts w:ascii="Times New Roman" w:hAnsi="Times New Roman" w:cs="Times New Roman" w:eastAsia="Times New Roman" w:hint="default"/>
          <w:spacing w:val="5"/>
        </w:rPr>
        <w:t>2016</w:t>
      </w:r>
      <w:r>
        <w:rPr>
          <w:spacing w:val="5"/>
        </w:rPr>
        <w:t>）第</w:t>
      </w:r>
      <w:r>
        <w:rPr>
          <w:spacing w:val="30"/>
        </w:rPr>
        <w:t> </w:t>
      </w:r>
      <w:r>
        <w:rPr>
          <w:rFonts w:ascii="Times New Roman" w:hAnsi="Times New Roman" w:cs="Times New Roman" w:eastAsia="Times New Roman" w:hint="default"/>
          <w:spacing w:val="-1"/>
        </w:rPr>
        <w:t>110ZC0705</w:t>
      </w:r>
      <w:r>
        <w:rPr>
          <w:spacing w:val="-1"/>
        </w:rPr>
        <w:t>号验资报告。本次发行完成后，公司于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23</w:t>
      </w:r>
      <w:r>
        <w:rPr>
          <w:spacing w:val="-1"/>
        </w:rPr>
        <w:t>日在深圳证券交易所上市交易，本公司于</w:t>
      </w:r>
    </w:p>
    <w:p>
      <w:pPr>
        <w:pStyle w:val="BodyText"/>
        <w:spacing w:line="240" w:lineRule="auto" w:before="5"/>
        <w:ind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日在北京市工商行政管理局办理了工商登记变更。</w:t>
      </w:r>
    </w:p>
    <w:p>
      <w:pPr>
        <w:pStyle w:val="BodyText"/>
        <w:spacing w:line="261" w:lineRule="auto" w:before="141"/>
        <w:ind w:right="206" w:firstLine="42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w:t>
      </w:r>
      <w:r>
        <w:rPr>
          <w:spacing w:val="-2"/>
        </w:rPr>
        <w:t>日，本公司根据第二届董事会第二十次会议决议，选举詹榜华先生为公司第二届董事会董</w:t>
      </w:r>
      <w:r>
        <w:rPr>
          <w:w w:val="100"/>
        </w:rPr>
        <w:t> </w:t>
      </w:r>
      <w:r>
        <w:rPr>
          <w:spacing w:val="-2"/>
        </w:rPr>
        <w:t>事长，任期与第二届董事会董事任期一致。根据《北京数字认证股份有限公司章程》的规定，董事长为公</w:t>
      </w:r>
      <w:r>
        <w:rPr>
          <w:spacing w:val="-43"/>
        </w:rPr>
        <w:t> </w:t>
      </w:r>
      <w:r>
        <w:rPr>
          <w:spacing w:val="-43"/>
        </w:rPr>
      </w:r>
      <w:r>
        <w:rPr>
          <w:spacing w:val="-2"/>
        </w:rPr>
        <w:t>司的法定代表人，故公司的法定代表人变更为詹榜华先生。本公司于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日在北京市工商管理局办</w:t>
      </w:r>
      <w:r>
        <w:rPr>
          <w:spacing w:val="-41"/>
        </w:rPr>
        <w:t> </w:t>
      </w:r>
      <w:r>
        <w:rPr>
          <w:spacing w:val="-41"/>
        </w:rPr>
      </w:r>
      <w:r>
        <w:rPr/>
        <w:t>理了工商登记变更，三证合一号为</w:t>
      </w:r>
      <w:r>
        <w:rPr>
          <w:rFonts w:ascii="Times New Roman" w:hAnsi="Times New Roman" w:cs="Times New Roman" w:eastAsia="Times New Roman" w:hint="default"/>
        </w:rPr>
        <w:t>91110108722619411A</w:t>
      </w:r>
      <w:r>
        <w:rPr>
          <w:rFonts w:ascii="Times New Roman" w:hAnsi="Times New Roman" w:cs="Times New Roman" w:eastAsia="Times New Roman" w:hint="default"/>
          <w:spacing w:val="26"/>
        </w:rPr>
        <w:t> </w:t>
      </w:r>
      <w:r>
        <w:rPr/>
        <w:t>。</w:t>
      </w:r>
    </w:p>
    <w:p>
      <w:pPr>
        <w:pStyle w:val="BodyText"/>
        <w:spacing w:line="357" w:lineRule="auto" w:before="120"/>
        <w:ind w:left="533" w:right="0"/>
        <w:jc w:val="left"/>
      </w:pPr>
      <w:r>
        <w:rPr/>
        <w:t>本公司注册地址：北京市海淀区北四环西路</w:t>
      </w:r>
      <w:r>
        <w:rPr>
          <w:rFonts w:ascii="Times New Roman" w:hAnsi="Times New Roman" w:cs="Times New Roman" w:eastAsia="Times New Roman" w:hint="default"/>
        </w:rPr>
        <w:t>68</w:t>
      </w:r>
      <w:r>
        <w:rPr/>
        <w:t>号</w:t>
      </w:r>
      <w:r>
        <w:rPr>
          <w:rFonts w:ascii="Times New Roman" w:hAnsi="Times New Roman" w:cs="Times New Roman" w:eastAsia="Times New Roman" w:hint="default"/>
        </w:rPr>
        <w:t>1501</w:t>
      </w:r>
      <w:r>
        <w:rPr/>
        <w:t>号。</w:t>
      </w:r>
      <w:r>
        <w:rPr>
          <w:w w:val="100"/>
        </w:rPr>
        <w:t> </w:t>
      </w:r>
      <w:r>
        <w:rPr>
          <w:spacing w:val="-2"/>
        </w:rPr>
        <w:t>本公司建立了股东大会、董事会、监事会的法人治理结构，设置了区域销售、行业销售、营销管理中</w:t>
      </w:r>
    </w:p>
    <w:p>
      <w:pPr>
        <w:pStyle w:val="BodyText"/>
        <w:spacing w:line="209" w:lineRule="exact"/>
        <w:ind w:right="0"/>
        <w:jc w:val="left"/>
      </w:pPr>
      <w:r>
        <w:rPr>
          <w:spacing w:val="-3"/>
        </w:rPr>
        <w:t>心、产品研发中心、电子认证服务中心、董事会办公室、审计部、财务部、人力资源部、综合管理部、采</w:t>
      </w:r>
    </w:p>
    <w:p>
      <w:pPr>
        <w:pStyle w:val="BodyText"/>
        <w:spacing w:line="376" w:lineRule="auto" w:before="37"/>
        <w:ind w:left="533" w:right="0" w:hanging="421"/>
        <w:jc w:val="left"/>
      </w:pPr>
      <w:r>
        <w:rPr/>
        <w:t>购部等职能部门。</w:t>
      </w:r>
      <w:r>
        <w:rPr>
          <w:w w:val="100"/>
        </w:rPr>
        <w:t> </w:t>
      </w:r>
      <w:r>
        <w:rPr/>
        <w:t>本公司拥有</w:t>
      </w:r>
      <w:r>
        <w:rPr>
          <w:rFonts w:ascii="Times New Roman" w:hAnsi="Times New Roman" w:cs="Times New Roman" w:eastAsia="Times New Roman" w:hint="default"/>
        </w:rPr>
        <w:t>1</w:t>
      </w:r>
      <w:r>
        <w:rPr/>
        <w:t>个全资子公司，即北京安信天行科技有限公司（以下简称</w:t>
      </w:r>
      <w:r>
        <w:rPr>
          <w:rFonts w:ascii="Times New Roman" w:hAnsi="Times New Roman" w:cs="Times New Roman" w:eastAsia="Times New Roman" w:hint="default"/>
        </w:rPr>
        <w:t>“</w:t>
      </w:r>
      <w:r>
        <w:rPr/>
        <w:t>安信天行</w:t>
      </w:r>
      <w:r>
        <w:rPr>
          <w:rFonts w:ascii="Times New Roman" w:hAnsi="Times New Roman" w:cs="Times New Roman" w:eastAsia="Times New Roman" w:hint="default"/>
        </w:rPr>
        <w:t>”</w:t>
      </w:r>
      <w:r>
        <w:rPr/>
        <w:t>公司）。</w:t>
      </w:r>
    </w:p>
    <w:p>
      <w:pPr>
        <w:pStyle w:val="BodyText"/>
        <w:spacing w:line="256" w:lineRule="auto" w:before="9"/>
        <w:ind w:right="0" w:firstLine="420"/>
        <w:jc w:val="left"/>
      </w:pPr>
      <w:r>
        <w:rPr/>
        <w:t>本公司及其子公司（以下简称</w:t>
      </w:r>
      <w:r>
        <w:rPr>
          <w:rFonts w:ascii="Times New Roman" w:hAnsi="Times New Roman" w:cs="Times New Roman" w:eastAsia="Times New Roman" w:hint="default"/>
        </w:rPr>
        <w:t>“</w:t>
      </w:r>
      <w:r>
        <w:rPr/>
        <w:t>本集团</w:t>
      </w:r>
      <w:r>
        <w:rPr>
          <w:rFonts w:ascii="Times New Roman" w:hAnsi="Times New Roman" w:cs="Times New Roman" w:eastAsia="Times New Roman" w:hint="default"/>
        </w:rPr>
        <w:t>”</w:t>
      </w:r>
      <w:r>
        <w:rPr/>
        <w:t>）业务性质和主要经营活动：电子认证服务，数字证书方面的</w:t>
      </w:r>
      <w:r>
        <w:rPr>
          <w:w w:val="100"/>
        </w:rPr>
        <w:t> </w:t>
      </w:r>
      <w:r>
        <w:rPr>
          <w:spacing w:val="-5"/>
        </w:rPr>
        <w:t>技术开发、技术服务、技术培训，计算机通信网络安全系统的开发，计算机系统集成，销售开发后的产品。</w:t>
      </w:r>
    </w:p>
    <w:p>
      <w:pPr>
        <w:pStyle w:val="BodyText"/>
        <w:spacing w:line="357" w:lineRule="auto" w:before="142"/>
        <w:ind w:left="533" w:right="0"/>
        <w:jc w:val="left"/>
      </w:pPr>
      <w:r>
        <w:rPr/>
        <w:t>本财务报表及财务报表附注业经本公司第三届董事会第七次会议于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日批准。</w:t>
      </w:r>
      <w:r>
        <w:rPr>
          <w:w w:val="100"/>
        </w:rPr>
        <w:t> </w:t>
      </w:r>
      <w:r>
        <w:rPr>
          <w:rFonts w:ascii="Times New Roman" w:hAnsi="Times New Roman" w:cs="Times New Roman" w:eastAsia="Times New Roman" w:hint="default"/>
        </w:rPr>
        <w:t>2</w:t>
      </w:r>
      <w:r>
        <w:rPr/>
        <w:t>、合并财务报表范围</w:t>
      </w:r>
      <w:r>
        <w:rPr>
          <w:w w:val="100"/>
        </w:rPr>
        <w:t> </w:t>
      </w:r>
      <w:r>
        <w:rPr>
          <w:spacing w:val="2"/>
        </w:rPr>
        <w:t>本报告期的合并财务报表范围包括本公司和安信天行及版信通，原子公司版信通由于控制权发生变</w:t>
      </w:r>
    </w:p>
    <w:p>
      <w:pPr>
        <w:pStyle w:val="BodyText"/>
        <w:spacing w:line="225" w:lineRule="exact"/>
        <w:ind w:right="0"/>
        <w:jc w:val="left"/>
      </w:pPr>
      <w:r>
        <w:rPr>
          <w:spacing w:val="-6"/>
        </w:rPr>
        <w:t>化，自</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7</w:t>
      </w:r>
      <w:r>
        <w:rPr>
          <w:spacing w:val="-6"/>
        </w:rPr>
        <w:t>月不再纳入合并范围。本公司在其他主体中的权益情况详见本</w:t>
      </w:r>
      <w:r>
        <w:rPr>
          <w:rFonts w:ascii="Times New Roman" w:hAnsi="Times New Roman" w:cs="Times New Roman" w:eastAsia="Times New Roman" w:hint="default"/>
          <w:spacing w:val="-6"/>
        </w:rPr>
        <w:t>“</w:t>
      </w:r>
      <w:r>
        <w:rPr>
          <w:spacing w:val="-6"/>
        </w:rPr>
        <w:t>附注七、在其主体中的权益</w:t>
      </w:r>
      <w:r>
        <w:rPr>
          <w:rFonts w:ascii="Times New Roman" w:hAnsi="Times New Roman" w:cs="Times New Roman" w:eastAsia="Times New Roman" w:hint="default"/>
          <w:spacing w:val="-6"/>
        </w:rPr>
        <w:t>”</w:t>
      </w:r>
      <w:r>
        <w:rPr>
          <w:spacing w:val="-6"/>
        </w:rPr>
        <w:t>。</w:t>
      </w:r>
    </w:p>
    <w:p>
      <w:pPr>
        <w:spacing w:after="0" w:line="225" w:lineRule="exact"/>
        <w:jc w:val="left"/>
        <w:sectPr>
          <w:pgSz w:w="11910" w:h="16840"/>
          <w:pgMar w:header="867" w:footer="979" w:top="1060" w:bottom="1160" w:left="1020" w:right="920"/>
        </w:sectPr>
      </w:pPr>
    </w:p>
    <w:p>
      <w:pPr>
        <w:spacing w:line="240" w:lineRule="auto" w:before="11"/>
        <w:rPr>
          <w:rFonts w:ascii="宋体" w:hAnsi="宋体" w:cs="宋体" w:eastAsia="宋体" w:hint="default"/>
          <w:sz w:val="23"/>
          <w:szCs w:val="23"/>
        </w:rPr>
      </w:pPr>
    </w:p>
    <w:p>
      <w:pPr>
        <w:pStyle w:val="Heading2"/>
        <w:spacing w:line="240" w:lineRule="auto" w:before="26"/>
        <w:ind w:right="0"/>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06" w:firstLine="420"/>
        <w:jc w:val="both"/>
      </w:pPr>
      <w:r>
        <w:rPr/>
        <w:t>本财务报表按照财政部颁布的企业会计准则及其应用指南、解释及其他有关规定（统称</w:t>
      </w:r>
      <w:r>
        <w:rPr>
          <w:rFonts w:ascii="Times New Roman" w:hAnsi="Times New Roman" w:cs="Times New Roman" w:eastAsia="Times New Roman" w:hint="default"/>
        </w:rPr>
        <w:t>“</w:t>
      </w:r>
      <w:r>
        <w:rPr/>
        <w:t>企业会计准</w:t>
      </w:r>
      <w:r>
        <w:rPr>
          <w:w w:val="100"/>
        </w:rPr>
        <w:t> </w:t>
      </w:r>
      <w:r>
        <w:rPr/>
        <w:t>则</w:t>
      </w:r>
      <w:r>
        <w:rPr>
          <w:rFonts w:ascii="Times New Roman" w:hAnsi="Times New Roman" w:cs="Times New Roman" w:eastAsia="Times New Roman" w:hint="default"/>
        </w:rPr>
        <w:t>”</w:t>
      </w:r>
      <w:r>
        <w:rPr/>
        <w:t>）编制。此外，本集团还按照中国证监会《公开发行证券的公司信息披露编报规则第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w:t>
      </w:r>
      <w:r>
        <w:rPr>
          <w:spacing w:val="-14"/>
        </w:rPr>
        <w:t> </w:t>
      </w:r>
      <w:r>
        <w:rPr>
          <w:spacing w:val="-14"/>
        </w:rPr>
      </w:r>
      <w:r>
        <w:rPr/>
        <w:t>的一般规定》（</w:t>
      </w:r>
      <w:r>
        <w:rPr>
          <w:rFonts w:ascii="Times New Roman" w:hAnsi="Times New Roman" w:cs="Times New Roman" w:eastAsia="Times New Roman" w:hint="default"/>
        </w:rPr>
        <w:t>2014</w:t>
      </w:r>
      <w:r>
        <w:rPr/>
        <w:t>年修订）披露有关财务信息。</w:t>
      </w:r>
    </w:p>
    <w:p>
      <w:pPr>
        <w:pStyle w:val="BodyText"/>
        <w:spacing w:line="432" w:lineRule="exact" w:before="24"/>
        <w:ind w:left="533" w:right="0"/>
        <w:jc w:val="left"/>
      </w:pPr>
      <w:r>
        <w:rPr/>
        <w:t>本财务报表以持续经营为基础列报。</w:t>
      </w:r>
      <w:r>
        <w:rPr>
          <w:w w:val="100"/>
        </w:rPr>
        <w:t> </w:t>
      </w:r>
      <w:r>
        <w:rPr>
          <w:spacing w:val="-2"/>
        </w:rPr>
        <w:t>本集团会计核算以权责发生制为基础。除某些金融工具外，本财务报表均以历史成本为计量基础。资</w:t>
      </w:r>
    </w:p>
    <w:p>
      <w:pPr>
        <w:pStyle w:val="BodyText"/>
        <w:spacing w:line="255" w:lineRule="exact"/>
        <w:ind w:right="0"/>
        <w:jc w:val="left"/>
      </w:pPr>
      <w:r>
        <w:rPr/>
        <w:t>产如果发生减值，则按照相关规定计提相应的减值准备。</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112" w:firstLine="420"/>
        <w:jc w:val="both"/>
      </w:pPr>
      <w:r>
        <w:rPr/>
        <w:t>本公司自本报告期末至少</w:t>
      </w:r>
      <w:r>
        <w:rPr>
          <w:rFonts w:ascii="Times New Roman" w:hAnsi="Times New Roman" w:cs="Times New Roman" w:eastAsia="Times New Roman" w:hint="default"/>
        </w:rPr>
        <w:t>12</w:t>
      </w:r>
      <w:r>
        <w:rPr/>
        <w:t>个月内具备持续经营能力，</w:t>
      </w:r>
      <w:r>
        <w:rPr>
          <w:spacing w:val="68"/>
        </w:rPr>
        <w:t> </w:t>
      </w:r>
      <w:r>
        <w:rPr/>
        <w:t>无影响持续经营能力的重大事项，本公司以</w:t>
      </w:r>
      <w:r>
        <w:rPr>
          <w:w w:val="100"/>
        </w:rPr>
        <w:t> </w:t>
      </w:r>
      <w:r>
        <w:rPr/>
        <w:t>持续经营为基础编制财务报表是合理的。</w:t>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spacing w:line="360" w:lineRule="auto" w:before="0"/>
        <w:ind w:left="112" w:right="66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25"/>
        <w:ind w:left="112"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6"/>
        <w:rPr>
          <w:rFonts w:ascii="宋体" w:hAnsi="宋体" w:cs="宋体" w:eastAsia="宋体" w:hint="default"/>
          <w:sz w:val="13"/>
          <w:szCs w:val="13"/>
        </w:rPr>
      </w:pPr>
    </w:p>
    <w:p>
      <w:pPr>
        <w:pStyle w:val="BodyText"/>
        <w:spacing w:line="273" w:lineRule="auto"/>
        <w:ind w:right="106" w:firstLine="420"/>
        <w:jc w:val="both"/>
      </w:pPr>
      <w:r>
        <w:rPr>
          <w:spacing w:val="-2"/>
        </w:rPr>
        <w:t>本集团根据自身生产经营特点，确定固定资产折旧、无形资产摊销、研发费用资本化条件以及收入确</w:t>
      </w:r>
      <w:r>
        <w:rPr>
          <w:w w:val="100"/>
        </w:rPr>
        <w:t> </w:t>
      </w:r>
      <w:r>
        <w:rPr/>
        <w:t>认政策，具体会计政策参见附注五、</w:t>
      </w:r>
      <w:r>
        <w:rPr>
          <w:rFonts w:ascii="Times New Roman" w:hAnsi="Times New Roman" w:cs="Times New Roman" w:eastAsia="Times New Roman" w:hint="default"/>
        </w:rPr>
        <w:t>16</w:t>
      </w:r>
      <w:r>
        <w:rPr/>
        <w:t>、附注五、</w:t>
      </w:r>
      <w:r>
        <w:rPr>
          <w:rFonts w:ascii="Times New Roman" w:hAnsi="Times New Roman" w:cs="Times New Roman" w:eastAsia="Times New Roman" w:hint="default"/>
        </w:rPr>
        <w:t>21</w:t>
      </w:r>
      <w:r>
        <w:rPr/>
        <w:t>、附注五、</w:t>
      </w:r>
      <w:r>
        <w:rPr>
          <w:rFonts w:ascii="Times New Roman" w:hAnsi="Times New Roman" w:cs="Times New Roman" w:eastAsia="Times New Roman" w:hint="default"/>
        </w:rPr>
        <w:t>21</w:t>
      </w:r>
      <w:r>
        <w:rPr/>
        <w:t>和附注五、</w:t>
      </w:r>
      <w:r>
        <w:rPr>
          <w:rFonts w:ascii="Times New Roman" w:hAnsi="Times New Roman" w:cs="Times New Roman" w:eastAsia="Times New Roman" w:hint="default"/>
        </w:rPr>
        <w:t>28</w:t>
      </w:r>
      <w:r>
        <w:rPr/>
        <w:t>。</w:t>
      </w:r>
    </w:p>
    <w:p>
      <w:pPr>
        <w:spacing w:line="614" w:lineRule="exact" w:before="43"/>
        <w:ind w:left="53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本财务报表符合企业会计准则的要求，真实、完整地反映了本公司</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日的合并及公司财务</w:t>
      </w:r>
    </w:p>
    <w:p>
      <w:pPr>
        <w:pStyle w:val="BodyText"/>
        <w:spacing w:line="235" w:lineRule="exact"/>
        <w:ind w:right="0"/>
        <w:jc w:val="left"/>
      </w:pPr>
      <w:r>
        <w:rPr/>
        <w:t>状况以及</w:t>
      </w:r>
      <w:r>
        <w:rPr>
          <w:rFonts w:ascii="Times New Roman" w:hAnsi="Times New Roman" w:cs="Times New Roman" w:eastAsia="Times New Roman" w:hint="default"/>
        </w:rPr>
        <w:t>2017</w:t>
      </w:r>
      <w:r>
        <w:rPr/>
        <w:t>年度的合并及公司经营成果和合并及公司现金流量等有关信息。</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33" w:right="0"/>
        <w:jc w:val="left"/>
      </w:pPr>
      <w:r>
        <w:rPr/>
        <w:t>本集团会计期间采用公历年度，即每年自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33" w:right="0"/>
        <w:jc w:val="left"/>
      </w:pPr>
      <w:r>
        <w:rPr/>
        <w:t>本集团的营业周期为</w:t>
      </w:r>
      <w:r>
        <w:rPr>
          <w:rFonts w:ascii="Times New Roman" w:hAnsi="Times New Roman" w:cs="Times New Roman" w:eastAsia="Times New Roman" w:hint="default"/>
        </w:rPr>
        <w:t>12</w:t>
      </w:r>
      <w:r>
        <w:rPr/>
        <w:t>个月。</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33" w:right="0"/>
        <w:jc w:val="left"/>
      </w:pPr>
      <w:r>
        <w:rPr/>
        <w:t>本公司及境内子公司以人民币为记账本位币。本集团编制本财务报表时所采用的货币为人民币。</w:t>
      </w:r>
    </w:p>
    <w:p>
      <w:pPr>
        <w:spacing w:after="0" w:line="240" w:lineRule="auto"/>
        <w:jc w:val="left"/>
        <w:sectPr>
          <w:pgSz w:w="11910" w:h="16840"/>
          <w:pgMar w:header="867" w:footer="979" w:top="1060" w:bottom="1160" w:left="1020" w:right="1020"/>
        </w:sectPr>
      </w:pPr>
    </w:p>
    <w:p>
      <w:pPr>
        <w:spacing w:line="240" w:lineRule="auto" w:before="13"/>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357" w:lineRule="auto"/>
        <w:ind w:left="533" w:right="0"/>
        <w:jc w:val="left"/>
      </w:pPr>
      <w:r>
        <w:rPr/>
        <w:t>（</w:t>
      </w:r>
      <w:r>
        <w:rPr>
          <w:rFonts w:ascii="Times New Roman" w:hAnsi="Times New Roman" w:cs="Times New Roman" w:eastAsia="Times New Roman" w:hint="default"/>
        </w:rPr>
        <w:t>1</w:t>
      </w:r>
      <w:r>
        <w:rPr/>
        <w:t>）同一控制下的企业合并</w:t>
      </w:r>
      <w:r>
        <w:rPr>
          <w:w w:val="100"/>
        </w:rPr>
        <w:t> </w:t>
      </w:r>
      <w:r>
        <w:rPr>
          <w:spacing w:val="-2"/>
        </w:rPr>
        <w:t>对于同一控制下的企业合并，合并方在合并中取得的被合并方的资产、负债，除因会计政策不同而进</w:t>
      </w:r>
    </w:p>
    <w:p>
      <w:pPr>
        <w:pStyle w:val="BodyText"/>
        <w:spacing w:line="209" w:lineRule="exact"/>
        <w:ind w:right="0"/>
        <w:jc w:val="both"/>
      </w:pPr>
      <w:r>
        <w:rPr/>
        <w:t>行的调整以外，按合并日被合并方在最终控制方合并财务报表中的账面价值计量。合并对价的账面价值与</w:t>
      </w:r>
    </w:p>
    <w:p>
      <w:pPr>
        <w:pStyle w:val="BodyText"/>
        <w:spacing w:line="376" w:lineRule="auto" w:before="37"/>
        <w:ind w:left="533" w:right="0" w:hanging="421"/>
        <w:jc w:val="left"/>
      </w:pPr>
      <w:r>
        <w:rPr/>
        <w:t>合并中取得的净资产账面价值的差额调整资本公积，资本公积不足冲减的，调整留存收益。</w:t>
      </w:r>
      <w:r>
        <w:rPr>
          <w:w w:val="100"/>
        </w:rPr>
        <w:t> </w:t>
      </w:r>
      <w:r>
        <w:rPr/>
        <w:t>通过多次交易分步实现同一控制下的企业合并</w:t>
      </w:r>
    </w:p>
    <w:p>
      <w:pPr>
        <w:pStyle w:val="BodyText"/>
        <w:spacing w:line="273" w:lineRule="auto" w:before="37"/>
        <w:ind w:right="206" w:firstLine="420"/>
        <w:jc w:val="both"/>
      </w:pPr>
      <w:r>
        <w:rPr>
          <w:spacing w:val="-2"/>
        </w:rPr>
        <w:t>在个别财务报表中，以合并日持股比例计算的合并日应享有被合并方净资产在最终控制方合并财务报</w:t>
      </w:r>
      <w:r>
        <w:rPr>
          <w:w w:val="100"/>
        </w:rPr>
        <w:t> </w:t>
      </w:r>
      <w:r>
        <w:rPr>
          <w:spacing w:val="-2"/>
        </w:rPr>
        <w:t>表中的账面价值的份额作为该项投资的初始投资成本；初始投资成本与合并前持有投资的账面价值加上合</w:t>
      </w:r>
      <w:r>
        <w:rPr>
          <w:spacing w:val="-43"/>
        </w:rPr>
        <w:t> </w:t>
      </w:r>
      <w:r>
        <w:rPr>
          <w:spacing w:val="-43"/>
        </w:rPr>
      </w:r>
      <w:r>
        <w:rPr/>
        <w:t>并日新支付对价的账面价值之和的差额，调整资本公积，资本公积不足冲减的，调整留存收益。</w:t>
      </w:r>
    </w:p>
    <w:p>
      <w:pPr>
        <w:pStyle w:val="BodyText"/>
        <w:spacing w:line="273" w:lineRule="auto" w:before="127"/>
        <w:ind w:right="0" w:firstLine="420"/>
        <w:jc w:val="left"/>
      </w:pPr>
      <w:r>
        <w:rPr/>
        <w:t>在合并财务报表中，合并方在合并中取得的被合并方的资产、负债，除因会计政策不同而进行的调整</w:t>
      </w:r>
      <w:r>
        <w:rPr>
          <w:w w:val="100"/>
        </w:rPr>
        <w:t> </w:t>
      </w:r>
      <w:r>
        <w:rPr>
          <w:spacing w:val="-2"/>
        </w:rPr>
        <w:t>以外，按合并日在最终控制方合并财务报表中的账面价值计量；合并前持有投资的账面价值加上合并日新</w:t>
      </w:r>
      <w:r>
        <w:rPr>
          <w:spacing w:val="-43"/>
        </w:rPr>
        <w:t> </w:t>
      </w:r>
      <w:r>
        <w:rPr>
          <w:spacing w:val="-43"/>
        </w:rPr>
      </w:r>
      <w:r>
        <w:rPr>
          <w:spacing w:val="-5"/>
        </w:rPr>
        <w:t>支付对价的账面价值之和，与合并中取得的净资产账面价值的差额，调整资本公积，资本公积不足冲减的，</w:t>
      </w:r>
      <w:r>
        <w:rPr>
          <w:spacing w:val="-6"/>
        </w:rPr>
        <w:t> </w:t>
      </w:r>
      <w:r>
        <w:rPr>
          <w:spacing w:val="-6"/>
        </w:rPr>
      </w:r>
      <w:r>
        <w:rPr>
          <w:spacing w:val="-2"/>
        </w:rPr>
        <w:t>调整留存收益。合并方在取得被合并方控制权之前持有的长期股权投资，在取得原股权之日与合并方与被</w:t>
      </w:r>
      <w:r>
        <w:rPr>
          <w:spacing w:val="-43"/>
        </w:rPr>
        <w:t> </w:t>
      </w:r>
      <w:r>
        <w:rPr>
          <w:spacing w:val="-43"/>
        </w:rPr>
      </w:r>
      <w:r>
        <w:rPr>
          <w:spacing w:val="-2"/>
        </w:rPr>
        <w:t>合并方同处于同一方最终控制之日孰晚日起至合并日之间已确认有关损益、其他综合收益和其他所有者权</w:t>
      </w:r>
      <w:r>
        <w:rPr>
          <w:spacing w:val="-43"/>
        </w:rPr>
        <w:t> </w:t>
      </w:r>
      <w:r>
        <w:rPr>
          <w:spacing w:val="-43"/>
        </w:rPr>
      </w:r>
      <w:r>
        <w:rPr/>
        <w:t>益变动，应分别冲减比较报表期间的期初留存收益或当期损益。</w:t>
      </w:r>
    </w:p>
    <w:p>
      <w:pPr>
        <w:pStyle w:val="BodyText"/>
        <w:spacing w:line="357" w:lineRule="auto" w:before="127"/>
        <w:ind w:left="533" w:right="0"/>
        <w:jc w:val="left"/>
      </w:pPr>
      <w:r>
        <w:rPr/>
        <w:t>（</w:t>
      </w:r>
      <w:r>
        <w:rPr>
          <w:rFonts w:ascii="Times New Roman" w:hAnsi="Times New Roman" w:cs="Times New Roman" w:eastAsia="Times New Roman" w:hint="default"/>
        </w:rPr>
        <w:t>2</w:t>
      </w:r>
      <w:r>
        <w:rPr/>
        <w:t>）非同一控制下的企业合并</w:t>
      </w:r>
      <w:r>
        <w:rPr>
          <w:w w:val="100"/>
        </w:rPr>
        <w:t> </w:t>
      </w:r>
      <w:r>
        <w:rPr>
          <w:spacing w:val="-2"/>
        </w:rPr>
        <w:t>对于非同一控制下的企业合并，合并成本为购买日为取得对被购买方的控制权而付出的资产、发生或</w:t>
      </w:r>
    </w:p>
    <w:p>
      <w:pPr>
        <w:pStyle w:val="BodyText"/>
        <w:spacing w:line="209" w:lineRule="exact"/>
        <w:ind w:right="0"/>
        <w:jc w:val="both"/>
      </w:pPr>
      <w:r>
        <w:rPr/>
        <w:t>承担的负债以及发行的权益性证券的公允价值。在购买日，取得的被购买方的资产、负债及或有负债按公</w:t>
      </w:r>
    </w:p>
    <w:p>
      <w:pPr>
        <w:pStyle w:val="BodyText"/>
        <w:spacing w:line="240" w:lineRule="auto" w:before="37"/>
        <w:ind w:right="0"/>
        <w:jc w:val="both"/>
      </w:pPr>
      <w:r>
        <w:rPr/>
        <w:t>允价值确认。</w:t>
      </w:r>
    </w:p>
    <w:p>
      <w:pPr>
        <w:pStyle w:val="BodyText"/>
        <w:spacing w:line="273" w:lineRule="auto" w:before="157"/>
        <w:ind w:right="185" w:firstLine="420"/>
        <w:jc w:val="both"/>
      </w:pPr>
      <w:r>
        <w:rPr>
          <w:spacing w:val="-2"/>
        </w:rPr>
        <w:t>对合并成本大于合并中取得的被购买方可辨认净资产公允价值份额的差额，确认为商誉，按成本扣除</w:t>
      </w:r>
      <w:r>
        <w:rPr>
          <w:w w:val="100"/>
        </w:rPr>
        <w:t> </w:t>
      </w:r>
      <w:r>
        <w:rPr>
          <w:spacing w:val="-2"/>
        </w:rPr>
        <w:t>累计减值准备进行后续计量；对合并成本小于合并中取得的被购买方可辨认净资产公允价值份额的差额，</w:t>
      </w:r>
      <w:r>
        <w:rPr>
          <w:spacing w:val="-21"/>
        </w:rPr>
        <w:t> </w:t>
      </w:r>
      <w:r>
        <w:rPr>
          <w:spacing w:val="-21"/>
        </w:rPr>
      </w:r>
      <w:r>
        <w:rPr/>
        <w:t>经复核后计入当期损益。</w:t>
      </w:r>
    </w:p>
    <w:p>
      <w:pPr>
        <w:pStyle w:val="BodyText"/>
        <w:spacing w:line="432" w:lineRule="exact" w:before="27"/>
        <w:ind w:left="533" w:right="0"/>
        <w:jc w:val="left"/>
      </w:pPr>
      <w:r>
        <w:rPr/>
        <w:t>通过多次交易分步实现非同一控制下的企业合并</w:t>
      </w:r>
      <w:r>
        <w:rPr>
          <w:w w:val="100"/>
        </w:rPr>
        <w:t> </w:t>
      </w:r>
      <w:r>
        <w:rPr>
          <w:spacing w:val="-2"/>
        </w:rPr>
        <w:t>在个别财务报表中，以购买日之前所持被购买方的股权投资的账面价值与购买日新增投资成本之和，</w:t>
      </w:r>
    </w:p>
    <w:p>
      <w:pPr>
        <w:pStyle w:val="BodyText"/>
        <w:spacing w:line="255" w:lineRule="exact"/>
        <w:ind w:right="0"/>
        <w:jc w:val="both"/>
      </w:pPr>
      <w:r>
        <w:rPr/>
        <w:t>作为该项投资的初始投资成本。购买日之前持有的股权投资因采用权益法核算而确认的其他综合收益，购</w:t>
      </w:r>
    </w:p>
    <w:p>
      <w:pPr>
        <w:pStyle w:val="BodyText"/>
        <w:spacing w:line="273" w:lineRule="auto" w:before="37"/>
        <w:ind w:right="206"/>
        <w:jc w:val="both"/>
      </w:pPr>
      <w:r>
        <w:rPr>
          <w:spacing w:val="-2"/>
        </w:rPr>
        <w:t>买日对这部分其他综合收益不作处理，在处置该项投资时采用与被投资单位直接处置相关资产或负债相同</w:t>
      </w:r>
      <w:r>
        <w:rPr>
          <w:spacing w:val="-43"/>
        </w:rPr>
        <w:t> </w:t>
      </w:r>
      <w:r>
        <w:rPr>
          <w:spacing w:val="-43"/>
        </w:rPr>
      </w:r>
      <w:r>
        <w:rPr>
          <w:spacing w:val="-2"/>
        </w:rPr>
        <w:t>的基础进行会计处理；因被投资方除净损益、其他综合收益和利润分配以外的其他所有者权益变动而确认</w:t>
      </w:r>
      <w:r>
        <w:rPr>
          <w:spacing w:val="-43"/>
        </w:rPr>
        <w:t> </w:t>
      </w:r>
      <w:r>
        <w:rPr>
          <w:spacing w:val="-43"/>
        </w:rPr>
      </w:r>
      <w:r>
        <w:rPr>
          <w:spacing w:val="-2"/>
        </w:rPr>
        <w:t>的所有者权益，应当在处置该项投资时转入处置期间的当期损益。购买日之前持有的股权投资采用公允价</w:t>
      </w:r>
      <w:r>
        <w:rPr>
          <w:spacing w:val="-42"/>
        </w:rPr>
        <w:t> </w:t>
      </w:r>
      <w:r>
        <w:rPr>
          <w:spacing w:val="-42"/>
        </w:rPr>
      </w:r>
      <w:r>
        <w:rPr/>
        <w:t>值计量的，原计入其他综合收益的累计公允价值变动在改按成本法核算时转入当期损益。</w:t>
      </w:r>
    </w:p>
    <w:p>
      <w:pPr>
        <w:pStyle w:val="BodyText"/>
        <w:spacing w:line="273" w:lineRule="auto" w:before="127"/>
        <w:ind w:right="206" w:firstLine="420"/>
        <w:jc w:val="both"/>
      </w:pPr>
      <w:r>
        <w:rPr>
          <w:spacing w:val="-2"/>
        </w:rPr>
        <w:t>在合并财务报表中，合并成本为购买日支付的对价与购买日之前已经持有的被购买方的股权在购买日</w:t>
      </w:r>
      <w:r>
        <w:rPr>
          <w:w w:val="100"/>
        </w:rPr>
        <w:t> </w:t>
      </w:r>
      <w:r>
        <w:rPr>
          <w:spacing w:val="-2"/>
        </w:rPr>
        <w:t>的公允价值之和；对于购买日之前已经持有的被购买方的股权，按照该股权在购买日的公允价值进行重新</w:t>
      </w:r>
      <w:r>
        <w:rPr>
          <w:spacing w:val="-43"/>
        </w:rPr>
        <w:t> </w:t>
      </w:r>
      <w:r>
        <w:rPr>
          <w:spacing w:val="-43"/>
        </w:rPr>
      </w:r>
      <w:r>
        <w:rPr>
          <w:spacing w:val="-2"/>
        </w:rPr>
        <w:t>计量，公允价值与其账面价值之间的差额计入当期收益；购买日之前已经持有的被购买方的股权涉及其他</w:t>
      </w:r>
      <w:r>
        <w:rPr>
          <w:spacing w:val="-42"/>
        </w:rPr>
        <w:t> </w:t>
      </w:r>
      <w:r>
        <w:rPr>
          <w:spacing w:val="-42"/>
        </w:rPr>
      </w:r>
      <w:r>
        <w:rPr>
          <w:spacing w:val="-2"/>
        </w:rPr>
        <w:t>综合收益、其他所有者权益变动转为购买日当期收益，由于被投资方重新计量设定收益计划净负债或净资</w:t>
      </w:r>
      <w:r>
        <w:rPr>
          <w:spacing w:val="-43"/>
        </w:rPr>
        <w:t> </w:t>
      </w:r>
      <w:r>
        <w:rPr>
          <w:spacing w:val="-43"/>
        </w:rPr>
      </w:r>
      <w:r>
        <w:rPr/>
        <w:t>产变动而产生的其他综合收益除外。</w:t>
      </w:r>
    </w:p>
    <w:p>
      <w:pPr>
        <w:pStyle w:val="BodyText"/>
        <w:spacing w:line="357" w:lineRule="auto" w:before="125"/>
        <w:ind w:left="533" w:right="0"/>
        <w:jc w:val="left"/>
      </w:pPr>
      <w:r>
        <w:rPr/>
        <w:t>（</w:t>
      </w:r>
      <w:r>
        <w:rPr>
          <w:rFonts w:ascii="Times New Roman" w:hAnsi="Times New Roman" w:cs="Times New Roman" w:eastAsia="Times New Roman" w:hint="default"/>
        </w:rPr>
        <w:t>3</w:t>
      </w:r>
      <w:r>
        <w:rPr/>
        <w:t>）企业合并中有关交易费用的处理</w:t>
      </w:r>
      <w:r>
        <w:rPr>
          <w:w w:val="100"/>
        </w:rPr>
        <w:t> </w:t>
      </w:r>
      <w:r>
        <w:rPr>
          <w:spacing w:val="-2"/>
        </w:rPr>
        <w:t>为进行企业合并发生的审计、法律服务、评估咨询等中介费用以及其他相关管理费用，于发生时计入</w:t>
      </w:r>
    </w:p>
    <w:p>
      <w:pPr>
        <w:pStyle w:val="BodyText"/>
        <w:spacing w:line="209" w:lineRule="exact"/>
        <w:ind w:right="0"/>
        <w:jc w:val="both"/>
      </w:pPr>
      <w:r>
        <w:rPr/>
        <w:t>当期损益。作为合并对价发行的权益性证券或债务性证券的交易费用，计入权益性证券或债务性证券的初</w:t>
      </w:r>
    </w:p>
    <w:p>
      <w:pPr>
        <w:pStyle w:val="BodyText"/>
        <w:spacing w:line="240" w:lineRule="auto" w:before="37"/>
        <w:ind w:right="0"/>
        <w:jc w:val="both"/>
      </w:pPr>
      <w:r>
        <w:rPr/>
        <w:t>始确认金额。</w:t>
      </w:r>
    </w:p>
    <w:p>
      <w:pPr>
        <w:spacing w:after="0" w:line="240" w:lineRule="auto"/>
        <w:jc w:val="both"/>
        <w:sectPr>
          <w:pgSz w:w="11910" w:h="16840"/>
          <w:pgMar w:header="867" w:footer="979" w:top="1060" w:bottom="1160" w:left="1020" w:right="920"/>
        </w:sectPr>
      </w:pPr>
    </w:p>
    <w:p>
      <w:pPr>
        <w:spacing w:line="240" w:lineRule="auto" w:before="13"/>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BodyText"/>
        <w:spacing w:line="357" w:lineRule="auto"/>
        <w:ind w:left="533" w:right="0"/>
        <w:jc w:val="left"/>
      </w:pPr>
      <w:r>
        <w:rPr/>
        <w:t>（</w:t>
      </w:r>
      <w:r>
        <w:rPr>
          <w:rFonts w:ascii="Times New Roman" w:hAnsi="Times New Roman" w:cs="Times New Roman" w:eastAsia="Times New Roman" w:hint="default"/>
        </w:rPr>
        <w:t>1</w:t>
      </w:r>
      <w:r>
        <w:rPr/>
        <w:t>）合并范围</w:t>
      </w:r>
      <w:r>
        <w:rPr>
          <w:w w:val="100"/>
        </w:rPr>
        <w:t> </w:t>
      </w:r>
      <w:r>
        <w:rPr>
          <w:spacing w:val="-2"/>
        </w:rPr>
        <w:t>合并财务报表的合并范围以控制为基础予以确定。控制，是指本集团拥有对被投资单位的权力，通过</w:t>
      </w:r>
    </w:p>
    <w:p>
      <w:pPr>
        <w:pStyle w:val="BodyText"/>
        <w:spacing w:line="209" w:lineRule="exact"/>
        <w:ind w:right="0"/>
        <w:jc w:val="left"/>
      </w:pPr>
      <w:r>
        <w:rPr/>
        <w:t>参与被投资单位的相关活动而享有可变回报，并且有能力运用对被投资单位的权力影响其回报金额。子公</w:t>
      </w:r>
    </w:p>
    <w:p>
      <w:pPr>
        <w:pStyle w:val="BodyText"/>
        <w:spacing w:line="240" w:lineRule="auto" w:before="37"/>
        <w:ind w:right="0"/>
        <w:jc w:val="left"/>
      </w:pPr>
      <w:r>
        <w:rPr/>
        <w:t>司，是指被本公司控制的主体（含企业、被投资单位中可分割的部分、结构化主体等）。</w:t>
      </w:r>
    </w:p>
    <w:p>
      <w:pPr>
        <w:pStyle w:val="BodyText"/>
        <w:spacing w:line="357" w:lineRule="auto" w:before="157"/>
        <w:ind w:left="533" w:right="0"/>
        <w:jc w:val="left"/>
      </w:pPr>
      <w:r>
        <w:rPr/>
        <w:t>（</w:t>
      </w:r>
      <w:r>
        <w:rPr>
          <w:rFonts w:ascii="Times New Roman" w:hAnsi="Times New Roman" w:cs="Times New Roman" w:eastAsia="Times New Roman" w:hint="default"/>
        </w:rPr>
        <w:t>2</w:t>
      </w:r>
      <w:r>
        <w:rPr/>
        <w:t>）合并财务报表的编制方法</w:t>
      </w:r>
      <w:r>
        <w:rPr>
          <w:w w:val="100"/>
        </w:rPr>
        <w:t> </w:t>
      </w:r>
      <w:r>
        <w:rPr>
          <w:spacing w:val="-2"/>
        </w:rPr>
        <w:t>合并财务报表以本公司和子公司的财务报表为基础，根据其他有关资料，由本公司编制。在编制合并</w:t>
      </w:r>
    </w:p>
    <w:p>
      <w:pPr>
        <w:pStyle w:val="BodyText"/>
        <w:spacing w:line="209" w:lineRule="exact"/>
        <w:ind w:right="0"/>
        <w:jc w:val="left"/>
      </w:pPr>
      <w:r>
        <w:rPr/>
        <w:t>财务报表时，本公司和子公司的会计政策和会计期间要求保持一致，公司间的重大交易和往来余额予以抵</w:t>
      </w:r>
    </w:p>
    <w:p>
      <w:pPr>
        <w:pStyle w:val="BodyText"/>
        <w:spacing w:line="240" w:lineRule="auto" w:before="37"/>
        <w:ind w:right="0"/>
        <w:jc w:val="left"/>
      </w:pPr>
      <w:r>
        <w:rPr/>
        <w:t>销。</w:t>
      </w:r>
    </w:p>
    <w:p>
      <w:pPr>
        <w:pStyle w:val="BodyText"/>
        <w:spacing w:line="273" w:lineRule="auto" w:before="157"/>
        <w:ind w:right="126" w:firstLine="420"/>
        <w:jc w:val="both"/>
      </w:pPr>
      <w:r>
        <w:rPr>
          <w:spacing w:val="-2"/>
        </w:rPr>
        <w:t>在报告期内因同一控制下企业合并增加的子公司以及业务，视同该子公司以及业务自同受最终控制方</w:t>
      </w:r>
      <w:r>
        <w:rPr>
          <w:w w:val="100"/>
        </w:rPr>
        <w:t> </w:t>
      </w:r>
      <w:r>
        <w:rPr>
          <w:spacing w:val="-2"/>
        </w:rPr>
        <w:t>控制之日起纳入本集团的合并范围，将其自同受最终控制方控制之日起的经营成果、现金流量纳入合并利</w:t>
      </w:r>
      <w:r>
        <w:rPr>
          <w:spacing w:val="-43"/>
        </w:rPr>
        <w:t> </w:t>
      </w:r>
      <w:r>
        <w:rPr>
          <w:spacing w:val="-43"/>
        </w:rPr>
      </w:r>
      <w:r>
        <w:rPr/>
        <w:t>润表、合并现金流量表中。</w:t>
      </w:r>
    </w:p>
    <w:p>
      <w:pPr>
        <w:pStyle w:val="BodyText"/>
        <w:spacing w:line="273" w:lineRule="auto" w:before="127"/>
        <w:ind w:right="126" w:firstLine="420"/>
        <w:jc w:val="both"/>
      </w:pPr>
      <w:r>
        <w:rPr>
          <w:spacing w:val="-2"/>
        </w:rPr>
        <w:t>在报告期内因非同一控制下企业合并增加的子公司以及业务，将该子公司以及业务自购买日至报告期</w:t>
      </w:r>
      <w:r>
        <w:rPr>
          <w:w w:val="100"/>
        </w:rPr>
        <w:t> </w:t>
      </w:r>
      <w:r>
        <w:rPr/>
        <w:t>末的收入、费用、利润纳入合并利润表，将其现金流量纳入合并现金流量表。</w:t>
      </w:r>
    </w:p>
    <w:p>
      <w:pPr>
        <w:pStyle w:val="BodyText"/>
        <w:spacing w:line="261" w:lineRule="auto" w:before="127"/>
        <w:ind w:right="126" w:firstLine="420"/>
        <w:jc w:val="both"/>
      </w:pPr>
      <w:r>
        <w:rPr>
          <w:spacing w:val="-2"/>
        </w:rPr>
        <w:t>子公司的股东权益中不属于本公司所拥有的部分，作为少数股东权益在合并资产负债表中股东权益项</w:t>
      </w:r>
      <w:r>
        <w:rPr>
          <w:w w:val="100"/>
        </w:rPr>
        <w:t> </w:t>
      </w:r>
      <w:r>
        <w:rPr/>
        <w:t>下单独列示；子公司当期净损益中属于少数股东权益的份额，在合并利润表中净利润项目下以</w:t>
      </w:r>
      <w:r>
        <w:rPr>
          <w:rFonts w:ascii="Times New Roman" w:hAnsi="Times New Roman" w:cs="Times New Roman" w:eastAsia="Times New Roman" w:hint="default"/>
        </w:rPr>
        <w:t>“</w:t>
      </w:r>
      <w:r>
        <w:rPr/>
        <w:t>少数股东</w:t>
      </w:r>
      <w:r>
        <w:rPr>
          <w:spacing w:val="-12"/>
        </w:rPr>
        <w:t> </w:t>
      </w:r>
      <w:r>
        <w:rPr>
          <w:spacing w:val="-12"/>
        </w:rPr>
      </w:r>
      <w:r>
        <w:rPr/>
        <w:t>损益</w:t>
      </w:r>
      <w:r>
        <w:rPr>
          <w:rFonts w:ascii="Times New Roman" w:hAnsi="Times New Roman" w:cs="Times New Roman" w:eastAsia="Times New Roman" w:hint="default"/>
        </w:rPr>
        <w:t>”</w:t>
      </w:r>
      <w:r>
        <w:rPr/>
        <w:t>项目列示。少数股东分担的子公司的亏损超过了少数股东在该子公司期初所有者权益中所享有的份</w:t>
      </w:r>
      <w:r>
        <w:rPr>
          <w:spacing w:val="-17"/>
        </w:rPr>
        <w:t> </w:t>
      </w:r>
      <w:r>
        <w:rPr>
          <w:spacing w:val="-17"/>
        </w:rPr>
      </w:r>
      <w:r>
        <w:rPr/>
        <w:t>额，其余额仍冲减少数股东权益。</w:t>
      </w:r>
    </w:p>
    <w:p>
      <w:pPr>
        <w:pStyle w:val="BodyText"/>
        <w:spacing w:line="357" w:lineRule="auto" w:before="138"/>
        <w:ind w:left="533" w:right="0"/>
        <w:jc w:val="left"/>
      </w:pPr>
      <w:r>
        <w:rPr/>
        <w:t>（</w:t>
      </w:r>
      <w:r>
        <w:rPr>
          <w:rFonts w:ascii="Times New Roman" w:hAnsi="Times New Roman" w:cs="Times New Roman" w:eastAsia="Times New Roman" w:hint="default"/>
        </w:rPr>
        <w:t>3</w:t>
      </w:r>
      <w:r>
        <w:rPr/>
        <w:t>）购买子公司少数股东股权</w:t>
      </w:r>
      <w:r>
        <w:rPr>
          <w:w w:val="100"/>
        </w:rPr>
        <w:t> </w:t>
      </w:r>
      <w:r>
        <w:rPr>
          <w:spacing w:val="2"/>
        </w:rPr>
        <w:t>因购买少数股权新取得的长期股权投资成本与按照新增持股比例计算享有子公司自购买日或合并日</w:t>
      </w:r>
    </w:p>
    <w:p>
      <w:pPr>
        <w:pStyle w:val="BodyText"/>
        <w:spacing w:line="209" w:lineRule="exact"/>
        <w:ind w:right="0"/>
        <w:jc w:val="left"/>
      </w:pPr>
      <w:r>
        <w:rPr/>
        <w:t>开始持续计算的净资产份额之间的差额，以及在不丧失控制权的情况下因部分处置对子公司的股权投资而</w:t>
      </w:r>
    </w:p>
    <w:p>
      <w:pPr>
        <w:pStyle w:val="BodyText"/>
        <w:spacing w:line="273" w:lineRule="auto" w:before="37"/>
        <w:ind w:right="0"/>
        <w:jc w:val="left"/>
      </w:pPr>
      <w:r>
        <w:rPr>
          <w:spacing w:val="2"/>
        </w:rPr>
        <w:t>取得的处置价款与处置长期股权投资相对应享有子公司自购买日或合并日开始持续计算的净资产份额之</w:t>
      </w:r>
      <w:r>
        <w:rPr>
          <w:spacing w:val="-30"/>
        </w:rPr>
        <w:t> </w:t>
      </w:r>
      <w:r>
        <w:rPr>
          <w:spacing w:val="-30"/>
        </w:rPr>
      </w:r>
      <w:r>
        <w:rPr/>
        <w:t>间的差额，均调整合并资产负债表中的资本公积，资本公积不足冲减的，调整留存收益。</w:t>
      </w:r>
    </w:p>
    <w:p>
      <w:pPr>
        <w:pStyle w:val="BodyText"/>
        <w:spacing w:line="357" w:lineRule="auto" w:before="127"/>
        <w:ind w:left="533" w:right="0"/>
        <w:jc w:val="left"/>
      </w:pPr>
      <w:r>
        <w:rPr/>
        <w:t>（</w:t>
      </w:r>
      <w:r>
        <w:rPr>
          <w:rFonts w:ascii="Times New Roman" w:hAnsi="Times New Roman" w:cs="Times New Roman" w:eastAsia="Times New Roman" w:hint="default"/>
        </w:rPr>
        <w:t>4</w:t>
      </w:r>
      <w:r>
        <w:rPr/>
        <w:t>）丧失子公司控制权的处理</w:t>
      </w:r>
      <w:r>
        <w:rPr>
          <w:w w:val="100"/>
        </w:rPr>
        <w:t> </w:t>
      </w:r>
      <w:r>
        <w:rPr>
          <w:spacing w:val="-2"/>
        </w:rPr>
        <w:t>因处置部分股权投资或其他原因丧失了对原有子公司控制权的，剩余股权按照其在丧失控制权日的公</w:t>
      </w:r>
    </w:p>
    <w:p>
      <w:pPr>
        <w:pStyle w:val="BodyText"/>
        <w:spacing w:line="209" w:lineRule="exact"/>
        <w:ind w:right="0"/>
        <w:jc w:val="left"/>
      </w:pPr>
      <w:r>
        <w:rPr/>
        <w:t>允价值进行重新计量；处置股权取得的对价与剩余股权公允价值之和，减去按原持股比例计算应享有原子</w:t>
      </w:r>
    </w:p>
    <w:p>
      <w:pPr>
        <w:pStyle w:val="BodyText"/>
        <w:spacing w:line="273" w:lineRule="auto" w:before="37"/>
        <w:ind w:right="0"/>
        <w:jc w:val="left"/>
      </w:pPr>
      <w:r>
        <w:rPr>
          <w:spacing w:val="-2"/>
        </w:rPr>
        <w:t>公司自购买日开始持续计算的净资产账面价值的份额与商誉之和，形成的差额计入丧失控制权当期的投资</w:t>
      </w:r>
      <w:r>
        <w:rPr>
          <w:spacing w:val="-43"/>
        </w:rPr>
        <w:t> </w:t>
      </w:r>
      <w:r>
        <w:rPr>
          <w:spacing w:val="-43"/>
        </w:rPr>
      </w:r>
      <w:r>
        <w:rPr/>
        <w:t>收益。</w:t>
      </w:r>
    </w:p>
    <w:p>
      <w:pPr>
        <w:pStyle w:val="BodyText"/>
        <w:spacing w:line="273" w:lineRule="auto" w:before="127"/>
        <w:ind w:right="126" w:firstLine="420"/>
        <w:jc w:val="both"/>
      </w:pPr>
      <w:r>
        <w:rPr>
          <w:spacing w:val="-2"/>
        </w:rPr>
        <w:t>与原有子公司的股权投资相关的其他综合收益等，在丧失控制权时转入当期损益，由于被投资方重新</w:t>
      </w:r>
      <w:r>
        <w:rPr>
          <w:w w:val="100"/>
        </w:rPr>
        <w:t> </w:t>
      </w:r>
      <w:r>
        <w:rPr/>
        <w:t>计量设定收益计划净负债或净资产变动而产生的其他综合收益除外。</w:t>
      </w:r>
    </w:p>
    <w:p>
      <w:pPr>
        <w:spacing w:line="590" w:lineRule="atLeast" w:before="8"/>
        <w:ind w:left="53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合营安排，是指一项由两个或两个以上的参与方共同控制的安排。本集团合营安排分为共同经营和合</w:t>
      </w:r>
    </w:p>
    <w:p>
      <w:pPr>
        <w:pStyle w:val="BodyText"/>
        <w:spacing w:line="240" w:lineRule="auto" w:before="37"/>
        <w:ind w:right="0"/>
        <w:jc w:val="left"/>
      </w:pPr>
      <w:r>
        <w:rPr/>
        <w:t>营企业。</w:t>
      </w:r>
    </w:p>
    <w:p>
      <w:pPr>
        <w:pStyle w:val="BodyText"/>
        <w:spacing w:line="357" w:lineRule="auto" w:before="157"/>
        <w:ind w:left="533" w:right="1430"/>
        <w:jc w:val="left"/>
      </w:pPr>
      <w:r>
        <w:rPr/>
        <w:t>（</w:t>
      </w:r>
      <w:r>
        <w:rPr>
          <w:rFonts w:ascii="Times New Roman" w:hAnsi="Times New Roman" w:cs="Times New Roman" w:eastAsia="Times New Roman" w:hint="default"/>
        </w:rPr>
        <w:t>1</w:t>
      </w:r>
      <w:r>
        <w:rPr/>
        <w:t>）共同经营</w:t>
      </w:r>
      <w:r>
        <w:rPr>
          <w:w w:val="100"/>
        </w:rPr>
        <w:t> </w:t>
      </w:r>
      <w:r>
        <w:rPr>
          <w:spacing w:val="-2"/>
        </w:rPr>
        <w:t>共同经营是指本集团享有该安排相关资产且承担该安排相关负债的合营安排。</w:t>
      </w:r>
    </w:p>
    <w:p>
      <w:pPr>
        <w:pStyle w:val="BodyText"/>
        <w:spacing w:line="240" w:lineRule="auto" w:before="54"/>
        <w:ind w:left="533" w:right="0"/>
        <w:jc w:val="left"/>
      </w:pPr>
      <w:r>
        <w:rPr/>
        <w:t>本集团确认与共同经营中利益份额相关的下列项目，并按照相关企业会计准则的规定进行会计处理：</w:t>
      </w:r>
    </w:p>
    <w:p>
      <w:pPr>
        <w:spacing w:after="0" w:line="240" w:lineRule="auto"/>
        <w:jc w:val="left"/>
        <w:sectPr>
          <w:pgSz w:w="11910" w:h="16840"/>
          <w:pgMar w:header="867" w:footer="979" w:top="1060" w:bottom="1160" w:left="1020" w:right="1000"/>
        </w:sectPr>
      </w:pPr>
    </w:p>
    <w:p>
      <w:pPr>
        <w:spacing w:line="240" w:lineRule="auto" w:before="13"/>
        <w:rPr>
          <w:rFonts w:ascii="宋体" w:hAnsi="宋体" w:cs="宋体" w:eastAsia="宋体" w:hint="default"/>
          <w:sz w:val="24"/>
          <w:szCs w:val="24"/>
        </w:rPr>
      </w:pPr>
    </w:p>
    <w:p>
      <w:pPr>
        <w:pStyle w:val="BodyText"/>
        <w:spacing w:line="357" w:lineRule="auto" w:before="36"/>
        <w:ind w:left="533" w:right="0"/>
        <w:jc w:val="left"/>
      </w:pPr>
      <w:r>
        <w:rPr>
          <w:rFonts w:ascii="Times New Roman" w:hAnsi="Times New Roman" w:cs="Times New Roman" w:eastAsia="Times New Roman" w:hint="default"/>
        </w:rPr>
        <w:t>A</w:t>
      </w:r>
      <w:r>
        <w:rPr/>
        <w:t>、确认单独所持有的资产，以及按其份额确认共同持有的资产；</w:t>
      </w:r>
      <w:r>
        <w:rPr>
          <w:w w:val="100"/>
        </w:rPr>
        <w:t> </w:t>
      </w:r>
      <w:r>
        <w:rPr>
          <w:rFonts w:ascii="Times New Roman" w:hAnsi="Times New Roman" w:cs="Times New Roman" w:eastAsia="Times New Roman" w:hint="default"/>
        </w:rPr>
        <w:t>B</w:t>
      </w:r>
      <w:r>
        <w:rPr/>
        <w:t>、确认单独所承担的负债，以及按其份额确认共同承担的负债；</w:t>
      </w:r>
      <w:r>
        <w:rPr>
          <w:w w:val="100"/>
        </w:rPr>
        <w:t> </w:t>
      </w:r>
      <w:r>
        <w:rPr>
          <w:rFonts w:ascii="Times New Roman" w:hAnsi="Times New Roman" w:cs="Times New Roman" w:eastAsia="Times New Roman" w:hint="default"/>
        </w:rPr>
        <w:t>C</w:t>
      </w:r>
      <w:r>
        <w:rPr/>
        <w:t>、确认出售其享有的共同经营产出份额所产生的收入；</w:t>
      </w:r>
      <w:r>
        <w:rPr>
          <w:w w:val="100"/>
        </w:rPr>
        <w:t> </w:t>
      </w:r>
      <w:r>
        <w:rPr>
          <w:rFonts w:ascii="Times New Roman" w:hAnsi="Times New Roman" w:cs="Times New Roman" w:eastAsia="Times New Roman" w:hint="default"/>
        </w:rPr>
        <w:t>D</w:t>
      </w:r>
      <w:r>
        <w:rPr/>
        <w:t>、按其份额确认共同经营因出售产出所产生的收入；</w:t>
      </w:r>
      <w:r>
        <w:rPr>
          <w:w w:val="100"/>
        </w:rPr>
        <w:t> </w:t>
      </w:r>
      <w:r>
        <w:rPr>
          <w:rFonts w:ascii="Times New Roman" w:hAnsi="Times New Roman" w:cs="Times New Roman" w:eastAsia="Times New Roman" w:hint="default"/>
          <w:spacing w:val="-2"/>
        </w:rPr>
        <w:t>E</w:t>
      </w:r>
      <w:r>
        <w:rPr>
          <w:spacing w:val="-2"/>
        </w:rPr>
        <w:t>、确认单独所发生的费用，以及按其份额确认共同经营发生的费用。</w:t>
      </w:r>
    </w:p>
    <w:p>
      <w:pPr>
        <w:pStyle w:val="BodyText"/>
        <w:spacing w:line="357" w:lineRule="auto" w:before="27"/>
        <w:ind w:left="533" w:right="2264"/>
        <w:jc w:val="left"/>
      </w:pPr>
      <w:r>
        <w:rPr/>
        <w:t>（</w:t>
      </w:r>
      <w:r>
        <w:rPr>
          <w:rFonts w:ascii="Times New Roman" w:hAnsi="Times New Roman" w:cs="Times New Roman" w:eastAsia="Times New Roman" w:hint="default"/>
        </w:rPr>
        <w:t>2</w:t>
      </w:r>
      <w:r>
        <w:rPr/>
        <w:t>）合营企业</w:t>
      </w:r>
      <w:r>
        <w:rPr>
          <w:w w:val="100"/>
        </w:rPr>
        <w:t> </w:t>
      </w:r>
      <w:r>
        <w:rPr>
          <w:spacing w:val="-2"/>
        </w:rPr>
        <w:t>合营企业是指本集团仅对该安排的净资产享有权利的合营安排。</w:t>
      </w:r>
    </w:p>
    <w:p>
      <w:pPr>
        <w:pStyle w:val="BodyText"/>
        <w:spacing w:line="240" w:lineRule="auto" w:before="54"/>
        <w:ind w:left="533" w:right="0"/>
        <w:jc w:val="left"/>
      </w:pPr>
      <w:r>
        <w:rPr/>
        <w:t>本集团按照长期股权投资有关权益法核算的规定对合营企业的投资进行会计处理。</w:t>
      </w:r>
    </w:p>
    <w:p>
      <w:pPr>
        <w:spacing w:line="600" w:lineRule="atLeast" w:before="28"/>
        <w:ind w:left="53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5"/>
          <w:sz w:val="21"/>
          <w:szCs w:val="21"/>
        </w:rPr>
        <w:t>现金是指库存现金以及可以随时用于支付的存款。现金等价物，是指本集团持有的期限短、流动性强、</w:t>
      </w:r>
    </w:p>
    <w:p>
      <w:pPr>
        <w:pStyle w:val="BodyText"/>
        <w:spacing w:line="240" w:lineRule="auto" w:before="37"/>
        <w:ind w:right="0"/>
        <w:jc w:val="left"/>
      </w:pPr>
      <w:r>
        <w:rPr/>
        <w:t>易于转换为已知金额现金、价值变动风险很小的投资。</w:t>
      </w:r>
    </w:p>
    <w:p>
      <w:pPr>
        <w:spacing w:line="590" w:lineRule="atLeast" w:before="38"/>
        <w:ind w:left="53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本集团发生外币业务，采用按照系统合理的方法确定的、与交易发生日即期汇率近似的汇率折算为记</w:t>
      </w:r>
    </w:p>
    <w:p>
      <w:pPr>
        <w:pStyle w:val="BodyText"/>
        <w:spacing w:line="240" w:lineRule="auto" w:before="37"/>
        <w:ind w:right="0"/>
        <w:jc w:val="left"/>
      </w:pPr>
      <w:r>
        <w:rPr/>
        <w:t>账本位币金额。</w:t>
      </w:r>
    </w:p>
    <w:p>
      <w:pPr>
        <w:pStyle w:val="BodyText"/>
        <w:spacing w:line="273" w:lineRule="auto" w:before="157"/>
        <w:ind w:right="206" w:firstLine="420"/>
        <w:jc w:val="both"/>
      </w:pPr>
      <w:r>
        <w:rPr>
          <w:spacing w:val="-2"/>
        </w:rPr>
        <w:t>资产负债表日，对外币货币性项目，采用资产负债表日即期汇率折算。因资产负债表日即期汇率与初</w:t>
      </w:r>
      <w:r>
        <w:rPr>
          <w:w w:val="100"/>
        </w:rPr>
        <w:t> </w:t>
      </w:r>
      <w:r>
        <w:rPr>
          <w:spacing w:val="-2"/>
        </w:rPr>
        <w:t>始确认时或者前一资产负债表日即期汇率不同而产生的汇兑差额，计入当期损益；对以历史成本计量的外</w:t>
      </w:r>
      <w:r>
        <w:rPr>
          <w:spacing w:val="-42"/>
        </w:rPr>
        <w:t> </w:t>
      </w:r>
      <w:r>
        <w:rPr>
          <w:spacing w:val="-42"/>
        </w:rPr>
      </w:r>
      <w:r>
        <w:rPr>
          <w:spacing w:val="-2"/>
        </w:rPr>
        <w:t>币非货币性项目，仍采用交易发生日的即期汇率折算；对以公允价值计量的外币非货币性项目，采用公允</w:t>
      </w:r>
      <w:r>
        <w:rPr>
          <w:spacing w:val="-43"/>
        </w:rPr>
        <w:t> </w:t>
      </w:r>
      <w:r>
        <w:rPr>
          <w:spacing w:val="-43"/>
        </w:rPr>
      </w:r>
      <w:r>
        <w:rPr/>
        <w:t>价值确定日的即期汇率折算，折算后的记账本位币金额与原记账本位币金额的差额，计入当期损益。</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33" w:right="0"/>
        <w:jc w:val="left"/>
      </w:pPr>
      <w:r>
        <w:rPr/>
        <w:t>金融工具是指形成一个企业的金融资产，并形成其他单位的金融负债或权益工具的合同。</w:t>
      </w:r>
    </w:p>
    <w:p>
      <w:pPr>
        <w:pStyle w:val="BodyText"/>
        <w:spacing w:line="367" w:lineRule="auto" w:before="157"/>
        <w:ind w:left="533" w:right="2264"/>
        <w:jc w:val="left"/>
      </w:pPr>
      <w:r>
        <w:rPr/>
        <w:t>（</w:t>
      </w:r>
      <w:r>
        <w:rPr>
          <w:rFonts w:ascii="Times New Roman" w:hAnsi="Times New Roman" w:cs="Times New Roman" w:eastAsia="Times New Roman" w:hint="default"/>
        </w:rPr>
        <w:t>1</w:t>
      </w:r>
      <w:r>
        <w:rPr/>
        <w:t>）金融工具的确认和终止确认</w:t>
      </w:r>
      <w:r>
        <w:rPr>
          <w:w w:val="100"/>
        </w:rPr>
        <w:t> </w:t>
      </w:r>
      <w:r>
        <w:rPr>
          <w:spacing w:val="-2"/>
        </w:rPr>
        <w:t>本集团于成为金融工具合同的一方时确认一项金融资产或金融负债。</w:t>
      </w:r>
      <w:r>
        <w:rPr>
          <w:spacing w:val="-48"/>
        </w:rPr>
        <w:t> </w:t>
      </w:r>
      <w:r>
        <w:rPr>
          <w:spacing w:val="-48"/>
        </w:rPr>
      </w:r>
      <w:r>
        <w:rPr/>
        <w:t>金融资产满足下列条件之一的，终止确认：</w:t>
      </w:r>
    </w:p>
    <w:p>
      <w:pPr>
        <w:pStyle w:val="BodyText"/>
        <w:spacing w:line="240" w:lineRule="auto" w:before="46"/>
        <w:ind w:left="533" w:right="0"/>
        <w:jc w:val="left"/>
      </w:pPr>
      <w:r>
        <w:rPr/>
        <w:t>①收取该金融资产现金流量的合同权利终止；</w:t>
      </w:r>
    </w:p>
    <w:p>
      <w:pPr>
        <w:pStyle w:val="BodyText"/>
        <w:spacing w:line="430" w:lineRule="atLeast" w:before="2"/>
        <w:ind w:left="533" w:right="0"/>
        <w:jc w:val="left"/>
      </w:pPr>
      <w:r>
        <w:rPr/>
        <w:t>②该金融资产已转移，且符合下述金融资产转移的终止确认条件。</w:t>
      </w:r>
      <w:r>
        <w:rPr>
          <w:w w:val="100"/>
        </w:rPr>
        <w:t> </w:t>
      </w:r>
      <w:r>
        <w:rPr>
          <w:spacing w:val="-2"/>
        </w:rPr>
        <w:t>金融负债的现时义务全部或部分已经解除的，终止确认该金融负债或其一部分。本集团（债务人）与</w:t>
      </w:r>
    </w:p>
    <w:p>
      <w:pPr>
        <w:pStyle w:val="BodyText"/>
        <w:spacing w:line="273" w:lineRule="auto" w:before="37"/>
        <w:ind w:right="0"/>
        <w:jc w:val="left"/>
      </w:pPr>
      <w:r>
        <w:rPr>
          <w:spacing w:val="-2"/>
        </w:rPr>
        <w:t>债权人之间签订协议，以承担新金融负债方式替换现存金融负债，且新金融负债与现存金融负债的合同条</w:t>
      </w:r>
      <w:r>
        <w:rPr>
          <w:spacing w:val="-43"/>
        </w:rPr>
        <w:t> </w:t>
      </w:r>
      <w:r>
        <w:rPr>
          <w:spacing w:val="-43"/>
        </w:rPr>
      </w:r>
      <w:r>
        <w:rPr/>
        <w:t>款实质上不同的，终止确认现存金融负债，并同时确认新金融负债。</w:t>
      </w:r>
    </w:p>
    <w:p>
      <w:pPr>
        <w:pStyle w:val="BodyText"/>
        <w:spacing w:line="240" w:lineRule="auto" w:before="127"/>
        <w:ind w:left="533" w:right="0"/>
        <w:jc w:val="left"/>
      </w:pPr>
      <w:r>
        <w:rPr/>
        <w:t>以常规方式买卖金融资产，按交易日进行会计确认和终止确认。</w:t>
      </w:r>
    </w:p>
    <w:p>
      <w:pPr>
        <w:pStyle w:val="BodyText"/>
        <w:spacing w:line="357" w:lineRule="auto" w:before="157"/>
        <w:ind w:left="533" w:right="0"/>
        <w:jc w:val="left"/>
      </w:pPr>
      <w:r>
        <w:rPr/>
        <w:t>（</w:t>
      </w:r>
      <w:r>
        <w:rPr>
          <w:rFonts w:ascii="Times New Roman" w:hAnsi="Times New Roman" w:cs="Times New Roman" w:eastAsia="Times New Roman" w:hint="default"/>
        </w:rPr>
        <w:t>2</w:t>
      </w:r>
      <w:r>
        <w:rPr/>
        <w:t>）金融资产分类和计量</w:t>
      </w:r>
      <w:r>
        <w:rPr>
          <w:w w:val="100"/>
        </w:rPr>
        <w:t> </w:t>
      </w:r>
      <w:r>
        <w:rPr>
          <w:spacing w:val="-2"/>
        </w:rPr>
        <w:t>本集团的金融资产于初始确认时分为以下四类：以公允价值计量且其变动计入当期损益的金融资产、</w:t>
      </w:r>
    </w:p>
    <w:p>
      <w:pPr>
        <w:pStyle w:val="BodyText"/>
        <w:spacing w:line="209" w:lineRule="exact"/>
        <w:ind w:right="0"/>
        <w:jc w:val="left"/>
      </w:pPr>
      <w:r>
        <w:rPr/>
        <w:t>持有至到期投资、贷款和应收款项、可供出售金融资产。金融资产在初始确认时以公允价值计量。对于以</w:t>
      </w:r>
    </w:p>
    <w:p>
      <w:pPr>
        <w:spacing w:after="0" w:line="209" w:lineRule="exact"/>
        <w:jc w:val="left"/>
        <w:sectPr>
          <w:pgSz w:w="11910" w:h="16840"/>
          <w:pgMar w:header="867" w:footer="979" w:top="1060" w:bottom="1160" w:left="1020" w:right="920"/>
        </w:sectPr>
      </w:pPr>
    </w:p>
    <w:p>
      <w:pPr>
        <w:spacing w:line="240" w:lineRule="auto" w:before="13"/>
        <w:rPr>
          <w:rFonts w:ascii="宋体" w:hAnsi="宋体" w:cs="宋体" w:eastAsia="宋体" w:hint="default"/>
          <w:sz w:val="24"/>
          <w:szCs w:val="24"/>
        </w:rPr>
      </w:pPr>
    </w:p>
    <w:p>
      <w:pPr>
        <w:pStyle w:val="BodyText"/>
        <w:spacing w:line="273" w:lineRule="auto" w:before="36"/>
        <w:ind w:right="0"/>
        <w:jc w:val="left"/>
      </w:pPr>
      <w:r>
        <w:rPr>
          <w:spacing w:val="-2"/>
        </w:rPr>
        <w:t>公允价值计量且其变动计入当期损益的金融资产，相关交易费用直接计入当期损益，其他类别的金融资产</w:t>
      </w:r>
      <w:r>
        <w:rPr>
          <w:spacing w:val="-43"/>
        </w:rPr>
        <w:t> </w:t>
      </w:r>
      <w:r>
        <w:rPr>
          <w:spacing w:val="-43"/>
        </w:rPr>
      </w:r>
      <w:r>
        <w:rPr/>
        <w:t>相关交易费用计入其初始确认金额。</w:t>
      </w:r>
    </w:p>
    <w:p>
      <w:pPr>
        <w:pStyle w:val="BodyText"/>
        <w:spacing w:line="432" w:lineRule="exact" w:before="27"/>
        <w:ind w:left="533" w:right="0"/>
        <w:jc w:val="left"/>
      </w:pPr>
      <w:r>
        <w:rPr/>
        <w:t>以公允价值计量且其变动计入当期损益的金融资产</w:t>
      </w:r>
      <w:r>
        <w:rPr>
          <w:w w:val="100"/>
        </w:rPr>
        <w:t> </w:t>
      </w:r>
      <w:r>
        <w:rPr>
          <w:spacing w:val="-2"/>
        </w:rPr>
        <w:t>以公允价值计量且其变动计入当期损益的金融资产，包括交易性金融资产和初始确认时指定为以公允</w:t>
      </w:r>
    </w:p>
    <w:p>
      <w:pPr>
        <w:pStyle w:val="BodyText"/>
        <w:spacing w:line="255" w:lineRule="exact"/>
        <w:ind w:right="0"/>
        <w:jc w:val="left"/>
      </w:pPr>
      <w:r>
        <w:rPr/>
        <w:t>价值计量且其变动计入当期损益的金融资产。对于此类金融资产，采用公允价值进行后续计量，公允价值</w:t>
      </w:r>
    </w:p>
    <w:p>
      <w:pPr>
        <w:pStyle w:val="BodyText"/>
        <w:spacing w:line="376" w:lineRule="auto" w:before="37"/>
        <w:ind w:left="533" w:right="1634" w:hanging="421"/>
        <w:jc w:val="left"/>
      </w:pPr>
      <w:r>
        <w:rPr>
          <w:spacing w:val="-2"/>
        </w:rPr>
        <w:t>变动形成的利得或损失以及与该等金融资产相关的股利和利息收入计入当期损益。</w:t>
      </w:r>
      <w:r>
        <w:rPr>
          <w:spacing w:val="-35"/>
        </w:rPr>
        <w:t> </w:t>
      </w:r>
      <w:r>
        <w:rPr>
          <w:spacing w:val="-35"/>
        </w:rPr>
      </w:r>
      <w:r>
        <w:rPr/>
        <w:t>持有至到期投资</w:t>
      </w:r>
    </w:p>
    <w:p>
      <w:pPr>
        <w:pStyle w:val="BodyText"/>
        <w:spacing w:line="273" w:lineRule="auto" w:before="37"/>
        <w:ind w:right="106" w:firstLine="420"/>
        <w:jc w:val="both"/>
      </w:pPr>
      <w:r>
        <w:rPr>
          <w:spacing w:val="-2"/>
        </w:rPr>
        <w:t>持有至到期投资，是指到期日固定、回收金额固定或可确定，且本集团有明确意图和能力持有至到期</w:t>
      </w:r>
      <w:r>
        <w:rPr>
          <w:w w:val="100"/>
        </w:rPr>
        <w:t> </w:t>
      </w:r>
      <w:r>
        <w:rPr>
          <w:spacing w:val="-2"/>
        </w:rPr>
        <w:t>的非衍生金融资产。持有至到期投资采用实际利率法，按照摊余成本进行后续计量，其终止确认、发生减</w:t>
      </w:r>
      <w:r>
        <w:rPr>
          <w:spacing w:val="-47"/>
        </w:rPr>
        <w:t> </w:t>
      </w:r>
      <w:r>
        <w:rPr>
          <w:spacing w:val="-47"/>
        </w:rPr>
      </w:r>
      <w:r>
        <w:rPr/>
        <w:t>值或摊销产生的利得或损失，均计入当期损益。</w:t>
      </w:r>
    </w:p>
    <w:p>
      <w:pPr>
        <w:pStyle w:val="BodyText"/>
        <w:spacing w:line="432" w:lineRule="exact" w:before="27"/>
        <w:ind w:left="533" w:right="0"/>
        <w:jc w:val="left"/>
      </w:pPr>
      <w:r>
        <w:rPr/>
        <w:t>应收款项</w:t>
      </w:r>
      <w:r>
        <w:rPr>
          <w:w w:val="100"/>
        </w:rPr>
        <w:t> </w:t>
      </w:r>
      <w:r>
        <w:rPr>
          <w:spacing w:val="-2"/>
        </w:rPr>
        <w:t>应收款项，是指在活跃市场中没有报价、回收金额固定或可确定的非衍生金融资产，包括应收账款和</w:t>
      </w:r>
    </w:p>
    <w:p>
      <w:pPr>
        <w:pStyle w:val="BodyText"/>
        <w:spacing w:line="271" w:lineRule="exact"/>
        <w:ind w:right="0"/>
        <w:jc w:val="left"/>
      </w:pPr>
      <w:r>
        <w:rPr>
          <w:spacing w:val="-2"/>
        </w:rPr>
        <w:t>其他应收款（附注五、</w:t>
      </w:r>
      <w:r>
        <w:rPr>
          <w:rFonts w:ascii="Times New Roman" w:hAnsi="Times New Roman" w:cs="Times New Roman" w:eastAsia="Times New Roman" w:hint="default"/>
          <w:spacing w:val="-2"/>
        </w:rPr>
        <w:t>11</w:t>
      </w:r>
      <w:r>
        <w:rPr>
          <w:spacing w:val="-2"/>
        </w:rPr>
        <w:t>）。应收款项采用实际利率法，按摊余成本进行后续计量，在终止确认、发生减</w:t>
      </w:r>
    </w:p>
    <w:p>
      <w:pPr>
        <w:pStyle w:val="BodyText"/>
        <w:spacing w:line="376" w:lineRule="auto" w:before="21"/>
        <w:ind w:left="533" w:right="3974" w:hanging="421"/>
        <w:jc w:val="left"/>
      </w:pPr>
      <w:r>
        <w:rPr>
          <w:spacing w:val="-2"/>
        </w:rPr>
        <w:t>值或摊销时产生的利得或损失，计入当期损益。</w:t>
      </w:r>
      <w:r>
        <w:rPr>
          <w:spacing w:val="-64"/>
        </w:rPr>
        <w:t> </w:t>
      </w:r>
      <w:r>
        <w:rPr>
          <w:spacing w:val="-64"/>
        </w:rPr>
      </w:r>
      <w:r>
        <w:rPr/>
        <w:t>可供出售金融资产</w:t>
      </w:r>
    </w:p>
    <w:p>
      <w:pPr>
        <w:pStyle w:val="BodyText"/>
        <w:spacing w:line="273" w:lineRule="auto" w:before="37"/>
        <w:ind w:right="106" w:firstLine="420"/>
        <w:jc w:val="both"/>
      </w:pPr>
      <w:r>
        <w:rPr>
          <w:spacing w:val="-2"/>
        </w:rPr>
        <w:t>可供出售金融资产，是指初始确认时即指定为可供出售的非衍生金融资产，以及除上述金融资产类别</w:t>
      </w:r>
      <w:r>
        <w:rPr>
          <w:w w:val="100"/>
        </w:rPr>
        <w:t> </w:t>
      </w:r>
      <w:r>
        <w:rPr>
          <w:spacing w:val="-2"/>
        </w:rPr>
        <w:t>以外的金融资产。可供出售金融资产采用公允价值进行后续计量，其折溢价采用实际利率法摊销并确认为</w:t>
      </w:r>
      <w:r>
        <w:rPr>
          <w:spacing w:val="-43"/>
        </w:rPr>
        <w:t> </w:t>
      </w:r>
      <w:r>
        <w:rPr>
          <w:spacing w:val="-43"/>
        </w:rPr>
      </w:r>
      <w:r>
        <w:rPr>
          <w:spacing w:val="-2"/>
        </w:rPr>
        <w:t>利息收入。除减值损失及外币货币性金融资产的汇兑差额确认为当期损益外，可供出售金融资产的公允价</w:t>
      </w:r>
      <w:r>
        <w:rPr>
          <w:spacing w:val="-43"/>
        </w:rPr>
        <w:t> </w:t>
      </w:r>
      <w:r>
        <w:rPr>
          <w:spacing w:val="-43"/>
        </w:rPr>
      </w:r>
      <w:r>
        <w:rPr>
          <w:spacing w:val="-2"/>
        </w:rPr>
        <w:t>值变动确认为其他综合收益，在该金融资产终止确认时转出，计入当期损益。与可供出售金融资产相关的</w:t>
      </w:r>
      <w:r>
        <w:rPr>
          <w:spacing w:val="-44"/>
        </w:rPr>
        <w:t> </w:t>
      </w:r>
      <w:r>
        <w:rPr>
          <w:spacing w:val="-44"/>
        </w:rPr>
      </w:r>
      <w:r>
        <w:rPr/>
        <w:t>股利或利息收入，计入当期损益。</w:t>
      </w:r>
    </w:p>
    <w:p>
      <w:pPr>
        <w:pStyle w:val="BodyText"/>
        <w:spacing w:line="273" w:lineRule="auto" w:before="127"/>
        <w:ind w:right="106" w:firstLine="420"/>
        <w:jc w:val="both"/>
      </w:pPr>
      <w:r>
        <w:rPr>
          <w:spacing w:val="-2"/>
        </w:rPr>
        <w:t>对于在活跃市场中没有报价且其公允价值不能可靠计量的权益工具投资，以及与该权益工具挂钩并须</w:t>
      </w:r>
      <w:r>
        <w:rPr>
          <w:w w:val="100"/>
        </w:rPr>
        <w:t> </w:t>
      </w:r>
      <w:r>
        <w:rPr/>
        <w:t>通过交付该权益工具结算的衍生金融资产，按成本计量。</w:t>
      </w:r>
    </w:p>
    <w:p>
      <w:pPr>
        <w:pStyle w:val="BodyText"/>
        <w:spacing w:line="357" w:lineRule="auto" w:before="127"/>
        <w:ind w:left="533" w:right="0"/>
        <w:jc w:val="left"/>
      </w:pPr>
      <w:r>
        <w:rPr/>
        <w:t>（</w:t>
      </w:r>
      <w:r>
        <w:rPr>
          <w:rFonts w:ascii="Times New Roman" w:hAnsi="Times New Roman" w:cs="Times New Roman" w:eastAsia="Times New Roman" w:hint="default"/>
        </w:rPr>
        <w:t>3</w:t>
      </w:r>
      <w:r>
        <w:rPr/>
        <w:t>）金融负债分类和计量</w:t>
      </w:r>
      <w:r>
        <w:rPr>
          <w:w w:val="100"/>
        </w:rPr>
        <w:t> </w:t>
      </w:r>
      <w:r>
        <w:rPr>
          <w:spacing w:val="-2"/>
        </w:rPr>
        <w:t>本集团的金融负债于初始确认时分类为：以公允价值计量且其变动计入当期损益的金融负债、其他金</w:t>
      </w:r>
    </w:p>
    <w:p>
      <w:pPr>
        <w:pStyle w:val="BodyText"/>
        <w:spacing w:line="209" w:lineRule="exact"/>
        <w:ind w:right="0"/>
        <w:jc w:val="left"/>
      </w:pPr>
      <w:r>
        <w:rPr>
          <w:spacing w:val="-2"/>
        </w:rPr>
        <w:t>融负债。对于未划分为以公允价值计量且其变动计入当期损益的金融负债的，相关交易费用计入其初始确</w:t>
      </w:r>
    </w:p>
    <w:p>
      <w:pPr>
        <w:pStyle w:val="BodyText"/>
        <w:spacing w:line="240" w:lineRule="auto" w:before="37"/>
        <w:ind w:right="0"/>
        <w:jc w:val="left"/>
      </w:pPr>
      <w:r>
        <w:rPr/>
        <w:t>认金额。</w:t>
      </w:r>
    </w:p>
    <w:p>
      <w:pPr>
        <w:pStyle w:val="BodyText"/>
        <w:spacing w:line="432" w:lineRule="exact" w:before="57"/>
        <w:ind w:left="533" w:right="0"/>
        <w:jc w:val="left"/>
      </w:pPr>
      <w:r>
        <w:rPr/>
        <w:t>以公允价值计量且其变动计入当期损益的金融负债</w:t>
      </w:r>
      <w:r>
        <w:rPr>
          <w:w w:val="100"/>
        </w:rPr>
        <w:t> </w:t>
      </w:r>
      <w:r>
        <w:rPr>
          <w:spacing w:val="-2"/>
        </w:rPr>
        <w:t>以公允价值计量且其变动计入当期损益的金融负债，包括交易性金融负债和初始确认时指定为以公允</w:t>
      </w:r>
    </w:p>
    <w:p>
      <w:pPr>
        <w:pStyle w:val="BodyText"/>
        <w:spacing w:line="255" w:lineRule="exact"/>
        <w:ind w:right="0"/>
        <w:jc w:val="left"/>
      </w:pPr>
      <w:r>
        <w:rPr/>
        <w:t>价值计量且其变动计入当期损益的金融负债。对于此类金融负债，按照公允价值进行后续计量，公允价值</w:t>
      </w:r>
    </w:p>
    <w:p>
      <w:pPr>
        <w:pStyle w:val="BodyText"/>
        <w:spacing w:line="376" w:lineRule="auto" w:before="37"/>
        <w:ind w:left="533" w:right="1634" w:hanging="421"/>
        <w:jc w:val="left"/>
      </w:pPr>
      <w:r>
        <w:rPr>
          <w:spacing w:val="-2"/>
        </w:rPr>
        <w:t>变动形成的利得或损失以及与该等金融负债相关的股利和利息支出计入当期损益。</w:t>
      </w:r>
      <w:r>
        <w:rPr>
          <w:spacing w:val="-35"/>
        </w:rPr>
        <w:t> </w:t>
      </w:r>
      <w:r>
        <w:rPr>
          <w:spacing w:val="-35"/>
        </w:rPr>
      </w:r>
      <w:r>
        <w:rPr/>
        <w:t>其他金融负债</w:t>
      </w:r>
    </w:p>
    <w:p>
      <w:pPr>
        <w:pStyle w:val="BodyText"/>
        <w:spacing w:line="273" w:lineRule="auto" w:before="37"/>
        <w:ind w:right="106" w:firstLine="420"/>
        <w:jc w:val="both"/>
      </w:pPr>
      <w:r>
        <w:rPr>
          <w:spacing w:val="-2"/>
        </w:rPr>
        <w:t>与在活跃市场中没有报价、公允价值不能可靠计量的权益工具挂钩并须通过交付该权益工具结算的衍</w:t>
      </w:r>
      <w:r>
        <w:rPr>
          <w:w w:val="100"/>
        </w:rPr>
        <w:t> </w:t>
      </w:r>
      <w:r>
        <w:rPr>
          <w:spacing w:val="-2"/>
        </w:rPr>
        <w:t>生金融负债，按照成本进行后续计量。其他金融负债采用实际利率法，按摊余成本进行后续计量，终止确</w:t>
      </w:r>
      <w:r>
        <w:rPr>
          <w:spacing w:val="-50"/>
        </w:rPr>
        <w:t> </w:t>
      </w:r>
      <w:r>
        <w:rPr>
          <w:spacing w:val="-50"/>
        </w:rPr>
      </w:r>
      <w:r>
        <w:rPr/>
        <w:t>认或摊销产生的利得或损失计入当期损益。</w:t>
      </w:r>
    </w:p>
    <w:p>
      <w:pPr>
        <w:pStyle w:val="BodyText"/>
        <w:spacing w:line="376" w:lineRule="auto" w:before="127"/>
        <w:ind w:left="533" w:right="3254"/>
        <w:jc w:val="left"/>
      </w:pPr>
      <w:r>
        <w:rPr/>
        <w:t>金融负债与权益工具的区分</w:t>
      </w:r>
      <w:r>
        <w:rPr>
          <w:w w:val="100"/>
        </w:rPr>
        <w:t> </w:t>
      </w:r>
      <w:r>
        <w:rPr>
          <w:spacing w:val="-2"/>
        </w:rPr>
        <w:t>金融负债，是指符合下列条件之一的负债：</w:t>
      </w:r>
    </w:p>
    <w:p>
      <w:pPr>
        <w:pStyle w:val="BodyText"/>
        <w:spacing w:line="240" w:lineRule="auto" w:before="37"/>
        <w:ind w:left="533" w:right="0"/>
        <w:jc w:val="left"/>
      </w:pPr>
      <w:r>
        <w:rPr/>
        <w:t>①向其他方交付现金或其他金融资产的合同义务。</w:t>
      </w:r>
    </w:p>
    <w:p>
      <w:pPr>
        <w:spacing w:after="0" w:line="240" w:lineRule="auto"/>
        <w:jc w:val="left"/>
        <w:sectPr>
          <w:pgSz w:w="11910" w:h="16840"/>
          <w:pgMar w:header="867" w:footer="979" w:top="1060" w:bottom="1160" w:left="1020" w:right="1020"/>
        </w:sectPr>
      </w:pPr>
    </w:p>
    <w:p>
      <w:pPr>
        <w:spacing w:line="240" w:lineRule="auto" w:before="13"/>
        <w:rPr>
          <w:rFonts w:ascii="宋体" w:hAnsi="宋体" w:cs="宋体" w:eastAsia="宋体" w:hint="default"/>
          <w:sz w:val="24"/>
          <w:szCs w:val="24"/>
        </w:rPr>
      </w:pPr>
    </w:p>
    <w:p>
      <w:pPr>
        <w:pStyle w:val="BodyText"/>
        <w:spacing w:line="240" w:lineRule="auto" w:before="36"/>
        <w:ind w:left="533" w:right="0"/>
        <w:jc w:val="left"/>
      </w:pPr>
      <w:r>
        <w:rPr/>
        <w:t>②在潜在不利条件下，与其他方交换金融资产或金融负债的合同义务。</w:t>
      </w:r>
    </w:p>
    <w:p>
      <w:pPr>
        <w:pStyle w:val="BodyText"/>
        <w:spacing w:line="273" w:lineRule="auto" w:before="157"/>
        <w:ind w:right="0" w:firstLine="420"/>
        <w:jc w:val="left"/>
      </w:pPr>
      <w:r>
        <w:rPr>
          <w:spacing w:val="-2"/>
        </w:rPr>
        <w:t>③将来须用或可用企业自身权益工具进行结算的非衍生工具合同，且企业根据该合同将交付可变数量</w:t>
      </w:r>
      <w:r>
        <w:rPr>
          <w:w w:val="100"/>
        </w:rPr>
        <w:t> </w:t>
      </w:r>
      <w:r>
        <w:rPr/>
        <w:t>的自身权益工具。</w:t>
      </w:r>
    </w:p>
    <w:p>
      <w:pPr>
        <w:pStyle w:val="BodyText"/>
        <w:spacing w:line="273" w:lineRule="auto" w:before="127"/>
        <w:ind w:right="0" w:firstLine="420"/>
        <w:jc w:val="left"/>
      </w:pPr>
      <w:r>
        <w:rPr>
          <w:spacing w:val="-2"/>
        </w:rPr>
        <w:t>④将来须用或可用企业自身权益工具进行结算的衍生工具合同，但以固定数量的自身权益工具交换固</w:t>
      </w:r>
      <w:r>
        <w:rPr>
          <w:w w:val="100"/>
        </w:rPr>
        <w:t> </w:t>
      </w:r>
      <w:r>
        <w:rPr/>
        <w:t>定金额的现金或其他金融资产的衍生工具合同除外。</w:t>
      </w:r>
    </w:p>
    <w:p>
      <w:pPr>
        <w:pStyle w:val="BodyText"/>
        <w:spacing w:line="432" w:lineRule="exact" w:before="27"/>
        <w:ind w:left="533" w:right="0"/>
        <w:jc w:val="left"/>
      </w:pPr>
      <w:r>
        <w:rPr/>
        <w:t>权益工具，是指能证明拥有某个企业在扣除所有负债后的资产中剩余权益的合同。</w:t>
      </w:r>
      <w:r>
        <w:rPr>
          <w:w w:val="100"/>
        </w:rPr>
        <w:t> </w:t>
      </w:r>
      <w:r>
        <w:rPr>
          <w:spacing w:val="-2"/>
        </w:rPr>
        <w:t>如果本集团不能无条件地避免以交付现金或其他金融资产来履行一项合同义务，则该合同义务符合金</w:t>
      </w:r>
    </w:p>
    <w:p>
      <w:pPr>
        <w:pStyle w:val="BodyText"/>
        <w:spacing w:line="255" w:lineRule="exact"/>
        <w:ind w:right="0"/>
        <w:jc w:val="left"/>
      </w:pPr>
      <w:r>
        <w:rPr/>
        <w:t>融负债的定义。</w:t>
      </w:r>
    </w:p>
    <w:p>
      <w:pPr>
        <w:pStyle w:val="BodyText"/>
        <w:spacing w:line="273" w:lineRule="auto" w:before="157"/>
        <w:ind w:right="106" w:firstLine="420"/>
        <w:jc w:val="both"/>
      </w:pPr>
      <w:r>
        <w:rPr>
          <w:spacing w:val="-2"/>
        </w:rPr>
        <w:t>如果一项金融工具须用或可用本集团自身权益工具进行结算，需要考虑用于结算该工具的本集团自身</w:t>
      </w:r>
      <w:r>
        <w:rPr>
          <w:w w:val="100"/>
        </w:rPr>
        <w:t> </w:t>
      </w:r>
      <w:r>
        <w:rPr>
          <w:spacing w:val="-2"/>
        </w:rPr>
        <w:t>权益工具，是作为现金或其他金融资产的替代品，还是为了使该工具持有方享有在发行方扣除所有负债后</w:t>
      </w:r>
      <w:r>
        <w:rPr>
          <w:spacing w:val="-42"/>
        </w:rPr>
        <w:t> </w:t>
      </w:r>
      <w:r>
        <w:rPr>
          <w:spacing w:val="-42"/>
        </w:rPr>
      </w:r>
      <w:r>
        <w:rPr>
          <w:spacing w:val="-2"/>
        </w:rPr>
        <w:t>的资产中的剩余权益。如果是前者，该工具是本集团的金融负债；如果是后者，该工具是本集团的权益工</w:t>
      </w:r>
      <w:r>
        <w:rPr>
          <w:spacing w:val="-50"/>
        </w:rPr>
        <w:t> </w:t>
      </w:r>
      <w:r>
        <w:rPr>
          <w:spacing w:val="-50"/>
        </w:rPr>
      </w:r>
      <w:r>
        <w:rPr/>
        <w:t>具。</w:t>
      </w:r>
    </w:p>
    <w:p>
      <w:pPr>
        <w:pStyle w:val="BodyText"/>
        <w:spacing w:line="357" w:lineRule="auto" w:before="127"/>
        <w:ind w:left="533" w:right="3254"/>
        <w:jc w:val="left"/>
      </w:pPr>
      <w:r>
        <w:rPr/>
        <w:t>（</w:t>
      </w:r>
      <w:r>
        <w:rPr>
          <w:rFonts w:ascii="Times New Roman" w:hAnsi="Times New Roman" w:cs="Times New Roman" w:eastAsia="Times New Roman" w:hint="default"/>
        </w:rPr>
        <w:t>4</w:t>
      </w:r>
      <w:r>
        <w:rPr/>
        <w:t>）金融工具的公允价值</w:t>
      </w:r>
      <w:r>
        <w:rPr>
          <w:w w:val="100"/>
        </w:rPr>
        <w:t> </w:t>
      </w:r>
      <w:r>
        <w:rPr>
          <w:spacing w:val="-2"/>
        </w:rPr>
        <w:t>金融资产和金融负债的公允价值确定方法见附注十一。</w:t>
      </w:r>
    </w:p>
    <w:p>
      <w:pPr>
        <w:pStyle w:val="BodyText"/>
        <w:spacing w:line="357" w:lineRule="auto" w:before="54"/>
        <w:ind w:left="533" w:right="0"/>
        <w:jc w:val="left"/>
      </w:pPr>
      <w:r>
        <w:rPr/>
        <w:t>（</w:t>
      </w:r>
      <w:r>
        <w:rPr>
          <w:rFonts w:ascii="Times New Roman" w:hAnsi="Times New Roman" w:cs="Times New Roman" w:eastAsia="Times New Roman" w:hint="default"/>
        </w:rPr>
        <w:t>5</w:t>
      </w:r>
      <w:r>
        <w:rPr/>
        <w:t>）金融资产减值</w:t>
      </w:r>
      <w:r>
        <w:rPr>
          <w:w w:val="100"/>
        </w:rPr>
        <w:t> </w:t>
      </w:r>
      <w:r>
        <w:rPr>
          <w:spacing w:val="-2"/>
        </w:rPr>
        <w:t>除了以公允价值计量且其变动计入当期损益的金融资产外，本集团于资产负债表日对其他金融资产的</w:t>
      </w:r>
    </w:p>
    <w:p>
      <w:pPr>
        <w:pStyle w:val="BodyText"/>
        <w:spacing w:line="209" w:lineRule="exact"/>
        <w:ind w:right="0"/>
        <w:jc w:val="left"/>
      </w:pPr>
      <w:r>
        <w:rPr>
          <w:spacing w:val="-2"/>
        </w:rPr>
        <w:t>账面价值进行检查，有客观证据表明该金融资产发生减值的，计提减值准备。表明金融资产发生减值的客</w:t>
      </w:r>
    </w:p>
    <w:p>
      <w:pPr>
        <w:pStyle w:val="BodyText"/>
        <w:spacing w:line="273" w:lineRule="auto" w:before="37"/>
        <w:ind w:right="0"/>
        <w:jc w:val="left"/>
      </w:pPr>
      <w:r>
        <w:rPr>
          <w:spacing w:val="-2"/>
        </w:rPr>
        <w:t>观证据，是指金融资产初始确认后实际发生的、对该金融资产的预计未来现金流量有影响，且企业能够对</w:t>
      </w:r>
      <w:r>
        <w:rPr>
          <w:spacing w:val="-44"/>
        </w:rPr>
        <w:t> </w:t>
      </w:r>
      <w:r>
        <w:rPr>
          <w:spacing w:val="-44"/>
        </w:rPr>
      </w:r>
      <w:r>
        <w:rPr/>
        <w:t>该影响进行可靠计量的事项。</w:t>
      </w:r>
    </w:p>
    <w:p>
      <w:pPr>
        <w:pStyle w:val="BodyText"/>
        <w:spacing w:line="240" w:lineRule="auto" w:before="127"/>
        <w:ind w:left="533" w:right="0"/>
        <w:jc w:val="left"/>
      </w:pPr>
      <w:r>
        <w:rPr/>
        <w:t>金融资产发生减值的客观证据，包括下列可观察到的情形：</w:t>
      </w:r>
    </w:p>
    <w:p>
      <w:pPr>
        <w:pStyle w:val="BodyText"/>
        <w:spacing w:line="240" w:lineRule="auto" w:before="157"/>
        <w:ind w:left="533" w:right="0"/>
        <w:jc w:val="left"/>
      </w:pPr>
      <w:r>
        <w:rPr/>
        <w:t>①发行方或债务人发生严重财务困难；</w:t>
      </w:r>
    </w:p>
    <w:p>
      <w:pPr>
        <w:pStyle w:val="BodyText"/>
        <w:spacing w:line="240" w:lineRule="auto" w:before="157"/>
        <w:ind w:left="533" w:right="0"/>
        <w:jc w:val="left"/>
      </w:pPr>
      <w:r>
        <w:rPr/>
        <w:t>②债务人违反了合同条款，如偿付利息或本金发生违约或逾期等；</w:t>
      </w:r>
    </w:p>
    <w:p>
      <w:pPr>
        <w:pStyle w:val="BodyText"/>
        <w:spacing w:line="240" w:lineRule="auto" w:before="157"/>
        <w:ind w:left="533" w:right="0"/>
        <w:jc w:val="left"/>
      </w:pPr>
      <w:r>
        <w:rPr/>
        <w:t>③本集团出于经济或法律等方面因素的考虑，对发生财务困难的债务人作出让步；</w:t>
      </w:r>
    </w:p>
    <w:p>
      <w:pPr>
        <w:pStyle w:val="BodyText"/>
        <w:spacing w:line="240" w:lineRule="auto" w:before="157"/>
        <w:ind w:left="533" w:right="0"/>
        <w:jc w:val="left"/>
      </w:pPr>
      <w:r>
        <w:rPr/>
        <w:t>④债务人很可能倒闭或者进行其他财务重组；</w:t>
      </w:r>
    </w:p>
    <w:p>
      <w:pPr>
        <w:pStyle w:val="BodyText"/>
        <w:spacing w:line="240" w:lineRule="auto" w:before="157"/>
        <w:ind w:left="533" w:right="0"/>
        <w:jc w:val="left"/>
      </w:pPr>
      <w:r>
        <w:rPr/>
        <w:t>⑤因发行方发生重大财务困难，导致金融资产无法在活跃市场继续交易；</w:t>
      </w:r>
    </w:p>
    <w:p>
      <w:pPr>
        <w:pStyle w:val="BodyText"/>
        <w:spacing w:line="273" w:lineRule="auto" w:before="157"/>
        <w:ind w:right="0" w:firstLine="420"/>
        <w:jc w:val="left"/>
      </w:pPr>
      <w:r>
        <w:rPr>
          <w:spacing w:val="-2"/>
        </w:rPr>
        <w:t>⑥无法辨认一组金融资产中的某项资产的现金流量是否已经减少，但根据公开的数据对其进行总体评</w:t>
      </w:r>
      <w:r>
        <w:rPr>
          <w:w w:val="100"/>
        </w:rPr>
        <w:t> </w:t>
      </w:r>
      <w:r>
        <w:rPr/>
        <w:t>价后发现，该组金融资产自初始确认以来的预计未来现金流量确已减少且可计量，包括：</w:t>
      </w:r>
    </w:p>
    <w:p>
      <w:pPr>
        <w:pStyle w:val="BodyText"/>
        <w:spacing w:line="376" w:lineRule="auto" w:before="127"/>
        <w:ind w:left="533" w:right="0"/>
        <w:jc w:val="left"/>
      </w:pPr>
      <w:r>
        <w:rPr/>
        <w:t>该组金融资产的债务人支付能力逐步恶化；</w:t>
      </w:r>
      <w:r>
        <w:rPr>
          <w:w w:val="100"/>
        </w:rPr>
        <w:t> </w:t>
      </w:r>
      <w:r>
        <w:rPr>
          <w:spacing w:val="-2"/>
        </w:rPr>
        <w:t>债务人所在国家或地区经济出现了可能导致该组金融资产无法支付的状况；</w:t>
      </w:r>
    </w:p>
    <w:p>
      <w:pPr>
        <w:pStyle w:val="BodyText"/>
        <w:spacing w:line="273" w:lineRule="auto" w:before="37"/>
        <w:ind w:right="0" w:firstLine="420"/>
        <w:jc w:val="left"/>
      </w:pPr>
      <w:r>
        <w:rPr>
          <w:spacing w:val="-2"/>
        </w:rPr>
        <w:t>⑦债务人经营所处的技术、市场、经济或法律环境等发生重大不利变化，使权益工具投资人可能无法</w:t>
      </w:r>
      <w:r>
        <w:rPr>
          <w:w w:val="100"/>
        </w:rPr>
        <w:t> </w:t>
      </w:r>
      <w:r>
        <w:rPr/>
        <w:t>收回投资成本；</w:t>
      </w:r>
    </w:p>
    <w:p>
      <w:pPr>
        <w:pStyle w:val="BodyText"/>
        <w:spacing w:line="273" w:lineRule="auto" w:before="127"/>
        <w:ind w:right="0" w:firstLine="420"/>
        <w:jc w:val="left"/>
      </w:pPr>
      <w:r>
        <w:rPr>
          <w:spacing w:val="-2"/>
        </w:rPr>
        <w:t>⑧权益工具投资的公允价值发生严重或非暂时性下跌，如权益工具投资于资产负债表日的公允价值低</w:t>
      </w:r>
      <w:r>
        <w:rPr>
          <w:w w:val="100"/>
        </w:rPr>
        <w:t> </w:t>
      </w:r>
      <w:r>
        <w:rPr/>
        <w:t>于其初始投资成本超过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）或低于其初始投资成本持续时间超过</w:t>
      </w:r>
      <w:r>
        <w:rPr>
          <w:rFonts w:ascii="Times New Roman" w:hAnsi="Times New Roman" w:cs="Times New Roman" w:eastAsia="Times New Roman" w:hint="default"/>
        </w:rPr>
        <w:t>12</w:t>
      </w:r>
      <w:r>
        <w:rPr/>
        <w:t>个月（含</w:t>
      </w:r>
      <w:r>
        <w:rPr>
          <w:rFonts w:ascii="Times New Roman" w:hAnsi="Times New Roman" w:cs="Times New Roman" w:eastAsia="Times New Roman" w:hint="default"/>
        </w:rPr>
        <w:t>12</w:t>
      </w:r>
      <w:r>
        <w:rPr/>
        <w:t>个月）。</w:t>
      </w:r>
    </w:p>
    <w:p>
      <w:pPr>
        <w:pStyle w:val="BodyText"/>
        <w:spacing w:line="256" w:lineRule="auto" w:before="108"/>
        <w:ind w:right="0" w:firstLine="420"/>
        <w:jc w:val="left"/>
      </w:pPr>
      <w:r>
        <w:rPr>
          <w:spacing w:val="-2"/>
        </w:rPr>
        <w:t>低于其初始投资成本持续时间超过</w:t>
      </w:r>
      <w:r>
        <w:rPr>
          <w:rFonts w:ascii="Times New Roman" w:hAnsi="Times New Roman" w:cs="Times New Roman" w:eastAsia="Times New Roman" w:hint="default"/>
          <w:spacing w:val="-2"/>
        </w:rPr>
        <w:t>12</w:t>
      </w:r>
      <w:r>
        <w:rPr>
          <w:spacing w:val="-2"/>
        </w:rPr>
        <w:t>个月（含</w:t>
      </w:r>
      <w:r>
        <w:rPr>
          <w:rFonts w:ascii="Times New Roman" w:hAnsi="Times New Roman" w:cs="Times New Roman" w:eastAsia="Times New Roman" w:hint="default"/>
          <w:spacing w:val="-2"/>
        </w:rPr>
        <w:t>12</w:t>
      </w:r>
      <w:r>
        <w:rPr>
          <w:spacing w:val="-2"/>
        </w:rPr>
        <w:t>个月）是指，权益工具投资公允价值月度均值连续</w:t>
      </w:r>
      <w:r>
        <w:rPr>
          <w:rFonts w:ascii="Times New Roman" w:hAnsi="Times New Roman" w:cs="Times New Roman" w:eastAsia="Times New Roman" w:hint="default"/>
          <w:spacing w:val="-2"/>
        </w:rPr>
        <w:t>12</w:t>
      </w:r>
      <w:r>
        <w:rPr>
          <w:rFonts w:ascii="Times New Roman" w:hAnsi="Times New Roman" w:cs="Times New Roman" w:eastAsia="Times New Roman" w:hint="default"/>
          <w:w w:val="100"/>
        </w:rPr>
        <w:t> </w:t>
      </w:r>
      <w:r>
        <w:rPr/>
        <w:t>个月均低于其初始投资成本。</w:t>
      </w:r>
    </w:p>
    <w:p>
      <w:pPr>
        <w:pStyle w:val="BodyText"/>
        <w:spacing w:line="240" w:lineRule="auto" w:before="142"/>
        <w:ind w:left="533" w:right="0"/>
        <w:jc w:val="left"/>
      </w:pPr>
      <w:r>
        <w:rPr/>
        <w:t>⑨其他表明金融资产发生减值的客观证据。</w:t>
      </w:r>
    </w:p>
    <w:p>
      <w:pPr>
        <w:spacing w:after="0" w:line="240" w:lineRule="auto"/>
        <w:jc w:val="left"/>
        <w:sectPr>
          <w:pgSz w:w="11910" w:h="16840"/>
          <w:pgMar w:header="867" w:footer="979" w:top="1060" w:bottom="1160" w:left="1020" w:right="1020"/>
        </w:sectPr>
      </w:pPr>
    </w:p>
    <w:p>
      <w:pPr>
        <w:spacing w:line="240" w:lineRule="auto" w:before="13"/>
        <w:rPr>
          <w:rFonts w:ascii="宋体" w:hAnsi="宋体" w:cs="宋体" w:eastAsia="宋体" w:hint="default"/>
          <w:sz w:val="24"/>
          <w:szCs w:val="24"/>
        </w:rPr>
      </w:pPr>
    </w:p>
    <w:p>
      <w:pPr>
        <w:pStyle w:val="BodyText"/>
        <w:spacing w:line="240" w:lineRule="auto" w:before="36"/>
        <w:ind w:left="533" w:right="0"/>
        <w:jc w:val="left"/>
      </w:pPr>
      <w:r>
        <w:rPr/>
        <w:t>以摊余成本计量的金融资产</w:t>
      </w:r>
    </w:p>
    <w:p>
      <w:pPr>
        <w:pStyle w:val="BodyText"/>
        <w:spacing w:line="273" w:lineRule="auto" w:before="157"/>
        <w:ind w:right="106" w:firstLine="420"/>
        <w:jc w:val="both"/>
      </w:pPr>
      <w:r>
        <w:rPr>
          <w:spacing w:val="-2"/>
        </w:rPr>
        <w:t>如果有客观证据表明该金融资产发生减值，则将该金融资产的账面价值减记至预计未来现金流量（不</w:t>
      </w:r>
      <w:r>
        <w:rPr>
          <w:w w:val="100"/>
        </w:rPr>
        <w:t> </w:t>
      </w:r>
      <w:r>
        <w:rPr>
          <w:spacing w:val="-2"/>
        </w:rPr>
        <w:t>包括尚未发生的未来信用损失）现值，减记金额计入当期损益。预计未来现金流量现值，按照该金融资产</w:t>
      </w:r>
      <w:r>
        <w:rPr>
          <w:spacing w:val="-47"/>
        </w:rPr>
        <w:t> </w:t>
      </w:r>
      <w:r>
        <w:rPr>
          <w:spacing w:val="-47"/>
        </w:rPr>
      </w:r>
      <w:r>
        <w:rPr/>
        <w:t>原实际利率折现确定，并考虑相关担保物的价值。</w:t>
      </w:r>
    </w:p>
    <w:p>
      <w:pPr>
        <w:pStyle w:val="BodyText"/>
        <w:spacing w:line="273" w:lineRule="auto" w:before="127"/>
        <w:ind w:right="106" w:firstLine="420"/>
        <w:jc w:val="both"/>
      </w:pPr>
      <w:r>
        <w:rPr>
          <w:spacing w:val="-2"/>
        </w:rPr>
        <w:t>对单项金额重大的金融资产单独进行减值测试，如有客观证据表明其已发生减值，确认减值损失，计</w:t>
      </w:r>
      <w:r>
        <w:rPr>
          <w:w w:val="100"/>
        </w:rPr>
        <w:t> </w:t>
      </w:r>
      <w:r>
        <w:rPr>
          <w:spacing w:val="-2"/>
        </w:rPr>
        <w:t>入当期损益。对单项金额不重大的金融资产，单独进行减值测试或包括在具有类似信用风险特征的金融资</w:t>
      </w:r>
      <w:r>
        <w:rPr>
          <w:spacing w:val="-43"/>
        </w:rPr>
        <w:t> </w:t>
      </w:r>
      <w:r>
        <w:rPr>
          <w:spacing w:val="-43"/>
        </w:rPr>
      </w:r>
      <w:r>
        <w:rPr>
          <w:spacing w:val="-2"/>
        </w:rPr>
        <w:t>产组合中进行减值测试。单独测试未发生减值的金融资产（包括单项金额重大和不重大的金融资产），包</w:t>
      </w:r>
      <w:r>
        <w:rPr>
          <w:spacing w:val="-47"/>
        </w:rPr>
        <w:t> </w:t>
      </w:r>
      <w:r>
        <w:rPr>
          <w:spacing w:val="-47"/>
        </w:rPr>
      </w:r>
      <w:r>
        <w:rPr>
          <w:spacing w:val="-2"/>
        </w:rPr>
        <w:t>括在具有类似信用风险特征的金融资产组合中再进行减值测试。已单项确认减值损失的金融资产，不包括</w:t>
      </w:r>
      <w:r>
        <w:rPr>
          <w:spacing w:val="-44"/>
        </w:rPr>
        <w:t> </w:t>
      </w:r>
      <w:r>
        <w:rPr>
          <w:spacing w:val="-44"/>
        </w:rPr>
      </w:r>
      <w:r>
        <w:rPr/>
        <w:t>在具有类似信用风险特征的金融资产组合中进行减值测试。</w:t>
      </w:r>
    </w:p>
    <w:p>
      <w:pPr>
        <w:pStyle w:val="BodyText"/>
        <w:spacing w:line="273" w:lineRule="auto" w:before="128"/>
        <w:ind w:right="106" w:firstLine="420"/>
        <w:jc w:val="both"/>
      </w:pPr>
      <w:r>
        <w:rPr>
          <w:spacing w:val="-2"/>
        </w:rPr>
        <w:t>本集团对以摊余成本计量的金融资产确认减值损失后，如有客观证据表明该金融资产价值已恢复，且</w:t>
      </w:r>
      <w:r>
        <w:rPr>
          <w:w w:val="100"/>
        </w:rPr>
        <w:t> </w:t>
      </w:r>
      <w:r>
        <w:rPr>
          <w:spacing w:val="-2"/>
        </w:rPr>
        <w:t>客观上与确认该损失后发生的事项有关，原确认的减值损失予以转回，计入当期损益。但是，该转回后的</w:t>
      </w:r>
      <w:r>
        <w:rPr>
          <w:spacing w:val="-47"/>
        </w:rPr>
        <w:t> </w:t>
      </w:r>
      <w:r>
        <w:rPr>
          <w:spacing w:val="-47"/>
        </w:rPr>
      </w:r>
      <w:r>
        <w:rPr/>
        <w:t>账面价值不超过假定不计提减值准备情况下该金融资产在转回日的摊余成本。</w:t>
      </w:r>
    </w:p>
    <w:p>
      <w:pPr>
        <w:pStyle w:val="BodyText"/>
        <w:spacing w:line="432" w:lineRule="exact" w:before="27"/>
        <w:ind w:left="533" w:right="0"/>
        <w:jc w:val="left"/>
      </w:pPr>
      <w:r>
        <w:rPr/>
        <w:t>可供出售金融资产</w:t>
      </w:r>
      <w:r>
        <w:rPr>
          <w:w w:val="100"/>
        </w:rPr>
        <w:t> </w:t>
      </w:r>
      <w:r>
        <w:rPr>
          <w:spacing w:val="-2"/>
        </w:rPr>
        <w:t>如果有客观证据表明该金融资产发生减值，原直接计入其他综合收益的因公允价值下降形成的累计损</w:t>
      </w:r>
    </w:p>
    <w:p>
      <w:pPr>
        <w:pStyle w:val="BodyText"/>
        <w:spacing w:line="255" w:lineRule="exact"/>
        <w:ind w:right="0"/>
        <w:jc w:val="left"/>
      </w:pPr>
      <w:r>
        <w:rPr>
          <w:spacing w:val="-2"/>
        </w:rPr>
        <w:t>失，予以转出，计入当期损益。该转出的累计损失，为可供出售金融资产的初始取得成本扣除已收回本金</w:t>
      </w:r>
    </w:p>
    <w:p>
      <w:pPr>
        <w:pStyle w:val="BodyText"/>
        <w:spacing w:line="240" w:lineRule="auto" w:before="37"/>
        <w:ind w:right="0"/>
        <w:jc w:val="left"/>
      </w:pPr>
      <w:r>
        <w:rPr/>
        <w:t>和已摊销金额、当前公允价值和原已计入损益的减值损失后的余额。</w:t>
      </w:r>
    </w:p>
    <w:p>
      <w:pPr>
        <w:pStyle w:val="BodyText"/>
        <w:spacing w:line="273" w:lineRule="auto" w:before="157"/>
        <w:ind w:right="106" w:firstLine="420"/>
        <w:jc w:val="both"/>
      </w:pPr>
      <w:r>
        <w:rPr>
          <w:spacing w:val="-2"/>
        </w:rPr>
        <w:t>对于已确认减值损失的可供出售债务工具，在随后的会计期间公允价值已上升且客观上与确认原减值</w:t>
      </w:r>
      <w:r>
        <w:rPr>
          <w:w w:val="100"/>
        </w:rPr>
        <w:t> </w:t>
      </w:r>
      <w:r>
        <w:rPr>
          <w:spacing w:val="-2"/>
        </w:rPr>
        <w:t>损失确认后发生的事项有关的，原确认的减值损失予以转回，计入当期损益。可供出售权益工具投资发生</w:t>
      </w:r>
      <w:r>
        <w:rPr>
          <w:spacing w:val="-45"/>
        </w:rPr>
        <w:t> </w:t>
      </w:r>
      <w:r>
        <w:rPr>
          <w:spacing w:val="-45"/>
        </w:rPr>
      </w:r>
      <w:r>
        <w:rPr/>
        <w:t>的减值损失，不通过损益转回。</w:t>
      </w:r>
    </w:p>
    <w:p>
      <w:pPr>
        <w:pStyle w:val="BodyText"/>
        <w:spacing w:line="432" w:lineRule="exact" w:before="28"/>
        <w:ind w:left="533" w:right="0"/>
        <w:jc w:val="left"/>
      </w:pPr>
      <w:r>
        <w:rPr/>
        <w:t>以成本计量的金融资产</w:t>
      </w:r>
      <w:r>
        <w:rPr>
          <w:w w:val="100"/>
        </w:rPr>
        <w:t> </w:t>
      </w:r>
      <w:r>
        <w:rPr>
          <w:spacing w:val="-2"/>
        </w:rPr>
        <w:t>在活跃市场中没有报价且其公允价值不能可靠计量的权益工具投资，或与该权益工具挂钩并须通过交</w:t>
      </w:r>
    </w:p>
    <w:p>
      <w:pPr>
        <w:pStyle w:val="BodyText"/>
        <w:spacing w:line="255" w:lineRule="exact"/>
        <w:ind w:right="0"/>
        <w:jc w:val="left"/>
      </w:pPr>
      <w:r>
        <w:rPr/>
        <w:t>付该权益工具结算的衍生金融资产发生减值时，将该金融资产的账面价值，与按照类似金融资产当时市场</w:t>
      </w:r>
    </w:p>
    <w:p>
      <w:pPr>
        <w:pStyle w:val="BodyText"/>
        <w:spacing w:line="273" w:lineRule="auto" w:before="37"/>
        <w:ind w:right="0"/>
        <w:jc w:val="left"/>
      </w:pPr>
      <w:r>
        <w:rPr>
          <w:spacing w:val="-2"/>
        </w:rPr>
        <w:t>收益率对未来现金流量折现确定的现值之间的差额，确认为减值损失，计入当期损益。发生的减值损失一</w:t>
      </w:r>
      <w:r>
        <w:rPr>
          <w:spacing w:val="-45"/>
        </w:rPr>
        <w:t> </w:t>
      </w:r>
      <w:r>
        <w:rPr>
          <w:spacing w:val="-45"/>
        </w:rPr>
      </w:r>
      <w:r>
        <w:rPr/>
        <w:t>经确认，不得转回。</w:t>
      </w:r>
    </w:p>
    <w:p>
      <w:pPr>
        <w:pStyle w:val="BodyText"/>
        <w:spacing w:line="367" w:lineRule="auto" w:before="127"/>
        <w:ind w:left="533" w:right="0"/>
        <w:jc w:val="left"/>
      </w:pPr>
      <w:r>
        <w:rPr/>
        <w:t>（</w:t>
      </w:r>
      <w:r>
        <w:rPr>
          <w:rFonts w:ascii="Times New Roman" w:hAnsi="Times New Roman" w:cs="Times New Roman" w:eastAsia="Times New Roman" w:hint="default"/>
        </w:rPr>
        <w:t>6</w:t>
      </w:r>
      <w:r>
        <w:rPr/>
        <w:t>）金融资产转移</w:t>
      </w:r>
      <w:r>
        <w:rPr>
          <w:w w:val="100"/>
        </w:rPr>
        <w:t> </w:t>
      </w:r>
      <w:r>
        <w:rPr/>
        <w:t>金融资产转移，是指将金融资产让与或交付给该金融资产发行方以外的另一方（转入方）。</w:t>
      </w:r>
      <w:r>
        <w:rPr>
          <w:w w:val="100"/>
        </w:rPr>
        <w:t> </w:t>
      </w:r>
      <w:r>
        <w:rPr>
          <w:spacing w:val="-2"/>
        </w:rPr>
        <w:t>本集团已将金融资产所有权上几乎所有的风险和报酬转移给转入方的，终止确认该金融资产；保留了</w:t>
      </w:r>
    </w:p>
    <w:p>
      <w:pPr>
        <w:pStyle w:val="BodyText"/>
        <w:spacing w:line="201" w:lineRule="exact"/>
        <w:ind w:right="0"/>
        <w:jc w:val="left"/>
      </w:pPr>
      <w:r>
        <w:rPr/>
        <w:t>金融资产所有权上几乎所有的风险和报酬的，不终止确认该金融资产。</w:t>
      </w:r>
    </w:p>
    <w:p>
      <w:pPr>
        <w:pStyle w:val="BodyText"/>
        <w:spacing w:line="273" w:lineRule="auto" w:before="157"/>
        <w:ind w:right="106" w:firstLine="420"/>
        <w:jc w:val="both"/>
      </w:pPr>
      <w:r>
        <w:rPr>
          <w:spacing w:val="-2"/>
        </w:rPr>
        <w:t>本集团既没有转移也没有保留金融资产所有权上几乎所有的风险和报酬的，分别下列情况处理：放弃</w:t>
      </w:r>
      <w:r>
        <w:rPr>
          <w:w w:val="100"/>
        </w:rPr>
        <w:t> </w:t>
      </w:r>
      <w:r>
        <w:rPr>
          <w:spacing w:val="-2"/>
        </w:rPr>
        <w:t>了对该金融资产控制的，终止确认该金融资产并确认产生的资产和负债；未放弃对该金融资产控制的，按</w:t>
      </w:r>
      <w:r>
        <w:rPr>
          <w:spacing w:val="-43"/>
        </w:rPr>
        <w:t> </w:t>
      </w:r>
      <w:r>
        <w:rPr>
          <w:spacing w:val="-43"/>
        </w:rPr>
      </w:r>
      <w:r>
        <w:rPr/>
        <w:t>照其继续涉入所转移金融资产的程度确认有关金融资产，并相应确认有关负债。</w:t>
      </w:r>
    </w:p>
    <w:p>
      <w:pPr>
        <w:pStyle w:val="BodyText"/>
        <w:spacing w:line="357" w:lineRule="auto" w:before="127"/>
        <w:ind w:left="533" w:right="0"/>
        <w:jc w:val="left"/>
      </w:pPr>
      <w:r>
        <w:rPr/>
        <w:t>（</w:t>
      </w:r>
      <w:r>
        <w:rPr>
          <w:rFonts w:ascii="Times New Roman" w:hAnsi="Times New Roman" w:cs="Times New Roman" w:eastAsia="Times New Roman" w:hint="default"/>
        </w:rPr>
        <w:t>7</w:t>
      </w:r>
      <w:r>
        <w:rPr/>
        <w:t>）金融资产和金融负债的抵销</w:t>
      </w:r>
      <w:r>
        <w:rPr>
          <w:w w:val="100"/>
        </w:rPr>
        <w:t> </w:t>
      </w:r>
      <w:r>
        <w:rPr>
          <w:spacing w:val="-2"/>
        </w:rPr>
        <w:t>当本集团具有抵销已确认金融资产和金融负债的法定权利，且目前可执行该种法定权利，同时本集团</w:t>
      </w:r>
    </w:p>
    <w:p>
      <w:pPr>
        <w:pStyle w:val="BodyText"/>
        <w:spacing w:line="209" w:lineRule="exact"/>
        <w:ind w:right="0"/>
        <w:jc w:val="left"/>
      </w:pPr>
      <w:r>
        <w:rPr/>
        <w:t>计划以净额结算或同时变现该金融资产和清偿该金融负债时，金融资产和金融负债以相互抵销后的金额在</w:t>
      </w:r>
    </w:p>
    <w:p>
      <w:pPr>
        <w:pStyle w:val="BodyText"/>
        <w:spacing w:line="240" w:lineRule="auto" w:before="37"/>
        <w:ind w:right="0"/>
        <w:jc w:val="left"/>
      </w:pPr>
      <w:r>
        <w:rPr/>
        <w:t>资产负债表内列示。除此以外，金融资产和金融负债在资产负债表内分别列示，不予相互抵销。</w:t>
      </w:r>
    </w:p>
    <w:p>
      <w:pPr>
        <w:spacing w:after="0" w:line="240" w:lineRule="auto"/>
        <w:jc w:val="left"/>
        <w:sectPr>
          <w:footerReference w:type="default" r:id="rId17"/>
          <w:pgSz w:w="11910" w:h="16840"/>
          <w:pgMar w:footer="979" w:header="867" w:top="1060" w:bottom="1160" w:left="1020" w:right="1020"/>
        </w:sectPr>
      </w:pPr>
    </w:p>
    <w:p>
      <w:pPr>
        <w:spacing w:line="240" w:lineRule="auto" w:before="13"/>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4"/>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102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9"/>
              <w:jc w:val="both"/>
              <w:rPr>
                <w:rFonts w:ascii="宋体" w:hAnsi="宋体" w:cs="宋体" w:eastAsia="宋体" w:hint="default"/>
                <w:sz w:val="18"/>
                <w:szCs w:val="18"/>
              </w:rPr>
            </w:pPr>
            <w:r>
              <w:rPr>
                <w:rFonts w:ascii="宋体" w:hAnsi="宋体" w:cs="宋体" w:eastAsia="宋体" w:hint="default"/>
                <w:sz w:val="18"/>
                <w:szCs w:val="18"/>
              </w:rPr>
              <w:t>期末数达到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万元）以上的或期末数占应收 款项余额比例达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）以上的应收款项为单项金额 重大的应收款项。</w:t>
            </w:r>
          </w:p>
        </w:tc>
      </w:tr>
      <w:tr>
        <w:trPr>
          <w:trHeight w:val="102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对于单项金额重大的应收款项单独进行减值测试，有客观证 据表明发生了减值，根据其未来现金流量现值低于其账面价 值的差额计提坏账准备。</w:t>
            </w:r>
          </w:p>
        </w:tc>
      </w:tr>
    </w:tbl>
    <w:p>
      <w:pPr>
        <w:spacing w:line="240" w:lineRule="auto" w:before="6"/>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9"/>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7"/>
        <w:ind w:left="112" w:right="6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4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4"/>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涉诉款项、客户信用状况恶化的应收款项</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 备</w:t>
            </w:r>
          </w:p>
        </w:tc>
      </w:tr>
    </w:tbl>
    <w:p>
      <w:pPr>
        <w:spacing w:after="0" w:line="314" w:lineRule="auto"/>
        <w:jc w:val="left"/>
        <w:rPr>
          <w:rFonts w:ascii="宋体" w:hAnsi="宋体" w:cs="宋体" w:eastAsia="宋体" w:hint="default"/>
          <w:sz w:val="18"/>
          <w:szCs w:val="18"/>
        </w:rPr>
        <w:sectPr>
          <w:footerReference w:type="default" r:id="rId18"/>
          <w:pgSz w:w="11910" w:h="16840"/>
          <w:pgMar w:footer="979" w:header="867" w:top="1060" w:bottom="1160" w:left="1020" w:right="1020"/>
          <w:pgNumType w:start="101"/>
        </w:sectPr>
      </w:pPr>
    </w:p>
    <w:p>
      <w:pPr>
        <w:spacing w:line="240" w:lineRule="auto" w:before="13"/>
        <w:rPr>
          <w:rFonts w:ascii="宋体" w:hAnsi="宋体" w:cs="宋体" w:eastAsia="宋体" w:hint="default"/>
          <w:b/>
          <w:bCs/>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4"/>
        <w:rPr>
          <w:rFonts w:ascii="宋体" w:hAnsi="宋体" w:cs="宋体" w:eastAsia="宋体" w:hint="default"/>
          <w:b/>
          <w:bCs/>
          <w:sz w:val="26"/>
          <w:szCs w:val="26"/>
        </w:rPr>
      </w:pPr>
    </w:p>
    <w:p>
      <w:pPr>
        <w:spacing w:line="357" w:lineRule="auto" w:before="0"/>
        <w:ind w:left="112" w:right="6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57" w:lineRule="auto" w:before="87"/>
        <w:ind w:left="533" w:right="0"/>
        <w:jc w:val="left"/>
      </w:pPr>
      <w:r>
        <w:rPr/>
        <w:t>（</w:t>
      </w:r>
      <w:r>
        <w:rPr>
          <w:rFonts w:ascii="Times New Roman" w:hAnsi="Times New Roman" w:cs="Times New Roman" w:eastAsia="Times New Roman" w:hint="default"/>
        </w:rPr>
        <w:t>1</w:t>
      </w:r>
      <w:r>
        <w:rPr/>
        <w:t>）存货的分类</w:t>
      </w:r>
      <w:r>
        <w:rPr>
          <w:w w:val="100"/>
        </w:rPr>
        <w:t> </w:t>
      </w:r>
      <w:r>
        <w:rPr>
          <w:spacing w:val="-2"/>
        </w:rPr>
        <w:t>本集团存货分为原材料、库存商品、周转材料和项目开发成本等。项目开发成本核算的是已运送至客</w:t>
      </w:r>
    </w:p>
    <w:p>
      <w:pPr>
        <w:pStyle w:val="BodyText"/>
        <w:spacing w:line="209" w:lineRule="exact"/>
        <w:ind w:right="0"/>
        <w:jc w:val="left"/>
      </w:pPr>
      <w:r>
        <w:rPr/>
        <w:t>户指定场所的系统硬件成本、尚在进行中的系统安装成本或系统整合成本、正在履行的其他义务所发生的</w:t>
      </w:r>
    </w:p>
    <w:p>
      <w:pPr>
        <w:pStyle w:val="BodyText"/>
        <w:spacing w:line="240" w:lineRule="auto" w:before="37"/>
        <w:ind w:right="0"/>
        <w:jc w:val="left"/>
      </w:pPr>
      <w:r>
        <w:rPr/>
        <w:t>成本，及可归集到合同的已发生的直接人工和直接费用。</w:t>
      </w:r>
    </w:p>
    <w:p>
      <w:pPr>
        <w:pStyle w:val="BodyText"/>
        <w:spacing w:line="357" w:lineRule="auto" w:before="157"/>
        <w:ind w:left="533" w:right="0"/>
        <w:jc w:val="left"/>
      </w:pPr>
      <w:r>
        <w:rPr/>
        <w:t>（</w:t>
      </w:r>
      <w:r>
        <w:rPr>
          <w:rFonts w:ascii="Times New Roman" w:hAnsi="Times New Roman" w:cs="Times New Roman" w:eastAsia="Times New Roman" w:hint="default"/>
        </w:rPr>
        <w:t>2</w:t>
      </w:r>
      <w:r>
        <w:rPr/>
        <w:t>）发出存货的计价方法</w:t>
      </w:r>
      <w:r>
        <w:rPr>
          <w:w w:val="100"/>
        </w:rPr>
        <w:t> </w:t>
      </w:r>
      <w:r>
        <w:rPr>
          <w:spacing w:val="-2"/>
        </w:rPr>
        <w:t>本集团存货取得时按实际成本计价。原材料、库存商品等发出时采用加权平均法计价。</w:t>
      </w:r>
    </w:p>
    <w:p>
      <w:pPr>
        <w:pStyle w:val="BodyText"/>
        <w:spacing w:line="357" w:lineRule="auto" w:before="54"/>
        <w:ind w:left="533" w:right="0"/>
        <w:jc w:val="left"/>
      </w:pPr>
      <w:r>
        <w:rPr/>
        <w:t>（</w:t>
      </w:r>
      <w:r>
        <w:rPr>
          <w:rFonts w:ascii="Times New Roman" w:hAnsi="Times New Roman" w:cs="Times New Roman" w:eastAsia="Times New Roman" w:hint="default"/>
        </w:rPr>
        <w:t>3</w:t>
      </w:r>
      <w:r>
        <w:rPr/>
        <w:t>）存货可变现净值的确定依据及存货跌价准备的计提方法</w:t>
      </w:r>
      <w:r>
        <w:rPr>
          <w:w w:val="100"/>
        </w:rPr>
        <w:t> </w:t>
      </w:r>
      <w:r>
        <w:rPr>
          <w:spacing w:val="-2"/>
        </w:rPr>
        <w:t>存货可变现净值是按存货的估计售价减去至完工时估计将要发生的成本、估计的销售费用以及相关税</w:t>
      </w:r>
    </w:p>
    <w:p>
      <w:pPr>
        <w:pStyle w:val="BodyText"/>
        <w:spacing w:line="209" w:lineRule="exact"/>
        <w:ind w:right="0"/>
        <w:jc w:val="left"/>
      </w:pPr>
      <w:r>
        <w:rPr/>
        <w:t>费后的金额。在确定存货的可变现净值时，以取得的确凿证据为基础，同时考虑持有存货的目的以及资产</w:t>
      </w:r>
    </w:p>
    <w:p>
      <w:pPr>
        <w:pStyle w:val="BodyText"/>
        <w:spacing w:line="240" w:lineRule="auto" w:before="37"/>
        <w:ind w:right="0"/>
        <w:jc w:val="left"/>
      </w:pPr>
      <w:r>
        <w:rPr/>
        <w:t>负债表日后事项的影响。</w:t>
      </w:r>
    </w:p>
    <w:p>
      <w:pPr>
        <w:pStyle w:val="BodyText"/>
        <w:spacing w:line="273" w:lineRule="auto" w:before="157"/>
        <w:ind w:right="126" w:firstLine="420"/>
        <w:jc w:val="both"/>
      </w:pPr>
      <w:r>
        <w:rPr>
          <w:spacing w:val="-2"/>
        </w:rPr>
        <w:t>资产负债表日，存货成本高于其可变现净值的，计提存货跌价准备。本集团通常按照单个存货项目计</w:t>
      </w:r>
      <w:r>
        <w:rPr>
          <w:w w:val="100"/>
        </w:rPr>
        <w:t> </w:t>
      </w:r>
      <w:r>
        <w:rPr>
          <w:spacing w:val="-2"/>
        </w:rPr>
        <w:t>提存货跌价准备，资产负债表日，以前减记存货价值的影响因素已经消失的，存货跌价准备在原已计提的</w:t>
      </w:r>
      <w:r>
        <w:rPr>
          <w:spacing w:val="-44"/>
        </w:rPr>
        <w:t> </w:t>
      </w:r>
      <w:r>
        <w:rPr>
          <w:spacing w:val="-44"/>
        </w:rPr>
      </w:r>
      <w:r>
        <w:rPr/>
        <w:t>金额内转回。</w:t>
      </w:r>
    </w:p>
    <w:p>
      <w:pPr>
        <w:pStyle w:val="BodyText"/>
        <w:spacing w:line="357" w:lineRule="auto" w:before="127"/>
        <w:ind w:left="533" w:right="3842"/>
        <w:jc w:val="left"/>
      </w:pPr>
      <w:r>
        <w:rPr/>
        <w:t>（</w:t>
      </w:r>
      <w:r>
        <w:rPr>
          <w:rFonts w:ascii="Times New Roman" w:hAnsi="Times New Roman" w:cs="Times New Roman" w:eastAsia="Times New Roman" w:hint="default"/>
        </w:rPr>
        <w:t>4</w:t>
      </w:r>
      <w:r>
        <w:rPr/>
        <w:t>）存货的盘存制度</w:t>
      </w:r>
      <w:r>
        <w:rPr>
          <w:w w:val="100"/>
        </w:rPr>
        <w:t> </w:t>
      </w:r>
      <w:r>
        <w:rPr>
          <w:spacing w:val="-2"/>
        </w:rPr>
        <w:t>本集团存货盘存制度采用永续盘存制。</w:t>
      </w:r>
    </w:p>
    <w:p>
      <w:pPr>
        <w:pStyle w:val="BodyText"/>
        <w:spacing w:line="357" w:lineRule="auto" w:before="54"/>
        <w:ind w:left="533" w:right="3842"/>
        <w:jc w:val="left"/>
      </w:pPr>
      <w:r>
        <w:rPr/>
        <w:t>（</w:t>
      </w:r>
      <w:r>
        <w:rPr>
          <w:rFonts w:ascii="Times New Roman" w:hAnsi="Times New Roman" w:cs="Times New Roman" w:eastAsia="Times New Roman" w:hint="default"/>
        </w:rPr>
        <w:t>5</w:t>
      </w:r>
      <w:r>
        <w:rPr/>
        <w:t>）周转材料的摊销方法</w:t>
      </w:r>
      <w:r>
        <w:rPr>
          <w:w w:val="100"/>
        </w:rPr>
        <w:t> </w:t>
      </w:r>
      <w:r>
        <w:rPr>
          <w:spacing w:val="-2"/>
        </w:rPr>
        <w:t>本集团周转材料领用时采用一次摊销法摊销。</w:t>
      </w:r>
    </w:p>
    <w:p>
      <w:pPr>
        <w:spacing w:line="240" w:lineRule="auto" w:before="12"/>
        <w:rPr>
          <w:rFonts w:ascii="宋体" w:hAnsi="宋体" w:cs="宋体" w:eastAsia="宋体" w:hint="default"/>
          <w:sz w:val="17"/>
          <w:szCs w:val="17"/>
        </w:rPr>
      </w:pPr>
    </w:p>
    <w:p>
      <w:pPr>
        <w:spacing w:line="506" w:lineRule="auto" w:before="0"/>
        <w:ind w:left="533" w:right="8068"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、持有待售资产</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pStyle w:val="Heading3"/>
        <w:spacing w:line="240" w:lineRule="auto" w:before="104"/>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26" w:firstLine="420"/>
        <w:jc w:val="both"/>
      </w:pPr>
      <w:r>
        <w:rPr>
          <w:spacing w:val="-2"/>
        </w:rPr>
        <w:t>长期股权投资包括对子公司、合营企业和联营企业的权益性投资。本集团能够对被投资单位施加重大</w:t>
      </w:r>
      <w:r>
        <w:rPr>
          <w:w w:val="100"/>
        </w:rPr>
        <w:t> </w:t>
      </w:r>
      <w:r>
        <w:rPr/>
        <w:t>影响的，为本集团的联营企业。</w:t>
      </w:r>
    </w:p>
    <w:p>
      <w:pPr>
        <w:pStyle w:val="BodyText"/>
        <w:spacing w:line="357" w:lineRule="auto" w:before="127"/>
        <w:ind w:left="533" w:right="0"/>
        <w:jc w:val="left"/>
      </w:pPr>
      <w:r>
        <w:rPr/>
        <w:t>（</w:t>
      </w:r>
      <w:r>
        <w:rPr>
          <w:rFonts w:ascii="Times New Roman" w:hAnsi="Times New Roman" w:cs="Times New Roman" w:eastAsia="Times New Roman" w:hint="default"/>
        </w:rPr>
        <w:t>1</w:t>
      </w:r>
      <w:r>
        <w:rPr/>
        <w:t>）初始投资成本确定</w:t>
      </w:r>
      <w:r>
        <w:rPr>
          <w:w w:val="100"/>
        </w:rPr>
        <w:t> </w:t>
      </w:r>
      <w:r>
        <w:rPr>
          <w:spacing w:val="-2"/>
        </w:rPr>
        <w:t>形成企业合并的长期股权投资：同一控制下企业合并取得的长期股权投资，在合并日按照取得被合并</w:t>
      </w:r>
    </w:p>
    <w:p>
      <w:pPr>
        <w:pStyle w:val="BodyText"/>
        <w:spacing w:line="209" w:lineRule="exact"/>
        <w:ind w:right="0"/>
        <w:jc w:val="left"/>
      </w:pPr>
      <w:r>
        <w:rPr/>
        <w:t>方所有者权益在最终控制方合并财务报表中的账面价值份额作为投资成本；非同一控制下企业合并取得的</w:t>
      </w:r>
    </w:p>
    <w:p>
      <w:pPr>
        <w:pStyle w:val="BodyText"/>
        <w:spacing w:line="240" w:lineRule="auto" w:before="37"/>
        <w:ind w:right="0"/>
        <w:jc w:val="left"/>
      </w:pPr>
      <w:r>
        <w:rPr/>
        <w:t>长期股权投资，按照合并成本作为长期股权投资的投资成本。</w:t>
      </w:r>
    </w:p>
    <w:p>
      <w:pPr>
        <w:pStyle w:val="BodyText"/>
        <w:spacing w:line="273" w:lineRule="auto" w:before="157"/>
        <w:ind w:right="126" w:firstLine="420"/>
        <w:jc w:val="both"/>
      </w:pPr>
      <w:r>
        <w:rPr>
          <w:spacing w:val="-2"/>
        </w:rPr>
        <w:t>对于其他方式取得的长期股权投资：支付现金取得的长期股权投资，按照实际支付的购买价款作为初</w:t>
      </w:r>
      <w:r>
        <w:rPr>
          <w:w w:val="100"/>
        </w:rPr>
        <w:t> </w:t>
      </w:r>
      <w:r>
        <w:rPr/>
        <w:t>始投资成本；发行权益性证券取得的长期股权投资，以发行权益性证券的公允价值作为初始投资成本。</w:t>
      </w:r>
    </w:p>
    <w:p>
      <w:pPr>
        <w:pStyle w:val="BodyText"/>
        <w:spacing w:line="357" w:lineRule="auto" w:before="128"/>
        <w:ind w:left="533" w:right="0"/>
        <w:jc w:val="left"/>
      </w:pPr>
      <w:r>
        <w:rPr/>
        <w:t>（</w:t>
      </w:r>
      <w:r>
        <w:rPr>
          <w:rFonts w:ascii="Times New Roman" w:hAnsi="Times New Roman" w:cs="Times New Roman" w:eastAsia="Times New Roman" w:hint="default"/>
        </w:rPr>
        <w:t>2</w:t>
      </w:r>
      <w:r>
        <w:rPr/>
        <w:t>）后续计量及损益确认方法</w:t>
      </w:r>
      <w:r>
        <w:rPr>
          <w:w w:val="100"/>
        </w:rPr>
        <w:t> </w:t>
      </w:r>
      <w:r>
        <w:rPr>
          <w:spacing w:val="-2"/>
        </w:rPr>
        <w:t>对子公司的投资，采用成本法核算，除非投资符合持有待售的条件；对联营企业和合营企业的投资，</w:t>
      </w:r>
    </w:p>
    <w:p>
      <w:pPr>
        <w:spacing w:after="0" w:line="357" w:lineRule="auto"/>
        <w:jc w:val="left"/>
        <w:sectPr>
          <w:pgSz w:w="11910" w:h="16840"/>
          <w:pgMar w:header="867" w:footer="979" w:top="1060" w:bottom="1160" w:left="1020" w:right="1000"/>
        </w:sectPr>
      </w:pPr>
    </w:p>
    <w:p>
      <w:pPr>
        <w:spacing w:line="240" w:lineRule="auto" w:before="13"/>
        <w:rPr>
          <w:rFonts w:ascii="宋体" w:hAnsi="宋体" w:cs="宋体" w:eastAsia="宋体" w:hint="default"/>
          <w:sz w:val="24"/>
          <w:szCs w:val="24"/>
        </w:rPr>
      </w:pPr>
    </w:p>
    <w:p>
      <w:pPr>
        <w:pStyle w:val="BodyText"/>
        <w:spacing w:line="240" w:lineRule="auto" w:before="36"/>
        <w:ind w:right="0"/>
        <w:jc w:val="both"/>
      </w:pPr>
      <w:r>
        <w:rPr/>
        <w:t>采用权益法核算。</w:t>
      </w:r>
    </w:p>
    <w:p>
      <w:pPr>
        <w:pStyle w:val="BodyText"/>
        <w:spacing w:line="273" w:lineRule="auto" w:before="157"/>
        <w:ind w:right="206" w:firstLine="420"/>
        <w:jc w:val="both"/>
      </w:pPr>
      <w:r>
        <w:rPr>
          <w:spacing w:val="-2"/>
        </w:rPr>
        <w:t>采用成本法核算的长期股权投资，除取得投资时实际支付的价款或对价中包含的已宣告但尚未发放的</w:t>
      </w:r>
      <w:r>
        <w:rPr>
          <w:w w:val="100"/>
        </w:rPr>
        <w:t> </w:t>
      </w:r>
      <w:r>
        <w:rPr/>
        <w:t>现金股利或利润外，被投资单位宣告分派的现金股利或利润，确认为投资收益计入当期损益。</w:t>
      </w:r>
    </w:p>
    <w:p>
      <w:pPr>
        <w:pStyle w:val="BodyText"/>
        <w:spacing w:line="273" w:lineRule="auto" w:before="127"/>
        <w:ind w:right="206" w:firstLine="420"/>
        <w:jc w:val="both"/>
      </w:pPr>
      <w:r>
        <w:rPr>
          <w:spacing w:val="-2"/>
        </w:rPr>
        <w:t>采用权益法核算的长期股权投资，初始投资成本大于投资时应享有被投资单位可辨认净资产公允价值</w:t>
      </w:r>
      <w:r>
        <w:rPr>
          <w:w w:val="100"/>
        </w:rPr>
        <w:t> </w:t>
      </w:r>
      <w:r>
        <w:rPr>
          <w:spacing w:val="-2"/>
        </w:rPr>
        <w:t>份额的，不调整长期股权投资的投资成本；初始投资成本小于投资时应享有被投资单位可辨认净资产公允</w:t>
      </w:r>
      <w:r>
        <w:rPr>
          <w:spacing w:val="-44"/>
        </w:rPr>
        <w:t> </w:t>
      </w:r>
      <w:r>
        <w:rPr>
          <w:spacing w:val="-44"/>
        </w:rPr>
      </w:r>
      <w:r>
        <w:rPr/>
        <w:t>价值份额的，对长期股权投资的账面价值进行调整，差额计入投资当期的损益。</w:t>
      </w:r>
    </w:p>
    <w:p>
      <w:pPr>
        <w:pStyle w:val="BodyText"/>
        <w:spacing w:line="273" w:lineRule="auto" w:before="127"/>
        <w:ind w:right="206" w:firstLine="420"/>
        <w:jc w:val="both"/>
      </w:pPr>
      <w:r>
        <w:rPr>
          <w:spacing w:val="-2"/>
        </w:rPr>
        <w:t>采用权益法核算时，按照应享有或应分担的被投资单位实现的净损益和其他综合收益的份额，分别确</w:t>
      </w:r>
      <w:r>
        <w:rPr>
          <w:w w:val="100"/>
        </w:rPr>
        <w:t> </w:t>
      </w:r>
      <w:r>
        <w:rPr>
          <w:spacing w:val="-2"/>
        </w:rPr>
        <w:t>认投资收益和其他综合收益，同时调整长期股权投资的账面价值；按照被投资单位宣告分派的利润或现金</w:t>
      </w:r>
      <w:r>
        <w:rPr>
          <w:spacing w:val="-43"/>
        </w:rPr>
        <w:t> </w:t>
      </w:r>
      <w:r>
        <w:rPr>
          <w:spacing w:val="-43"/>
        </w:rPr>
      </w:r>
      <w:r>
        <w:rPr>
          <w:spacing w:val="-2"/>
        </w:rPr>
        <w:t>股利计算应享有的部分，相应减少长期股权投资的账面价值；被投资单位除净损益、其他综合收益和利润</w:t>
      </w:r>
      <w:r>
        <w:rPr>
          <w:spacing w:val="-43"/>
        </w:rPr>
        <w:t> </w:t>
      </w:r>
      <w:r>
        <w:rPr>
          <w:spacing w:val="-43"/>
        </w:rPr>
      </w:r>
      <w:r>
        <w:rPr>
          <w:spacing w:val="-2"/>
        </w:rPr>
        <w:t>分配以外所有者权益的其他变动，调整长期股权投资的账面价值并计入资本公积（其他资本公积）。在确</w:t>
      </w:r>
      <w:r>
        <w:rPr>
          <w:spacing w:val="-44"/>
        </w:rPr>
        <w:t> </w:t>
      </w:r>
      <w:r>
        <w:rPr>
          <w:spacing w:val="-44"/>
        </w:rPr>
      </w:r>
      <w:r>
        <w:rPr>
          <w:spacing w:val="-2"/>
        </w:rPr>
        <w:t>认应享有被投资单位净损益的份额时，以取得投资时被投资单位各项可辨认资产等的公允价值为基础，并</w:t>
      </w:r>
      <w:r>
        <w:rPr>
          <w:spacing w:val="-44"/>
        </w:rPr>
        <w:t> </w:t>
      </w:r>
      <w:r>
        <w:rPr>
          <w:spacing w:val="-44"/>
        </w:rPr>
      </w:r>
      <w:r>
        <w:rPr/>
        <w:t>按照本集团的会计政策及会计期间，对被投资单位的净利润进行调整后确认。</w:t>
      </w:r>
    </w:p>
    <w:p>
      <w:pPr>
        <w:pStyle w:val="BodyText"/>
        <w:spacing w:line="273" w:lineRule="auto" w:before="127"/>
        <w:ind w:right="206" w:firstLine="420"/>
        <w:jc w:val="both"/>
      </w:pPr>
      <w:r>
        <w:rPr>
          <w:spacing w:val="-2"/>
        </w:rPr>
        <w:t>因追加投资等原因能够对被投资单位施加重大影响或实施共同控制但不构成控制的，在转换日，按照</w:t>
      </w:r>
      <w:r>
        <w:rPr>
          <w:w w:val="100"/>
        </w:rPr>
        <w:t> </w:t>
      </w:r>
      <w:r>
        <w:rPr>
          <w:spacing w:val="-2"/>
        </w:rPr>
        <w:t>原股权的公允价值加上新增投资成本之和，作为改按权益法核算的初始投资成本。原股权于转换日的公允</w:t>
      </w:r>
      <w:r>
        <w:rPr>
          <w:spacing w:val="-43"/>
        </w:rPr>
        <w:t> </w:t>
      </w:r>
      <w:r>
        <w:rPr>
          <w:spacing w:val="-43"/>
        </w:rPr>
      </w:r>
      <w:r>
        <w:rPr>
          <w:spacing w:val="-2"/>
        </w:rPr>
        <w:t>价值与账面价值之间的差额，以及原计入其他综合收益的累计公允价值变动转入改按权益法核算的当期损</w:t>
      </w:r>
      <w:r>
        <w:rPr>
          <w:spacing w:val="-43"/>
        </w:rPr>
        <w:t> </w:t>
      </w:r>
      <w:r>
        <w:rPr>
          <w:spacing w:val="-43"/>
        </w:rPr>
      </w:r>
      <w:r>
        <w:rPr/>
        <w:t>益。</w:t>
      </w:r>
    </w:p>
    <w:p>
      <w:pPr>
        <w:pStyle w:val="BodyText"/>
        <w:spacing w:line="268" w:lineRule="auto" w:before="127"/>
        <w:ind w:right="206" w:firstLine="420"/>
        <w:jc w:val="both"/>
      </w:pPr>
      <w:r>
        <w:rPr>
          <w:spacing w:val="-2"/>
        </w:rPr>
        <w:t>因处置部分股权投资等原因丧失了对被投资单位的共同控制或重大影响的，处置后的剩余股权在丧失</w:t>
      </w:r>
      <w:r>
        <w:rPr>
          <w:w w:val="100"/>
        </w:rPr>
        <w:t> </w:t>
      </w:r>
      <w:r>
        <w:rPr>
          <w:spacing w:val="-2"/>
        </w:rPr>
        <w:t>共同控制或重大影响之日改按《企业会计准则第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金融工具确认和计量》进行会计处理，公允价值与</w:t>
      </w:r>
      <w:r>
        <w:rPr>
          <w:spacing w:val="-41"/>
        </w:rPr>
        <w:t> </w:t>
      </w:r>
      <w:r>
        <w:rPr>
          <w:spacing w:val="-41"/>
        </w:rPr>
      </w:r>
      <w:r>
        <w:rPr>
          <w:spacing w:val="-2"/>
        </w:rPr>
        <w:t>账面价值之间的差额计入当期损益。原股权投资因采用权益法核算而确认的其他综合收益，在终止采用权</w:t>
      </w:r>
      <w:r>
        <w:rPr>
          <w:spacing w:val="-42"/>
        </w:rPr>
        <w:t> </w:t>
      </w:r>
      <w:r>
        <w:rPr>
          <w:spacing w:val="-42"/>
        </w:rPr>
      </w:r>
      <w:r>
        <w:rPr>
          <w:spacing w:val="-2"/>
        </w:rPr>
        <w:t>益法核算时采用与被投资单位直接处置相关资产或负债相同的基础进行会计处理；原股权投资相关的其他</w:t>
      </w:r>
      <w:r>
        <w:rPr>
          <w:spacing w:val="-43"/>
        </w:rPr>
        <w:t> </w:t>
      </w:r>
      <w:r>
        <w:rPr>
          <w:spacing w:val="-43"/>
        </w:rPr>
      </w:r>
      <w:r>
        <w:rPr/>
        <w:t>所有者权益变动转入当期损益。</w:t>
      </w:r>
    </w:p>
    <w:p>
      <w:pPr>
        <w:pStyle w:val="BodyText"/>
        <w:spacing w:line="268" w:lineRule="auto" w:before="132"/>
        <w:ind w:right="0" w:firstLine="420"/>
        <w:jc w:val="left"/>
      </w:pPr>
      <w:r>
        <w:rPr/>
        <w:t>因处置部分股权投资等原因丧失了对被投资单位的控制的，处置后的剩余股权能够对被投资单位实施</w:t>
      </w:r>
      <w:r>
        <w:rPr>
          <w:w w:val="100"/>
        </w:rPr>
        <w:t> </w:t>
      </w:r>
      <w:r>
        <w:rPr>
          <w:spacing w:val="-5"/>
        </w:rPr>
        <w:t>共同控制或施加重大影响的，改按权益法核算，并对该剩余股权视同自取得时即采用权益法核算进行调整； </w:t>
      </w:r>
      <w:r>
        <w:rPr>
          <w:spacing w:val="-5"/>
        </w:rPr>
      </w:r>
      <w:r>
        <w:rPr>
          <w:spacing w:val="-2"/>
        </w:rPr>
        <w:t>处置后的剩余股权不能对被投资单位实施共同控制或施加重大影响的，改按《企业会计准则第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w:t>
      </w:r>
      <w:r>
        <w:rPr>
          <w:spacing w:val="-40"/>
        </w:rPr>
        <w:t> </w:t>
      </w:r>
      <w:r>
        <w:rPr>
          <w:spacing w:val="-2"/>
        </w:rPr>
        <w:t>工具确认和计量》的有关规定进行会计处理，其在丧失控制之日的公允价值与账面价值之间的差额计入当</w:t>
      </w:r>
      <w:r>
        <w:rPr>
          <w:spacing w:val="-43"/>
        </w:rPr>
        <w:t> </w:t>
      </w:r>
      <w:r>
        <w:rPr>
          <w:spacing w:val="-43"/>
        </w:rPr>
      </w:r>
      <w:r>
        <w:rPr/>
        <w:t>期损益。</w:t>
      </w:r>
    </w:p>
    <w:p>
      <w:pPr>
        <w:pStyle w:val="BodyText"/>
        <w:spacing w:line="273" w:lineRule="auto" w:before="132"/>
        <w:ind w:right="206" w:firstLine="420"/>
        <w:jc w:val="both"/>
      </w:pPr>
      <w:r>
        <w:rPr>
          <w:spacing w:val="-2"/>
        </w:rPr>
        <w:t>因其他投资方增资而导致本公司持股比例下降、从而丧失控制权但能对被投资单位实施共同控制或施</w:t>
      </w:r>
      <w:r>
        <w:rPr>
          <w:w w:val="100"/>
        </w:rPr>
        <w:t> </w:t>
      </w:r>
      <w:r>
        <w:rPr>
          <w:spacing w:val="-2"/>
        </w:rPr>
        <w:t>加重大影响的，按照新的持股比例确认本公司应享有的被投资单位因增资扩股而增加净资产的份额，与应</w:t>
      </w:r>
      <w:r>
        <w:rPr>
          <w:spacing w:val="-42"/>
        </w:rPr>
        <w:t> </w:t>
      </w:r>
      <w:r>
        <w:rPr>
          <w:spacing w:val="-42"/>
        </w:rPr>
      </w:r>
      <w:r>
        <w:rPr>
          <w:spacing w:val="-2"/>
        </w:rPr>
        <w:t>结转持股比例下降部分所对应的长期股权投资原账面价值之间的差额计入当期损益；然后，按照新的持股</w:t>
      </w:r>
      <w:r>
        <w:rPr>
          <w:spacing w:val="-44"/>
        </w:rPr>
        <w:t> </w:t>
      </w:r>
      <w:r>
        <w:rPr>
          <w:spacing w:val="-44"/>
        </w:rPr>
      </w:r>
      <w:r>
        <w:rPr/>
        <w:t>比例视同自取得投资时即采用权益法核算进行调整。</w:t>
      </w:r>
    </w:p>
    <w:p>
      <w:pPr>
        <w:pStyle w:val="BodyText"/>
        <w:spacing w:line="273" w:lineRule="auto" w:before="127"/>
        <w:ind w:right="206" w:firstLine="420"/>
        <w:jc w:val="both"/>
      </w:pPr>
      <w:r>
        <w:rPr>
          <w:spacing w:val="2"/>
        </w:rPr>
        <w:t>本集团与联营企业及合营企业之间发生的未实现内部交易损益按照持股比例计算归属于本集团的部</w:t>
      </w:r>
      <w:r>
        <w:rPr>
          <w:w w:val="100"/>
        </w:rPr>
        <w:t> </w:t>
      </w:r>
      <w:r>
        <w:rPr>
          <w:spacing w:val="-2"/>
        </w:rPr>
        <w:t>分，在抵销基础上确认投资损益。但本集团与被投资单位发生的未实现内部交易损失，属于所转让资产减</w:t>
      </w:r>
      <w:r>
        <w:rPr>
          <w:spacing w:val="-43"/>
        </w:rPr>
        <w:t> </w:t>
      </w:r>
      <w:r>
        <w:rPr>
          <w:spacing w:val="-43"/>
        </w:rPr>
      </w:r>
      <w:r>
        <w:rPr/>
        <w:t>值损失的，不予以抵销。</w:t>
      </w:r>
    </w:p>
    <w:p>
      <w:pPr>
        <w:pStyle w:val="BodyText"/>
        <w:spacing w:line="357" w:lineRule="auto" w:before="127"/>
        <w:ind w:left="533" w:right="0"/>
        <w:jc w:val="left"/>
      </w:pPr>
      <w:r>
        <w:rPr/>
        <w:t>（</w:t>
      </w:r>
      <w:r>
        <w:rPr>
          <w:rFonts w:ascii="Times New Roman" w:hAnsi="Times New Roman" w:cs="Times New Roman" w:eastAsia="Times New Roman" w:hint="default"/>
        </w:rPr>
        <w:t>3</w:t>
      </w:r>
      <w:r>
        <w:rPr/>
        <w:t>）确定对被投资单位具有共同控制、重大影响的依据</w:t>
      </w:r>
      <w:r>
        <w:rPr>
          <w:w w:val="100"/>
        </w:rPr>
        <w:t> </w:t>
      </w:r>
      <w:r>
        <w:rPr>
          <w:spacing w:val="-2"/>
        </w:rPr>
        <w:t>共同控制，是指按照相关约定对某项安排所共有的控制，并且该安排的相关活动必须经过分享控制权</w:t>
      </w:r>
    </w:p>
    <w:p>
      <w:pPr>
        <w:pStyle w:val="BodyText"/>
        <w:spacing w:line="209" w:lineRule="exact"/>
        <w:ind w:right="0"/>
        <w:jc w:val="both"/>
      </w:pPr>
      <w:r>
        <w:rPr/>
        <w:t>的参与方一致同意后才能决策。在判断是否存在共同控制时，首先判断是否由所有参与方或参与方组合集</w:t>
      </w:r>
    </w:p>
    <w:p>
      <w:pPr>
        <w:pStyle w:val="BodyText"/>
        <w:spacing w:line="273" w:lineRule="auto" w:before="37"/>
        <w:ind w:right="185"/>
        <w:jc w:val="both"/>
      </w:pPr>
      <w:r>
        <w:rPr>
          <w:spacing w:val="-2"/>
        </w:rPr>
        <w:t>体控制该安排，其次再判断该安排相关活动的决策是否必须经过这些集体控制该安排的参与方一致同意。</w:t>
      </w:r>
      <w:r>
        <w:rPr>
          <w:spacing w:val="-21"/>
        </w:rPr>
        <w:t> </w:t>
      </w:r>
      <w:r>
        <w:rPr>
          <w:spacing w:val="-21"/>
        </w:rPr>
      </w:r>
      <w:r>
        <w:rPr>
          <w:spacing w:val="-2"/>
        </w:rPr>
        <w:t>如果所有参与方或一组参与方必须一致行动才能决定某项安排的相关活动，则认为所有参与方或一组参与</w:t>
      </w:r>
      <w:r>
        <w:rPr>
          <w:spacing w:val="-43"/>
        </w:rPr>
        <w:t> </w:t>
      </w:r>
      <w:r>
        <w:rPr>
          <w:spacing w:val="-43"/>
        </w:rPr>
      </w:r>
      <w:r>
        <w:rPr>
          <w:spacing w:val="-2"/>
        </w:rPr>
        <w:t>方集体控制该安排；如果存在两个或两个以上的参与方组合能够集体控制某项安排的，不构成共同控制。</w:t>
      </w:r>
      <w:r>
        <w:rPr>
          <w:spacing w:val="-21"/>
        </w:rPr>
        <w:t> </w:t>
      </w:r>
      <w:r>
        <w:rPr>
          <w:spacing w:val="-21"/>
        </w:rPr>
      </w:r>
      <w:r>
        <w:rPr/>
        <w:t>判断是否存在共同控制时，不考虑享有的保护性权利。</w:t>
      </w:r>
    </w:p>
    <w:p>
      <w:pPr>
        <w:spacing w:after="0" w:line="273" w:lineRule="auto"/>
        <w:jc w:val="both"/>
        <w:sectPr>
          <w:pgSz w:w="11910" w:h="16840"/>
          <w:pgMar w:header="867" w:footer="979" w:top="1060" w:bottom="1160" w:left="1020" w:right="920"/>
        </w:sectPr>
      </w:pPr>
    </w:p>
    <w:p>
      <w:pPr>
        <w:spacing w:line="240" w:lineRule="auto" w:before="13"/>
        <w:rPr>
          <w:rFonts w:ascii="宋体" w:hAnsi="宋体" w:cs="宋体" w:eastAsia="宋体" w:hint="default"/>
          <w:sz w:val="24"/>
          <w:szCs w:val="24"/>
        </w:rPr>
      </w:pPr>
    </w:p>
    <w:p>
      <w:pPr>
        <w:pStyle w:val="BodyText"/>
        <w:spacing w:line="273" w:lineRule="auto" w:before="36"/>
        <w:ind w:right="126" w:firstLine="420"/>
        <w:jc w:val="both"/>
      </w:pPr>
      <w:r>
        <w:rPr>
          <w:spacing w:val="-2"/>
        </w:rPr>
        <w:t>重大影响，是指投资方对被投资单位的财务和经营政策有参与决策的权力，但并不能够控制或者与其</w:t>
      </w:r>
      <w:r>
        <w:rPr>
          <w:w w:val="100"/>
        </w:rPr>
        <w:t> </w:t>
      </w:r>
      <w:r>
        <w:rPr>
          <w:spacing w:val="-2"/>
        </w:rPr>
        <w:t>他方一起共同控制这些政策的制定。在确定能否对被投资单位施加重大影响时，考虑投资方直接或间接持</w:t>
      </w:r>
      <w:r>
        <w:rPr>
          <w:spacing w:val="-43"/>
        </w:rPr>
        <w:t> </w:t>
      </w:r>
      <w:r>
        <w:rPr>
          <w:spacing w:val="-43"/>
        </w:rPr>
      </w:r>
      <w:r>
        <w:rPr>
          <w:spacing w:val="2"/>
        </w:rPr>
        <w:t>有被投资单位的表决权股份以及投资方及其他方持有的当期可执行潜在表决权在假定转换为对被投资方</w:t>
      </w:r>
      <w:r>
        <w:rPr>
          <w:spacing w:val="-30"/>
        </w:rPr>
        <w:t> </w:t>
      </w:r>
      <w:r>
        <w:rPr>
          <w:spacing w:val="-30"/>
        </w:rPr>
      </w:r>
      <w:r>
        <w:rPr>
          <w:spacing w:val="-2"/>
        </w:rPr>
        <w:t>单位的股权后产生的影响，包括被投资单位发行的当期可转换的认股权证、股份期权及可转换公司债券等</w:t>
      </w:r>
      <w:r>
        <w:rPr>
          <w:spacing w:val="-43"/>
        </w:rPr>
        <w:t> </w:t>
      </w:r>
      <w:r>
        <w:rPr>
          <w:spacing w:val="-43"/>
        </w:rPr>
      </w:r>
      <w:r>
        <w:rPr/>
        <w:t>的影响。</w:t>
      </w:r>
    </w:p>
    <w:p>
      <w:pPr>
        <w:pStyle w:val="BodyText"/>
        <w:spacing w:line="261" w:lineRule="auto" w:before="127"/>
        <w:ind w:right="105" w:firstLine="420"/>
        <w:jc w:val="both"/>
      </w:pPr>
      <w:r>
        <w:rPr/>
        <w:t>当本公司直接或通过子公司间接拥有被投资单位</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）以上但低于</w:t>
      </w:r>
      <w:r>
        <w:rPr>
          <w:rFonts w:ascii="Times New Roman" w:hAnsi="Times New Roman" w:cs="Times New Roman" w:eastAsia="Times New Roman" w:hint="default"/>
        </w:rPr>
        <w:t>50%</w:t>
      </w:r>
      <w:r>
        <w:rPr/>
        <w:t>的表决权股份时，一</w:t>
      </w:r>
      <w:r>
        <w:rPr>
          <w:w w:val="100"/>
        </w:rPr>
        <w:t> </w:t>
      </w:r>
      <w:r>
        <w:rPr>
          <w:spacing w:val="2"/>
        </w:rPr>
        <w:t>般认为对被投资单位具有重大影响，除非有明确证据表明该种情况下不能参与被投资单位的生产经营决</w:t>
      </w:r>
      <w:r>
        <w:rPr>
          <w:spacing w:val="-16"/>
        </w:rPr>
        <w:t> </w:t>
      </w:r>
      <w:r>
        <w:rPr>
          <w:spacing w:val="-16"/>
        </w:rPr>
      </w:r>
      <w:r>
        <w:rPr>
          <w:spacing w:val="-1"/>
        </w:rPr>
        <w:t>策，不形成重大影响；本集团拥有被投资单位</w:t>
      </w:r>
      <w:r>
        <w:rPr>
          <w:rFonts w:ascii="Times New Roman" w:hAnsi="Times New Roman" w:cs="Times New Roman" w:eastAsia="Times New Roman" w:hint="default"/>
          <w:spacing w:val="-1"/>
        </w:rPr>
        <w:t>20%</w:t>
      </w:r>
      <w:r>
        <w:rPr>
          <w:spacing w:val="-1"/>
        </w:rPr>
        <w:t>（不含）以下的表决权股份时，一般不认为对被投资单</w:t>
      </w:r>
      <w:r>
        <w:rPr>
          <w:spacing w:val="-51"/>
        </w:rPr>
        <w:t> </w:t>
      </w:r>
      <w:r>
        <w:rPr>
          <w:spacing w:val="-51"/>
        </w:rPr>
      </w:r>
      <w:r>
        <w:rPr>
          <w:spacing w:val="-2"/>
        </w:rPr>
        <w:t>位具有重大影响，除非有明确证据表明该种情况下能够参与被投资单位的生产经营决策，形成重大影响。</w:t>
      </w:r>
    </w:p>
    <w:p>
      <w:pPr>
        <w:pStyle w:val="BodyText"/>
        <w:spacing w:line="367" w:lineRule="auto" w:before="138"/>
        <w:ind w:left="533" w:right="0"/>
        <w:jc w:val="left"/>
      </w:pPr>
      <w:r>
        <w:rPr/>
        <w:t>（</w:t>
      </w:r>
      <w:r>
        <w:rPr>
          <w:rFonts w:ascii="Times New Roman" w:hAnsi="Times New Roman" w:cs="Times New Roman" w:eastAsia="Times New Roman" w:hint="default"/>
        </w:rPr>
        <w:t>4</w:t>
      </w:r>
      <w:r>
        <w:rPr/>
        <w:t>）持有待售的权益性投资</w:t>
      </w:r>
      <w:r>
        <w:rPr>
          <w:w w:val="100"/>
        </w:rPr>
        <w:t> </w:t>
      </w:r>
      <w:r>
        <w:rPr/>
        <w:t>对于未划分为持有待售资产的剩余权益性投资，采用权益法进行会计处理。</w:t>
      </w:r>
      <w:r>
        <w:rPr>
          <w:w w:val="100"/>
        </w:rPr>
        <w:t> </w:t>
      </w:r>
      <w:r>
        <w:rPr>
          <w:spacing w:val="-2"/>
        </w:rPr>
        <w:t>已划分为持有待售的对联营企业或合营企业的权益性投资，不再符合持有待售资产分类条件的，从被</w:t>
      </w:r>
    </w:p>
    <w:p>
      <w:pPr>
        <w:pStyle w:val="BodyText"/>
        <w:spacing w:line="201" w:lineRule="exact"/>
        <w:ind w:right="0"/>
        <w:jc w:val="left"/>
      </w:pPr>
      <w:r>
        <w:rPr/>
        <w:t>分类为持有待售资产之日起采用权益法进行追溯调整。</w:t>
      </w:r>
    </w:p>
    <w:p>
      <w:pPr>
        <w:pStyle w:val="BodyText"/>
        <w:spacing w:line="357" w:lineRule="auto" w:before="157"/>
        <w:ind w:left="533" w:right="0"/>
        <w:jc w:val="left"/>
      </w:pPr>
      <w:r>
        <w:rPr/>
        <w:t>（</w:t>
      </w:r>
      <w:r>
        <w:rPr>
          <w:rFonts w:ascii="Times New Roman" w:hAnsi="Times New Roman" w:cs="Times New Roman" w:eastAsia="Times New Roman" w:hint="default"/>
        </w:rPr>
        <w:t>5</w:t>
      </w:r>
      <w:r>
        <w:rPr/>
        <w:t>）减值测试方法及减值准备计提方法</w:t>
      </w:r>
      <w:r>
        <w:rPr>
          <w:w w:val="100"/>
        </w:rPr>
        <w:t> </w:t>
      </w:r>
      <w:r>
        <w:rPr>
          <w:spacing w:val="-2"/>
        </w:rPr>
        <w:t>对子公司、联营企业及合营企业的投资，计提资产减值的方法见附注五、</w:t>
      </w:r>
      <w:r>
        <w:rPr>
          <w:rFonts w:ascii="Times New Roman" w:hAnsi="Times New Roman" w:cs="Times New Roman" w:eastAsia="Times New Roman" w:hint="default"/>
          <w:spacing w:val="-2"/>
        </w:rPr>
        <w:t>22</w:t>
      </w:r>
      <w:r>
        <w:rPr>
          <w:spacing w:val="-2"/>
        </w:rPr>
        <w:t>。</w:t>
      </w: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10"/>
        <w:rPr>
          <w:rFonts w:ascii="宋体" w:hAnsi="宋体" w:cs="宋体" w:eastAsia="宋体" w:hint="default"/>
          <w:b/>
          <w:bCs/>
          <w:sz w:val="24"/>
          <w:szCs w:val="24"/>
        </w:rPr>
      </w:pPr>
    </w:p>
    <w:p>
      <w:pPr>
        <w:pStyle w:val="BodyText"/>
        <w:spacing w:line="376" w:lineRule="auto"/>
        <w:ind w:left="533" w:right="6694"/>
        <w:jc w:val="left"/>
      </w:pPr>
      <w:r>
        <w:rPr>
          <w:spacing w:val="-2"/>
        </w:rPr>
        <w:t>投资性房地产计量模式</w:t>
      </w:r>
      <w:r>
        <w:rPr>
          <w:spacing w:val="-85"/>
        </w:rPr>
        <w:t> </w:t>
      </w:r>
      <w:r>
        <w:rPr>
          <w:spacing w:val="-85"/>
        </w:rPr>
      </w:r>
      <w:r>
        <w:rPr/>
        <w:t>不适用</w:t>
      </w:r>
    </w:p>
    <w:p>
      <w:pPr>
        <w:spacing w:line="240" w:lineRule="auto" w:before="8"/>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05" w:firstLine="420"/>
        <w:jc w:val="both"/>
      </w:pPr>
      <w:r>
        <w:rPr>
          <w:spacing w:val="-2"/>
        </w:rPr>
        <w:t>本集团固定资产是指为生产商品、提供劳务、出租或经营管理而持有的，使用寿命超过一个会计年度</w:t>
      </w:r>
      <w:r>
        <w:rPr>
          <w:w w:val="100"/>
        </w:rPr>
        <w:t> </w:t>
      </w:r>
      <w:r>
        <w:rPr>
          <w:spacing w:val="-2"/>
        </w:rPr>
        <w:t>的有形资产。与该固定资产有关的经济利益很可能流入企业，并且该固定资产的成本能够可靠地计量时，</w:t>
      </w:r>
      <w:r>
        <w:rPr>
          <w:spacing w:val="-21"/>
        </w:rPr>
        <w:t> </w:t>
      </w:r>
      <w:r>
        <w:rPr>
          <w:spacing w:val="-21"/>
        </w:rPr>
      </w:r>
      <w:r>
        <w:rPr/>
        <w:t>固定资产才能予以确认。本集团固定资产按照取得时的实际成本进行初始计量。</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4"/>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5"/>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33" w:right="0"/>
        <w:jc w:val="left"/>
      </w:pPr>
      <w:r>
        <w:rPr/>
        <w:t>当本集团租入的固定资产符合下列一项或数项标准时，确认为融资租入固定资产：</w:t>
      </w:r>
    </w:p>
    <w:p>
      <w:pPr>
        <w:pStyle w:val="BodyText"/>
        <w:spacing w:line="240" w:lineRule="auto" w:before="157"/>
        <w:ind w:left="533" w:right="0"/>
        <w:jc w:val="left"/>
      </w:pPr>
      <w:r>
        <w:rPr/>
        <w:t>①在租赁期届满时，租赁资产的所有权转移给本集团。</w:t>
      </w:r>
    </w:p>
    <w:p>
      <w:pPr>
        <w:spacing w:after="0" w:line="240" w:lineRule="auto"/>
        <w:jc w:val="left"/>
        <w:sectPr>
          <w:pgSz w:w="11910" w:h="16840"/>
          <w:pgMar w:header="867" w:footer="979" w:top="1060" w:bottom="1160" w:left="1020" w:right="1000"/>
        </w:sectPr>
      </w:pPr>
    </w:p>
    <w:p>
      <w:pPr>
        <w:spacing w:line="240" w:lineRule="auto" w:before="13"/>
        <w:rPr>
          <w:rFonts w:ascii="宋体" w:hAnsi="宋体" w:cs="宋体" w:eastAsia="宋体" w:hint="default"/>
          <w:sz w:val="24"/>
          <w:szCs w:val="24"/>
        </w:rPr>
      </w:pPr>
    </w:p>
    <w:p>
      <w:pPr>
        <w:pStyle w:val="BodyText"/>
        <w:spacing w:line="273" w:lineRule="auto" w:before="36"/>
        <w:ind w:right="0" w:firstLine="420"/>
        <w:jc w:val="left"/>
      </w:pPr>
      <w:r>
        <w:rPr>
          <w:spacing w:val="-2"/>
        </w:rPr>
        <w:t>②本集团有购买租赁资产的选择权，所订立的购买价款预计将远低于行使选择权时租赁资产的公允价</w:t>
      </w:r>
      <w:r>
        <w:rPr>
          <w:w w:val="100"/>
        </w:rPr>
        <w:t> </w:t>
      </w:r>
      <w:r>
        <w:rPr/>
        <w:t>值，因而在租赁开始日就可以合理确定本集团将会行使这种选择权。</w:t>
      </w:r>
    </w:p>
    <w:p>
      <w:pPr>
        <w:pStyle w:val="BodyText"/>
        <w:spacing w:line="240" w:lineRule="auto" w:before="127"/>
        <w:ind w:left="533" w:right="0"/>
        <w:jc w:val="left"/>
      </w:pPr>
      <w:r>
        <w:rPr/>
        <w:t>③即使资产的所有权不转移，但租赁期占租赁资产使用寿命的大部分。</w:t>
      </w:r>
    </w:p>
    <w:p>
      <w:pPr>
        <w:pStyle w:val="BodyText"/>
        <w:spacing w:line="240" w:lineRule="auto" w:before="157"/>
        <w:ind w:left="533" w:right="0"/>
        <w:jc w:val="left"/>
      </w:pPr>
      <w:r>
        <w:rPr/>
        <w:t>④本集团在租赁开始日的最低租赁付款额现值，几乎相当于租赁开始日租赁资产公允价值。</w:t>
      </w:r>
    </w:p>
    <w:p>
      <w:pPr>
        <w:pStyle w:val="BodyText"/>
        <w:spacing w:line="273" w:lineRule="auto" w:before="157"/>
        <w:ind w:right="0" w:firstLine="420"/>
        <w:jc w:val="left"/>
      </w:pPr>
      <w:r>
        <w:rPr>
          <w:spacing w:val="-3"/>
        </w:rPr>
        <w:t>⑤租赁资产性质特殊，如果不作较大改造，只有本集团才能使用。融资租赁租入的固定资产，按租赁</w:t>
      </w:r>
      <w:r>
        <w:rPr>
          <w:w w:val="100"/>
        </w:rPr>
        <w:t> </w:t>
      </w:r>
      <w:r>
        <w:rPr/>
        <w:t>开始日租赁资产公允价值与最低租赁付款额的现值两者中较低者，作为入账价值。最低租赁付款额作为长</w:t>
      </w:r>
      <w:r>
        <w:rPr>
          <w:w w:val="100"/>
        </w:rPr>
        <w:t> </w:t>
      </w:r>
      <w:r>
        <w:rPr>
          <w:spacing w:val="-2"/>
        </w:rPr>
        <w:t>期应付款的入账价值，其差额作为未确认融资费用。在租赁谈判和签订租赁合同过程中发生的，可归属于</w:t>
      </w:r>
      <w:r>
        <w:rPr>
          <w:spacing w:val="-44"/>
        </w:rPr>
        <w:t> </w:t>
      </w:r>
      <w:r>
        <w:rPr>
          <w:spacing w:val="-44"/>
        </w:rPr>
      </w:r>
      <w:r>
        <w:rPr/>
        <w:t>租赁项目的手续费、律师费、差旅费、印花税等初始直接费用，计入租入资产价值。未确认融资费用在租</w:t>
      </w:r>
      <w:r>
        <w:rPr>
          <w:w w:val="100"/>
        </w:rPr>
        <w:t> </w:t>
      </w:r>
      <w:r>
        <w:rPr/>
        <w:t>赁期内各个期间采用实际利率法进行分摊。融资租入的固定资产采用与自有固定资产一致的政策计提租赁</w:t>
      </w:r>
      <w:r>
        <w:rPr>
          <w:w w:val="100"/>
        </w:rPr>
        <w:t> </w:t>
      </w:r>
      <w:r>
        <w:rPr>
          <w:spacing w:val="-5"/>
        </w:rPr>
        <w:t>资产折旧。能够合理确定租赁期届满时将会取得租赁资产所有权的，在租赁资产尚可使用年限内计提折旧； </w:t>
      </w:r>
      <w:r>
        <w:rPr>
          <w:spacing w:val="-5"/>
        </w:rPr>
      </w:r>
      <w:r>
        <w:rPr/>
        <w:t>无法合理确定租赁期届满时能够取得租赁资产所有权的，在租赁期与租赁资产尚可使用年限两者中较短的</w:t>
      </w:r>
      <w:r>
        <w:rPr>
          <w:w w:val="100"/>
        </w:rPr>
        <w:t> </w:t>
      </w:r>
      <w:r>
        <w:rPr/>
        <w:t>期间内计提折旧。</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spacing w:line="357" w:lineRule="auto" w:before="0"/>
        <w:ind w:left="112" w:right="67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73" w:lineRule="auto" w:before="87"/>
        <w:ind w:right="0" w:firstLine="420"/>
        <w:jc w:val="left"/>
      </w:pPr>
      <w:r>
        <w:rPr>
          <w:spacing w:val="-2"/>
        </w:rPr>
        <w:t>本集团在建工程成本按实际工程支出确定，包括在建期间发生的各项必要工程支出、工程达到预定可</w:t>
      </w:r>
      <w:r>
        <w:rPr>
          <w:w w:val="100"/>
        </w:rPr>
        <w:t> </w:t>
      </w:r>
      <w:r>
        <w:rPr/>
        <w:t>使用状态前的应予资本化的借款费用以及其他相关费用等。</w:t>
      </w:r>
    </w:p>
    <w:p>
      <w:pPr>
        <w:pStyle w:val="BodyText"/>
        <w:spacing w:line="376" w:lineRule="auto" w:before="128"/>
        <w:ind w:left="533" w:right="2264"/>
        <w:jc w:val="left"/>
      </w:pPr>
      <w:r>
        <w:rPr>
          <w:spacing w:val="-2"/>
        </w:rPr>
        <w:t>在建工程在达到预定可使用状态时转入固定资产。</w:t>
      </w:r>
      <w:r>
        <w:rPr>
          <w:spacing w:val="-62"/>
        </w:rPr>
        <w:t> </w:t>
      </w:r>
      <w:r>
        <w:rPr>
          <w:spacing w:val="-62"/>
        </w:rPr>
      </w:r>
      <w:r>
        <w:rPr/>
        <w:t>在建工程计提资产减值方法见附注五、</w:t>
      </w:r>
      <w:r>
        <w:rPr>
          <w:rFonts w:ascii="Times New Roman" w:hAnsi="Times New Roman" w:cs="Times New Roman" w:eastAsia="Times New Roman" w:hint="default"/>
        </w:rPr>
        <w:t>22</w:t>
      </w:r>
      <w:r>
        <w:rPr/>
        <w:t>。</w:t>
      </w:r>
    </w:p>
    <w:p>
      <w:pPr>
        <w:pStyle w:val="Heading3"/>
        <w:spacing w:line="240" w:lineRule="auto" w:before="188"/>
        <w:ind w:right="0"/>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10"/>
        <w:rPr>
          <w:rFonts w:ascii="宋体" w:hAnsi="宋体" w:cs="宋体" w:eastAsia="宋体" w:hint="default"/>
          <w:b/>
          <w:bCs/>
          <w:sz w:val="24"/>
          <w:szCs w:val="24"/>
        </w:rPr>
      </w:pPr>
    </w:p>
    <w:p>
      <w:pPr>
        <w:pStyle w:val="BodyText"/>
        <w:spacing w:line="357" w:lineRule="auto"/>
        <w:ind w:left="533" w:right="0"/>
        <w:jc w:val="left"/>
      </w:pPr>
      <w:r>
        <w:rPr/>
        <w:t>（</w:t>
      </w:r>
      <w:r>
        <w:rPr>
          <w:rFonts w:ascii="Times New Roman" w:hAnsi="Times New Roman" w:cs="Times New Roman" w:eastAsia="Times New Roman" w:hint="default"/>
        </w:rPr>
        <w:t>1</w:t>
      </w:r>
      <w:r>
        <w:rPr/>
        <w:t>）借款费用资本化的确认原则</w:t>
      </w:r>
      <w:r>
        <w:rPr>
          <w:w w:val="100"/>
        </w:rPr>
        <w:t> </w:t>
      </w:r>
      <w:r>
        <w:rPr>
          <w:spacing w:val="-2"/>
        </w:rPr>
        <w:t>本集团发生的借款费用，可直接归属于符合资本化条件的资产的购建或者生产的，予以资本化，计入</w:t>
      </w:r>
    </w:p>
    <w:p>
      <w:pPr>
        <w:pStyle w:val="BodyText"/>
        <w:spacing w:line="209" w:lineRule="exact"/>
        <w:ind w:right="0"/>
        <w:jc w:val="left"/>
      </w:pPr>
      <w:r>
        <w:rPr/>
        <w:t>相关资产成本；其他借款费用，在发生时根据其发生额确认为费用，计入当期损益。借款费用同时满足下</w:t>
      </w:r>
    </w:p>
    <w:p>
      <w:pPr>
        <w:pStyle w:val="BodyText"/>
        <w:spacing w:line="240" w:lineRule="auto" w:before="37"/>
        <w:ind w:right="0"/>
        <w:jc w:val="left"/>
      </w:pPr>
      <w:r>
        <w:rPr/>
        <w:t>列条件的，开始资本化：</w:t>
      </w:r>
    </w:p>
    <w:p>
      <w:pPr>
        <w:pStyle w:val="BodyText"/>
        <w:spacing w:line="273" w:lineRule="auto" w:before="157"/>
        <w:ind w:right="0" w:firstLine="420"/>
        <w:jc w:val="left"/>
      </w:pPr>
      <w:r>
        <w:rPr>
          <w:spacing w:val="-2"/>
        </w:rPr>
        <w:t>①资产支出已经发生，资产支出包括为购建或者生产符合资本化条件的资产而以支付现金、转移非现</w:t>
      </w:r>
      <w:r>
        <w:rPr>
          <w:w w:val="100"/>
        </w:rPr>
        <w:t> </w:t>
      </w:r>
      <w:r>
        <w:rPr/>
        <w:t>金资产或者承担带息债务形式发生的支出；</w:t>
      </w:r>
    </w:p>
    <w:p>
      <w:pPr>
        <w:pStyle w:val="BodyText"/>
        <w:spacing w:line="240" w:lineRule="auto" w:before="127"/>
        <w:ind w:left="533" w:right="0"/>
        <w:jc w:val="left"/>
      </w:pPr>
      <w:r>
        <w:rPr/>
        <w:t>②</w:t>
      </w:r>
      <w:r>
        <w:rPr>
          <w:spacing w:val="-21"/>
        </w:rPr>
        <w:t> </w:t>
      </w:r>
      <w:r>
        <w:rPr/>
        <w:t>借款费用已经发生；</w:t>
      </w:r>
    </w:p>
    <w:p>
      <w:pPr>
        <w:pStyle w:val="BodyText"/>
        <w:spacing w:line="240" w:lineRule="auto" w:before="157"/>
        <w:ind w:left="533" w:right="0"/>
        <w:jc w:val="left"/>
      </w:pPr>
      <w:r>
        <w:rPr/>
        <w:t>③</w:t>
      </w:r>
      <w:r>
        <w:rPr>
          <w:spacing w:val="-23"/>
        </w:rPr>
        <w:t> </w:t>
      </w:r>
      <w:r>
        <w:rPr/>
        <w:t>为使资产达到预定可使用或者可销售状态所必要的购建或者生产活动已经开始。</w:t>
      </w:r>
    </w:p>
    <w:p>
      <w:pPr>
        <w:pStyle w:val="BodyText"/>
        <w:spacing w:line="357" w:lineRule="auto" w:before="157"/>
        <w:ind w:left="533" w:right="0"/>
        <w:jc w:val="left"/>
      </w:pPr>
      <w:r>
        <w:rPr/>
        <w:t>（</w:t>
      </w:r>
      <w:r>
        <w:rPr>
          <w:rFonts w:ascii="Times New Roman" w:hAnsi="Times New Roman" w:cs="Times New Roman" w:eastAsia="Times New Roman" w:hint="default"/>
        </w:rPr>
        <w:t>2</w:t>
      </w:r>
      <w:r>
        <w:rPr/>
        <w:t>）借款费用资本化期间</w:t>
      </w:r>
      <w:r>
        <w:rPr>
          <w:w w:val="100"/>
        </w:rPr>
        <w:t> </w:t>
      </w:r>
      <w:r>
        <w:rPr>
          <w:spacing w:val="2"/>
        </w:rPr>
        <w:t>本集团购建或者生产符合资本化条件的资产达到预定可使用或者可销售状态时，借款费用停止资本</w:t>
      </w:r>
    </w:p>
    <w:p>
      <w:pPr>
        <w:pStyle w:val="BodyText"/>
        <w:spacing w:line="209" w:lineRule="exact"/>
        <w:ind w:right="0"/>
        <w:jc w:val="left"/>
      </w:pPr>
      <w:r>
        <w:rPr/>
        <w:t>化。在符合资本化条件的资产达到预定可使用或者可销售状态之后所发生的借款费用，在发生时根据其发</w:t>
      </w:r>
    </w:p>
    <w:p>
      <w:pPr>
        <w:pStyle w:val="BodyText"/>
        <w:spacing w:line="240" w:lineRule="auto" w:before="37"/>
        <w:ind w:right="0"/>
        <w:jc w:val="left"/>
      </w:pPr>
      <w:r>
        <w:rPr/>
        <w:t>生额确认为费用，计入当期损益。</w:t>
      </w:r>
    </w:p>
    <w:p>
      <w:pPr>
        <w:pStyle w:val="BodyText"/>
        <w:spacing w:line="256" w:lineRule="auto" w:before="157"/>
        <w:ind w:right="0" w:firstLine="420"/>
        <w:jc w:val="left"/>
      </w:pPr>
      <w:r>
        <w:rPr/>
        <w:t>符合资本化条件的资产在购建或者生产过程中发生非正常中断、且中断时间连续超过</w:t>
      </w:r>
      <w:r>
        <w:rPr>
          <w:rFonts w:ascii="Times New Roman" w:hAnsi="Times New Roman" w:cs="Times New Roman" w:eastAsia="Times New Roman" w:hint="default"/>
        </w:rPr>
        <w:t>3</w:t>
      </w:r>
      <w:r>
        <w:rPr/>
        <w:t>个月的，暂停</w:t>
      </w:r>
      <w:r>
        <w:rPr>
          <w:w w:val="100"/>
        </w:rPr>
        <w:t> </w:t>
      </w:r>
      <w:r>
        <w:rPr/>
        <w:t>借款费用的资本化；正常中断期间的借款费用继续资本化。</w:t>
      </w:r>
    </w:p>
    <w:p>
      <w:pPr>
        <w:pStyle w:val="BodyText"/>
        <w:spacing w:line="240" w:lineRule="auto" w:before="142"/>
        <w:ind w:left="533" w:right="0"/>
        <w:jc w:val="left"/>
      </w:pPr>
      <w:r>
        <w:rPr/>
        <w:t>（</w:t>
      </w:r>
      <w:r>
        <w:rPr>
          <w:rFonts w:ascii="Times New Roman" w:hAnsi="Times New Roman" w:cs="Times New Roman" w:eastAsia="Times New Roman" w:hint="default"/>
        </w:rPr>
        <w:t>3</w:t>
      </w:r>
      <w:r>
        <w:rPr/>
        <w:t>）借款费用资本化率以及资本化金额的计算方法</w:t>
      </w:r>
    </w:p>
    <w:p>
      <w:pPr>
        <w:spacing w:after="0" w:line="240" w:lineRule="auto"/>
        <w:jc w:val="left"/>
        <w:sectPr>
          <w:pgSz w:w="11910" w:h="16840"/>
          <w:pgMar w:header="867" w:footer="979" w:top="1060" w:bottom="1160" w:left="1020" w:right="920"/>
        </w:sectPr>
      </w:pPr>
    </w:p>
    <w:p>
      <w:pPr>
        <w:spacing w:line="240" w:lineRule="auto" w:before="13"/>
        <w:rPr>
          <w:rFonts w:ascii="宋体" w:hAnsi="宋体" w:cs="宋体" w:eastAsia="宋体" w:hint="default"/>
          <w:sz w:val="24"/>
          <w:szCs w:val="24"/>
        </w:rPr>
      </w:pPr>
    </w:p>
    <w:p>
      <w:pPr>
        <w:pStyle w:val="BodyText"/>
        <w:spacing w:line="273" w:lineRule="auto" w:before="36"/>
        <w:ind w:right="126" w:firstLine="420"/>
        <w:jc w:val="both"/>
      </w:pPr>
      <w:r>
        <w:rPr>
          <w:spacing w:val="-2"/>
        </w:rPr>
        <w:t>专门借款当期实际发生的利息费用，减去尚未动用的借款资金存入银行取得的利息收入或进行暂时性</w:t>
      </w:r>
      <w:r>
        <w:rPr>
          <w:w w:val="100"/>
        </w:rPr>
        <w:t> </w:t>
      </w:r>
      <w:r>
        <w:rPr>
          <w:spacing w:val="-2"/>
        </w:rPr>
        <w:t>投资取得的投资收益后的金额予以资本化；一般借款根据累计资产支出超过专门借款部分的资产支出加权</w:t>
      </w:r>
      <w:r>
        <w:rPr>
          <w:spacing w:val="-43"/>
        </w:rPr>
        <w:t> </w:t>
      </w:r>
      <w:r>
        <w:rPr>
          <w:spacing w:val="-43"/>
        </w:rPr>
      </w:r>
      <w:r>
        <w:rPr>
          <w:spacing w:val="-2"/>
        </w:rPr>
        <w:t>平均数乘以所占用一般借款的资本化率，确定资本化金额。资本化率根据一般借款的加权平均利率计算确</w:t>
      </w:r>
      <w:r>
        <w:rPr>
          <w:spacing w:val="-43"/>
        </w:rPr>
        <w:t> </w:t>
      </w:r>
      <w:r>
        <w:rPr>
          <w:spacing w:val="-43"/>
        </w:rPr>
      </w:r>
      <w:r>
        <w:rPr/>
        <w:t>定。</w:t>
      </w:r>
    </w:p>
    <w:p>
      <w:pPr>
        <w:pStyle w:val="BodyText"/>
        <w:spacing w:line="240" w:lineRule="auto" w:before="127"/>
        <w:ind w:left="533" w:right="0"/>
        <w:jc w:val="left"/>
      </w:pPr>
      <w:r>
        <w:rPr/>
        <w:t>资本化期间内，外币专门借款的汇兑差额全部予以资本化；外币一般借款的汇兑差额计入当期损益。</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33" w:right="0"/>
        <w:jc w:val="left"/>
      </w:pPr>
      <w:r>
        <w:rPr/>
        <w:t>本公司报告期不涉及生物资产。</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33" w:right="0"/>
        <w:jc w:val="left"/>
      </w:pPr>
      <w:r>
        <w:rPr/>
        <w:t>本公司报告期不涉及油气资产。</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spacing w:line="360" w:lineRule="auto" w:before="0"/>
        <w:ind w:left="112" w:right="6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40" w:lineRule="auto" w:before="84"/>
        <w:ind w:left="533" w:right="0"/>
        <w:jc w:val="left"/>
      </w:pPr>
      <w:r>
        <w:rPr/>
        <w:t>本集团无形资产为外购软件。</w:t>
      </w:r>
    </w:p>
    <w:p>
      <w:pPr>
        <w:pStyle w:val="BodyText"/>
        <w:spacing w:line="273" w:lineRule="auto" w:before="159"/>
        <w:ind w:right="126" w:firstLine="420"/>
        <w:jc w:val="both"/>
      </w:pPr>
      <w:r>
        <w:rPr>
          <w:spacing w:val="-2"/>
        </w:rPr>
        <w:t>无形资产按照成本进行初始计量，并于取得无形资产时分析判断其使用寿命。使用寿命为有限的，自</w:t>
      </w:r>
      <w:r>
        <w:rPr>
          <w:w w:val="100"/>
        </w:rPr>
        <w:t> </w:t>
      </w:r>
      <w:r>
        <w:rPr>
          <w:spacing w:val="-2"/>
        </w:rPr>
        <w:t>无形资产可供使用时起，采用能反映与该资产有关的经济利益的预期实现方式的摊销方法，在预计使用年</w:t>
      </w:r>
      <w:r>
        <w:rPr>
          <w:spacing w:val="-42"/>
        </w:rPr>
        <w:t> </w:t>
      </w:r>
      <w:r>
        <w:rPr>
          <w:spacing w:val="-42"/>
        </w:rPr>
      </w:r>
      <w:r>
        <w:rPr/>
        <w:t>限内摊销；无法可靠确定预期实现方式的，采用直线法摊销；使用寿命不确定的无形资产，不作摊销。</w:t>
      </w:r>
    </w:p>
    <w:p>
      <w:pPr>
        <w:pStyle w:val="BodyText"/>
        <w:spacing w:line="240" w:lineRule="auto" w:before="127"/>
        <w:ind w:left="533" w:right="0"/>
        <w:jc w:val="left"/>
      </w:pPr>
      <w:r>
        <w:rPr/>
        <w:t>使用寿命有限的无形资产摊销方法如下：</w:t>
      </w:r>
    </w:p>
    <w:p>
      <w:pPr>
        <w:spacing w:line="240" w:lineRule="auto" w:before="8"/>
        <w:rPr>
          <w:rFonts w:ascii="宋体" w:hAnsi="宋体" w:cs="宋体" w:eastAsia="宋体" w:hint="default"/>
          <w:sz w:val="3"/>
          <w:szCs w:val="3"/>
        </w:rPr>
      </w:pPr>
    </w:p>
    <w:tbl>
      <w:tblPr>
        <w:tblW w:w="0" w:type="auto"/>
        <w:jc w:val="left"/>
        <w:tblInd w:w="1138" w:type="dxa"/>
        <w:tblLayout w:type="fixed"/>
        <w:tblCellMar>
          <w:top w:w="0" w:type="dxa"/>
          <w:left w:w="0" w:type="dxa"/>
          <w:bottom w:w="0" w:type="dxa"/>
          <w:right w:w="0" w:type="dxa"/>
        </w:tblCellMar>
        <w:tblLook w:val="01E0"/>
      </w:tblPr>
      <w:tblGrid>
        <w:gridCol w:w="1793"/>
        <w:gridCol w:w="2005"/>
        <w:gridCol w:w="2002"/>
        <w:gridCol w:w="1791"/>
      </w:tblGrid>
      <w:tr>
        <w:trPr>
          <w:trHeight w:val="466" w:hRule="exact"/>
        </w:trPr>
        <w:tc>
          <w:tcPr>
            <w:tcW w:w="1793" w:type="dxa"/>
            <w:tcBorders>
              <w:top w:val="single" w:sz="6" w:space="0" w:color="000000"/>
              <w:left w:val="nil" w:sz="6" w:space="0" w:color="auto"/>
              <w:bottom w:val="single" w:sz="6" w:space="0" w:color="000000"/>
              <w:right w:val="nil" w:sz="6" w:space="0" w:color="auto"/>
            </w:tcBorders>
          </w:tcPr>
          <w:p>
            <w:pPr>
              <w:pStyle w:val="TableParagraph"/>
              <w:spacing w:line="240" w:lineRule="auto" w:before="119"/>
              <w:ind w:right="631"/>
              <w:jc w:val="right"/>
              <w:rPr>
                <w:rFonts w:ascii="宋体" w:hAnsi="宋体" w:cs="宋体" w:eastAsia="宋体" w:hint="default"/>
                <w:sz w:val="21"/>
                <w:szCs w:val="21"/>
              </w:rPr>
            </w:pPr>
            <w:r>
              <w:rPr>
                <w:rFonts w:ascii="宋体" w:hAnsi="宋体" w:cs="宋体" w:eastAsia="宋体" w:hint="default"/>
                <w:sz w:val="21"/>
                <w:szCs w:val="21"/>
              </w:rPr>
              <w:t>类别</w:t>
            </w:r>
          </w:p>
        </w:tc>
        <w:tc>
          <w:tcPr>
            <w:tcW w:w="2005" w:type="dxa"/>
            <w:tcBorders>
              <w:top w:val="single" w:sz="6" w:space="0" w:color="000000"/>
              <w:left w:val="nil" w:sz="6" w:space="0" w:color="auto"/>
              <w:bottom w:val="single" w:sz="6" w:space="0" w:color="000000"/>
              <w:right w:val="nil" w:sz="6" w:space="0" w:color="auto"/>
            </w:tcBorders>
          </w:tcPr>
          <w:p>
            <w:pPr>
              <w:pStyle w:val="TableParagraph"/>
              <w:spacing w:line="240" w:lineRule="auto" w:before="119"/>
              <w:ind w:left="105" w:right="0"/>
              <w:jc w:val="center"/>
              <w:rPr>
                <w:rFonts w:ascii="宋体" w:hAnsi="宋体" w:cs="宋体" w:eastAsia="宋体" w:hint="default"/>
                <w:sz w:val="21"/>
                <w:szCs w:val="21"/>
              </w:rPr>
            </w:pPr>
            <w:r>
              <w:rPr>
                <w:rFonts w:ascii="宋体" w:hAnsi="宋体" w:cs="宋体" w:eastAsia="宋体" w:hint="default"/>
                <w:sz w:val="21"/>
                <w:szCs w:val="21"/>
              </w:rPr>
              <w:t>使用寿命</w:t>
            </w:r>
          </w:p>
        </w:tc>
        <w:tc>
          <w:tcPr>
            <w:tcW w:w="2002" w:type="dxa"/>
            <w:tcBorders>
              <w:top w:val="single" w:sz="6" w:space="0" w:color="000000"/>
              <w:left w:val="nil" w:sz="6" w:space="0" w:color="auto"/>
              <w:bottom w:val="single" w:sz="6" w:space="0" w:color="000000"/>
              <w:right w:val="nil" w:sz="6" w:space="0" w:color="auto"/>
            </w:tcBorders>
          </w:tcPr>
          <w:p>
            <w:pPr>
              <w:pStyle w:val="TableParagraph"/>
              <w:spacing w:line="240" w:lineRule="auto" w:before="119"/>
              <w:ind w:right="101"/>
              <w:jc w:val="center"/>
              <w:rPr>
                <w:rFonts w:ascii="宋体" w:hAnsi="宋体" w:cs="宋体" w:eastAsia="宋体" w:hint="default"/>
                <w:sz w:val="21"/>
                <w:szCs w:val="21"/>
              </w:rPr>
            </w:pPr>
            <w:r>
              <w:rPr>
                <w:rFonts w:ascii="宋体" w:hAnsi="宋体" w:cs="宋体" w:eastAsia="宋体" w:hint="default"/>
                <w:sz w:val="21"/>
                <w:szCs w:val="21"/>
              </w:rPr>
              <w:t>摊销方法</w:t>
            </w:r>
          </w:p>
        </w:tc>
        <w:tc>
          <w:tcPr>
            <w:tcW w:w="1791" w:type="dxa"/>
            <w:tcBorders>
              <w:top w:val="single" w:sz="6" w:space="0" w:color="000000"/>
              <w:left w:val="nil" w:sz="6" w:space="0" w:color="auto"/>
              <w:bottom w:val="single" w:sz="6" w:space="0" w:color="000000"/>
              <w:right w:val="nil" w:sz="6" w:space="0" w:color="auto"/>
            </w:tcBorders>
          </w:tcPr>
          <w:p>
            <w:pPr>
              <w:pStyle w:val="TableParagraph"/>
              <w:spacing w:line="240" w:lineRule="auto" w:before="119"/>
              <w:ind w:left="631"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468" w:hRule="exact"/>
        </w:trPr>
        <w:tc>
          <w:tcPr>
            <w:tcW w:w="1793" w:type="dxa"/>
            <w:tcBorders>
              <w:top w:val="single" w:sz="6" w:space="0" w:color="000000"/>
              <w:left w:val="nil" w:sz="6" w:space="0" w:color="auto"/>
              <w:bottom w:val="single" w:sz="6" w:space="0" w:color="000000"/>
              <w:right w:val="nil" w:sz="6" w:space="0" w:color="auto"/>
            </w:tcBorders>
          </w:tcPr>
          <w:p>
            <w:pPr>
              <w:pStyle w:val="TableParagraph"/>
              <w:spacing w:line="240" w:lineRule="auto" w:before="122"/>
              <w:ind w:right="631"/>
              <w:jc w:val="right"/>
              <w:rPr>
                <w:rFonts w:ascii="宋体" w:hAnsi="宋体" w:cs="宋体" w:eastAsia="宋体" w:hint="default"/>
                <w:sz w:val="21"/>
                <w:szCs w:val="21"/>
              </w:rPr>
            </w:pPr>
            <w:r>
              <w:rPr>
                <w:rFonts w:ascii="宋体" w:hAnsi="宋体" w:cs="宋体" w:eastAsia="宋体" w:hint="default"/>
                <w:sz w:val="21"/>
                <w:szCs w:val="21"/>
              </w:rPr>
              <w:t>软件</w:t>
            </w:r>
          </w:p>
        </w:tc>
        <w:tc>
          <w:tcPr>
            <w:tcW w:w="2005" w:type="dxa"/>
            <w:tcBorders>
              <w:top w:val="single" w:sz="6" w:space="0" w:color="000000"/>
              <w:left w:val="nil" w:sz="6" w:space="0" w:color="auto"/>
              <w:bottom w:val="single" w:sz="6" w:space="0" w:color="000000"/>
              <w:right w:val="nil" w:sz="6" w:space="0" w:color="auto"/>
            </w:tcBorders>
          </w:tcPr>
          <w:p>
            <w:pPr>
              <w:pStyle w:val="TableParagraph"/>
              <w:spacing w:line="240" w:lineRule="auto" w:before="122"/>
              <w:ind w:left="10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c>
          <w:tcPr>
            <w:tcW w:w="2002" w:type="dxa"/>
            <w:tcBorders>
              <w:top w:val="single" w:sz="6" w:space="0" w:color="000000"/>
              <w:left w:val="nil" w:sz="6" w:space="0" w:color="auto"/>
              <w:bottom w:val="single" w:sz="6" w:space="0" w:color="000000"/>
              <w:right w:val="nil" w:sz="6" w:space="0" w:color="auto"/>
            </w:tcBorders>
          </w:tcPr>
          <w:p>
            <w:pPr>
              <w:pStyle w:val="TableParagraph"/>
              <w:spacing w:line="240" w:lineRule="auto" w:before="122"/>
              <w:ind w:right="103"/>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791" w:type="dxa"/>
            <w:tcBorders>
              <w:top w:val="single" w:sz="6" w:space="0" w:color="000000"/>
              <w:left w:val="nil" w:sz="6" w:space="0" w:color="auto"/>
              <w:bottom w:val="single" w:sz="6" w:space="0" w:color="000000"/>
              <w:right w:val="nil" w:sz="6" w:space="0" w:color="auto"/>
            </w:tcBorders>
          </w:tcPr>
          <w:p>
            <w:pPr>
              <w:pStyle w:val="TableParagraph"/>
              <w:spacing w:line="240" w:lineRule="auto" w:before="168"/>
              <w:ind w:left="63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r>
    </w:tbl>
    <w:p>
      <w:pPr>
        <w:spacing w:line="240" w:lineRule="auto" w:before="8"/>
        <w:rPr>
          <w:rFonts w:ascii="宋体" w:hAnsi="宋体" w:cs="宋体" w:eastAsia="宋体" w:hint="default"/>
          <w:sz w:val="5"/>
          <w:szCs w:val="5"/>
        </w:rPr>
      </w:pPr>
    </w:p>
    <w:p>
      <w:pPr>
        <w:pStyle w:val="BodyText"/>
        <w:spacing w:line="273" w:lineRule="auto" w:before="36"/>
        <w:ind w:right="0" w:firstLine="420"/>
        <w:jc w:val="left"/>
      </w:pPr>
      <w:r>
        <w:rPr>
          <w:spacing w:val="-2"/>
        </w:rPr>
        <w:t>本集团于每年年度终了，对使用寿命有限的无形资产的使用寿命及摊销方法进行复核，与以前估计不</w:t>
      </w:r>
      <w:r>
        <w:rPr>
          <w:w w:val="100"/>
        </w:rPr>
        <w:t> </w:t>
      </w:r>
      <w:r>
        <w:rPr/>
        <w:t>同的，调整原先估计数，并按会计估计变更处理。</w:t>
      </w:r>
    </w:p>
    <w:p>
      <w:pPr>
        <w:pStyle w:val="BodyText"/>
        <w:spacing w:line="273" w:lineRule="auto" w:before="128"/>
        <w:ind w:right="0" w:firstLine="420"/>
        <w:jc w:val="left"/>
      </w:pPr>
      <w:r>
        <w:rPr>
          <w:spacing w:val="-2"/>
        </w:rPr>
        <w:t>资产负债表日预计某项无形资产已经不能给企业带来未来经济利益的，将该项无形资产的账面价值全</w:t>
      </w:r>
      <w:r>
        <w:rPr>
          <w:w w:val="100"/>
        </w:rPr>
        <w:t> </w:t>
      </w:r>
      <w:r>
        <w:rPr/>
        <w:t>部转入当期损益。</w:t>
      </w:r>
    </w:p>
    <w:p>
      <w:pPr>
        <w:pStyle w:val="BodyText"/>
        <w:spacing w:line="240" w:lineRule="auto" w:before="127"/>
        <w:ind w:left="533" w:right="0"/>
        <w:jc w:val="left"/>
      </w:pPr>
      <w:r>
        <w:rPr/>
        <w:t>无形资产计提资产减值方法见附注五、</w:t>
      </w:r>
      <w:r>
        <w:rPr>
          <w:rFonts w:ascii="Times New Roman" w:hAnsi="Times New Roman" w:cs="Times New Roman" w:eastAsia="Times New Roman" w:hint="default"/>
        </w:rPr>
        <w:t>22</w:t>
      </w:r>
      <w:r>
        <w:rPr/>
        <w:t>。</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pStyle w:val="BodyText"/>
        <w:spacing w:line="430" w:lineRule="atLeast" w:before="168"/>
        <w:ind w:left="533" w:right="0"/>
        <w:jc w:val="left"/>
      </w:pPr>
      <w:r>
        <w:rPr/>
        <w:t>本集团将内部研究开发项目的支出，区分为研究阶段支出和开发阶段支出。</w:t>
      </w:r>
      <w:r>
        <w:rPr>
          <w:w w:val="100"/>
        </w:rPr>
        <w:t> </w:t>
      </w:r>
      <w:r>
        <w:rPr/>
        <w:t>研究阶段的支出，于发生时计入当期损益。</w:t>
      </w:r>
      <w:r>
        <w:rPr>
          <w:w w:val="100"/>
        </w:rPr>
        <w:t> </w:t>
      </w:r>
      <w:r>
        <w:rPr>
          <w:spacing w:val="-2"/>
        </w:rPr>
        <w:t>开发阶段的支出，同时满足下列条件的，才能予以资本化，即：完成该无形资产以使其能够使用或出</w:t>
      </w:r>
    </w:p>
    <w:p>
      <w:pPr>
        <w:pStyle w:val="BodyText"/>
        <w:spacing w:line="273" w:lineRule="auto" w:before="37"/>
        <w:ind w:right="0"/>
        <w:jc w:val="left"/>
      </w:pPr>
      <w:r>
        <w:rPr>
          <w:spacing w:val="-2"/>
        </w:rPr>
        <w:t>售在技术上具有可行性；具有完成该无形资产并使用或出售的意图；无形资产产生经济利益的方式，包括</w:t>
      </w:r>
      <w:r>
        <w:rPr>
          <w:spacing w:val="-43"/>
        </w:rPr>
        <w:t> </w:t>
      </w:r>
      <w:r>
        <w:rPr>
          <w:spacing w:val="-43"/>
        </w:rPr>
      </w:r>
      <w:r>
        <w:rPr>
          <w:spacing w:val="-2"/>
        </w:rPr>
        <w:t>能够证明运用该无形资产生产的产品存在市场或无形资产自身存在市场，无形资产将在内部使用的，能够</w:t>
      </w:r>
    </w:p>
    <w:p>
      <w:pPr>
        <w:spacing w:after="0" w:line="273" w:lineRule="auto"/>
        <w:jc w:val="left"/>
        <w:sectPr>
          <w:pgSz w:w="11910" w:h="16840"/>
          <w:pgMar w:header="867" w:footer="979" w:top="1060" w:bottom="1160" w:left="1020" w:right="1000"/>
        </w:sectPr>
      </w:pPr>
    </w:p>
    <w:p>
      <w:pPr>
        <w:spacing w:line="240" w:lineRule="auto" w:before="13"/>
        <w:rPr>
          <w:rFonts w:ascii="宋体" w:hAnsi="宋体" w:cs="宋体" w:eastAsia="宋体" w:hint="default"/>
          <w:sz w:val="24"/>
          <w:szCs w:val="24"/>
        </w:rPr>
      </w:pPr>
    </w:p>
    <w:p>
      <w:pPr>
        <w:pStyle w:val="BodyText"/>
        <w:spacing w:line="273" w:lineRule="auto" w:before="36"/>
        <w:ind w:right="206"/>
        <w:jc w:val="both"/>
      </w:pPr>
      <w:r>
        <w:rPr>
          <w:spacing w:val="-2"/>
        </w:rPr>
        <w:t>证明其有用性；有足够的技术、财务资源和其他资源支持，以完成该无形资产的开发，并有能力使用或出</w:t>
      </w:r>
      <w:r>
        <w:rPr>
          <w:spacing w:val="-50"/>
        </w:rPr>
        <w:t> </w:t>
      </w:r>
      <w:r>
        <w:rPr>
          <w:spacing w:val="-50"/>
        </w:rPr>
      </w:r>
      <w:r>
        <w:rPr>
          <w:spacing w:val="-2"/>
        </w:rPr>
        <w:t>售该无形资产；归属于该无形资产开发阶段的支出能够可靠地计量。不满足上述条件的开发支出计入当期</w:t>
      </w:r>
      <w:r>
        <w:rPr>
          <w:spacing w:val="-43"/>
        </w:rPr>
        <w:t> </w:t>
      </w:r>
      <w:r>
        <w:rPr>
          <w:spacing w:val="-43"/>
        </w:rPr>
      </w:r>
      <w:r>
        <w:rPr/>
        <w:t>损益。</w:t>
      </w:r>
    </w:p>
    <w:p>
      <w:pPr>
        <w:pStyle w:val="BodyText"/>
        <w:spacing w:line="273" w:lineRule="auto" w:before="127"/>
        <w:ind w:right="206" w:firstLine="420"/>
        <w:jc w:val="both"/>
      </w:pPr>
      <w:r>
        <w:rPr>
          <w:spacing w:val="-2"/>
        </w:rPr>
        <w:t>本集团研究开发项目在满足上述条件，通过技术可行性及经济可行性研究，形成项目立项后，进入开</w:t>
      </w:r>
      <w:r>
        <w:rPr>
          <w:w w:val="100"/>
        </w:rPr>
        <w:t> </w:t>
      </w:r>
      <w:r>
        <w:rPr/>
        <w:t>发阶段。</w:t>
      </w:r>
    </w:p>
    <w:p>
      <w:pPr>
        <w:pStyle w:val="BodyText"/>
        <w:spacing w:line="273" w:lineRule="auto" w:before="127"/>
        <w:ind w:right="206" w:firstLine="420"/>
        <w:jc w:val="both"/>
      </w:pPr>
      <w:r>
        <w:rPr>
          <w:spacing w:val="-2"/>
        </w:rPr>
        <w:t>已资本化的开发阶段的支出在资产负债表上列示为开发支出，自该项目达到预定可使用状态之日转为</w:t>
      </w:r>
      <w:r>
        <w:rPr>
          <w:w w:val="100"/>
        </w:rPr>
        <w:t> </w:t>
      </w:r>
      <w:r>
        <w:rPr/>
        <w:t>无形资产。</w:t>
      </w:r>
    </w:p>
    <w:p>
      <w:pPr>
        <w:pStyle w:val="BodyText"/>
        <w:spacing w:line="616" w:lineRule="exact" w:before="60"/>
        <w:ind w:left="533" w:right="0" w:hanging="421"/>
        <w:jc w:val="left"/>
      </w:pP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w w:val="100"/>
        </w:rPr>
        <w:t> </w:t>
      </w:r>
      <w:r>
        <w:rPr>
          <w:spacing w:val="-2"/>
        </w:rPr>
        <w:t>对子公司、联营企业和合营企业的长期股权投资、固定资产、无形资产等（存货、递延所得税资产、</w:t>
      </w:r>
    </w:p>
    <w:p>
      <w:pPr>
        <w:pStyle w:val="BodyText"/>
        <w:spacing w:line="218" w:lineRule="exact"/>
        <w:ind w:right="0"/>
        <w:jc w:val="left"/>
      </w:pPr>
      <w:r>
        <w:rPr/>
        <w:t>金融资产除外）的资产减值，按以下方法确定：</w:t>
      </w:r>
    </w:p>
    <w:p>
      <w:pPr>
        <w:pStyle w:val="BodyText"/>
        <w:spacing w:line="273" w:lineRule="auto" w:before="157"/>
        <w:ind w:right="206" w:firstLine="420"/>
        <w:jc w:val="both"/>
      </w:pPr>
      <w:r>
        <w:rPr>
          <w:spacing w:val="-2"/>
        </w:rPr>
        <w:t>于资产负债表日判断资产是否存在可能发生减值的迹象，存在减值迹象的，本集团将估计其可收回金</w:t>
      </w:r>
      <w:r>
        <w:rPr>
          <w:w w:val="100"/>
        </w:rPr>
        <w:t> </w:t>
      </w:r>
      <w:r>
        <w:rPr>
          <w:spacing w:val="-2"/>
        </w:rPr>
        <w:t>额，进行减值测试。对因企业合并所形成的商誉、使用寿命不确定的无形资产和尚未达到可使用状态的无</w:t>
      </w:r>
      <w:r>
        <w:rPr>
          <w:spacing w:val="-43"/>
        </w:rPr>
        <w:t> </w:t>
      </w:r>
      <w:r>
        <w:rPr>
          <w:spacing w:val="-43"/>
        </w:rPr>
      </w:r>
      <w:r>
        <w:rPr/>
        <w:t>形资产无论是否存在减值迹象，每年都进行减值测试。</w:t>
      </w:r>
    </w:p>
    <w:p>
      <w:pPr>
        <w:pStyle w:val="BodyText"/>
        <w:spacing w:line="273" w:lineRule="auto" w:before="127"/>
        <w:ind w:right="206" w:firstLine="420"/>
        <w:jc w:val="both"/>
      </w:pPr>
      <w:r>
        <w:rPr>
          <w:spacing w:val="2"/>
        </w:rPr>
        <w:t>可收回金额根据资产的公允价值减去处置费用后的净额与资产预计未来现金流量的现值两者之间较</w:t>
      </w:r>
      <w:r>
        <w:rPr>
          <w:w w:val="100"/>
        </w:rPr>
        <w:t> </w:t>
      </w:r>
      <w:r>
        <w:rPr>
          <w:spacing w:val="-2"/>
        </w:rPr>
        <w:t>高者确定。本集团以单项资产为基础估计其可收回金额；难以对单项资产的可收回金额进行估计的，以该</w:t>
      </w:r>
      <w:r>
        <w:rPr>
          <w:spacing w:val="-44"/>
        </w:rPr>
        <w:t> </w:t>
      </w:r>
      <w:r>
        <w:rPr>
          <w:spacing w:val="-44"/>
        </w:rPr>
      </w:r>
      <w:r>
        <w:rPr>
          <w:spacing w:val="-2"/>
        </w:rPr>
        <w:t>资产所属的资产组为基础确定资产组的可收回金额。资产组的认定，以资产组产生的主要现金流入是否独</w:t>
      </w:r>
      <w:r>
        <w:rPr>
          <w:spacing w:val="-43"/>
        </w:rPr>
        <w:t> </w:t>
      </w:r>
      <w:r>
        <w:rPr>
          <w:spacing w:val="-43"/>
        </w:rPr>
      </w:r>
      <w:r>
        <w:rPr/>
        <w:t>立于其他资产或者资产组的现金流入为依据。</w:t>
      </w:r>
    </w:p>
    <w:p>
      <w:pPr>
        <w:pStyle w:val="BodyText"/>
        <w:spacing w:line="273" w:lineRule="auto" w:before="128"/>
        <w:ind w:right="206" w:firstLine="420"/>
        <w:jc w:val="both"/>
      </w:pPr>
      <w:r>
        <w:rPr>
          <w:spacing w:val="-2"/>
        </w:rPr>
        <w:t>当资产或资产组的可收回金额低于其账面价值时，本集团将其账面价值减记至可收回金额，减记的金</w:t>
      </w:r>
      <w:r>
        <w:rPr>
          <w:w w:val="100"/>
        </w:rPr>
        <w:t> </w:t>
      </w:r>
      <w:r>
        <w:rPr/>
        <w:t>额计入当期损益，同时计提相应的资产减值准备。</w:t>
      </w:r>
    </w:p>
    <w:p>
      <w:pPr>
        <w:pStyle w:val="BodyText"/>
        <w:spacing w:line="273" w:lineRule="auto" w:before="127"/>
        <w:ind w:right="0" w:firstLine="420"/>
        <w:jc w:val="left"/>
      </w:pPr>
      <w:r>
        <w:rPr/>
        <w:t>就商誉的减值测试而言，对于因企业合并形成的商誉的账面价值，自购买日起按照合理的方法分摊至</w:t>
      </w:r>
      <w:r>
        <w:rPr>
          <w:w w:val="100"/>
        </w:rPr>
        <w:t> </w:t>
      </w:r>
      <w:r>
        <w:rPr>
          <w:spacing w:val="-5"/>
        </w:rPr>
        <w:t>相关的资产组；难以分摊至相关的资产组的，将其分摊至相关的资产组组合。相关的资产组或资产组组合，</w:t>
      </w:r>
      <w:r>
        <w:rPr>
          <w:spacing w:val="-4"/>
        </w:rPr>
        <w:t> </w:t>
      </w:r>
      <w:r>
        <w:rPr>
          <w:spacing w:val="-4"/>
        </w:rPr>
      </w:r>
      <w:r>
        <w:rPr/>
        <w:t>是能够从企业合并的协同效应中受益的资产组或者资产组组合，且不大于本集团确定的报告分部。</w:t>
      </w:r>
    </w:p>
    <w:p>
      <w:pPr>
        <w:pStyle w:val="BodyText"/>
        <w:spacing w:line="273" w:lineRule="auto" w:before="127"/>
        <w:ind w:right="206" w:firstLine="420"/>
        <w:jc w:val="both"/>
      </w:pPr>
      <w:r>
        <w:rPr>
          <w:spacing w:val="-2"/>
        </w:rPr>
        <w:t>减值测试时，如与商誉相关的资产组或者资产组组合存在减值迹象的，首先对不包含商誉的资产组或</w:t>
      </w:r>
      <w:r>
        <w:rPr>
          <w:w w:val="100"/>
        </w:rPr>
        <w:t> </w:t>
      </w:r>
      <w:r>
        <w:rPr>
          <w:spacing w:val="-2"/>
        </w:rPr>
        <w:t>者资产组组合进行减值测试，计算可收回金额，确认相应的减值损失。然后对包含商誉的资产组或者资产</w:t>
      </w:r>
      <w:r>
        <w:rPr>
          <w:spacing w:val="-41"/>
        </w:rPr>
        <w:t> </w:t>
      </w:r>
      <w:r>
        <w:rPr>
          <w:spacing w:val="-41"/>
        </w:rPr>
      </w:r>
      <w:r>
        <w:rPr>
          <w:spacing w:val="-2"/>
        </w:rPr>
        <w:t>组组合进行减值测试，比较其账面价值与可收回金额，如可收回金额低于账面价值的，确认商誉的减值损</w:t>
      </w:r>
      <w:r>
        <w:rPr>
          <w:spacing w:val="-44"/>
        </w:rPr>
        <w:t> </w:t>
      </w:r>
      <w:r>
        <w:rPr>
          <w:spacing w:val="-44"/>
        </w:rPr>
      </w:r>
      <w:r>
        <w:rPr/>
        <w:t>失。</w:t>
      </w:r>
    </w:p>
    <w:p>
      <w:pPr>
        <w:pStyle w:val="BodyText"/>
        <w:spacing w:line="240" w:lineRule="auto" w:before="128"/>
        <w:ind w:left="533" w:right="0"/>
        <w:jc w:val="left"/>
      </w:pPr>
      <w:r>
        <w:rPr/>
        <w:t>资产减值损失一经确认，在以后会计期间不再转回。</w:t>
      </w:r>
    </w:p>
    <w:p>
      <w:pPr>
        <w:pStyle w:val="BodyText"/>
        <w:spacing w:line="590" w:lineRule="atLeast" w:before="38"/>
        <w:ind w:left="533" w:right="0" w:hanging="421"/>
        <w:jc w:val="left"/>
      </w:pPr>
      <w:r>
        <w:rPr>
          <w:rFonts w:ascii="Times New Roman" w:hAnsi="Times New Roman" w:cs="Times New Roman" w:eastAsia="Times New Roman" w:hint="default"/>
          <w:b/>
          <w:bCs/>
        </w:rPr>
        <w:t>23</w:t>
      </w:r>
      <w:r>
        <w:rPr>
          <w:rFonts w:ascii="宋体" w:hAnsi="宋体" w:cs="宋体" w:eastAsia="宋体" w:hint="default"/>
          <w:b/>
          <w:bCs/>
        </w:rPr>
        <w:t>、长期待摊费用</w:t>
      </w:r>
      <w:r>
        <w:rPr>
          <w:rFonts w:ascii="宋体" w:hAnsi="宋体" w:cs="宋体" w:eastAsia="宋体" w:hint="default"/>
          <w:b/>
          <w:bCs/>
          <w:w w:val="100"/>
        </w:rPr>
        <w:t> </w:t>
      </w:r>
      <w:r>
        <w:rPr>
          <w:spacing w:val="-2"/>
        </w:rPr>
        <w:t>本集团发生的长期待摊费用按实际成本计价，并按预计受益期限平均摊销。对不能使以后会计期间受</w:t>
      </w:r>
    </w:p>
    <w:p>
      <w:pPr>
        <w:pStyle w:val="BodyText"/>
        <w:spacing w:line="240" w:lineRule="auto" w:before="37"/>
        <w:ind w:right="0"/>
        <w:jc w:val="left"/>
      </w:pPr>
      <w:r>
        <w:rPr/>
        <w:t>益的长期待摊费用项目，其摊余价值全部计入当期损益。</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24</w:t>
      </w:r>
      <w:r>
        <w:rPr/>
        <w:t>、职工薪酬</w:t>
      </w:r>
      <w:r>
        <w:rPr>
          <w:b w:val="0"/>
          <w:bCs w:val="0"/>
        </w:rPr>
      </w:r>
    </w:p>
    <w:p>
      <w:pPr>
        <w:spacing w:line="590" w:lineRule="atLeast" w:before="24"/>
        <w:ind w:left="53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本集团在职工提供服务的会计期间，将实际发生的职工工资、奖金、按规定的基准和比例为职工缴纳</w:t>
      </w:r>
    </w:p>
    <w:p>
      <w:pPr>
        <w:pStyle w:val="BodyText"/>
        <w:spacing w:line="240" w:lineRule="auto" w:before="37"/>
        <w:ind w:right="0"/>
        <w:jc w:val="left"/>
      </w:pPr>
      <w:r>
        <w:rPr/>
        <w:t>的医疗保险费、工伤保险费和生育保险费等社会保险费和住房公积金，确认为负债，并计入当期损益或相</w:t>
      </w:r>
    </w:p>
    <w:p>
      <w:pPr>
        <w:spacing w:after="0" w:line="240" w:lineRule="auto"/>
        <w:jc w:val="left"/>
        <w:sectPr>
          <w:pgSz w:w="11910" w:h="16840"/>
          <w:pgMar w:header="867" w:footer="979" w:top="1060" w:bottom="1160" w:left="1020" w:right="920"/>
        </w:sectPr>
      </w:pPr>
    </w:p>
    <w:p>
      <w:pPr>
        <w:spacing w:line="240" w:lineRule="auto" w:before="13"/>
        <w:rPr>
          <w:rFonts w:ascii="宋体" w:hAnsi="宋体" w:cs="宋体" w:eastAsia="宋体" w:hint="default"/>
          <w:sz w:val="24"/>
          <w:szCs w:val="24"/>
        </w:rPr>
      </w:pPr>
    </w:p>
    <w:p>
      <w:pPr>
        <w:pStyle w:val="BodyText"/>
        <w:spacing w:line="273" w:lineRule="auto" w:before="36"/>
        <w:ind w:right="0"/>
        <w:jc w:val="left"/>
      </w:pPr>
      <w:r>
        <w:rPr>
          <w:spacing w:val="-2"/>
        </w:rPr>
        <w:t>关资产成本。如果该负债预期在职工提供相关服务的年度报告期结束后十二个月内不能完全支付，且财务</w:t>
      </w:r>
      <w:r>
        <w:rPr>
          <w:spacing w:val="-44"/>
        </w:rPr>
        <w:t> </w:t>
      </w:r>
      <w:r>
        <w:rPr>
          <w:spacing w:val="-44"/>
        </w:rPr>
      </w:r>
      <w:r>
        <w:rPr/>
        <w:t>影响重大的，则该负债将以折现后的金额计量。</w:t>
      </w:r>
    </w:p>
    <w:p>
      <w:pPr>
        <w:spacing w:line="600" w:lineRule="atLeast" w:before="0"/>
        <w:ind w:left="53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离职后福利计划包括设定提存计划和设定受益计划。其中，设定提存计划，是指向独立的基金缴存固</w:t>
      </w:r>
    </w:p>
    <w:p>
      <w:pPr>
        <w:pStyle w:val="BodyText"/>
        <w:spacing w:line="273" w:lineRule="auto" w:before="37"/>
        <w:ind w:right="0"/>
        <w:jc w:val="left"/>
      </w:pPr>
      <w:r>
        <w:rPr>
          <w:spacing w:val="-2"/>
        </w:rPr>
        <w:t>定费用后，企业不再承担进一步支付义务的离职后福利计划；设定受益计划，是指除设定提存计划以外的</w:t>
      </w:r>
      <w:r>
        <w:rPr>
          <w:spacing w:val="-45"/>
        </w:rPr>
        <w:t> </w:t>
      </w:r>
      <w:r>
        <w:rPr>
          <w:spacing w:val="-45"/>
        </w:rPr>
      </w:r>
      <w:r>
        <w:rPr/>
        <w:t>离职后福利计划。</w:t>
      </w:r>
    </w:p>
    <w:p>
      <w:pPr>
        <w:pStyle w:val="BodyText"/>
        <w:spacing w:line="376" w:lineRule="auto" w:before="127"/>
        <w:ind w:left="533" w:right="3842"/>
        <w:jc w:val="left"/>
      </w:pPr>
      <w:r>
        <w:rPr/>
        <w:t>设定提存计划</w:t>
      </w:r>
      <w:r>
        <w:rPr>
          <w:w w:val="100"/>
        </w:rPr>
        <w:t> </w:t>
      </w:r>
      <w:r>
        <w:rPr>
          <w:spacing w:val="-2"/>
        </w:rPr>
        <w:t>设定提存计划包括基本养老保险、失业保险等。</w:t>
      </w:r>
    </w:p>
    <w:p>
      <w:pPr>
        <w:pStyle w:val="BodyText"/>
        <w:spacing w:line="273" w:lineRule="auto" w:before="38"/>
        <w:ind w:right="126" w:firstLine="420"/>
        <w:jc w:val="both"/>
      </w:pPr>
      <w:r>
        <w:rPr>
          <w:spacing w:val="-2"/>
        </w:rPr>
        <w:t>在职工提供服务的会计期间，根据设定提存计划计算的应缴存金额确认为负债，并计入当期损益或相</w:t>
      </w:r>
      <w:r>
        <w:rPr>
          <w:w w:val="100"/>
        </w:rPr>
        <w:t> </w:t>
      </w:r>
      <w:r>
        <w:rPr/>
        <w:t>关资产成本。</w:t>
      </w:r>
    </w:p>
    <w:p>
      <w:pPr>
        <w:pStyle w:val="BodyText"/>
        <w:spacing w:line="432" w:lineRule="exact" w:before="27"/>
        <w:ind w:left="533" w:right="0"/>
        <w:jc w:val="left"/>
      </w:pPr>
      <w:r>
        <w:rPr/>
        <w:t>设定受益计划</w:t>
      </w:r>
      <w:r>
        <w:rPr>
          <w:w w:val="100"/>
        </w:rPr>
        <w:t> </w:t>
      </w:r>
      <w:r>
        <w:rPr>
          <w:spacing w:val="-2"/>
        </w:rPr>
        <w:t>对于设定受益计划，在年度资产负债表日由独立精算师进行精算估值，以预期累积福利单位法确定提</w:t>
      </w:r>
    </w:p>
    <w:p>
      <w:pPr>
        <w:pStyle w:val="BodyText"/>
        <w:spacing w:line="255" w:lineRule="exact"/>
        <w:ind w:right="0"/>
        <w:jc w:val="left"/>
      </w:pPr>
      <w:r>
        <w:rPr/>
        <w:t>供福利的成本。本集团设定受益计划导致的职工薪酬成本包括下列组成部分：</w:t>
      </w:r>
    </w:p>
    <w:p>
      <w:pPr>
        <w:pStyle w:val="BodyText"/>
        <w:spacing w:line="273" w:lineRule="auto" w:before="157"/>
        <w:ind w:right="126" w:firstLine="420"/>
        <w:jc w:val="both"/>
      </w:pPr>
      <w:r>
        <w:rPr>
          <w:spacing w:val="-2"/>
        </w:rPr>
        <w:t>①服务成本，包括当期服务成本、过去服务成本和结算利得或损失。其中，当期服务成本，是指职工</w:t>
      </w:r>
      <w:r>
        <w:rPr>
          <w:w w:val="100"/>
        </w:rPr>
        <w:t> </w:t>
      </w:r>
      <w:r>
        <w:rPr>
          <w:spacing w:val="-2"/>
        </w:rPr>
        <w:t>当期提供服务所导致的设定受益计划义务现值的增加额；过去服务成本，是指设定受益计划修改所导致的</w:t>
      </w:r>
      <w:r>
        <w:rPr>
          <w:spacing w:val="-42"/>
        </w:rPr>
        <w:t> </w:t>
      </w:r>
      <w:r>
        <w:rPr>
          <w:spacing w:val="-42"/>
        </w:rPr>
      </w:r>
      <w:r>
        <w:rPr/>
        <w:t>与以前期间职工服务相关的设定受益计划义务现值的增加或减少。</w:t>
      </w:r>
    </w:p>
    <w:p>
      <w:pPr>
        <w:pStyle w:val="BodyText"/>
        <w:spacing w:line="273" w:lineRule="auto" w:before="128"/>
        <w:ind w:right="126" w:firstLine="420"/>
        <w:jc w:val="both"/>
      </w:pPr>
      <w:r>
        <w:rPr>
          <w:spacing w:val="-2"/>
        </w:rPr>
        <w:t>②设定受益计划净负债或净资产的利息净额，包括计划资产的利息收益、设定受益计划义务的利息费</w:t>
      </w:r>
      <w:r>
        <w:rPr>
          <w:w w:val="100"/>
        </w:rPr>
        <w:t> </w:t>
      </w:r>
      <w:r>
        <w:rPr/>
        <w:t>用以及资产上限影响的利息。</w:t>
      </w:r>
    </w:p>
    <w:p>
      <w:pPr>
        <w:pStyle w:val="BodyText"/>
        <w:spacing w:line="432" w:lineRule="exact" w:before="27"/>
        <w:ind w:left="533" w:right="0"/>
        <w:jc w:val="left"/>
      </w:pPr>
      <w:r>
        <w:rPr/>
        <w:t>③重新计量设定受益计划净负债或净资产所产生的变动。</w:t>
      </w:r>
      <w:r>
        <w:rPr>
          <w:w w:val="100"/>
        </w:rPr>
        <w:t> </w:t>
      </w:r>
      <w:r>
        <w:rPr>
          <w:spacing w:val="-2"/>
        </w:rPr>
        <w:t>除非其他会计准则要求或允许职工福利成本计入资产成本，本集团将上述第①和②项计入当期损益；</w:t>
      </w:r>
    </w:p>
    <w:p>
      <w:pPr>
        <w:pStyle w:val="BodyText"/>
        <w:spacing w:line="255" w:lineRule="exact"/>
        <w:ind w:right="0"/>
        <w:jc w:val="left"/>
      </w:pPr>
      <w:r>
        <w:rPr/>
        <w:t>第③项计入其他综合收益且不会在后续会计期间转回至损益，在原设定受益计划终止时在权益范围内将原</w:t>
      </w:r>
    </w:p>
    <w:p>
      <w:pPr>
        <w:pStyle w:val="BodyText"/>
        <w:spacing w:line="240" w:lineRule="auto" w:before="37"/>
        <w:ind w:right="0"/>
        <w:jc w:val="left"/>
      </w:pPr>
      <w:r>
        <w:rPr/>
        <w:t>计入其他综合收益的部分全部结转至未分配利润。</w:t>
      </w:r>
    </w:p>
    <w:p>
      <w:pPr>
        <w:spacing w:line="590" w:lineRule="atLeast" w:before="38"/>
        <w:ind w:left="53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本集团向职工提供辞退福利的，在下列两者孰早日确认辞退福利产生的职工薪酬负债，并计入当期损</w:t>
      </w:r>
    </w:p>
    <w:p>
      <w:pPr>
        <w:pStyle w:val="BodyText"/>
        <w:spacing w:line="273" w:lineRule="auto" w:before="37"/>
        <w:ind w:right="0"/>
        <w:jc w:val="left"/>
      </w:pPr>
      <w:r>
        <w:rPr>
          <w:spacing w:val="-2"/>
        </w:rPr>
        <w:t>益：本集团不能单方面撤回因解除劳动关系计划或裁减建议所提供的辞退福利时；本集团确认与涉及支付</w:t>
      </w:r>
      <w:r>
        <w:rPr>
          <w:spacing w:val="-43"/>
        </w:rPr>
        <w:t> </w:t>
      </w:r>
      <w:r>
        <w:rPr>
          <w:spacing w:val="-43"/>
        </w:rPr>
      </w:r>
      <w:r>
        <w:rPr/>
        <w:t>辞退福利的重组相关的成本或费用时。</w:t>
      </w:r>
    </w:p>
    <w:p>
      <w:pPr>
        <w:pStyle w:val="BodyText"/>
        <w:spacing w:line="273" w:lineRule="auto" w:before="127"/>
        <w:ind w:right="126" w:firstLine="420"/>
        <w:jc w:val="both"/>
      </w:pPr>
      <w:r>
        <w:rPr>
          <w:spacing w:val="-2"/>
        </w:rPr>
        <w:t>实行职工内部退休计划的，在正式退休日之前的经济补偿，属于辞退福利，自职工停止提供服务日至</w:t>
      </w:r>
      <w:r>
        <w:rPr>
          <w:w w:val="100"/>
        </w:rPr>
        <w:t> </w:t>
      </w:r>
      <w:r>
        <w:rPr>
          <w:spacing w:val="-2"/>
        </w:rPr>
        <w:t>正常退休日期间，拟支付的内退职工工资和缴纳的社会保险费等一次性计入当期损益。正式退休日期之后</w:t>
      </w:r>
      <w:r>
        <w:rPr>
          <w:spacing w:val="-43"/>
        </w:rPr>
        <w:t> </w:t>
      </w:r>
      <w:r>
        <w:rPr>
          <w:spacing w:val="-43"/>
        </w:rPr>
      </w:r>
      <w:r>
        <w:rPr/>
        <w:t>的经济补偿（如正常养老退休金），按照离职后福利处理。</w:t>
      </w:r>
    </w:p>
    <w:p>
      <w:pPr>
        <w:spacing w:line="600" w:lineRule="atLeast" w:before="0"/>
        <w:ind w:left="53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本集团向职工提供的其他长期职工福利，符合设定提存计划条件的，按照上述关于设定提存计划的有</w:t>
      </w:r>
    </w:p>
    <w:p>
      <w:pPr>
        <w:pStyle w:val="BodyText"/>
        <w:spacing w:line="273" w:lineRule="auto" w:before="37"/>
        <w:ind w:right="0"/>
        <w:jc w:val="left"/>
      </w:pPr>
      <w:r>
        <w:rPr>
          <w:spacing w:val="-2"/>
        </w:rPr>
        <w:t>关规定进行处理。符合设定受益计划的，按照上述关于设定受益计划的有关规定进行处理，但相关职工薪</w:t>
      </w:r>
      <w:r>
        <w:rPr>
          <w:spacing w:val="-45"/>
        </w:rPr>
        <w:t> </w:t>
      </w:r>
      <w:r>
        <w:rPr>
          <w:spacing w:val="-45"/>
        </w:rPr>
      </w:r>
      <w:r>
        <w:rPr/>
        <w:t>酬成本中</w:t>
      </w:r>
      <w:r>
        <w:rPr>
          <w:rFonts w:ascii="Times New Roman" w:hAnsi="Times New Roman" w:cs="Times New Roman" w:eastAsia="Times New Roman" w:hint="default"/>
        </w:rPr>
        <w:t>“</w:t>
      </w:r>
      <w:r>
        <w:rPr/>
        <w:t>重新计量设定受益计划净负债或净资产所产生的变动</w:t>
      </w:r>
      <w:r>
        <w:rPr>
          <w:rFonts w:ascii="Times New Roman" w:hAnsi="Times New Roman" w:cs="Times New Roman" w:eastAsia="Times New Roman" w:hint="default"/>
        </w:rPr>
        <w:t>”</w:t>
      </w:r>
      <w:r>
        <w:rPr/>
        <w:t>部分计入当期损益或相关资产成本。</w:t>
      </w:r>
    </w:p>
    <w:p>
      <w:pPr>
        <w:spacing w:after="0" w:line="273" w:lineRule="auto"/>
        <w:jc w:val="left"/>
        <w:sectPr>
          <w:pgSz w:w="11910" w:h="16840"/>
          <w:pgMar w:header="867" w:footer="979" w:top="1060" w:bottom="1160" w:left="1020" w:right="1000"/>
        </w:sectPr>
      </w:pPr>
    </w:p>
    <w:p>
      <w:pPr>
        <w:spacing w:line="240" w:lineRule="auto" w:before="13"/>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33" w:right="0"/>
        <w:jc w:val="left"/>
      </w:pPr>
      <w:r>
        <w:rPr/>
        <w:t>如果与或有事项相关的义务同时符合以下条件，本集团将其确认为预计负债：</w:t>
      </w:r>
    </w:p>
    <w:p>
      <w:pPr>
        <w:pStyle w:val="BodyText"/>
        <w:spacing w:line="240" w:lineRule="auto" w:before="157"/>
        <w:ind w:left="533" w:right="0"/>
        <w:jc w:val="left"/>
      </w:pPr>
      <w:r>
        <w:rPr/>
        <w:t>（</w:t>
      </w:r>
      <w:r>
        <w:rPr>
          <w:rFonts w:ascii="Times New Roman" w:hAnsi="Times New Roman" w:cs="Times New Roman" w:eastAsia="Times New Roman" w:hint="default"/>
        </w:rPr>
        <w:t>1</w:t>
      </w:r>
      <w:r>
        <w:rPr/>
        <w:t>）该义务是本集团承担的现时义务；</w:t>
      </w:r>
    </w:p>
    <w:p>
      <w:pPr>
        <w:pStyle w:val="BodyText"/>
        <w:spacing w:line="240" w:lineRule="auto" w:before="141"/>
        <w:ind w:left="533" w:right="0"/>
        <w:jc w:val="left"/>
      </w:pPr>
      <w:r>
        <w:rPr/>
        <w:t>（</w:t>
      </w:r>
      <w:r>
        <w:rPr>
          <w:rFonts w:ascii="Times New Roman" w:hAnsi="Times New Roman" w:cs="Times New Roman" w:eastAsia="Times New Roman" w:hint="default"/>
        </w:rPr>
        <w:t>2</w:t>
      </w:r>
      <w:r>
        <w:rPr/>
        <w:t>）该义务的履行很可能导致经济利益流出本集团；</w:t>
      </w:r>
    </w:p>
    <w:p>
      <w:pPr>
        <w:pStyle w:val="BodyText"/>
        <w:spacing w:line="357" w:lineRule="auto" w:before="141"/>
        <w:ind w:left="533" w:right="0"/>
        <w:jc w:val="left"/>
      </w:pPr>
      <w:r>
        <w:rPr/>
        <w:t>（</w:t>
      </w:r>
      <w:r>
        <w:rPr>
          <w:rFonts w:ascii="Times New Roman" w:hAnsi="Times New Roman" w:cs="Times New Roman" w:eastAsia="Times New Roman" w:hint="default"/>
        </w:rPr>
        <w:t>3</w:t>
      </w:r>
      <w:r>
        <w:rPr/>
        <w:t>）该义务的金额能够可靠地计量。</w:t>
      </w:r>
      <w:r>
        <w:rPr>
          <w:w w:val="100"/>
        </w:rPr>
        <w:t> </w:t>
      </w:r>
      <w:r>
        <w:rPr>
          <w:spacing w:val="-2"/>
        </w:rPr>
        <w:t>预计负债按照履行相关现时义务所需支出的最佳估计数进行初始计量，并综合考虑与或有事项有关的</w:t>
      </w:r>
    </w:p>
    <w:p>
      <w:pPr>
        <w:pStyle w:val="BodyText"/>
        <w:spacing w:line="209" w:lineRule="exact"/>
        <w:ind w:right="0"/>
        <w:jc w:val="left"/>
      </w:pPr>
      <w:r>
        <w:rPr/>
        <w:t>风险、不确定性和货币时间价值等因素。货币时间价值影响重大的，通过对相关未来现金流出进行折现后</w:t>
      </w:r>
    </w:p>
    <w:p>
      <w:pPr>
        <w:pStyle w:val="BodyText"/>
        <w:spacing w:line="273" w:lineRule="auto" w:before="37"/>
        <w:ind w:right="0"/>
        <w:jc w:val="left"/>
      </w:pPr>
      <w:r>
        <w:rPr>
          <w:spacing w:val="-2"/>
        </w:rPr>
        <w:t>确定最佳估计数。本集团于资产负债表日对预计负债的账面价值进行复核，并对账面价值进行调整以反映</w:t>
      </w:r>
      <w:r>
        <w:rPr>
          <w:spacing w:val="-43"/>
        </w:rPr>
        <w:t> </w:t>
      </w:r>
      <w:r>
        <w:rPr>
          <w:spacing w:val="-43"/>
        </w:rPr>
      </w:r>
      <w:r>
        <w:rPr/>
        <w:t>当前最佳估计数。</w:t>
      </w:r>
    </w:p>
    <w:p>
      <w:pPr>
        <w:pStyle w:val="BodyText"/>
        <w:spacing w:line="273" w:lineRule="auto" w:before="127"/>
        <w:ind w:right="0" w:firstLine="420"/>
        <w:jc w:val="left"/>
      </w:pPr>
      <w:r>
        <w:rPr>
          <w:spacing w:val="-2"/>
        </w:rPr>
        <w:t>如果清偿已确认预计负债所需支出全部或部分预期由第三方或其他方补偿，则补偿金额只能在基本确</w:t>
      </w:r>
      <w:r>
        <w:rPr>
          <w:w w:val="100"/>
        </w:rPr>
        <w:t> </w:t>
      </w:r>
      <w:r>
        <w:rPr/>
        <w:t>定能收到时，作为资产单独确认。确认的补偿金额不超过所确认负债的账面价值。</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33" w:right="0"/>
        <w:jc w:val="left"/>
      </w:pPr>
      <w:r>
        <w:rPr/>
        <w:t>不适用</w:t>
      </w:r>
    </w:p>
    <w:p>
      <w:pPr>
        <w:spacing w:line="240" w:lineRule="auto" w:before="10"/>
        <w:rPr>
          <w:rFonts w:ascii="宋体" w:hAnsi="宋体" w:cs="宋体" w:eastAsia="宋体" w:hint="default"/>
          <w:sz w:val="25"/>
          <w:szCs w:val="25"/>
        </w:rPr>
      </w:pPr>
    </w:p>
    <w:p>
      <w:pPr>
        <w:spacing w:line="506" w:lineRule="auto" w:before="0"/>
        <w:ind w:left="533" w:right="143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、优先股、永续债等其他金融工具</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本公司报告期不涉及优先股、永续债等其他金融工具。</w:t>
      </w:r>
    </w:p>
    <w:p>
      <w:pPr>
        <w:pStyle w:val="Heading3"/>
        <w:spacing w:line="240" w:lineRule="auto" w:before="104"/>
        <w:ind w:right="0"/>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2"/>
        <w:rPr>
          <w:rFonts w:ascii="宋体" w:hAnsi="宋体" w:cs="宋体" w:eastAsia="宋体" w:hint="default"/>
          <w:b/>
          <w:bCs/>
          <w:sz w:val="26"/>
          <w:szCs w:val="26"/>
        </w:rPr>
      </w:pPr>
    </w:p>
    <w:p>
      <w:pPr>
        <w:spacing w:line="360" w:lineRule="auto" w:before="0"/>
        <w:ind w:left="112" w:right="6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40" w:lineRule="auto" w:before="83"/>
        <w:ind w:left="533" w:right="0"/>
        <w:jc w:val="left"/>
      </w:pPr>
      <w:r>
        <w:rPr/>
        <w:t>（</w:t>
      </w:r>
      <w:r>
        <w:rPr>
          <w:rFonts w:ascii="Times New Roman" w:hAnsi="Times New Roman" w:cs="Times New Roman" w:eastAsia="Times New Roman" w:hint="default"/>
        </w:rPr>
        <w:t>1</w:t>
      </w:r>
      <w:r>
        <w:rPr/>
        <w:t>）一般原则</w:t>
      </w:r>
    </w:p>
    <w:p>
      <w:pPr>
        <w:pStyle w:val="BodyText"/>
        <w:spacing w:line="432" w:lineRule="exact" w:before="43"/>
        <w:ind w:left="533" w:right="0"/>
        <w:jc w:val="left"/>
      </w:pPr>
      <w:r>
        <w:rPr/>
        <w:t>①销售商品</w:t>
      </w:r>
      <w:r>
        <w:rPr>
          <w:spacing w:val="-102"/>
        </w:rPr>
        <w:t> </w:t>
      </w:r>
      <w:r>
        <w:rPr>
          <w:spacing w:val="-102"/>
        </w:rPr>
      </w:r>
      <w:r>
        <w:rPr>
          <w:spacing w:val="2"/>
        </w:rPr>
        <w:t>在已将商品所有权上的主要风险和报酬转移给购货方，既没有保留通常与所有权相联系的继续管理</w:t>
      </w:r>
    </w:p>
    <w:p>
      <w:pPr>
        <w:pStyle w:val="BodyText"/>
        <w:spacing w:line="255" w:lineRule="exact"/>
        <w:ind w:right="0"/>
        <w:jc w:val="left"/>
      </w:pPr>
      <w:r>
        <w:rPr/>
        <w:t>权，也没有对已售商品实施有效控制，收入的金额能够可靠地计量，相关的经济利益很可能流入企业，相</w:t>
      </w:r>
    </w:p>
    <w:p>
      <w:pPr>
        <w:pStyle w:val="BodyText"/>
        <w:spacing w:line="240" w:lineRule="auto" w:before="37"/>
        <w:ind w:right="0"/>
        <w:jc w:val="left"/>
      </w:pPr>
      <w:r>
        <w:rPr/>
        <w:t>关的已发生或将发生的成本能够可靠地计量时，确认商品销售收入的实现。</w:t>
      </w:r>
    </w:p>
    <w:p>
      <w:pPr>
        <w:pStyle w:val="BodyText"/>
        <w:spacing w:line="432" w:lineRule="exact" w:before="57"/>
        <w:ind w:left="533" w:right="0"/>
        <w:jc w:val="left"/>
      </w:pPr>
      <w:r>
        <w:rPr/>
        <w:t>②提供劳务</w:t>
      </w:r>
      <w:r>
        <w:rPr>
          <w:spacing w:val="-102"/>
        </w:rPr>
        <w:t> </w:t>
      </w:r>
      <w:r>
        <w:rPr>
          <w:spacing w:val="-102"/>
        </w:rPr>
      </w:r>
      <w:r>
        <w:rPr>
          <w:spacing w:val="-2"/>
        </w:rPr>
        <w:t>对在提供劳务交易的结果能够可靠估计的情况下，本集团于资产负债表日按完工百分比法确认收入。</w:t>
      </w:r>
      <w:r>
        <w:rPr>
          <w:spacing w:val="-24"/>
        </w:rPr>
        <w:t> </w:t>
      </w:r>
      <w:r>
        <w:rPr>
          <w:spacing w:val="-24"/>
        </w:rPr>
      </w:r>
      <w:r>
        <w:rPr/>
        <w:t>劳务交易的完工进度按已经提供的劳务占应提供劳务总量的比例确定。</w:t>
      </w:r>
      <w:r>
        <w:rPr>
          <w:w w:val="100"/>
        </w:rPr>
        <w:t> </w:t>
      </w:r>
      <w:r>
        <w:rPr>
          <w:spacing w:val="-4"/>
        </w:rPr>
        <w:t>提供劳务交易的结果能够可靠估计是指同时满足：</w:t>
      </w:r>
      <w:r>
        <w:rPr>
          <w:rFonts w:ascii="Times New Roman" w:hAnsi="Times New Roman" w:cs="Times New Roman" w:eastAsia="Times New Roman" w:hint="default"/>
          <w:spacing w:val="-4"/>
        </w:rPr>
        <w:t>A</w:t>
      </w:r>
      <w:r>
        <w:rPr>
          <w:spacing w:val="-4"/>
        </w:rPr>
        <w:t>、收入的金额能够可靠地计量；</w:t>
      </w:r>
      <w:r>
        <w:rPr>
          <w:rFonts w:ascii="Times New Roman" w:hAnsi="Times New Roman" w:cs="Times New Roman" w:eastAsia="Times New Roman" w:hint="default"/>
          <w:spacing w:val="-4"/>
        </w:rPr>
        <w:t>B</w:t>
      </w:r>
      <w:r>
        <w:rPr>
          <w:spacing w:val="-4"/>
        </w:rPr>
        <w:t>、相关的经济利</w:t>
      </w:r>
    </w:p>
    <w:p>
      <w:pPr>
        <w:pStyle w:val="BodyText"/>
        <w:spacing w:line="271" w:lineRule="exact"/>
        <w:ind w:right="0"/>
        <w:jc w:val="left"/>
      </w:pPr>
      <w:r>
        <w:rPr>
          <w:spacing w:val="-4"/>
        </w:rPr>
        <w:t>益很可能流入企业；</w:t>
      </w:r>
      <w:r>
        <w:rPr>
          <w:rFonts w:ascii="Times New Roman" w:hAnsi="Times New Roman" w:cs="Times New Roman" w:eastAsia="Times New Roman" w:hint="default"/>
          <w:spacing w:val="-4"/>
        </w:rPr>
        <w:t>C</w:t>
      </w:r>
      <w:r>
        <w:rPr>
          <w:spacing w:val="-4"/>
        </w:rPr>
        <w:t>、交易的完工程度能够可靠地确定；</w:t>
      </w:r>
      <w:r>
        <w:rPr>
          <w:rFonts w:ascii="Times New Roman" w:hAnsi="Times New Roman" w:cs="Times New Roman" w:eastAsia="Times New Roman" w:hint="default"/>
          <w:spacing w:val="-4"/>
        </w:rPr>
        <w:t>D</w:t>
      </w:r>
      <w:r>
        <w:rPr>
          <w:spacing w:val="-4"/>
        </w:rPr>
        <w:t>、交易中已发生和将发生的成本能够可靠地计</w:t>
      </w:r>
    </w:p>
    <w:p>
      <w:pPr>
        <w:pStyle w:val="BodyText"/>
        <w:spacing w:line="240" w:lineRule="auto" w:before="21"/>
        <w:ind w:right="0"/>
        <w:jc w:val="left"/>
      </w:pPr>
      <w:r>
        <w:rPr/>
        <w:t>量。</w:t>
      </w:r>
    </w:p>
    <w:p>
      <w:pPr>
        <w:pStyle w:val="BodyText"/>
        <w:spacing w:line="273" w:lineRule="auto" w:before="157"/>
        <w:ind w:right="126" w:firstLine="420"/>
        <w:jc w:val="both"/>
      </w:pPr>
      <w:r>
        <w:rPr>
          <w:spacing w:val="-2"/>
        </w:rPr>
        <w:t>如果提供劳务交易的结果不能够可靠估计，则按已经发生并预计能够得到补偿的劳务成本金额确认提</w:t>
      </w:r>
      <w:r>
        <w:rPr>
          <w:w w:val="100"/>
        </w:rPr>
        <w:t> </w:t>
      </w:r>
      <w:r>
        <w:rPr>
          <w:spacing w:val="-2"/>
        </w:rPr>
        <w:t>供的劳务收入，并将已发生的劳务成本作为当期费用。已经发生的劳务成本如预计不能得到补偿的，则不</w:t>
      </w:r>
      <w:r>
        <w:rPr>
          <w:spacing w:val="-43"/>
        </w:rPr>
        <w:t> </w:t>
      </w:r>
      <w:r>
        <w:rPr>
          <w:spacing w:val="-43"/>
        </w:rPr>
      </w:r>
      <w:r>
        <w:rPr/>
        <w:t>确认收入。</w:t>
      </w:r>
    </w:p>
    <w:p>
      <w:pPr>
        <w:spacing w:after="0" w:line="273" w:lineRule="auto"/>
        <w:jc w:val="both"/>
        <w:sectPr>
          <w:pgSz w:w="11910" w:h="16840"/>
          <w:pgMar w:header="867" w:footer="979" w:top="1060" w:bottom="1160" w:left="1020" w:right="1000"/>
        </w:sectPr>
      </w:pPr>
    </w:p>
    <w:p>
      <w:pPr>
        <w:spacing w:line="240" w:lineRule="auto" w:before="13"/>
        <w:rPr>
          <w:rFonts w:ascii="宋体" w:hAnsi="宋体" w:cs="宋体" w:eastAsia="宋体" w:hint="default"/>
          <w:sz w:val="24"/>
          <w:szCs w:val="24"/>
        </w:rPr>
      </w:pPr>
    </w:p>
    <w:p>
      <w:pPr>
        <w:pStyle w:val="BodyText"/>
        <w:spacing w:line="264" w:lineRule="auto" w:before="36"/>
        <w:ind w:right="206" w:firstLine="420"/>
        <w:jc w:val="both"/>
      </w:pPr>
      <w:r>
        <w:rPr/>
        <w:t>对签订的合同或协议中既包括销售商品又包括提供劳务的，分别按以下情况进行处理：（</w:t>
      </w:r>
      <w:r>
        <w:rPr>
          <w:rFonts w:ascii="Times New Roman" w:hAnsi="Times New Roman" w:cs="Times New Roman" w:eastAsia="Times New Roman" w:hint="default"/>
        </w:rPr>
        <w:t>1</w:t>
      </w:r>
      <w:r>
        <w:rPr/>
        <w:t>）销售商</w:t>
      </w:r>
      <w:r>
        <w:rPr>
          <w:w w:val="100"/>
        </w:rPr>
        <w:t> </w:t>
      </w:r>
      <w:r>
        <w:rPr>
          <w:spacing w:val="-2"/>
        </w:rPr>
        <w:t>品部分和提供劳务部分能够区分且能够单独计量的，分别核算销售商品部分和提供劳务部分，将销售商品</w:t>
      </w:r>
      <w:r>
        <w:rPr>
          <w:spacing w:val="-44"/>
        </w:rPr>
        <w:t> </w:t>
      </w:r>
      <w:r>
        <w:rPr>
          <w:spacing w:val="-44"/>
        </w:rPr>
      </w:r>
      <w:r>
        <w:rPr/>
        <w:t>的部分作为销售商品处理，将提供劳务的部分作为提供劳务处理。（</w:t>
      </w:r>
      <w:r>
        <w:rPr>
          <w:rFonts w:ascii="Times New Roman" w:hAnsi="Times New Roman" w:cs="Times New Roman" w:eastAsia="Times New Roman" w:hint="default"/>
        </w:rPr>
        <w:t>2</w:t>
      </w:r>
      <w:r>
        <w:rPr/>
        <w:t>）销售商品部分和提供劳务部分不</w:t>
      </w:r>
      <w:r>
        <w:rPr>
          <w:spacing w:val="-20"/>
        </w:rPr>
        <w:t> </w:t>
      </w:r>
      <w:r>
        <w:rPr>
          <w:spacing w:val="-20"/>
        </w:rPr>
      </w:r>
      <w:r>
        <w:rPr>
          <w:spacing w:val="-2"/>
        </w:rPr>
        <w:t>能够区分，或虽能区分但不能够单独计量的，销售商品部分和提供劳务部分全部作为销售商品部分进行处</w:t>
      </w:r>
      <w:r>
        <w:rPr>
          <w:spacing w:val="-42"/>
        </w:rPr>
        <w:t> </w:t>
      </w:r>
      <w:r>
        <w:rPr>
          <w:spacing w:val="-42"/>
        </w:rPr>
      </w:r>
      <w:r>
        <w:rPr/>
        <w:t>理。</w:t>
      </w:r>
    </w:p>
    <w:p>
      <w:pPr>
        <w:pStyle w:val="BodyText"/>
        <w:spacing w:line="376" w:lineRule="auto" w:before="136"/>
        <w:ind w:left="533" w:right="0"/>
        <w:jc w:val="left"/>
      </w:pPr>
      <w:r>
        <w:rPr/>
        <w:t>③让渡资产使用权</w:t>
      </w:r>
      <w:r>
        <w:rPr>
          <w:w w:val="100"/>
        </w:rPr>
        <w:t> </w:t>
      </w:r>
      <w:r>
        <w:rPr>
          <w:spacing w:val="-2"/>
        </w:rPr>
        <w:t>与资产使用权让渡相关的经济利益能够流入及收入的金额能够可靠地计量时，本集团确认收入。</w:t>
      </w:r>
    </w:p>
    <w:p>
      <w:pPr>
        <w:pStyle w:val="BodyText"/>
        <w:spacing w:line="357" w:lineRule="auto" w:before="37"/>
        <w:ind w:left="533" w:right="0"/>
        <w:jc w:val="left"/>
      </w:pPr>
      <w:r>
        <w:rPr/>
        <w:t>（</w:t>
      </w:r>
      <w:r>
        <w:rPr>
          <w:rFonts w:ascii="Times New Roman" w:hAnsi="Times New Roman" w:cs="Times New Roman" w:eastAsia="Times New Roman" w:hint="default"/>
        </w:rPr>
        <w:t>2</w:t>
      </w:r>
      <w:r>
        <w:rPr/>
        <w:t>）收入确认的具体方法</w:t>
      </w:r>
      <w:r>
        <w:rPr>
          <w:w w:val="100"/>
        </w:rPr>
        <w:t> </w:t>
      </w:r>
      <w:r>
        <w:rPr>
          <w:spacing w:val="-2"/>
        </w:rPr>
        <w:t>本集团的营业收入分为电子认证服务收入、安全咨询与安全运维服务收入和安全集成收入等三类。</w:t>
      </w:r>
    </w:p>
    <w:p>
      <w:pPr>
        <w:pStyle w:val="BodyText"/>
        <w:spacing w:line="273" w:lineRule="auto" w:before="55"/>
        <w:ind w:right="206" w:firstLine="420"/>
        <w:jc w:val="both"/>
      </w:pPr>
      <w:r>
        <w:rPr>
          <w:spacing w:val="-2"/>
        </w:rPr>
        <w:t>①电子认证服务收入主要包括数字证书收入、电子签名服务收入和证书介质收入，其中数字证书收入</w:t>
      </w:r>
      <w:r>
        <w:rPr>
          <w:w w:val="100"/>
        </w:rPr>
        <w:t> </w:t>
      </w:r>
      <w:r>
        <w:rPr>
          <w:spacing w:val="-2"/>
        </w:rPr>
        <w:t>在数字证书签发或更新生效当月开始在数字证书的有效期内分期确认收入；电子签名服务收入按照约定的</w:t>
      </w:r>
      <w:r>
        <w:rPr>
          <w:spacing w:val="-43"/>
        </w:rPr>
        <w:t> </w:t>
      </w:r>
      <w:r>
        <w:rPr>
          <w:spacing w:val="-43"/>
        </w:rPr>
      </w:r>
      <w:r>
        <w:rPr>
          <w:spacing w:val="-2"/>
        </w:rPr>
        <w:t>服务期限分期确认收入，约定电子签名服务单价的则按照双方确认的服务量及单价确认收入；证书介质收</w:t>
      </w:r>
      <w:r>
        <w:rPr>
          <w:spacing w:val="-43"/>
        </w:rPr>
        <w:t> </w:t>
      </w:r>
      <w:r>
        <w:rPr>
          <w:spacing w:val="-43"/>
        </w:rPr>
      </w:r>
      <w:r>
        <w:rPr/>
        <w:t>入在移交给客户并经客户验收后一次性确认收入。</w:t>
      </w:r>
    </w:p>
    <w:p>
      <w:pPr>
        <w:pStyle w:val="BodyText"/>
        <w:spacing w:line="273" w:lineRule="auto" w:before="127"/>
        <w:ind w:right="206" w:firstLine="420"/>
        <w:jc w:val="both"/>
      </w:pPr>
      <w:r>
        <w:rPr>
          <w:spacing w:val="-2"/>
        </w:rPr>
        <w:t>②安全咨询与安全运维服务在资产负债表日按完工百分比法确认收入。对于提供专业咨询研究并编制</w:t>
      </w:r>
      <w:r>
        <w:rPr>
          <w:w w:val="100"/>
        </w:rPr>
        <w:t> </w:t>
      </w:r>
      <w:r>
        <w:rPr/>
        <w:t>报告的咨询研究业务，在提交咨询研究报告且通过相关评审验收时一次性确认收入。</w:t>
      </w:r>
    </w:p>
    <w:p>
      <w:pPr>
        <w:pStyle w:val="BodyText"/>
        <w:spacing w:line="240" w:lineRule="auto" w:before="127"/>
        <w:ind w:left="533" w:right="0"/>
        <w:jc w:val="left"/>
        <w:rPr>
          <w:rFonts w:ascii="Times New Roman" w:hAnsi="Times New Roman" w:cs="Times New Roman" w:eastAsia="Times New Roman" w:hint="default"/>
        </w:rPr>
      </w:pPr>
      <w:r>
        <w:rPr/>
        <w:t>完工百分比</w:t>
      </w:r>
      <w:r>
        <w:rPr>
          <w:rFonts w:ascii="Times New Roman" w:hAnsi="Times New Roman" w:cs="Times New Roman" w:eastAsia="Times New Roman" w:hint="default"/>
        </w:rPr>
        <w:t>=</w:t>
      </w:r>
      <w:r>
        <w:rPr/>
        <w:t>（已发生工时</w:t>
      </w:r>
      <w:r>
        <w:rPr>
          <w:rFonts w:ascii="Times New Roman" w:hAnsi="Times New Roman" w:cs="Times New Roman" w:eastAsia="Times New Roman" w:hint="default"/>
        </w:rPr>
        <w:t>÷</w:t>
      </w:r>
      <w:r>
        <w:rPr/>
        <w:t>项目总工时）</w:t>
      </w:r>
      <w:r>
        <w:rPr>
          <w:rFonts w:ascii="Times New Roman" w:hAnsi="Times New Roman" w:cs="Times New Roman" w:eastAsia="Times New Roman" w:hint="default"/>
        </w:rPr>
        <w:t>×100%</w:t>
      </w:r>
    </w:p>
    <w:p>
      <w:pPr>
        <w:pStyle w:val="BodyText"/>
        <w:spacing w:line="273" w:lineRule="auto" w:before="141"/>
        <w:ind w:right="206" w:firstLine="420"/>
        <w:jc w:val="both"/>
      </w:pPr>
      <w:r>
        <w:rPr>
          <w:spacing w:val="-2"/>
        </w:rPr>
        <w:t>③对于安全集成，本集团根据合同的约定，在取得了客户的初步验收确认时，按照合同约定的金额确</w:t>
      </w:r>
      <w:r>
        <w:rPr>
          <w:w w:val="100"/>
        </w:rPr>
        <w:t> </w:t>
      </w:r>
      <w:r>
        <w:rPr/>
        <w:t>认收入。</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pStyle w:val="BodyText"/>
        <w:spacing w:line="430" w:lineRule="atLeast" w:before="166"/>
        <w:ind w:left="533" w:right="0"/>
        <w:jc w:val="left"/>
      </w:pPr>
      <w:r>
        <w:rPr/>
        <w:t>政府补助在满足政府补助所附条件并能够收到时确认。</w:t>
      </w:r>
      <w:r>
        <w:rPr>
          <w:w w:val="100"/>
        </w:rPr>
        <w:t> </w:t>
      </w:r>
      <w:r>
        <w:rPr>
          <w:spacing w:val="-2"/>
        </w:rPr>
        <w:t>对于货币性资产的政府补助，按照收到或应收的金额计量。对于非货币性资产的政府补助，按照公允</w:t>
      </w:r>
    </w:p>
    <w:p>
      <w:pPr>
        <w:pStyle w:val="BodyText"/>
        <w:spacing w:line="357" w:lineRule="auto" w:before="37"/>
        <w:ind w:left="533" w:right="0" w:hanging="421"/>
        <w:jc w:val="left"/>
      </w:pPr>
      <w:r>
        <w:rPr/>
        <w:t>价值计量；公允价值不能够可靠取得的，按照名义金额</w:t>
      </w:r>
      <w:r>
        <w:rPr>
          <w:rFonts w:ascii="Times New Roman" w:hAnsi="Times New Roman" w:cs="Times New Roman" w:eastAsia="Times New Roman" w:hint="default"/>
        </w:rPr>
        <w:t>1</w:t>
      </w:r>
      <w:r>
        <w:rPr/>
        <w:t>元计量。</w:t>
      </w:r>
      <w:r>
        <w:rPr>
          <w:w w:val="100"/>
        </w:rPr>
        <w:t> </w:t>
      </w:r>
      <w:r>
        <w:rPr>
          <w:spacing w:val="-2"/>
        </w:rPr>
        <w:t>与资产相关的政府补助，是指本集团取得的、用于购建或以其他方式形成长期资产的政府补助；除此</w:t>
      </w:r>
    </w:p>
    <w:p>
      <w:pPr>
        <w:pStyle w:val="BodyText"/>
        <w:spacing w:line="209" w:lineRule="exact"/>
        <w:ind w:right="0"/>
        <w:jc w:val="left"/>
      </w:pPr>
      <w:r>
        <w:rPr/>
        <w:t>之外，作为与收益相关的政府补助。</w:t>
      </w:r>
    </w:p>
    <w:p>
      <w:pPr>
        <w:pStyle w:val="BodyText"/>
        <w:spacing w:line="273" w:lineRule="auto" w:before="157"/>
        <w:ind w:right="206" w:firstLine="420"/>
        <w:jc w:val="both"/>
      </w:pPr>
      <w:r>
        <w:rPr>
          <w:spacing w:val="-2"/>
        </w:rPr>
        <w:t>对于政府文件未明确规定补助对象的，能够形成长期资产的，与资产价值相对应的政府补助部分作为</w:t>
      </w:r>
      <w:r>
        <w:rPr>
          <w:w w:val="100"/>
        </w:rPr>
        <w:t> </w:t>
      </w:r>
      <w:r>
        <w:rPr>
          <w:spacing w:val="-2"/>
        </w:rPr>
        <w:t>与资产相关的政府补助，其余部分作为与收益相关的政府补助；难以区分的，将政府补助整体作为与收益</w:t>
      </w:r>
      <w:r>
        <w:rPr>
          <w:spacing w:val="-43"/>
        </w:rPr>
        <w:t> </w:t>
      </w:r>
      <w:r>
        <w:rPr>
          <w:spacing w:val="-43"/>
        </w:rPr>
      </w:r>
      <w:r>
        <w:rPr/>
        <w:t>相关的政府补助。</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273" w:lineRule="auto"/>
        <w:ind w:right="0" w:firstLine="420"/>
        <w:jc w:val="left"/>
      </w:pPr>
      <w:r>
        <w:rPr>
          <w:spacing w:val="-5"/>
        </w:rPr>
        <w:t>与资产相关的政府补助，确认为递延收益在相关资产使用期限内按照合理、系统的方法分期计入损益。</w:t>
      </w:r>
      <w:r>
        <w:rPr>
          <w:w w:val="100"/>
        </w:rPr>
        <w:t> </w:t>
      </w:r>
      <w:r>
        <w:rPr>
          <w:spacing w:val="-2"/>
        </w:rPr>
        <w:t>与收益相关的政府补助，用于补偿已发生的相关成本费用或损失的，计入当期损益；用于补偿以后期间的</w:t>
      </w:r>
      <w:r>
        <w:rPr>
          <w:spacing w:val="-43"/>
        </w:rPr>
        <w:t> </w:t>
      </w:r>
      <w:r>
        <w:rPr>
          <w:spacing w:val="-43"/>
        </w:rPr>
      </w:r>
      <w:r>
        <w:rPr>
          <w:spacing w:val="-2"/>
        </w:rPr>
        <w:t>相关成本费用或损失的，则计入递延收益，于相关成本费用或损失确认期间计入当期损益。按照名义金额</w:t>
      </w:r>
      <w:r>
        <w:rPr>
          <w:spacing w:val="-44"/>
        </w:rPr>
        <w:t> </w:t>
      </w:r>
      <w:r>
        <w:rPr>
          <w:spacing w:val="-44"/>
        </w:rPr>
      </w:r>
      <w:r>
        <w:rPr/>
        <w:t>计量的政府补助，直接计入当期损益。本集团对相同或类似的政府补助业务，采用一致的方法处理。</w:t>
      </w:r>
    </w:p>
    <w:p>
      <w:pPr>
        <w:pStyle w:val="BodyText"/>
        <w:spacing w:line="273" w:lineRule="auto" w:before="127"/>
        <w:ind w:right="208" w:firstLine="420"/>
        <w:jc w:val="both"/>
      </w:pPr>
      <w:r>
        <w:rPr>
          <w:spacing w:val="-2"/>
        </w:rPr>
        <w:t>与日常活动相关的政府补助，按照经济业务实质，计入其他收益。与日常活动无关的政府补助，计入</w:t>
      </w:r>
      <w:r>
        <w:rPr>
          <w:w w:val="100"/>
        </w:rPr>
        <w:t> </w:t>
      </w:r>
      <w:r>
        <w:rPr/>
        <w:t>营业外收支。</w:t>
      </w:r>
    </w:p>
    <w:p>
      <w:pPr>
        <w:pStyle w:val="BodyText"/>
        <w:spacing w:line="240" w:lineRule="auto" w:before="127"/>
        <w:ind w:left="533" w:right="0"/>
        <w:jc w:val="left"/>
      </w:pPr>
      <w:r>
        <w:rPr/>
        <w:t>已确认的政府补助需要返还时，初始确认时冲减相关资产账面价值的，调整资产账面价值；存在相关</w:t>
      </w:r>
    </w:p>
    <w:p>
      <w:pPr>
        <w:spacing w:after="0" w:line="240" w:lineRule="auto"/>
        <w:jc w:val="left"/>
        <w:sectPr>
          <w:footerReference w:type="default" r:id="rId19"/>
          <w:pgSz w:w="11910" w:h="16840"/>
          <w:pgMar w:footer="979" w:header="867" w:top="1060" w:bottom="1160" w:left="1020" w:right="920"/>
          <w:pgNumType w:start="110"/>
        </w:sectPr>
      </w:pPr>
    </w:p>
    <w:p>
      <w:pPr>
        <w:spacing w:line="240" w:lineRule="auto" w:before="13"/>
        <w:rPr>
          <w:rFonts w:ascii="宋体" w:hAnsi="宋体" w:cs="宋体" w:eastAsia="宋体" w:hint="default"/>
          <w:sz w:val="24"/>
          <w:szCs w:val="24"/>
        </w:rPr>
      </w:pPr>
    </w:p>
    <w:p>
      <w:pPr>
        <w:pStyle w:val="BodyText"/>
        <w:spacing w:line="273" w:lineRule="auto" w:before="36"/>
        <w:ind w:right="0"/>
        <w:jc w:val="left"/>
      </w:pPr>
      <w:r>
        <w:rPr>
          <w:spacing w:val="-2"/>
        </w:rPr>
        <w:t>递延收益余额的，冲减相关递延收益账面余额，超出部分计入当期损益；属于其他情况的，直接计入当期</w:t>
      </w:r>
      <w:r>
        <w:rPr>
          <w:spacing w:val="-50"/>
        </w:rPr>
        <w:t> </w:t>
      </w:r>
      <w:r>
        <w:rPr>
          <w:spacing w:val="-50"/>
        </w:rPr>
      </w:r>
      <w:r>
        <w:rPr/>
        <w:t>损益。</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pStyle w:val="BodyText"/>
        <w:spacing w:line="430" w:lineRule="atLeast" w:before="168"/>
        <w:ind w:left="533" w:right="0"/>
        <w:jc w:val="left"/>
      </w:pPr>
      <w:r>
        <w:rPr/>
        <w:t>政府补助在满足政府补助所附条件并能够收到时确认。</w:t>
      </w:r>
      <w:r>
        <w:rPr>
          <w:w w:val="100"/>
        </w:rPr>
        <w:t> </w:t>
      </w:r>
      <w:r>
        <w:rPr>
          <w:spacing w:val="-2"/>
        </w:rPr>
        <w:t>对于货币性资产的政府补助，按照收到或应收的金额计量。对于非货币性资产的政府补助，按照公允</w:t>
      </w:r>
    </w:p>
    <w:p>
      <w:pPr>
        <w:pStyle w:val="BodyText"/>
        <w:spacing w:line="357" w:lineRule="auto" w:before="37"/>
        <w:ind w:left="533" w:right="0" w:hanging="421"/>
        <w:jc w:val="left"/>
      </w:pPr>
      <w:r>
        <w:rPr/>
        <w:t>价值计量；公允价值不能够可靠取得的，按照名义金额</w:t>
      </w:r>
      <w:r>
        <w:rPr>
          <w:rFonts w:ascii="Times New Roman" w:hAnsi="Times New Roman" w:cs="Times New Roman" w:eastAsia="Times New Roman" w:hint="default"/>
        </w:rPr>
        <w:t>1</w:t>
      </w:r>
      <w:r>
        <w:rPr/>
        <w:t>元计量。</w:t>
      </w:r>
      <w:r>
        <w:rPr>
          <w:w w:val="100"/>
        </w:rPr>
        <w:t> </w:t>
      </w:r>
      <w:r>
        <w:rPr>
          <w:spacing w:val="-2"/>
        </w:rPr>
        <w:t>与资产相关的政府补助，是指本集团取得的、用于购建或以其他方式形成长期资产的政府补助；除此</w:t>
      </w:r>
    </w:p>
    <w:p>
      <w:pPr>
        <w:pStyle w:val="BodyText"/>
        <w:spacing w:line="209" w:lineRule="exact"/>
        <w:ind w:right="0"/>
        <w:jc w:val="left"/>
      </w:pPr>
      <w:r>
        <w:rPr/>
        <w:t>之外，作为与收益相关的政府补助。</w:t>
      </w:r>
    </w:p>
    <w:p>
      <w:pPr>
        <w:pStyle w:val="BodyText"/>
        <w:spacing w:line="273" w:lineRule="auto" w:before="157"/>
        <w:ind w:right="206" w:firstLine="420"/>
        <w:jc w:val="both"/>
      </w:pPr>
      <w:r>
        <w:rPr>
          <w:spacing w:val="-2"/>
        </w:rPr>
        <w:t>对于政府文件未明确规定补助对象的，能够形成长期资产的，与资产价值相对应的政府补助部分作为</w:t>
      </w:r>
      <w:r>
        <w:rPr>
          <w:w w:val="100"/>
        </w:rPr>
        <w:t> </w:t>
      </w:r>
      <w:r>
        <w:rPr>
          <w:spacing w:val="-2"/>
        </w:rPr>
        <w:t>与资产相关的政府补助，其余部分作为与收益相关的政府补助；难以区分的，将政府补助整体作为与收益</w:t>
      </w:r>
      <w:r>
        <w:rPr>
          <w:spacing w:val="-43"/>
        </w:rPr>
        <w:t> </w:t>
      </w:r>
      <w:r>
        <w:rPr>
          <w:spacing w:val="-43"/>
        </w:rPr>
      </w:r>
      <w:r>
        <w:rPr/>
        <w:t>相关的政府补助。</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273" w:lineRule="auto"/>
        <w:ind w:right="0" w:firstLine="420"/>
        <w:jc w:val="left"/>
      </w:pPr>
      <w:r>
        <w:rPr>
          <w:spacing w:val="-5"/>
        </w:rPr>
        <w:t>与资产相关的政府补助，确认为递延收益在相关资产使用期限内按照合理、系统的方法分期计入损益。</w:t>
      </w:r>
      <w:r>
        <w:rPr>
          <w:w w:val="100"/>
        </w:rPr>
        <w:t> </w:t>
      </w:r>
      <w:r>
        <w:rPr>
          <w:spacing w:val="-2"/>
        </w:rPr>
        <w:t>与收益相关的政府补助，用于补偿已发生的相关成本费用或损失的，计入当期损益；用于补偿以后期间的</w:t>
      </w:r>
      <w:r>
        <w:rPr>
          <w:spacing w:val="-43"/>
        </w:rPr>
        <w:t> </w:t>
      </w:r>
      <w:r>
        <w:rPr>
          <w:spacing w:val="-43"/>
        </w:rPr>
      </w:r>
      <w:r>
        <w:rPr>
          <w:spacing w:val="-2"/>
        </w:rPr>
        <w:t>相关成本费用或损失的，则计入递延收益，于相关成本费用或损失确认期间计入当期损益。按照名义金额</w:t>
      </w:r>
      <w:r>
        <w:rPr>
          <w:spacing w:val="-44"/>
        </w:rPr>
        <w:t> </w:t>
      </w:r>
      <w:r>
        <w:rPr>
          <w:spacing w:val="-44"/>
        </w:rPr>
      </w:r>
      <w:r>
        <w:rPr/>
        <w:t>计量的政府补助，直接计入当期损益。本集团对相同或类似的政府补助业务，采用一致的方法处理。</w:t>
      </w:r>
    </w:p>
    <w:p>
      <w:pPr>
        <w:pStyle w:val="BodyText"/>
        <w:spacing w:line="273" w:lineRule="auto" w:before="127"/>
        <w:ind w:right="208" w:firstLine="420"/>
        <w:jc w:val="both"/>
      </w:pPr>
      <w:r>
        <w:rPr>
          <w:spacing w:val="-2"/>
        </w:rPr>
        <w:t>与日常活动相关的政府补助，按照经济业务实质，计入其他收益。与日常活动无关的政府补助，计入</w:t>
      </w:r>
      <w:r>
        <w:rPr>
          <w:w w:val="100"/>
        </w:rPr>
        <w:t> </w:t>
      </w:r>
      <w:r>
        <w:rPr/>
        <w:t>营业外收支。</w:t>
      </w:r>
    </w:p>
    <w:p>
      <w:pPr>
        <w:pStyle w:val="BodyText"/>
        <w:spacing w:line="273" w:lineRule="auto" w:before="127"/>
        <w:ind w:right="206" w:firstLine="420"/>
        <w:jc w:val="both"/>
      </w:pPr>
      <w:r>
        <w:rPr>
          <w:spacing w:val="-2"/>
        </w:rPr>
        <w:t>已确认的政府补助需要返还时，初始确认时冲减相关资产账面价值的，调整资产账面价值；存在相关</w:t>
      </w:r>
      <w:r>
        <w:rPr>
          <w:w w:val="100"/>
        </w:rPr>
        <w:t> </w:t>
      </w:r>
      <w:r>
        <w:rPr>
          <w:spacing w:val="-2"/>
        </w:rPr>
        <w:t>递延收益余额的，冲减相关递延收益账面余额，超出部分计入当期损益；属于其他情况的，直接计入当期</w:t>
      </w:r>
      <w:r>
        <w:rPr>
          <w:spacing w:val="-50"/>
        </w:rPr>
        <w:t> </w:t>
      </w:r>
      <w:r>
        <w:rPr>
          <w:spacing w:val="-50"/>
        </w:rPr>
      </w:r>
      <w:r>
        <w:rPr/>
        <w:t>损益。</w:t>
      </w:r>
    </w:p>
    <w:p>
      <w:pPr>
        <w:spacing w:line="590" w:lineRule="atLeast" w:before="8"/>
        <w:ind w:left="53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pacing w:val="-2"/>
          <w:sz w:val="21"/>
          <w:szCs w:val="21"/>
        </w:rPr>
        <w:t>所得税包括当期所得税和递延所得税。除由于企业合并产生的调整商誉，或与直接计入所有者权益的</w:t>
      </w:r>
    </w:p>
    <w:p>
      <w:pPr>
        <w:pStyle w:val="BodyText"/>
        <w:spacing w:line="240" w:lineRule="auto" w:before="37"/>
        <w:ind w:right="0"/>
        <w:jc w:val="left"/>
      </w:pPr>
      <w:r>
        <w:rPr/>
        <w:t>交易或者事项相关的递延所得税计入所有者权益外，均作为所得税费用计入当期损益。</w:t>
      </w:r>
    </w:p>
    <w:p>
      <w:pPr>
        <w:pStyle w:val="BodyText"/>
        <w:spacing w:line="273" w:lineRule="auto" w:before="157"/>
        <w:ind w:right="206" w:firstLine="420"/>
        <w:jc w:val="both"/>
      </w:pPr>
      <w:r>
        <w:rPr>
          <w:spacing w:val="-2"/>
        </w:rPr>
        <w:t>本集团根据资产、负债于资产负债表日的账面价值与计税基础之间的暂时性差异，采用资产负债表债</w:t>
      </w:r>
      <w:r>
        <w:rPr>
          <w:w w:val="100"/>
        </w:rPr>
        <w:t> </w:t>
      </w:r>
      <w:r>
        <w:rPr/>
        <w:t>务法确认递延所得税。</w:t>
      </w:r>
    </w:p>
    <w:p>
      <w:pPr>
        <w:pStyle w:val="BodyText"/>
        <w:spacing w:line="273" w:lineRule="auto" w:before="127"/>
        <w:ind w:right="206" w:firstLine="420"/>
        <w:jc w:val="both"/>
      </w:pPr>
      <w:r>
        <w:rPr>
          <w:spacing w:val="-2"/>
        </w:rPr>
        <w:t>各项应纳税暂时性差异均确认相关的递延所得税负债，除非该应纳税暂时性差异是在以下交易中产生</w:t>
      </w:r>
      <w:r>
        <w:rPr>
          <w:w w:val="100"/>
        </w:rPr>
        <w:t> </w:t>
      </w:r>
      <w:r>
        <w:rPr/>
        <w:t>的：</w:t>
      </w:r>
    </w:p>
    <w:p>
      <w:pPr>
        <w:pStyle w:val="BodyText"/>
        <w:spacing w:line="256" w:lineRule="auto" w:before="127"/>
        <w:ind w:right="216" w:firstLine="420"/>
        <w:jc w:val="both"/>
      </w:pPr>
      <w:r>
        <w:rPr/>
        <w:t>（</w:t>
      </w:r>
      <w:r>
        <w:rPr>
          <w:rFonts w:ascii="Times New Roman" w:hAnsi="Times New Roman" w:cs="Times New Roman" w:eastAsia="Times New Roman" w:hint="default"/>
        </w:rPr>
        <w:t>1</w:t>
      </w:r>
      <w:r>
        <w:rPr/>
        <w:t>）商誉的初始确认，或者具有以下特征的交易中产生的资产或负债的初始确认：该交易不是企业</w:t>
      </w:r>
      <w:r>
        <w:rPr>
          <w:w w:val="100"/>
        </w:rPr>
        <w:t> </w:t>
      </w:r>
      <w:r>
        <w:rPr/>
        <w:t>合并，并且交易发生时既不影响会计利润也不影响应纳税所得额；</w:t>
      </w:r>
    </w:p>
    <w:p>
      <w:pPr>
        <w:pStyle w:val="BodyText"/>
        <w:spacing w:line="256" w:lineRule="auto" w:before="142"/>
        <w:ind w:right="216" w:firstLine="420"/>
        <w:jc w:val="both"/>
      </w:pPr>
      <w:r>
        <w:rPr/>
        <w:t>（</w:t>
      </w:r>
      <w:r>
        <w:rPr>
          <w:rFonts w:ascii="Times New Roman" w:hAnsi="Times New Roman" w:cs="Times New Roman" w:eastAsia="Times New Roman" w:hint="default"/>
        </w:rPr>
        <w:t>2</w:t>
      </w:r>
      <w:r>
        <w:rPr/>
        <w:t>）对于与子公司、合营企业及联营企业投资相关的应纳税暂时性差异，该暂时性差异转回的时间</w:t>
      </w:r>
      <w:r>
        <w:rPr>
          <w:w w:val="100"/>
        </w:rPr>
        <w:t> </w:t>
      </w:r>
      <w:r>
        <w:rPr/>
        <w:t>能够控制并且该暂时性差异在可预见的未来很可能不会转回。</w:t>
      </w:r>
    </w:p>
    <w:p>
      <w:pPr>
        <w:pStyle w:val="BodyText"/>
        <w:spacing w:line="273" w:lineRule="auto" w:before="142"/>
        <w:ind w:right="185" w:firstLine="420"/>
        <w:jc w:val="both"/>
      </w:pPr>
      <w:r>
        <w:rPr>
          <w:spacing w:val="-2"/>
        </w:rPr>
        <w:t>对于可抵扣暂时性差异、能够结转以后年度的可抵扣亏损和税款抵减，本集团以很可能取得用来抵扣</w:t>
      </w:r>
      <w:r>
        <w:rPr>
          <w:w w:val="100"/>
        </w:rPr>
        <w:t> </w:t>
      </w:r>
      <w:r>
        <w:rPr>
          <w:spacing w:val="-2"/>
        </w:rPr>
        <w:t>可抵扣暂时性差异、可抵扣亏损和税款抵减的未来应纳税所得额为限，确认由此产生的递延所得税资产，</w:t>
      </w:r>
      <w:r>
        <w:rPr>
          <w:spacing w:val="-21"/>
        </w:rPr>
        <w:t> </w:t>
      </w:r>
      <w:r>
        <w:rPr>
          <w:spacing w:val="-21"/>
        </w:rPr>
      </w:r>
      <w:r>
        <w:rPr/>
        <w:t>除非该可抵扣暂时性差异是在以下交易中产生的：</w:t>
      </w:r>
    </w:p>
    <w:p>
      <w:pPr>
        <w:spacing w:after="0" w:line="273" w:lineRule="auto"/>
        <w:jc w:val="both"/>
        <w:sectPr>
          <w:pgSz w:w="11910" w:h="16840"/>
          <w:pgMar w:header="867" w:footer="979" w:top="1060" w:bottom="1160" w:left="1020" w:right="920"/>
        </w:sectPr>
      </w:pPr>
    </w:p>
    <w:p>
      <w:pPr>
        <w:spacing w:line="240" w:lineRule="auto" w:before="13"/>
        <w:rPr>
          <w:rFonts w:ascii="宋体" w:hAnsi="宋体" w:cs="宋体" w:eastAsia="宋体" w:hint="default"/>
          <w:sz w:val="24"/>
          <w:szCs w:val="24"/>
        </w:rPr>
      </w:pPr>
    </w:p>
    <w:p>
      <w:pPr>
        <w:pStyle w:val="BodyText"/>
        <w:spacing w:line="240" w:lineRule="auto" w:before="36"/>
        <w:ind w:left="533" w:right="0"/>
        <w:jc w:val="left"/>
      </w:pPr>
      <w:r>
        <w:rPr/>
        <w:t>（</w:t>
      </w:r>
      <w:r>
        <w:rPr>
          <w:rFonts w:ascii="Times New Roman" w:hAnsi="Times New Roman" w:cs="Times New Roman" w:eastAsia="Times New Roman" w:hint="default"/>
        </w:rPr>
        <w:t>1</w:t>
      </w:r>
      <w:r>
        <w:rPr/>
        <w:t>）该交易不是企业合并，并且交易发生时既不影响会计利润也不影响应纳税所得额；</w:t>
      </w:r>
    </w:p>
    <w:p>
      <w:pPr>
        <w:pStyle w:val="BodyText"/>
        <w:spacing w:line="264" w:lineRule="auto" w:before="141"/>
        <w:ind w:right="126" w:firstLine="420"/>
        <w:jc w:val="both"/>
      </w:pPr>
      <w:r>
        <w:rPr/>
        <w:t>（</w:t>
      </w:r>
      <w:r>
        <w:rPr>
          <w:rFonts w:ascii="Times New Roman" w:hAnsi="Times New Roman" w:cs="Times New Roman" w:eastAsia="Times New Roman" w:hint="default"/>
        </w:rPr>
        <w:t>2</w:t>
      </w:r>
      <w:r>
        <w:rPr/>
        <w:t>）对于与子公司、合营企业及联营企业投资相关的可抵扣暂时性差异，同时满足下列条件的，确</w:t>
      </w:r>
      <w:r>
        <w:rPr>
          <w:w w:val="100"/>
        </w:rPr>
        <w:t> </w:t>
      </w:r>
      <w:r>
        <w:rPr>
          <w:spacing w:val="-2"/>
        </w:rPr>
        <w:t>认相应的递延所得税资产：暂时性差异在可预见的未来很可能转回，且未来很可能获得用来抵扣可抵扣暂</w:t>
      </w:r>
      <w:r>
        <w:rPr>
          <w:spacing w:val="-44"/>
        </w:rPr>
        <w:t> </w:t>
      </w:r>
      <w:r>
        <w:rPr>
          <w:spacing w:val="-44"/>
        </w:rPr>
      </w:r>
      <w:r>
        <w:rPr/>
        <w:t>时性差异的应纳税所得额。</w:t>
      </w:r>
    </w:p>
    <w:p>
      <w:pPr>
        <w:pStyle w:val="BodyText"/>
        <w:spacing w:line="273" w:lineRule="auto" w:before="136"/>
        <w:ind w:right="126" w:firstLine="420"/>
        <w:jc w:val="both"/>
      </w:pPr>
      <w:r>
        <w:rPr>
          <w:spacing w:val="-2"/>
        </w:rPr>
        <w:t>于资产负债表日，本集团对递延所得税资产和递延所得税负债，按照预期收回该资产或清偿该负债期</w:t>
      </w:r>
      <w:r>
        <w:rPr>
          <w:w w:val="100"/>
        </w:rPr>
        <w:t> </w:t>
      </w:r>
      <w:r>
        <w:rPr/>
        <w:t>间的适用税率计量，并反映资产负债表日预期收回资产或清偿负债方式的所得税影响。</w:t>
      </w:r>
    </w:p>
    <w:p>
      <w:pPr>
        <w:pStyle w:val="BodyText"/>
        <w:spacing w:line="273" w:lineRule="auto" w:before="127"/>
        <w:ind w:right="126" w:firstLine="420"/>
        <w:jc w:val="both"/>
      </w:pPr>
      <w:r>
        <w:rPr>
          <w:spacing w:val="-2"/>
        </w:rPr>
        <w:t>于资产负债表日，本集团对递延所得税资产的账面价值进行复核。如果未来期间很可能无法获得足够</w:t>
      </w:r>
      <w:r>
        <w:rPr>
          <w:w w:val="100"/>
        </w:rPr>
        <w:t> </w:t>
      </w:r>
      <w:r>
        <w:rPr>
          <w:spacing w:val="-2"/>
        </w:rPr>
        <w:t>的应纳税所得额用以抵扣递延所得税资产的利益，减记递延所得税资产的账面价值。在很可能获得足够的</w:t>
      </w:r>
      <w:r>
        <w:rPr>
          <w:spacing w:val="-43"/>
        </w:rPr>
        <w:t> </w:t>
      </w:r>
      <w:r>
        <w:rPr>
          <w:spacing w:val="-43"/>
        </w:rPr>
      </w:r>
      <w:r>
        <w:rPr/>
        <w:t>应纳税所得额时，减记的金额予以转回。</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31</w:t>
      </w:r>
      <w:r>
        <w:rPr/>
        <w:t>、租赁</w:t>
      </w:r>
      <w:r>
        <w:rPr>
          <w:b w:val="0"/>
          <w:bCs w:val="0"/>
        </w:rPr>
      </w:r>
    </w:p>
    <w:p>
      <w:pPr>
        <w:spacing w:line="590" w:lineRule="atLeast" w:before="24"/>
        <w:ind w:left="53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本集团将实质上转移了与资产所有权有关的全部风险和报酬的租赁确认为融资租赁，除融资租赁之外</w:t>
      </w:r>
    </w:p>
    <w:p>
      <w:pPr>
        <w:pStyle w:val="BodyText"/>
        <w:spacing w:line="240" w:lineRule="auto" w:before="37"/>
        <w:ind w:right="0"/>
        <w:jc w:val="left"/>
      </w:pPr>
      <w:r>
        <w:rPr/>
        <w:t>的其他租赁确认为经营租赁。</w:t>
      </w:r>
    </w:p>
    <w:p>
      <w:pPr>
        <w:pStyle w:val="BodyText"/>
        <w:spacing w:line="357" w:lineRule="auto" w:before="157"/>
        <w:ind w:left="533" w:right="0"/>
        <w:jc w:val="left"/>
      </w:pPr>
      <w:r>
        <w:rPr/>
        <w:t>（</w:t>
      </w:r>
      <w:r>
        <w:rPr>
          <w:rFonts w:ascii="Times New Roman" w:hAnsi="Times New Roman" w:cs="Times New Roman" w:eastAsia="Times New Roman" w:hint="default"/>
        </w:rPr>
        <w:t>1</w:t>
      </w:r>
      <w:r>
        <w:rPr/>
        <w:t>）本集团作为出租人</w:t>
      </w:r>
      <w:r>
        <w:rPr>
          <w:w w:val="100"/>
        </w:rPr>
        <w:t> </w:t>
      </w:r>
      <w:r>
        <w:rPr>
          <w:spacing w:val="-2"/>
        </w:rPr>
        <w:t>经营租赁中的租金，本集团在租赁期内各个期间按照直线法确认当期损益。发生的初始直接费用，计</w:t>
      </w:r>
    </w:p>
    <w:p>
      <w:pPr>
        <w:pStyle w:val="BodyText"/>
        <w:spacing w:line="209" w:lineRule="exact"/>
        <w:ind w:right="0"/>
        <w:jc w:val="left"/>
      </w:pPr>
      <w:r>
        <w:rPr/>
        <w:t>入当期损益。</w:t>
      </w:r>
    </w:p>
    <w:p>
      <w:pPr>
        <w:pStyle w:val="BodyText"/>
        <w:spacing w:line="357" w:lineRule="auto" w:before="157"/>
        <w:ind w:left="533" w:right="0"/>
        <w:jc w:val="left"/>
      </w:pPr>
      <w:r>
        <w:rPr/>
        <w:t>（</w:t>
      </w:r>
      <w:r>
        <w:rPr>
          <w:rFonts w:ascii="Times New Roman" w:hAnsi="Times New Roman" w:cs="Times New Roman" w:eastAsia="Times New Roman" w:hint="default"/>
        </w:rPr>
        <w:t>2</w:t>
      </w:r>
      <w:r>
        <w:rPr/>
        <w:t>）本集团作为承租人</w:t>
      </w:r>
      <w:r>
        <w:rPr>
          <w:w w:val="100"/>
        </w:rPr>
        <w:t> </w:t>
      </w:r>
      <w:r>
        <w:rPr>
          <w:spacing w:val="-2"/>
        </w:rPr>
        <w:t>经营租赁中的租金，本集团在租赁期内各个期间按照直线法计入相关资产成本或当期损益；发生的初</w:t>
      </w:r>
    </w:p>
    <w:p>
      <w:pPr>
        <w:pStyle w:val="BodyText"/>
        <w:spacing w:line="209" w:lineRule="exact"/>
        <w:ind w:right="0"/>
        <w:jc w:val="left"/>
      </w:pPr>
      <w:r>
        <w:rPr/>
        <w:t>始直接费用，计入当期损益。</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357" w:lineRule="auto"/>
        <w:ind w:left="533" w:right="0"/>
        <w:jc w:val="left"/>
      </w:pPr>
      <w:r>
        <w:rPr/>
        <w:t>（</w:t>
      </w:r>
      <w:r>
        <w:rPr>
          <w:rFonts w:ascii="Times New Roman" w:hAnsi="Times New Roman" w:cs="Times New Roman" w:eastAsia="Times New Roman" w:hint="default"/>
        </w:rPr>
        <w:t>1</w:t>
      </w:r>
      <w:r>
        <w:rPr/>
        <w:t>）本集团作为出租人</w:t>
      </w:r>
      <w:r>
        <w:rPr>
          <w:w w:val="100"/>
        </w:rPr>
        <w:t> </w:t>
      </w:r>
      <w:r>
        <w:rPr>
          <w:spacing w:val="-2"/>
        </w:rPr>
        <w:t>融资租赁中，在租赁开始日本集团按最低租赁收款额与初始直接费用之和作为应收融资租赁款的入账</w:t>
      </w:r>
    </w:p>
    <w:p>
      <w:pPr>
        <w:pStyle w:val="BodyText"/>
        <w:spacing w:line="209" w:lineRule="exact"/>
        <w:ind w:right="0"/>
        <w:jc w:val="left"/>
      </w:pPr>
      <w:r>
        <w:rPr/>
        <w:t>价值，同时记录未担保余值；将最低租赁收款额、初始直接费用及未担保余值之和与其现值之和的差额确</w:t>
      </w:r>
    </w:p>
    <w:p>
      <w:pPr>
        <w:pStyle w:val="BodyText"/>
        <w:spacing w:line="240" w:lineRule="auto" w:before="37"/>
        <w:ind w:right="0"/>
        <w:jc w:val="left"/>
      </w:pPr>
      <w:r>
        <w:rPr/>
        <w:t>认为未实现融资收益。未实现融资收益在租赁期内各个期间采用实际利率法计算确认当期的融资收入。</w:t>
      </w:r>
    </w:p>
    <w:p>
      <w:pPr>
        <w:pStyle w:val="BodyText"/>
        <w:spacing w:line="357" w:lineRule="auto" w:before="157"/>
        <w:ind w:left="533" w:right="0"/>
        <w:jc w:val="left"/>
      </w:pPr>
      <w:r>
        <w:rPr/>
        <w:t>（</w:t>
      </w:r>
      <w:r>
        <w:rPr>
          <w:rFonts w:ascii="Times New Roman" w:hAnsi="Times New Roman" w:cs="Times New Roman" w:eastAsia="Times New Roman" w:hint="default"/>
        </w:rPr>
        <w:t>2</w:t>
      </w:r>
      <w:r>
        <w:rPr/>
        <w:t>）本集团作为承租人</w:t>
      </w:r>
      <w:r>
        <w:rPr>
          <w:w w:val="100"/>
        </w:rPr>
        <w:t> </w:t>
      </w:r>
      <w:r>
        <w:rPr>
          <w:spacing w:val="-2"/>
        </w:rPr>
        <w:t>融资租赁中，在租赁开始日本集团将租赁资产公允价值与最低租赁付款额现值两者中较低者作为租入</w:t>
      </w:r>
    </w:p>
    <w:p>
      <w:pPr>
        <w:pStyle w:val="BodyText"/>
        <w:spacing w:line="209" w:lineRule="exact"/>
        <w:ind w:right="0"/>
        <w:jc w:val="left"/>
      </w:pPr>
      <w:r>
        <w:rPr/>
        <w:t>资产的入账价值，将最低租赁付款额作为长期应付款的入账价值，其差额作为未确认融资费用。初始直接</w:t>
      </w:r>
    </w:p>
    <w:p>
      <w:pPr>
        <w:pStyle w:val="BodyText"/>
        <w:spacing w:line="273" w:lineRule="auto" w:before="37"/>
        <w:ind w:right="0"/>
        <w:jc w:val="left"/>
      </w:pPr>
      <w:r>
        <w:rPr>
          <w:spacing w:val="-2"/>
        </w:rPr>
        <w:t>费用计入租入资产价值。未确认融资费用在租赁期内各个期间采用实际利率法计算确认当期的融资费用。</w:t>
      </w:r>
      <w:r>
        <w:rPr>
          <w:spacing w:val="-21"/>
        </w:rPr>
        <w:t> </w:t>
      </w:r>
      <w:r>
        <w:rPr>
          <w:spacing w:val="-21"/>
        </w:rPr>
      </w:r>
      <w:r>
        <w:rPr/>
        <w:t>本集团采用与自有固定资产相一致的折旧政策计提租赁资产折旧。</w:t>
      </w:r>
    </w:p>
    <w:p>
      <w:pPr>
        <w:spacing w:line="590" w:lineRule="atLeast" w:before="8"/>
        <w:ind w:left="53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、其他重要的会计政策和会计估计</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本集团根据历史经验和其它因素，包括对未来事项的合理预期，对所采用的重要会计估计和关键假设</w:t>
      </w:r>
    </w:p>
    <w:p>
      <w:pPr>
        <w:pStyle w:val="BodyText"/>
        <w:spacing w:line="376" w:lineRule="auto" w:before="37"/>
        <w:ind w:left="533" w:right="0" w:hanging="421"/>
        <w:jc w:val="left"/>
      </w:pPr>
      <w:r>
        <w:rPr/>
        <w:t>进行持续的评价。</w:t>
      </w:r>
      <w:r>
        <w:rPr>
          <w:w w:val="100"/>
        </w:rPr>
        <w:t> </w:t>
      </w:r>
      <w:r>
        <w:rPr>
          <w:spacing w:val="2"/>
        </w:rPr>
        <w:t>很可能导致下一会计年度资产和负债的账面价值出现重大调整风险的重要会计估计和关键假设列示</w:t>
      </w:r>
    </w:p>
    <w:p>
      <w:pPr>
        <w:spacing w:after="0" w:line="376" w:lineRule="auto"/>
        <w:jc w:val="left"/>
        <w:sectPr>
          <w:pgSz w:w="11910" w:h="16840"/>
          <w:pgMar w:header="867" w:footer="979" w:top="1060" w:bottom="1160" w:left="1020" w:right="1000"/>
        </w:sectPr>
      </w:pPr>
    </w:p>
    <w:p>
      <w:pPr>
        <w:spacing w:line="240" w:lineRule="auto" w:before="13"/>
        <w:rPr>
          <w:rFonts w:ascii="宋体" w:hAnsi="宋体" w:cs="宋体" w:eastAsia="宋体" w:hint="default"/>
          <w:sz w:val="24"/>
          <w:szCs w:val="24"/>
        </w:rPr>
      </w:pPr>
      <w:r>
        <w:rPr/>
        <w:pict>
          <v:shape style="position:absolute;margin-left:284.394012pt;margin-top:689.976013pt;width:190.3pt;height:64.3500pt;mso-position-horizontal-relative:page;mso-position-vertical-relative:page;z-index:-8320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处置未划分为持有待售的固定资产、</w:t>
                  </w:r>
                </w:p>
              </w:txbxContent>
            </v:textbox>
            <w10:wrap type="none"/>
          </v:shape>
        </w:pict>
      </w:r>
      <w:r>
        <w:rPr/>
        <w:pict>
          <v:group style="position:absolute;margin-left:425.589996pt;margin-top:689.976013pt;width:49.15pt;height:64.3500pt;mso-position-horizontal-relative:page;mso-position-vertical-relative:page;z-index:-832024" coordorigin="8512,13800" coordsize="983,1287">
            <v:group style="position:absolute;left:8512;top:13800;width:983;height:1287" coordorigin="8512,13800" coordsize="983,1287">
              <v:shape style="position:absolute;left:8512;top:13800;width:983;height:1287" coordorigin="8512,13800" coordsize="983,1287" path="m8512,15086l9494,15086,9494,13800,8512,13800,8512,15086xe" filled="true" fillcolor="#ffffff" stroked="false">
                <v:path arrowok="t"/>
                <v:fill type="solid"/>
              </v:shape>
            </v:group>
            <v:group style="position:absolute;left:8533;top:14246;width:939;height:395" coordorigin="8533,14246" coordsize="939,395">
              <v:shape style="position:absolute;left:8533;top:14246;width:939;height:395" coordorigin="8533,14246" coordsize="939,395" path="m8533,14640l9472,14640,9472,14246,8533,14246,8533,14640xe" filled="true" fillcolor="#ffffff" stroked="false">
                <v:path arrowok="t"/>
                <v:fill type="solid"/>
              </v:shape>
            </v:group>
            <w10:wrap type="none"/>
          </v:group>
        </w:pict>
      </w:r>
    </w:p>
    <w:p>
      <w:pPr>
        <w:pStyle w:val="BodyText"/>
        <w:spacing w:line="240" w:lineRule="auto" w:before="36"/>
        <w:ind w:right="0"/>
        <w:jc w:val="both"/>
      </w:pPr>
      <w:r>
        <w:rPr/>
        <w:t>如下：</w:t>
      </w:r>
    </w:p>
    <w:p>
      <w:pPr>
        <w:pStyle w:val="BodyText"/>
        <w:spacing w:line="430" w:lineRule="atLeast" w:before="2"/>
        <w:ind w:left="533" w:right="0"/>
        <w:jc w:val="left"/>
      </w:pPr>
      <w:r>
        <w:rPr/>
        <w:t>坏账准备计提</w:t>
      </w:r>
      <w:r>
        <w:rPr>
          <w:w w:val="100"/>
        </w:rPr>
        <w:t> </w:t>
      </w:r>
      <w:r>
        <w:rPr>
          <w:spacing w:val="-2"/>
        </w:rPr>
        <w:t>本集团根据应收款项的会计政策，采用备抵法核算坏账损失。应收款项减值是基于评估应收款项的可</w:t>
      </w:r>
    </w:p>
    <w:p>
      <w:pPr>
        <w:pStyle w:val="BodyText"/>
        <w:spacing w:line="273" w:lineRule="auto" w:before="37"/>
        <w:ind w:right="0"/>
        <w:jc w:val="left"/>
      </w:pPr>
      <w:r>
        <w:rPr>
          <w:spacing w:val="-2"/>
        </w:rPr>
        <w:t>收回性。鉴定应收款项减值要求管理层的判断和估计，实际的结果与原先估计的差异将在估计被改变的期</w:t>
      </w:r>
      <w:r>
        <w:rPr>
          <w:spacing w:val="-44"/>
        </w:rPr>
        <w:t> </w:t>
      </w:r>
      <w:r>
        <w:rPr>
          <w:spacing w:val="-44"/>
        </w:rPr>
      </w:r>
      <w:r>
        <w:rPr/>
        <w:t>间影响应收款项的账面价值及应收款项坏账准备的计提或转回。</w:t>
      </w:r>
    </w:p>
    <w:p>
      <w:pPr>
        <w:pStyle w:val="BodyText"/>
        <w:spacing w:line="432" w:lineRule="exact" w:before="27"/>
        <w:ind w:left="533" w:right="0"/>
        <w:jc w:val="left"/>
      </w:pPr>
      <w:r>
        <w:rPr/>
        <w:t>存货跌价准备计提</w:t>
      </w:r>
      <w:r>
        <w:rPr>
          <w:w w:val="100"/>
        </w:rPr>
        <w:t> </w:t>
      </w:r>
      <w:r>
        <w:rPr>
          <w:spacing w:val="-2"/>
        </w:rPr>
        <w:t>本集团根据存货会计政策，按照成本与可变现净值孰低计量，对成本高于可变现净值及陈旧和滞销的</w:t>
      </w:r>
    </w:p>
    <w:p>
      <w:pPr>
        <w:pStyle w:val="BodyText"/>
        <w:spacing w:line="255" w:lineRule="exact"/>
        <w:ind w:right="0"/>
        <w:jc w:val="both"/>
      </w:pPr>
      <w:r>
        <w:rPr>
          <w:spacing w:val="-2"/>
        </w:rPr>
        <w:t>存货，计提存货跌价准备。存货减值至可变现净值是基于评估存货的可售性及其可变现净值。鉴定存货减</w:t>
      </w:r>
    </w:p>
    <w:p>
      <w:pPr>
        <w:pStyle w:val="BodyText"/>
        <w:spacing w:line="273" w:lineRule="auto" w:before="37"/>
        <w:ind w:right="106"/>
        <w:jc w:val="both"/>
      </w:pPr>
      <w:r>
        <w:rPr>
          <w:spacing w:val="-2"/>
        </w:rPr>
        <w:t>值要求管理层取得确凿证据，并且考虑持有存货的目的、资产负债表日后事项的影响等因素的基础上作出</w:t>
      </w:r>
      <w:r>
        <w:rPr>
          <w:spacing w:val="-43"/>
        </w:rPr>
        <w:t> </w:t>
      </w:r>
      <w:r>
        <w:rPr>
          <w:spacing w:val="-43"/>
        </w:rPr>
      </w:r>
      <w:r>
        <w:rPr>
          <w:spacing w:val="-2"/>
        </w:rPr>
        <w:t>判断和估计。实际的结果与原先的估计的差异将在估计被改变的期间影响存货的账面价值及存货跌价准备</w:t>
      </w:r>
      <w:r>
        <w:rPr>
          <w:spacing w:val="-43"/>
        </w:rPr>
        <w:t> </w:t>
      </w:r>
      <w:r>
        <w:rPr>
          <w:spacing w:val="-43"/>
        </w:rPr>
      </w:r>
      <w:r>
        <w:rPr/>
        <w:t>的计提或转回。</w:t>
      </w:r>
    </w:p>
    <w:p>
      <w:pPr>
        <w:pStyle w:val="BodyText"/>
        <w:spacing w:line="432" w:lineRule="exact" w:before="27"/>
        <w:ind w:left="533" w:right="0"/>
        <w:jc w:val="left"/>
      </w:pPr>
      <w:r>
        <w:rPr/>
        <w:t>折旧和摊销</w:t>
      </w:r>
      <w:r>
        <w:rPr>
          <w:spacing w:val="-102"/>
        </w:rPr>
        <w:t> </w:t>
      </w:r>
      <w:r>
        <w:rPr>
          <w:spacing w:val="-102"/>
        </w:rPr>
      </w:r>
      <w:r>
        <w:rPr>
          <w:spacing w:val="-2"/>
        </w:rPr>
        <w:t>本集团对固定资产和无形资产在考虑其残值后，在预计使用寿命内按直线法计提折旧和摊销，本集团</w:t>
      </w:r>
    </w:p>
    <w:p>
      <w:pPr>
        <w:pStyle w:val="BodyText"/>
        <w:spacing w:line="255" w:lineRule="exact"/>
        <w:ind w:right="0"/>
        <w:jc w:val="both"/>
      </w:pPr>
      <w:r>
        <w:rPr/>
        <w:t>定期复核使用寿命，以决定将计入每个期间的折旧和摊销费用金额。使用寿命是根据以往经验并结合预期</w:t>
      </w:r>
    </w:p>
    <w:p>
      <w:pPr>
        <w:pStyle w:val="BodyText"/>
        <w:spacing w:line="240" w:lineRule="auto" w:before="37"/>
        <w:ind w:right="0"/>
        <w:jc w:val="both"/>
      </w:pPr>
      <w:r>
        <w:rPr/>
        <w:t>的技术确定的。如果以前的估计发生重大变化，则会在未来期间对折旧和摊销费用进行调整。</w:t>
      </w:r>
    </w:p>
    <w:p>
      <w:pPr>
        <w:pStyle w:val="BodyText"/>
        <w:spacing w:line="430" w:lineRule="atLeast" w:before="2"/>
        <w:ind w:left="533" w:right="0"/>
        <w:jc w:val="left"/>
      </w:pPr>
      <w:r>
        <w:rPr/>
        <w:t>递延所得税资产</w:t>
      </w:r>
      <w:r>
        <w:rPr>
          <w:spacing w:val="-103"/>
        </w:rPr>
        <w:t> </w:t>
      </w:r>
      <w:r>
        <w:rPr>
          <w:spacing w:val="-103"/>
        </w:rPr>
      </w:r>
      <w:r>
        <w:rPr>
          <w:spacing w:val="-2"/>
        </w:rPr>
        <w:t>在很有可能有足够的应纳税利润来抵扣亏损的限度内，应就所有未利用的税务亏损确认递延所得税资</w:t>
      </w:r>
    </w:p>
    <w:p>
      <w:pPr>
        <w:pStyle w:val="BodyText"/>
        <w:spacing w:line="273" w:lineRule="auto" w:before="37"/>
        <w:ind w:right="0"/>
        <w:jc w:val="left"/>
      </w:pPr>
      <w:r>
        <w:rPr>
          <w:spacing w:val="-2"/>
        </w:rPr>
        <w:t>产。这需要管理层运用大量的判断来估计未来应纳税利润发生的时间和金额，结合纳税筹划策略，以决定</w:t>
      </w:r>
      <w:r>
        <w:rPr>
          <w:spacing w:val="-43"/>
        </w:rPr>
        <w:t> </w:t>
      </w:r>
      <w:r>
        <w:rPr>
          <w:spacing w:val="-43"/>
        </w:rPr>
      </w:r>
      <w:r>
        <w:rPr/>
        <w:t>应确认的递延所得税资产的金额。</w:t>
      </w:r>
    </w:p>
    <w:p>
      <w:pPr>
        <w:pStyle w:val="BodyText"/>
        <w:spacing w:line="432" w:lineRule="exact" w:before="27"/>
        <w:ind w:left="533" w:right="0"/>
        <w:jc w:val="left"/>
      </w:pPr>
      <w:r>
        <w:rPr/>
        <w:t>所得税费用</w:t>
      </w:r>
      <w:r>
        <w:rPr>
          <w:spacing w:val="-102"/>
        </w:rPr>
        <w:t> </w:t>
      </w:r>
      <w:r>
        <w:rPr>
          <w:spacing w:val="-102"/>
        </w:rPr>
      </w:r>
      <w:r>
        <w:rPr>
          <w:spacing w:val="-2"/>
        </w:rPr>
        <w:t>本集团在正常的经营活动中，有部分交易其最终的税务处理和计算存在一定的不确定性，部分项目是</w:t>
      </w:r>
    </w:p>
    <w:p>
      <w:pPr>
        <w:pStyle w:val="BodyText"/>
        <w:spacing w:line="255" w:lineRule="exact"/>
        <w:ind w:right="0"/>
        <w:jc w:val="both"/>
      </w:pPr>
      <w:r>
        <w:rPr/>
        <w:t>否能够在税前列支需要税收主管机关的审批。如果这些税务事项的最终认定结果同原先估计的金额存在差</w:t>
      </w:r>
    </w:p>
    <w:p>
      <w:pPr>
        <w:pStyle w:val="BodyText"/>
        <w:spacing w:line="240" w:lineRule="auto" w:before="37"/>
        <w:ind w:right="0"/>
        <w:jc w:val="both"/>
      </w:pPr>
      <w:r>
        <w:rPr/>
        <w:t>异，则该差异将对其认定期间的当期所得税和递延所得税资产产生影响。</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7372"/>
        <w:gridCol w:w="144"/>
        <w:gridCol w:w="850"/>
        <w:gridCol w:w="1205"/>
      </w:tblGrid>
      <w:tr>
        <w:trPr>
          <w:trHeight w:val="401" w:hRule="exact"/>
        </w:trPr>
        <w:tc>
          <w:tcPr>
            <w:tcW w:w="7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9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690" w:hRule="exact"/>
        </w:trPr>
        <w:tc>
          <w:tcPr>
            <w:tcW w:w="73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根据《企业会计准则第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政府补助》（</w:t>
            </w:r>
            <w:r>
              <w:rPr>
                <w:rFonts w:ascii="Times New Roman" w:hAnsi="Times New Roman" w:cs="Times New Roman" w:eastAsia="Times New Roman" w:hint="default"/>
                <w:spacing w:val="-6"/>
                <w:sz w:val="18"/>
                <w:szCs w:val="18"/>
              </w:rPr>
              <w:t>2017</w:t>
            </w:r>
            <w:r>
              <w:rPr>
                <w:rFonts w:ascii="宋体" w:hAnsi="宋体" w:cs="宋体" w:eastAsia="宋体" w:hint="default"/>
                <w:spacing w:val="-6"/>
                <w:sz w:val="18"/>
                <w:szCs w:val="18"/>
              </w:rPr>
              <w:t>），政府补助的会计处理方法从总额法改为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允许采用净额法，将与资产相关的政府补助相关递延收益的摊销方式从在相关资产使用寿命内</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平均分配改为按照合理、系统的方法分配，并修改了政府补助的列报项目。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40" w:lineRule="auto" w:before="5"/>
              <w:ind w:left="24" w:right="676"/>
              <w:jc w:val="left"/>
              <w:rPr>
                <w:rFonts w:ascii="宋体" w:hAnsi="宋体" w:cs="宋体" w:eastAsia="宋体" w:hint="default"/>
                <w:sz w:val="18"/>
                <w:szCs w:val="18"/>
              </w:rPr>
            </w:pPr>
            <w:r>
              <w:rPr>
                <w:rFonts w:ascii="宋体" w:hAnsi="宋体" w:cs="宋体" w:eastAsia="宋体" w:hint="default"/>
                <w:sz w:val="18"/>
                <w:szCs w:val="18"/>
              </w:rPr>
              <w:t>尚未摊销完毕的政府补助和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年取得的政府补助适用修订后的准则。 对新的披露要求不需提供比较信息，不对比较报表中其他收益的列报进行相应调整。</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1299" w:hRule="exact"/>
        </w:trPr>
        <w:tc>
          <w:tcPr>
            <w:tcW w:w="737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18"/>
              <w:jc w:val="left"/>
              <w:rPr>
                <w:rFonts w:ascii="宋体" w:hAnsi="宋体" w:cs="宋体" w:eastAsia="宋体" w:hint="default"/>
                <w:sz w:val="18"/>
                <w:szCs w:val="18"/>
              </w:rPr>
            </w:pPr>
            <w:r>
              <w:rPr>
                <w:rFonts w:ascii="宋体" w:hAnsi="宋体" w:cs="宋体" w:eastAsia="宋体" w:hint="default"/>
                <w:spacing w:val="-4"/>
                <w:sz w:val="18"/>
                <w:szCs w:val="18"/>
              </w:rPr>
              <w:t>根据《关于修订印发一般企业财务报表格式的通知》（财会</w:t>
            </w:r>
            <w:r>
              <w:rPr>
                <w:rFonts w:ascii="Times New Roman" w:hAnsi="Times New Roman" w:cs="Times New Roman" w:eastAsia="Times New Roman" w:hint="default"/>
                <w:spacing w:val="-4"/>
                <w:sz w:val="18"/>
                <w:szCs w:val="18"/>
              </w:rPr>
              <w:t>[2017]30</w:t>
            </w:r>
            <w:r>
              <w:rPr>
                <w:rFonts w:ascii="Times New Roman" w:hAnsi="Times New Roman" w:cs="Times New Roman" w:eastAsia="Times New Roman" w:hint="default"/>
                <w:spacing w:val="21"/>
                <w:sz w:val="18"/>
                <w:szCs w:val="18"/>
              </w:rPr>
              <w:t> </w:t>
            </w:r>
            <w:r>
              <w:rPr>
                <w:rFonts w:ascii="宋体" w:hAnsi="宋体" w:cs="宋体" w:eastAsia="宋体" w:hint="default"/>
                <w:spacing w:val="-11"/>
                <w:sz w:val="18"/>
                <w:szCs w:val="18"/>
              </w:rPr>
              <w:t>号），在利润表中新增“资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产处置收益”行项目，反映企业出售划分为持有待售的非流动资产（金融工具、长期股权投资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和投资性房地产除外）或处置组时确认的处置利得或损失，</w:t>
            </w:r>
            <w:r>
              <w:rPr>
                <w:rFonts w:ascii="宋体" w:hAnsi="宋体" w:cs="宋体" w:eastAsia="宋体" w:hint="default"/>
                <w:sz w:val="18"/>
                <w:szCs w:val="18"/>
              </w:rPr>
              <w:t> </w:t>
            </w:r>
            <w:r>
              <w:rPr>
                <w:rFonts w:ascii="宋体" w:hAnsi="宋体" w:cs="宋体" w:eastAsia="宋体" w:hint="default"/>
                <w:spacing w:val="-2"/>
                <w:sz w:val="18"/>
                <w:szCs w:val="18"/>
              </w:rPr>
              <w:t>在建工程、生产性生物资产及无形资产而产生的处置利得或损失，以及债务重组中因处置非流</w:t>
            </w:r>
          </w:p>
        </w:tc>
        <w:tc>
          <w:tcPr>
            <w:tcW w:w="144" w:type="dxa"/>
            <w:tcBorders>
              <w:top w:val="single" w:sz="4" w:space="0" w:color="000000"/>
              <w:left w:val="single" w:sz="4" w:space="0" w:color="000000"/>
              <w:bottom w:val="single" w:sz="4" w:space="0" w:color="000000"/>
              <w:right w:val="nil" w:sz="6" w:space="0" w:color="auto"/>
            </w:tcBorders>
          </w:tcPr>
          <w:p>
            <w:pPr/>
          </w:p>
        </w:tc>
        <w:tc>
          <w:tcPr>
            <w:tcW w:w="8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1020" w:right="1020"/>
        </w:sectPr>
      </w:pPr>
    </w:p>
    <w:p>
      <w:pPr>
        <w:spacing w:line="240" w:lineRule="auto" w:before="6"/>
        <w:rPr>
          <w:rFonts w:ascii="宋体" w:hAnsi="宋体" w:cs="宋体" w:eastAsia="宋体" w:hint="default"/>
          <w:sz w:val="28"/>
          <w:szCs w:val="28"/>
        </w:rPr>
      </w:pPr>
      <w:r>
        <w:rPr/>
        <w:pict>
          <v:shape style="position:absolute;margin-left:392.400024pt;margin-top:72.475983pt;width:82.3pt;height:99.65pt;mso-position-horizontal-relative:page;mso-position-vertical-relative:page;z-index:-831976" type="#_x0000_t202" filled="false" stroked="false">
            <v:textbox inset="0,0,0,0">
              <w:txbxContent>
                <w:p>
                  <w:pPr>
                    <w:spacing w:line="240" w:lineRule="auto" w:before="0"/>
                    <w:rPr>
                      <w:rFonts w:ascii="宋体" w:hAnsi="宋体" w:cs="宋体" w:eastAsia="宋体" w:hint="default"/>
                      <w:sz w:val="18"/>
                      <w:szCs w:val="18"/>
                    </w:rPr>
                  </w:pPr>
                </w:p>
                <w:p>
                  <w:pPr>
                    <w:spacing w:before="128"/>
                    <w:ind w:left="0" w:right="0" w:firstLine="0"/>
                    <w:jc w:val="left"/>
                    <w:rPr>
                      <w:rFonts w:ascii="宋体" w:hAnsi="宋体" w:cs="宋体" w:eastAsia="宋体" w:hint="default"/>
                      <w:sz w:val="18"/>
                      <w:szCs w:val="18"/>
                    </w:rPr>
                  </w:pPr>
                  <w:r>
                    <w:rPr>
                      <w:rFonts w:ascii="宋体" w:hAnsi="宋体" w:cs="宋体" w:eastAsia="宋体" w:hint="default"/>
                      <w:sz w:val="18"/>
                      <w:szCs w:val="18"/>
                    </w:rPr>
                    <w:t>“其中：</w:t>
                  </w:r>
                </w:p>
              </w:txbxContent>
            </v:textbox>
            <w10:wrap type="none"/>
          </v:shape>
        </w:pict>
      </w:r>
    </w:p>
    <w:tbl>
      <w:tblPr>
        <w:tblW w:w="0" w:type="auto"/>
        <w:jc w:val="left"/>
        <w:tblInd w:w="108" w:type="dxa"/>
        <w:tblLayout w:type="fixed"/>
        <w:tblCellMar>
          <w:top w:w="0" w:type="dxa"/>
          <w:left w:w="0" w:type="dxa"/>
          <w:bottom w:w="0" w:type="dxa"/>
          <w:right w:w="0" w:type="dxa"/>
        </w:tblCellMar>
        <w:tblLook w:val="01E0"/>
      </w:tblPr>
      <w:tblGrid>
        <w:gridCol w:w="7372"/>
        <w:gridCol w:w="994"/>
        <w:gridCol w:w="1205"/>
      </w:tblGrid>
      <w:tr>
        <w:trPr>
          <w:trHeight w:val="2002" w:hRule="exact"/>
        </w:trPr>
        <w:tc>
          <w:tcPr>
            <w:tcW w:w="737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11"/>
              <w:ind w:left="24" w:right="22"/>
              <w:jc w:val="left"/>
              <w:rPr>
                <w:rFonts w:ascii="宋体" w:hAnsi="宋体" w:cs="宋体" w:eastAsia="宋体" w:hint="default"/>
                <w:sz w:val="18"/>
                <w:szCs w:val="18"/>
              </w:rPr>
            </w:pPr>
            <w:r>
              <w:rPr>
                <w:rFonts w:ascii="宋体" w:hAnsi="宋体" w:cs="宋体" w:eastAsia="宋体" w:hint="default"/>
                <w:sz w:val="18"/>
                <w:szCs w:val="18"/>
              </w:rPr>
              <w:t>动资产产生的利得或损失和非货币性资产交换产生的利得或损失。 </w:t>
            </w:r>
            <w:r>
              <w:rPr>
                <w:rFonts w:ascii="宋体" w:hAnsi="宋体" w:cs="宋体" w:eastAsia="宋体" w:hint="default"/>
                <w:spacing w:val="-4"/>
                <w:sz w:val="18"/>
                <w:szCs w:val="18"/>
              </w:rPr>
              <w:t>相应的删除“营业外收入”和“营业外支出”项下的“其中：非流动资产处置利得”和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非流动资产处置损失”项目，反映企业发生的营业利润以外的收益，主要包括债务重组利得或</w:t>
            </w:r>
          </w:p>
          <w:p>
            <w:pPr>
              <w:pStyle w:val="TableParagraph"/>
              <w:spacing w:line="316" w:lineRule="auto" w:before="2"/>
              <w:ind w:left="24" w:right="21"/>
              <w:jc w:val="left"/>
              <w:rPr>
                <w:rFonts w:ascii="宋体" w:hAnsi="宋体" w:cs="宋体" w:eastAsia="宋体" w:hint="default"/>
                <w:sz w:val="18"/>
                <w:szCs w:val="18"/>
              </w:rPr>
            </w:pPr>
            <w:r>
              <w:rPr>
                <w:rFonts w:ascii="宋体" w:hAnsi="宋体" w:cs="宋体" w:eastAsia="宋体" w:hint="default"/>
                <w:spacing w:val="-2"/>
                <w:sz w:val="18"/>
                <w:szCs w:val="18"/>
              </w:rPr>
              <w:t>损失、与企业日常活动无关的政府补助、公益性捐赠支出、非常损失、盘盈利得或损失、捐赠</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利得、流动资产毁损报废损失等。</w:t>
            </w:r>
          </w:p>
          <w:p>
            <w:pPr>
              <w:pStyle w:val="TableParagraph"/>
              <w:spacing w:line="240" w:lineRule="auto" w:before="57"/>
              <w:ind w:left="24" w:right="0"/>
              <w:jc w:val="left"/>
              <w:rPr>
                <w:rFonts w:ascii="宋体" w:hAnsi="宋体" w:cs="宋体" w:eastAsia="宋体" w:hint="default"/>
                <w:sz w:val="18"/>
                <w:szCs w:val="18"/>
              </w:rPr>
            </w:pPr>
            <w:r>
              <w:rPr>
                <w:rFonts w:ascii="宋体" w:hAnsi="宋体" w:cs="宋体" w:eastAsia="宋体" w:hint="default"/>
                <w:sz w:val="18"/>
                <w:szCs w:val="18"/>
              </w:rPr>
              <w:t>对比较报表的列报进行了相应调整。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992" w:lineRule="exact"/>
              <w:ind w:left="2" w:right="-51"/>
              <w:jc w:val="left"/>
              <w:rPr>
                <w:rFonts w:ascii="宋体" w:hAnsi="宋体" w:cs="宋体" w:eastAsia="宋体" w:hint="default"/>
                <w:sz w:val="20"/>
                <w:szCs w:val="20"/>
              </w:rPr>
            </w:pPr>
            <w:r>
              <w:rPr>
                <w:rFonts w:ascii="宋体" w:hAnsi="宋体" w:cs="宋体" w:eastAsia="宋体" w:hint="default"/>
                <w:position w:val="-39"/>
                <w:sz w:val="20"/>
                <w:szCs w:val="20"/>
              </w:rPr>
              <w:pict>
                <v:group style="width:49.15pt;height:99.65pt;mso-position-horizontal-relative:char;mso-position-vertical-relative:line" coordorigin="0,0" coordsize="983,1993">
                  <v:group style="position:absolute;left:0;top:0;width:983;height:1993" coordorigin="0,0" coordsize="983,1993">
                    <v:shape style="position:absolute;left:0;top:0;width:983;height:1993" coordorigin="0,0" coordsize="983,1993" path="m0,1992l982,1992,982,0,0,0,0,1992xe" filled="true" fillcolor="#ffffff" stroked="false">
                      <v:path arrowok="t"/>
                      <v:fill type="solid"/>
                    </v:shape>
                  </v:group>
                </v:group>
              </w:pict>
            </w:r>
            <w:r>
              <w:rPr>
                <w:rFonts w:ascii="宋体" w:hAnsi="宋体" w:cs="宋体" w:eastAsia="宋体" w:hint="default"/>
                <w:position w:val="-39"/>
                <w:sz w:val="20"/>
                <w:szCs w:val="20"/>
              </w:rPr>
            </w: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3"/>
          <w:szCs w:val="23"/>
        </w:rPr>
      </w:pPr>
    </w:p>
    <w:tbl>
      <w:tblPr>
        <w:tblW w:w="0" w:type="auto"/>
        <w:jc w:val="left"/>
        <w:tblInd w:w="112" w:type="dxa"/>
        <w:tblLayout w:type="fixed"/>
        <w:tblCellMar>
          <w:top w:w="0" w:type="dxa"/>
          <w:left w:w="0" w:type="dxa"/>
          <w:bottom w:w="0" w:type="dxa"/>
          <w:right w:w="0" w:type="dxa"/>
        </w:tblCellMar>
        <w:tblLook w:val="01E0"/>
      </w:tblPr>
      <w:tblGrid>
        <w:gridCol w:w="3536"/>
        <w:gridCol w:w="3260"/>
        <w:gridCol w:w="2835"/>
      </w:tblGrid>
      <w:tr>
        <w:trPr>
          <w:trHeight w:val="473" w:hRule="exact"/>
        </w:trPr>
        <w:tc>
          <w:tcPr>
            <w:tcW w:w="3536" w:type="dxa"/>
            <w:vMerge w:val="restart"/>
            <w:tcBorders>
              <w:top w:val="single" w:sz="8" w:space="0" w:color="000000"/>
              <w:left w:val="single" w:sz="8" w:space="0" w:color="000000"/>
              <w:right w:val="single" w:sz="8" w:space="0" w:color="000000"/>
            </w:tcBorders>
          </w:tcPr>
          <w:p>
            <w:pPr>
              <w:pStyle w:val="TableParagraph"/>
              <w:spacing w:line="240" w:lineRule="auto" w:before="142"/>
              <w:ind w:left="1039" w:right="0"/>
              <w:jc w:val="left"/>
              <w:rPr>
                <w:rFonts w:ascii="宋体" w:hAnsi="宋体" w:cs="宋体" w:eastAsia="宋体" w:hint="default"/>
                <w:sz w:val="18"/>
                <w:szCs w:val="18"/>
              </w:rPr>
            </w:pPr>
            <w:r>
              <w:rPr>
                <w:rFonts w:ascii="宋体" w:hAnsi="宋体" w:cs="宋体" w:eastAsia="宋体" w:hint="default"/>
                <w:sz w:val="18"/>
                <w:szCs w:val="18"/>
              </w:rPr>
              <w:t>受影响的报表项目</w:t>
            </w:r>
          </w:p>
        </w:tc>
        <w:tc>
          <w:tcPr>
            <w:tcW w:w="6095"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影响金额</w:t>
            </w:r>
          </w:p>
        </w:tc>
      </w:tr>
      <w:tr>
        <w:trPr>
          <w:trHeight w:val="473" w:hRule="exact"/>
        </w:trPr>
        <w:tc>
          <w:tcPr>
            <w:tcW w:w="3536" w:type="dxa"/>
            <w:vMerge/>
            <w:tcBorders>
              <w:left w:val="single" w:sz="8" w:space="0" w:color="000000"/>
              <w:bottom w:val="single" w:sz="8" w:space="0" w:color="000000"/>
              <w:right w:val="single" w:sz="8" w:space="0" w:color="000000"/>
            </w:tcBorders>
          </w:tcPr>
          <w:p>
            <w:pP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r>
      <w:tr>
        <w:trPr>
          <w:trHeight w:val="471" w:hRule="exact"/>
        </w:trPr>
        <w:tc>
          <w:tcPr>
            <w:tcW w:w="3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13,748,053.97</w:t>
            </w:r>
          </w:p>
        </w:tc>
      </w:tr>
      <w:tr>
        <w:trPr>
          <w:trHeight w:val="473" w:hRule="exact"/>
        </w:trPr>
        <w:tc>
          <w:tcPr>
            <w:tcW w:w="3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-13,748,053.97</w:t>
            </w:r>
          </w:p>
        </w:tc>
      </w:tr>
      <w:tr>
        <w:trPr>
          <w:trHeight w:val="473" w:hRule="exact"/>
        </w:trPr>
        <w:tc>
          <w:tcPr>
            <w:tcW w:w="3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资产处置损益</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181,135.08</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-21,846.96</w:t>
            </w:r>
          </w:p>
        </w:tc>
      </w:tr>
      <w:tr>
        <w:trPr>
          <w:trHeight w:val="473" w:hRule="exact"/>
        </w:trPr>
        <w:tc>
          <w:tcPr>
            <w:tcW w:w="3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-181,135.08</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21,846.96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2"/>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34</w:t>
      </w:r>
      <w:r>
        <w:rPr/>
        <w:t>、其他</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14" w:right="9120"/>
        <w:jc w:val="center"/>
      </w:pPr>
      <w:r>
        <w:rPr>
          <w:w w:val="100"/>
        </w:rPr>
        <w:t>无</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安信天行</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版信通</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867" w:footer="979" w:top="1060" w:bottom="1160" w:left="1020" w:right="1000"/>
        </w:sectPr>
      </w:pPr>
    </w:p>
    <w:p>
      <w:pPr>
        <w:spacing w:line="240" w:lineRule="auto" w:before="13"/>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2</w:t>
      </w:r>
      <w:r>
        <w:rPr/>
        <w:t>、税收优惠</w:t>
      </w:r>
      <w:r>
        <w:rPr>
          <w:b w:val="0"/>
          <w:bCs w:val="0"/>
        </w:rPr>
      </w:r>
    </w:p>
    <w:p>
      <w:pPr>
        <w:pStyle w:val="BodyText"/>
        <w:spacing w:line="430" w:lineRule="atLeast" w:before="184"/>
        <w:ind w:left="533" w:right="0"/>
        <w:jc w:val="left"/>
      </w:pPr>
      <w:r>
        <w:rPr/>
        <w:t>（</w:t>
      </w:r>
      <w:r>
        <w:rPr>
          <w:rFonts w:ascii="Times New Roman" w:hAnsi="Times New Roman" w:cs="Times New Roman" w:eastAsia="Times New Roman" w:hint="default"/>
        </w:rPr>
        <w:t>1</w:t>
      </w:r>
      <w:r>
        <w:rPr/>
        <w:t>）增值税</w:t>
      </w:r>
      <w:r>
        <w:rPr>
          <w:w w:val="100"/>
        </w:rPr>
        <w:t> </w:t>
      </w:r>
      <w:r>
        <w:rPr/>
        <w:t>根据国务院</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月发布的国发</w:t>
      </w:r>
      <w:r>
        <w:rPr>
          <w:rFonts w:ascii="Times New Roman" w:hAnsi="Times New Roman" w:cs="Times New Roman" w:eastAsia="Times New Roman" w:hint="default"/>
        </w:rPr>
        <w:t>[2011]4</w:t>
      </w:r>
      <w:r>
        <w:rPr/>
        <w:t>号《关于印发进一步鼓励软件产业和集成电路产业发展若干</w:t>
      </w:r>
    </w:p>
    <w:p>
      <w:pPr>
        <w:pStyle w:val="BodyText"/>
        <w:spacing w:line="256" w:lineRule="auto" w:before="21"/>
        <w:ind w:right="206"/>
        <w:jc w:val="both"/>
      </w:pPr>
      <w:r>
        <w:rPr>
          <w:spacing w:val="-3"/>
        </w:rPr>
        <w:t>政策的通知》和财政部、国家税务总局发布的财税</w:t>
      </w:r>
      <w:r>
        <w:rPr>
          <w:rFonts w:ascii="Times New Roman" w:hAnsi="Times New Roman" w:cs="Times New Roman" w:eastAsia="Times New Roman" w:hint="default"/>
          <w:spacing w:val="-3"/>
        </w:rPr>
        <w:t>[2011]100</w:t>
      </w:r>
      <w:r>
        <w:rPr>
          <w:spacing w:val="-3"/>
        </w:rPr>
        <w:t>号《关于软件产品增值税政策的通知》中的有</w:t>
      </w:r>
      <w:r>
        <w:rPr>
          <w:spacing w:val="-18"/>
        </w:rPr>
        <w:t> </w:t>
      </w:r>
      <w:r>
        <w:rPr>
          <w:spacing w:val="-18"/>
        </w:rPr>
      </w:r>
      <w:r>
        <w:rPr/>
        <w:t>关规定，本公司销售自行开发生产的软件产品时对增值税实际税负超过</w:t>
      </w:r>
      <w:r>
        <w:rPr>
          <w:rFonts w:ascii="Times New Roman" w:hAnsi="Times New Roman" w:cs="Times New Roman" w:eastAsia="Times New Roman" w:hint="default"/>
        </w:rPr>
        <w:t>3%</w:t>
      </w:r>
      <w:r>
        <w:rPr/>
        <w:t>的部分即征即退。</w:t>
      </w:r>
    </w:p>
    <w:p>
      <w:pPr>
        <w:pStyle w:val="BodyText"/>
        <w:spacing w:line="261" w:lineRule="auto" w:before="125"/>
        <w:ind w:right="208" w:firstLine="420"/>
        <w:jc w:val="both"/>
      </w:pPr>
      <w:r>
        <w:rPr/>
        <w:t>根据《财政部国家税务总局关于在北京等</w:t>
      </w:r>
      <w:r>
        <w:rPr>
          <w:rFonts w:ascii="Times New Roman" w:hAnsi="Times New Roman" w:cs="Times New Roman" w:eastAsia="Times New Roman" w:hint="default"/>
        </w:rPr>
        <w:t>8</w:t>
      </w:r>
      <w:r>
        <w:rPr/>
        <w:t>省市开展交通运输业和部分现代服务业营业税改征增值税</w:t>
      </w:r>
      <w:r>
        <w:rPr>
          <w:w w:val="100"/>
        </w:rPr>
        <w:t> </w:t>
      </w:r>
      <w:r>
        <w:rPr/>
        <w:t>试点的通知》（财税</w:t>
      </w:r>
      <w:r>
        <w:rPr>
          <w:rFonts w:ascii="Times New Roman" w:hAnsi="Times New Roman" w:cs="Times New Roman" w:eastAsia="Times New Roman" w:hint="default"/>
        </w:rPr>
        <w:t>[2012]71</w:t>
      </w:r>
      <w:r>
        <w:rPr/>
        <w:t>号）文件及《北京市国家税务局关于营业税改征增值税试点期间有关增值税</w:t>
      </w:r>
      <w:r>
        <w:rPr>
          <w:spacing w:val="-56"/>
        </w:rPr>
        <w:t> </w:t>
      </w:r>
      <w:r>
        <w:rPr>
          <w:spacing w:val="-3"/>
        </w:rPr>
        <w:t>优惠政策管理问题的公告》（北京市国家税务局公告</w:t>
      </w:r>
      <w:r>
        <w:rPr>
          <w:rFonts w:ascii="Times New Roman" w:hAnsi="Times New Roman" w:cs="Times New Roman" w:eastAsia="Times New Roman" w:hint="default"/>
          <w:spacing w:val="-3"/>
        </w:rPr>
        <w:t>[2012]8</w:t>
      </w:r>
      <w:r>
        <w:rPr>
          <w:spacing w:val="-3"/>
        </w:rPr>
        <w:t>号文件规定，自</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w:t>
      </w:r>
      <w:r>
        <w:rPr>
          <w:spacing w:val="-3"/>
        </w:rPr>
        <w:t>日起，试点纳税人</w:t>
      </w:r>
      <w:r>
        <w:rPr>
          <w:spacing w:val="-15"/>
        </w:rPr>
        <w:t> </w:t>
      </w:r>
      <w:r>
        <w:rPr>
          <w:spacing w:val="-15"/>
        </w:rPr>
      </w:r>
      <w:r>
        <w:rPr>
          <w:spacing w:val="-2"/>
        </w:rPr>
        <w:t>提供技术转让、技术开发和与之相关的技术咨询、技术服务的，在向税务机关提交相关资料，在主管税务</w:t>
      </w:r>
      <w:r>
        <w:rPr>
          <w:spacing w:val="-50"/>
        </w:rPr>
        <w:t> </w:t>
      </w:r>
      <w:r>
        <w:rPr>
          <w:spacing w:val="-50"/>
        </w:rPr>
      </w:r>
      <w:r>
        <w:rPr/>
        <w:t>机关办理备案手续后，享受减免增值税优惠政策。</w:t>
      </w:r>
    </w:p>
    <w:p>
      <w:pPr>
        <w:pStyle w:val="BodyText"/>
        <w:spacing w:line="432" w:lineRule="exact" w:before="38"/>
        <w:ind w:left="533" w:right="0"/>
        <w:jc w:val="left"/>
      </w:pPr>
      <w:r>
        <w:rPr/>
        <w:t>（</w:t>
      </w:r>
      <w:r>
        <w:rPr>
          <w:rFonts w:ascii="Times New Roman" w:hAnsi="Times New Roman" w:cs="Times New Roman" w:eastAsia="Times New Roman" w:hint="default"/>
        </w:rPr>
        <w:t>2</w:t>
      </w:r>
      <w:r>
        <w:rPr/>
        <w:t>）企业所得税</w:t>
      </w:r>
      <w:r>
        <w:rPr>
          <w:w w:val="100"/>
        </w:rPr>
        <w:t> </w:t>
      </w:r>
      <w:r>
        <w:rPr>
          <w:spacing w:val="-2"/>
        </w:rPr>
        <w:t>本公司于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日通过高新技术企业认定并取得北京市科学技术委员会、北京市财政局、北京</w:t>
      </w:r>
    </w:p>
    <w:p>
      <w:pPr>
        <w:pStyle w:val="BodyText"/>
        <w:spacing w:line="271" w:lineRule="exact"/>
        <w:ind w:right="0"/>
        <w:jc w:val="both"/>
      </w:pPr>
      <w:r>
        <w:rPr>
          <w:spacing w:val="-4"/>
        </w:rPr>
        <w:t>市国家税务局、北京市地方税务局联合颁发的高新技术企业证书（证书编号</w:t>
      </w:r>
      <w:r>
        <w:rPr>
          <w:rFonts w:ascii="Times New Roman" w:hAnsi="Times New Roman" w:cs="Times New Roman" w:eastAsia="Times New Roman" w:hint="default"/>
          <w:spacing w:val="-4"/>
        </w:rPr>
        <w:t>GR201711004060</w:t>
      </w:r>
      <w:r>
        <w:rPr>
          <w:spacing w:val="-4"/>
        </w:rPr>
        <w:t>）。根据《高</w:t>
      </w:r>
    </w:p>
    <w:p>
      <w:pPr>
        <w:pStyle w:val="BodyText"/>
        <w:spacing w:line="273" w:lineRule="auto" w:before="21"/>
        <w:ind w:right="209"/>
        <w:jc w:val="both"/>
      </w:pPr>
      <w:r>
        <w:rPr>
          <w:spacing w:val="-2"/>
        </w:rPr>
        <w:t>新技术企业认定管理办法》及《中华人民共和国企业所得税法》及实施条例等有关规定，本公司自获得高</w:t>
      </w:r>
      <w:r>
        <w:rPr>
          <w:spacing w:val="-47"/>
        </w:rPr>
        <w:t> </w:t>
      </w:r>
      <w:r>
        <w:rPr>
          <w:spacing w:val="-47"/>
        </w:rPr>
      </w:r>
      <w:r>
        <w:rPr/>
        <w:t>新技术企业认定后三年内即</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年企业所得税按</w:t>
      </w:r>
      <w:r>
        <w:rPr>
          <w:rFonts w:ascii="Times New Roman" w:hAnsi="Times New Roman" w:cs="Times New Roman" w:eastAsia="Times New Roman" w:hint="default"/>
        </w:rPr>
        <w:t>15%</w:t>
      </w:r>
      <w:r>
        <w:rPr/>
        <w:t>计缴。</w:t>
      </w:r>
    </w:p>
    <w:p>
      <w:pPr>
        <w:pStyle w:val="BodyText"/>
        <w:spacing w:line="261" w:lineRule="auto" w:before="108"/>
        <w:ind w:right="206" w:firstLine="420"/>
        <w:jc w:val="both"/>
      </w:pPr>
      <w:r>
        <w:rPr>
          <w:spacing w:val="-2"/>
        </w:rPr>
        <w:t>本公司于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日通过高新技术企业认定并取得北京市科学技术委员会、北京市财政局、北京</w:t>
      </w:r>
      <w:r>
        <w:rPr>
          <w:w w:val="100"/>
        </w:rPr>
        <w:t> </w:t>
      </w:r>
      <w:r>
        <w:rPr>
          <w:spacing w:val="-4"/>
        </w:rPr>
        <w:t>市国家税务局、北京市地方税务局联合颁发的高新技术企业证书（证书编号</w:t>
      </w:r>
      <w:r>
        <w:rPr>
          <w:rFonts w:ascii="Times New Roman" w:hAnsi="Times New Roman" w:cs="Times New Roman" w:eastAsia="Times New Roman" w:hint="default"/>
          <w:spacing w:val="-4"/>
        </w:rPr>
        <w:t>GR201411000048</w:t>
      </w:r>
      <w:r>
        <w:rPr>
          <w:spacing w:val="-4"/>
        </w:rPr>
        <w:t>）。根据《高</w:t>
      </w:r>
      <w:r>
        <w:rPr>
          <w:spacing w:val="-9"/>
        </w:rPr>
        <w:t> </w:t>
      </w:r>
      <w:r>
        <w:rPr>
          <w:spacing w:val="-9"/>
        </w:rPr>
      </w:r>
      <w:r>
        <w:rPr>
          <w:spacing w:val="-2"/>
        </w:rPr>
        <w:t>新技术企业认定管理办法》及《中华人民共和国企业所得税法》及实施条例等有关规定，本公司自获得高</w:t>
      </w:r>
      <w:r>
        <w:rPr>
          <w:spacing w:val="-47"/>
        </w:rPr>
        <w:t> </w:t>
      </w:r>
      <w:r>
        <w:rPr>
          <w:spacing w:val="-47"/>
        </w:rPr>
      </w:r>
      <w:r>
        <w:rPr/>
        <w:t>新技术企业认定后三年内即</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年企业所得税按</w:t>
      </w:r>
      <w:r>
        <w:rPr>
          <w:rFonts w:ascii="Times New Roman" w:hAnsi="Times New Roman" w:cs="Times New Roman" w:eastAsia="Times New Roman" w:hint="default"/>
        </w:rPr>
        <w:t>15%</w:t>
      </w:r>
      <w:r>
        <w:rPr/>
        <w:t>计缴。</w:t>
      </w:r>
    </w:p>
    <w:p>
      <w:pPr>
        <w:pStyle w:val="BodyText"/>
        <w:spacing w:line="261" w:lineRule="auto" w:before="120"/>
        <w:ind w:right="209" w:firstLine="420"/>
        <w:jc w:val="both"/>
      </w:pPr>
      <w:r>
        <w:rPr/>
        <w:t>本公司之子公司安信天行于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日通过高新技术企业认定并取得北京市科学技术委员会、北</w:t>
      </w:r>
      <w:r>
        <w:rPr>
          <w:w w:val="100"/>
        </w:rPr>
        <w:t> </w:t>
      </w:r>
      <w:r>
        <w:rPr>
          <w:spacing w:val="11"/>
        </w:rPr>
        <w:t>京市</w:t>
      </w:r>
      <w:r>
        <w:rPr>
          <w:spacing w:val="-71"/>
        </w:rPr>
        <w:t> </w:t>
      </w:r>
      <w:r>
        <w:rPr>
          <w:spacing w:val="16"/>
        </w:rPr>
        <w:t>财政局、</w:t>
      </w:r>
      <w:r>
        <w:rPr>
          <w:spacing w:val="-71"/>
        </w:rPr>
        <w:t> </w:t>
      </w:r>
      <w:r>
        <w:rPr>
          <w:spacing w:val="18"/>
        </w:rPr>
        <w:t>北京市国家税</w:t>
      </w:r>
      <w:r>
        <w:rPr>
          <w:spacing w:val="-71"/>
        </w:rPr>
        <w:t> </w:t>
      </w:r>
      <w:r>
        <w:rPr>
          <w:spacing w:val="14"/>
        </w:rPr>
        <w:t>务局、</w:t>
      </w:r>
      <w:r>
        <w:rPr>
          <w:spacing w:val="-75"/>
        </w:rPr>
        <w:t> </w:t>
      </w:r>
      <w:r>
        <w:rPr/>
        <w:t>北</w:t>
      </w:r>
      <w:r>
        <w:rPr>
          <w:spacing w:val="-71"/>
        </w:rPr>
        <w:t> </w:t>
      </w:r>
      <w:r>
        <w:rPr>
          <w:spacing w:val="18"/>
        </w:rPr>
        <w:t>京市地方税务</w:t>
      </w:r>
      <w:r>
        <w:rPr>
          <w:spacing w:val="-71"/>
        </w:rPr>
        <w:t> </w:t>
      </w:r>
      <w:r>
        <w:rPr>
          <w:spacing w:val="16"/>
        </w:rPr>
        <w:t>局联合颁</w:t>
      </w:r>
      <w:r>
        <w:rPr>
          <w:spacing w:val="-71"/>
        </w:rPr>
        <w:t> </w:t>
      </w:r>
      <w:r>
        <w:rPr>
          <w:spacing w:val="18"/>
        </w:rPr>
        <w:t>发的高新技术</w:t>
      </w:r>
      <w:r>
        <w:rPr>
          <w:spacing w:val="-71"/>
        </w:rPr>
        <w:t> </w:t>
      </w:r>
      <w:r>
        <w:rPr>
          <w:spacing w:val="16"/>
        </w:rPr>
        <w:t>企业证书</w:t>
      </w:r>
      <w:r>
        <w:rPr>
          <w:spacing w:val="-71"/>
        </w:rPr>
        <w:t> </w:t>
      </w:r>
      <w:r>
        <w:rPr/>
        <w:t>（</w:t>
      </w:r>
      <w:r>
        <w:rPr>
          <w:spacing w:val="-75"/>
        </w:rPr>
        <w:t> </w:t>
      </w:r>
      <w:r>
        <w:rPr>
          <w:spacing w:val="16"/>
        </w:rPr>
        <w:t>证书编号</w:t>
      </w:r>
      <w:r>
        <w:rPr>
          <w:spacing w:val="-91"/>
        </w:rPr>
        <w:t> </w:t>
      </w:r>
      <w:r>
        <w:rPr>
          <w:spacing w:val="-91"/>
        </w:rPr>
      </w:r>
      <w:r>
        <w:rPr>
          <w:rFonts w:ascii="Times New Roman" w:hAnsi="Times New Roman" w:cs="Times New Roman" w:eastAsia="Times New Roman" w:hint="default"/>
          <w:spacing w:val="-4"/>
        </w:rPr>
        <w:t>GR201711000903</w:t>
      </w:r>
      <w:r>
        <w:rPr>
          <w:spacing w:val="-4"/>
        </w:rPr>
        <w:t>）。根据《高新技术企业认定管理办法》及《中华人民共和国企业所得税法》及实施条例</w:t>
      </w:r>
      <w:r>
        <w:rPr>
          <w:spacing w:val="-13"/>
        </w:rPr>
        <w:t> </w:t>
      </w:r>
      <w:r>
        <w:rPr>
          <w:spacing w:val="-13"/>
        </w:rPr>
      </w:r>
      <w:r>
        <w:rPr/>
        <w:t>等有关规定，本公司自获得高新技术企业认定后三年内即</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年企业所得税按</w:t>
      </w:r>
      <w:r>
        <w:rPr>
          <w:rFonts w:ascii="Times New Roman" w:hAnsi="Times New Roman" w:cs="Times New Roman" w:eastAsia="Times New Roman" w:hint="default"/>
        </w:rPr>
        <w:t>15%</w:t>
      </w:r>
      <w:r>
        <w:rPr/>
        <w:t>计缴。</w:t>
      </w:r>
    </w:p>
    <w:p>
      <w:pPr>
        <w:pStyle w:val="BodyText"/>
        <w:spacing w:line="259" w:lineRule="auto" w:before="120"/>
        <w:ind w:right="115" w:firstLine="420"/>
        <w:jc w:val="left"/>
      </w:pPr>
      <w:r>
        <w:rPr>
          <w:spacing w:val="-2"/>
        </w:rPr>
        <w:t>本公司之子公司安信天行于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日通过高新技术企业认定并取得北京市科学技术委员会、北</w:t>
      </w:r>
      <w:r>
        <w:rPr>
          <w:w w:val="100"/>
        </w:rPr>
        <w:t> </w:t>
      </w:r>
      <w:r>
        <w:rPr>
          <w:spacing w:val="11"/>
        </w:rPr>
        <w:t>京市</w:t>
      </w:r>
      <w:r>
        <w:rPr>
          <w:spacing w:val="-73"/>
        </w:rPr>
        <w:t> </w:t>
      </w:r>
      <w:r>
        <w:rPr>
          <w:spacing w:val="16"/>
        </w:rPr>
        <w:t>财政局、</w:t>
      </w:r>
      <w:r>
        <w:rPr>
          <w:spacing w:val="-73"/>
        </w:rPr>
        <w:t> </w:t>
      </w:r>
      <w:r>
        <w:rPr>
          <w:spacing w:val="18"/>
        </w:rPr>
        <w:t>北京市国家税</w:t>
      </w:r>
      <w:r>
        <w:rPr>
          <w:spacing w:val="-73"/>
        </w:rPr>
        <w:t> </w:t>
      </w:r>
      <w:r>
        <w:rPr>
          <w:spacing w:val="14"/>
        </w:rPr>
        <w:t>务局、</w:t>
      </w:r>
      <w:r>
        <w:rPr>
          <w:spacing w:val="-77"/>
        </w:rPr>
        <w:t> </w:t>
      </w:r>
      <w:r>
        <w:rPr/>
        <w:t>北</w:t>
      </w:r>
      <w:r>
        <w:rPr>
          <w:spacing w:val="-73"/>
        </w:rPr>
        <w:t> </w:t>
      </w:r>
      <w:r>
        <w:rPr>
          <w:spacing w:val="18"/>
        </w:rPr>
        <w:t>京市地方税务</w:t>
      </w:r>
      <w:r>
        <w:rPr>
          <w:spacing w:val="-73"/>
        </w:rPr>
        <w:t> </w:t>
      </w:r>
      <w:r>
        <w:rPr>
          <w:spacing w:val="16"/>
        </w:rPr>
        <w:t>局联合颁</w:t>
      </w:r>
      <w:r>
        <w:rPr>
          <w:spacing w:val="-73"/>
        </w:rPr>
        <w:t> </w:t>
      </w:r>
      <w:r>
        <w:rPr>
          <w:spacing w:val="18"/>
        </w:rPr>
        <w:t>发的高新技术</w:t>
      </w:r>
      <w:r>
        <w:rPr>
          <w:spacing w:val="-73"/>
        </w:rPr>
        <w:t> </w:t>
      </w:r>
      <w:r>
        <w:rPr>
          <w:spacing w:val="16"/>
        </w:rPr>
        <w:t>企业证书</w:t>
      </w:r>
      <w:r>
        <w:rPr>
          <w:spacing w:val="-73"/>
        </w:rPr>
        <w:t> </w:t>
      </w:r>
      <w:r>
        <w:rPr/>
        <w:t>（</w:t>
      </w:r>
      <w:r>
        <w:rPr>
          <w:spacing w:val="-77"/>
        </w:rPr>
        <w:t> </w:t>
      </w:r>
      <w:r>
        <w:rPr>
          <w:spacing w:val="16"/>
        </w:rPr>
        <w:t>证书编号</w:t>
      </w:r>
      <w:r>
        <w:rPr>
          <w:spacing w:val="-72"/>
        </w:rPr>
        <w:t> </w:t>
      </w:r>
      <w:r>
        <w:rPr>
          <w:spacing w:val="-72"/>
        </w:rPr>
      </w:r>
      <w:r>
        <w:rPr>
          <w:rFonts w:ascii="Times New Roman" w:hAnsi="Times New Roman" w:cs="Times New Roman" w:eastAsia="Times New Roman" w:hint="default"/>
        </w:rPr>
        <w:t>GR201411001985</w:t>
      </w:r>
      <w:r>
        <w:rPr/>
        <w:t>）。本公司之子公司安信天行于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日通过软件企业认定并取得北京市经济和信</w:t>
      </w:r>
      <w:r>
        <w:rPr>
          <w:w w:val="100"/>
        </w:rPr>
        <w:t> </w:t>
      </w:r>
      <w:r>
        <w:rPr>
          <w:spacing w:val="-2"/>
        </w:rPr>
        <w:t>息化委员会颁发的软件企业认定证书（证书编号京</w:t>
      </w:r>
      <w:r>
        <w:rPr>
          <w:rFonts w:ascii="Times New Roman" w:hAnsi="Times New Roman" w:cs="Times New Roman" w:eastAsia="Times New Roman" w:hint="default"/>
          <w:spacing w:val="-2"/>
        </w:rPr>
        <w:t>R-2014-0370</w:t>
      </w:r>
      <w:r>
        <w:rPr>
          <w:spacing w:val="-2"/>
        </w:rPr>
        <w:t>）。根据《中华人民共和国企业所得税法》</w:t>
      </w:r>
      <w:r>
        <w:rPr>
          <w:spacing w:val="-10"/>
        </w:rPr>
        <w:t> </w:t>
      </w:r>
      <w:r>
        <w:rPr>
          <w:spacing w:val="-10"/>
        </w:rPr>
      </w:r>
      <w:r>
        <w:rPr/>
        <w:t>及《关于进一步鼓励软件产业和集成电路产业发展企业所得税政策的通知》财税</w:t>
      </w:r>
      <w:r>
        <w:rPr>
          <w:rFonts w:ascii="Times New Roman" w:hAnsi="Times New Roman" w:cs="Times New Roman" w:eastAsia="Times New Roman" w:hint="default"/>
        </w:rPr>
        <w:t>[2012]27</w:t>
      </w:r>
      <w:r>
        <w:rPr/>
        <w:t>号等有关规定，</w:t>
      </w:r>
      <w:r>
        <w:rPr>
          <w:spacing w:val="-55"/>
        </w:rPr>
        <w:t> </w:t>
      </w:r>
      <w:r>
        <w:rPr>
          <w:spacing w:val="-55"/>
        </w:rPr>
      </w:r>
      <w:r>
        <w:rPr>
          <w:spacing w:val="-2"/>
        </w:rPr>
        <w:t>本公司之子公司安信天行自获利年度起（</w:t>
      </w:r>
      <w:r>
        <w:rPr>
          <w:rFonts w:ascii="Times New Roman" w:hAnsi="Times New Roman" w:cs="Times New Roman" w:eastAsia="Times New Roman" w:hint="default"/>
          <w:spacing w:val="-2"/>
        </w:rPr>
        <w:t>2012</w:t>
      </w:r>
      <w:r>
        <w:rPr>
          <w:spacing w:val="-2"/>
        </w:rPr>
        <w:t>年为首次获利年度），第一年至第二年免征企业所得税，第</w:t>
      </w:r>
      <w:r>
        <w:rPr>
          <w:spacing w:val="-41"/>
        </w:rPr>
        <w:t> </w:t>
      </w:r>
      <w:r>
        <w:rPr>
          <w:spacing w:val="-41"/>
        </w:rPr>
      </w:r>
      <w:r>
        <w:rPr/>
        <w:t>三年至第五年按照</w:t>
      </w:r>
      <w:r>
        <w:rPr>
          <w:rFonts w:ascii="Times New Roman" w:hAnsi="Times New Roman" w:cs="Times New Roman" w:eastAsia="Times New Roman" w:hint="default"/>
        </w:rPr>
        <w:t>25%</w:t>
      </w:r>
      <w:r>
        <w:rPr/>
        <w:t>的法定税率减半征收企业所得税。</w:t>
      </w:r>
    </w:p>
    <w:p>
      <w:pPr>
        <w:pStyle w:val="BodyText"/>
        <w:spacing w:line="264" w:lineRule="auto" w:before="122"/>
        <w:ind w:right="206" w:firstLine="420"/>
        <w:jc w:val="both"/>
      </w:pPr>
      <w:r>
        <w:rPr>
          <w:spacing w:val="-2"/>
        </w:rPr>
        <w:t>本集团根据《中华人民共和国企业所得税法》及实施条例、《国家税务总局关于印发〈企业研究开发</w:t>
      </w:r>
      <w:r>
        <w:rPr>
          <w:w w:val="100"/>
        </w:rPr>
        <w:t> </w:t>
      </w:r>
      <w:r>
        <w:rPr>
          <w:spacing w:val="-3"/>
        </w:rPr>
        <w:t>费用税前扣除管理办法〉的通知》（国税发</w:t>
      </w:r>
      <w:r>
        <w:rPr>
          <w:rFonts w:ascii="Times New Roman" w:hAnsi="Times New Roman" w:cs="Times New Roman" w:eastAsia="Times New Roman" w:hint="default"/>
          <w:spacing w:val="-3"/>
        </w:rPr>
        <w:t>[2008]116</w:t>
      </w:r>
      <w:r>
        <w:rPr>
          <w:spacing w:val="-3"/>
        </w:rPr>
        <w:t>号）、《财政部国家税务总局关于中关村东湖张江国</w:t>
      </w:r>
      <w:r>
        <w:rPr>
          <w:spacing w:val="-23"/>
        </w:rPr>
        <w:t> </w:t>
      </w:r>
      <w:r>
        <w:rPr>
          <w:spacing w:val="-23"/>
        </w:rPr>
      </w:r>
      <w:r>
        <w:rPr>
          <w:spacing w:val="5"/>
        </w:rPr>
        <w:t>家自主创新示范区和合芜蚌自主创新综合试验区有关研究开发费用加计扣除试点政策的通知》（财税</w:t>
      </w:r>
    </w:p>
    <w:p>
      <w:pPr>
        <w:pStyle w:val="BodyText"/>
        <w:spacing w:line="256" w:lineRule="auto" w:before="16"/>
        <w:ind w:right="206"/>
        <w:jc w:val="both"/>
      </w:pPr>
      <w:r>
        <w:rPr/>
        <w:t>〔</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13</w:t>
      </w:r>
      <w:r>
        <w:rPr/>
        <w:t>号）、《关于研究开发费用税前加计扣除有关政策问题的通知》财税</w:t>
      </w:r>
      <w:r>
        <w:rPr>
          <w:rFonts w:ascii="Times New Roman" w:hAnsi="Times New Roman" w:cs="Times New Roman" w:eastAsia="Times New Roman" w:hint="default"/>
        </w:rPr>
        <w:t>(2013)70</w:t>
      </w:r>
      <w:r>
        <w:rPr/>
        <w:t>号，自</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月</w:t>
      </w:r>
      <w:r>
        <w:rPr>
          <w:rFonts w:ascii="Times New Roman" w:hAnsi="Times New Roman" w:cs="Times New Roman" w:eastAsia="Times New Roman" w:hint="default"/>
        </w:rPr>
        <w:t>1</w:t>
      </w:r>
      <w:r>
        <w:rPr/>
        <w:t>日起，经主管税务机关审核并取得批复后，享受开发新技术、新产品、新工艺发生的研究开发费用企</w:t>
      </w:r>
      <w:r>
        <w:rPr>
          <w:spacing w:val="-25"/>
        </w:rPr>
        <w:t> </w:t>
      </w:r>
      <w:r>
        <w:rPr>
          <w:spacing w:val="-25"/>
        </w:rPr>
      </w:r>
      <w:r>
        <w:rPr/>
        <w:t>业所得税前加计扣除优惠政策。</w:t>
      </w:r>
    </w:p>
    <w:p>
      <w:pPr>
        <w:spacing w:line="240" w:lineRule="auto" w:before="8"/>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3</w:t>
      </w:r>
      <w:r>
        <w:rPr/>
        <w:t>、其他</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33" w:right="0"/>
        <w:jc w:val="left"/>
      </w:pPr>
      <w:r>
        <w:rPr>
          <w:w w:val="100"/>
        </w:rPr>
        <w:t>无</w:t>
      </w:r>
    </w:p>
    <w:p>
      <w:pPr>
        <w:spacing w:after="0" w:line="240" w:lineRule="auto"/>
        <w:jc w:val="left"/>
        <w:sectPr>
          <w:pgSz w:w="11910" w:h="16840"/>
          <w:pgMar w:header="867" w:footer="979" w:top="1060" w:bottom="1160" w:left="1020" w:right="920"/>
        </w:sectPr>
      </w:pPr>
    </w:p>
    <w:p>
      <w:pPr>
        <w:spacing w:line="240" w:lineRule="auto" w:before="11"/>
        <w:rPr>
          <w:rFonts w:ascii="宋体" w:hAnsi="宋体" w:cs="宋体" w:eastAsia="宋体" w:hint="default"/>
          <w:sz w:val="23"/>
          <w:szCs w:val="23"/>
        </w:rPr>
      </w:pPr>
    </w:p>
    <w:p>
      <w:pPr>
        <w:pStyle w:val="Heading2"/>
        <w:spacing w:line="240" w:lineRule="auto" w:before="26"/>
        <w:ind w:right="0"/>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125,966.62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212,260.53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465,718,595.01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477,330,643.81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17,067,935.89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7,130,588.18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482,912,497.52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484,673,492.52</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13"/>
          <w:szCs w:val="13"/>
        </w:rPr>
      </w:pPr>
    </w:p>
    <w:p>
      <w:pPr>
        <w:pStyle w:val="BodyText"/>
        <w:spacing w:line="240" w:lineRule="auto"/>
        <w:ind w:left="533" w:right="0"/>
        <w:jc w:val="left"/>
      </w:pPr>
      <w:r>
        <w:rPr/>
        <w:t>期末，本集团其他货币资金为使用权受到限制的款项，全部为履约保证金。</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60" w:lineRule="auto" w:before="49"/>
        <w:ind w:left="112" w:right="3974" w:firstLine="0"/>
        <w:jc w:val="left"/>
        <w:rPr>
          <w:rFonts w:ascii="宋体" w:hAnsi="宋体" w:cs="宋体" w:eastAsia="宋体" w:hint="default"/>
          <w:sz w:val="18"/>
          <w:szCs w:val="18"/>
        </w:rPr>
      </w:pPr>
      <w:r>
        <w:rPr>
          <w:rFonts w:ascii="宋体" w:hAnsi="宋体" w:cs="宋体" w:eastAsia="宋体" w:hint="default"/>
          <w:sz w:val="18"/>
          <w:szCs w:val="18"/>
        </w:rPr>
        <w:t>其他说明： 本公司报告期不涉及以公允价值计量且其变动计入当期损益的金融资产。</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after="0" w:line="240" w:lineRule="auto"/>
        <w:jc w:val="center"/>
        <w:rPr>
          <w:rFonts w:ascii="宋体" w:hAnsi="宋体" w:cs="宋体" w:eastAsia="宋体" w:hint="default"/>
          <w:sz w:val="18"/>
          <w:szCs w:val="18"/>
        </w:rPr>
        <w:sectPr>
          <w:pgSz w:w="11910" w:h="16840"/>
          <w:pgMar w:header="867" w:footer="979" w:top="1060" w:bottom="1160" w:left="1020" w:right="1020"/>
        </w:sectPr>
      </w:pPr>
    </w:p>
    <w:p>
      <w:pPr>
        <w:spacing w:line="240" w:lineRule="auto" w:before="13"/>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7"/>
        <w:ind w:left="533" w:right="0"/>
        <w:jc w:val="left"/>
      </w:pPr>
      <w:r>
        <w:rPr/>
        <w:t>（</w:t>
      </w:r>
      <w:r>
        <w:rPr>
          <w:rFonts w:ascii="Times New Roman" w:hAnsi="Times New Roman" w:cs="Times New Roman" w:eastAsia="Times New Roman" w:hint="default"/>
        </w:rPr>
        <w:t>1</w:t>
      </w:r>
      <w:r>
        <w:rPr/>
        <w:t>）不存在客观证据表明本集团应收票据发生减值，未计提应收票据减值准备。</w:t>
      </w:r>
    </w:p>
    <w:p>
      <w:pPr>
        <w:pStyle w:val="BodyText"/>
        <w:spacing w:line="240" w:lineRule="auto" w:before="62"/>
        <w:ind w:left="533" w:right="0"/>
        <w:jc w:val="left"/>
      </w:pPr>
      <w:r>
        <w:rPr/>
        <w:t>（</w:t>
      </w:r>
      <w:r>
        <w:rPr>
          <w:rFonts w:ascii="Times New Roman" w:hAnsi="Times New Roman" w:cs="Times New Roman" w:eastAsia="Times New Roman" w:hint="default"/>
        </w:rPr>
        <w:t>2</w:t>
      </w:r>
      <w:r>
        <w:rPr/>
        <w:t>）期末不存在已质押的应收票据。</w:t>
      </w:r>
    </w:p>
    <w:p>
      <w:pPr>
        <w:pStyle w:val="BodyText"/>
        <w:spacing w:line="240" w:lineRule="auto" w:before="59"/>
        <w:ind w:left="533" w:right="0"/>
        <w:jc w:val="left"/>
      </w:pPr>
      <w:r>
        <w:rPr/>
        <w:t>（</w:t>
      </w:r>
      <w:r>
        <w:rPr>
          <w:rFonts w:ascii="Times New Roman" w:hAnsi="Times New Roman" w:cs="Times New Roman" w:eastAsia="Times New Roman" w:hint="default"/>
        </w:rPr>
        <w:t>3</w:t>
      </w:r>
      <w:r>
        <w:rPr/>
        <w:t>）期末不存在已背书或贴现但尚未到期的应收票据。</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9"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181,862,</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670.40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40,289,2</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55.02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22.15%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141,573,4</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15.38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161,528</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,520.08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28,926,86</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0.08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17.91%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132,601,66</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181,862,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670.40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40,289,2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55.02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22.15%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141,573,4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15.38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161,528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,520.08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28,926,86</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0.08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17.91%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132,601,66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867" w:footer="979" w:top="1060" w:bottom="1160" w:left="1020" w:right="1020"/>
        </w:sectPr>
      </w:pPr>
    </w:p>
    <w:p>
      <w:pPr>
        <w:spacing w:before="49"/>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8"/>
        <w:ind w:left="11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39"/>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4253" w:space="4576"/>
            <w:col w:w="1041"/>
          </w:cols>
        </w:sectPr>
      </w:pP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85,079,043.06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4,253,952.15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37,112,987.72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3,711,298.77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27,044,879.12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8,113,463.74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14,320,228.69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7,160,114.35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6,275,529.00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5,020,423.20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12,030,002.81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12,030,002.81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181,862,670.40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40,289,255.02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22.15%</w:t>
            </w:r>
          </w:p>
        </w:tc>
      </w:tr>
    </w:tbl>
    <w:p>
      <w:pPr>
        <w:spacing w:line="360" w:lineRule="auto" w:before="49"/>
        <w:ind w:left="112" w:right="541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7"/>
        <w:ind w:left="112" w:right="5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67" w:footer="979" w:top="1060" w:bottom="1160" w:left="1020" w:right="1020"/>
        </w:sectPr>
      </w:pPr>
    </w:p>
    <w:p>
      <w:pPr>
        <w:spacing w:line="340" w:lineRule="auto" w:before="44"/>
        <w:ind w:left="112"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11,362,394.94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501" w:space="2328"/>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5"/>
        <w:rPr>
          <w:rFonts w:ascii="宋体" w:hAnsi="宋体" w:cs="宋体" w:eastAsia="宋体" w:hint="default"/>
          <w:b/>
          <w:bCs/>
          <w:sz w:val="26"/>
          <w:szCs w:val="26"/>
        </w:rPr>
      </w:pPr>
    </w:p>
    <w:p>
      <w:pPr>
        <w:spacing w:line="357" w:lineRule="auto" w:before="0"/>
        <w:ind w:left="112" w:right="66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40" w:lineRule="auto" w:before="8"/>
        <w:ind w:left="533" w:right="0"/>
        <w:jc w:val="left"/>
      </w:pPr>
      <w:r>
        <w:rPr/>
        <w:t>本期按欠款方归集的期末余额前五名金额为</w:t>
      </w:r>
      <w:r>
        <w:rPr>
          <w:rFonts w:ascii="Times New Roman" w:hAnsi="Times New Roman" w:cs="Times New Roman" w:eastAsia="Times New Roman" w:hint="default"/>
        </w:rPr>
        <w:t>23,508,852.44</w:t>
      </w:r>
      <w:r>
        <w:rPr/>
        <w:t>元，占应收账款期末余额合计数的比例</w:t>
      </w:r>
    </w:p>
    <w:p>
      <w:pPr>
        <w:pStyle w:val="BodyText"/>
        <w:spacing w:line="240" w:lineRule="auto" w:before="21"/>
        <w:ind w:right="0"/>
        <w:jc w:val="left"/>
      </w:pPr>
      <w:r>
        <w:rPr>
          <w:rFonts w:ascii="Times New Roman" w:hAnsi="Times New Roman" w:cs="Times New Roman" w:eastAsia="Times New Roman" w:hint="default"/>
        </w:rPr>
        <w:t>12.93%</w:t>
      </w:r>
      <w:r>
        <w:rPr/>
        <w:t>，相应计提的坏账准备期末余额汇总金额</w:t>
      </w:r>
      <w:r>
        <w:rPr>
          <w:rFonts w:ascii="Times New Roman" w:hAnsi="Times New Roman" w:cs="Times New Roman" w:eastAsia="Times New Roman" w:hint="default"/>
        </w:rPr>
        <w:t>3,737,814.79</w:t>
      </w:r>
      <w:r>
        <w:rPr/>
        <w:t>元。</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spacing w:line="357" w:lineRule="auto" w:before="0"/>
        <w:ind w:left="112" w:right="8834" w:firstLine="0"/>
        <w:jc w:val="left"/>
        <w:rPr>
          <w:rFonts w:ascii="宋体" w:hAnsi="宋体" w:cs="宋体" w:eastAsia="宋体" w:hint="default"/>
          <w:sz w:val="18"/>
          <w:szCs w:val="18"/>
        </w:rPr>
      </w:pPr>
      <w:r>
        <w:rPr>
          <w:rFonts w:ascii="宋体" w:hAnsi="宋体" w:cs="宋体" w:eastAsia="宋体" w:hint="default"/>
          <w:sz w:val="18"/>
          <w:szCs w:val="18"/>
        </w:rPr>
        <w:t>无 其他说明：</w:t>
      </w:r>
    </w:p>
    <w:p>
      <w:pPr>
        <w:spacing w:after="0" w:line="357"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12"/>
        <w:rPr>
          <w:rFonts w:ascii="宋体" w:hAnsi="宋体" w:cs="宋体" w:eastAsia="宋体" w:hint="default"/>
          <w:sz w:val="25"/>
          <w:szCs w:val="25"/>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41,970,536.48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9,429,475.68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90.13%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1,470,305.00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341,810.00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183,810.00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689,959.82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506,959.82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44,131,611.30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10,461,245.50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pStyle w:val="BodyText"/>
        <w:spacing w:line="240" w:lineRule="auto" w:before="85"/>
        <w:ind w:left="533" w:right="0"/>
        <w:jc w:val="left"/>
      </w:pPr>
      <w:r>
        <w:rPr/>
        <w:t>期末无重要的账龄超过</w:t>
      </w:r>
      <w:r>
        <w:rPr>
          <w:rFonts w:ascii="Times New Roman" w:hAnsi="Times New Roman" w:cs="Times New Roman" w:eastAsia="Times New Roman" w:hint="default"/>
        </w:rPr>
        <w:t>1</w:t>
      </w:r>
      <w:r>
        <w:rPr/>
        <w:t>年的预付款项。</w:t>
      </w:r>
    </w:p>
    <w:p>
      <w:pPr>
        <w:spacing w:line="614" w:lineRule="exact" w:before="73"/>
        <w:ind w:left="53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本期按预付对象归集的期末余额前五名预付款项汇总金额</w:t>
      </w:r>
      <w:r>
        <w:rPr>
          <w:rFonts w:ascii="Times New Roman" w:hAnsi="Times New Roman" w:cs="Times New Roman" w:eastAsia="Times New Roman" w:hint="default"/>
          <w:spacing w:val="-2"/>
          <w:sz w:val="21"/>
          <w:szCs w:val="21"/>
        </w:rPr>
        <w:t>32,116,188.50</w:t>
      </w:r>
      <w:r>
        <w:rPr>
          <w:rFonts w:ascii="宋体" w:hAnsi="宋体" w:cs="宋体" w:eastAsia="宋体" w:hint="default"/>
          <w:spacing w:val="-2"/>
          <w:sz w:val="21"/>
          <w:szCs w:val="21"/>
        </w:rPr>
        <w:t>元，占预付款项期末余额合计</w:t>
      </w:r>
    </w:p>
    <w:p>
      <w:pPr>
        <w:pStyle w:val="BodyText"/>
        <w:spacing w:line="235" w:lineRule="exact"/>
        <w:ind w:right="0"/>
        <w:jc w:val="left"/>
      </w:pPr>
      <w:r>
        <w:rPr/>
        <w:t>数的比例</w:t>
      </w:r>
      <w:r>
        <w:rPr>
          <w:rFonts w:ascii="Times New Roman" w:hAnsi="Times New Roman" w:cs="Times New Roman" w:eastAsia="Times New Roman" w:hint="default"/>
        </w:rPr>
        <w:t>72.77</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w:t>
      </w:r>
    </w:p>
    <w:p>
      <w:pPr>
        <w:spacing w:before="8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4"/>
        <w:rPr>
          <w:rFonts w:ascii="宋体" w:hAnsi="宋体" w:cs="宋体" w:eastAsia="宋体" w:hint="default"/>
          <w:b/>
          <w:bCs/>
          <w:sz w:val="26"/>
          <w:szCs w:val="26"/>
        </w:rPr>
      </w:pPr>
    </w:p>
    <w:p>
      <w:pPr>
        <w:spacing w:before="0"/>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67"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6"/>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30,524,0</w:t>
            </w:r>
          </w:p>
          <w:p>
            <w:pPr>
              <w:pStyle w:val="TableParagraph"/>
              <w:spacing w:line="240" w:lineRule="auto" w:before="103"/>
              <w:ind w:left="326" w:right="0"/>
              <w:jc w:val="left"/>
              <w:rPr>
                <w:rFonts w:ascii="Times New Roman" w:hAnsi="Times New Roman" w:cs="Times New Roman" w:eastAsia="Times New Roman" w:hint="default"/>
                <w:sz w:val="18"/>
                <w:szCs w:val="18"/>
              </w:rPr>
            </w:pPr>
            <w:r>
              <w:rPr>
                <w:rFonts w:ascii="Times New Roman"/>
                <w:sz w:val="18"/>
              </w:rPr>
              <w:t>86.73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6,455,39</w:t>
            </w:r>
          </w:p>
          <w:p>
            <w:pPr>
              <w:pStyle w:val="TableParagraph"/>
              <w:spacing w:line="240" w:lineRule="auto" w:before="103"/>
              <w:ind w:left="415" w:right="0"/>
              <w:jc w:val="left"/>
              <w:rPr>
                <w:rFonts w:ascii="Times New Roman" w:hAnsi="Times New Roman" w:cs="Times New Roman" w:eastAsia="Times New Roman" w:hint="default"/>
                <w:sz w:val="18"/>
                <w:szCs w:val="18"/>
              </w:rPr>
            </w:pPr>
            <w:r>
              <w:rPr>
                <w:rFonts w:ascii="Times New Roman"/>
                <w:sz w:val="18"/>
              </w:rPr>
              <w:t>4.88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21.15%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24,068,69</w:t>
            </w:r>
          </w:p>
          <w:p>
            <w:pPr>
              <w:pStyle w:val="TableParagraph"/>
              <w:spacing w:line="240" w:lineRule="auto" w:before="103"/>
              <w:ind w:left="441" w:right="0"/>
              <w:jc w:val="left"/>
              <w:rPr>
                <w:rFonts w:ascii="Times New Roman" w:hAnsi="Times New Roman" w:cs="Times New Roman" w:eastAsia="Times New Roman" w:hint="default"/>
                <w:sz w:val="18"/>
                <w:szCs w:val="18"/>
              </w:rPr>
            </w:pPr>
            <w:r>
              <w:rPr>
                <w:rFonts w:ascii="Times New Roman"/>
                <w:sz w:val="18"/>
              </w:rPr>
              <w:t>1.85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29,267,</w:t>
            </w:r>
          </w:p>
          <w:p>
            <w:pPr>
              <w:pStyle w:val="TableParagraph"/>
              <w:spacing w:line="240" w:lineRule="auto" w:before="103"/>
              <w:ind w:left="129" w:right="0"/>
              <w:jc w:val="left"/>
              <w:rPr>
                <w:rFonts w:ascii="Times New Roman" w:hAnsi="Times New Roman" w:cs="Times New Roman" w:eastAsia="Times New Roman" w:hint="default"/>
                <w:sz w:val="18"/>
                <w:szCs w:val="18"/>
              </w:rPr>
            </w:pPr>
            <w:r>
              <w:rPr>
                <w:rFonts w:ascii="Times New Roman"/>
                <w:sz w:val="18"/>
              </w:rPr>
              <w:t>718.84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5,389,675</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.95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18.42%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23,878,042.</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89</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30,524,0</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86.73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6,455,39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4.88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21.15%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24,068,69</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1.85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29,267,</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718.84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5,389,675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18.42%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23,878,042.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r>
    </w:tbl>
    <w:p>
      <w:pPr>
        <w:spacing w:after="0" w:line="240" w:lineRule="auto"/>
        <w:jc w:val="right"/>
        <w:rPr>
          <w:rFonts w:ascii="Times New Roman" w:hAnsi="Times New Roman" w:cs="Times New Roman" w:eastAsia="Times New Roman" w:hint="default"/>
          <w:sz w:val="18"/>
          <w:szCs w:val="18"/>
        </w:rPr>
        <w:sectPr>
          <w:footerReference w:type="default" r:id="rId20"/>
          <w:pgSz w:w="11910" w:h="16840"/>
          <w:pgMar w:footer="979" w:header="867" w:top="1060" w:bottom="1160" w:left="1020" w:right="1020"/>
          <w:pgNumType w:start="120"/>
        </w:sectPr>
      </w:pPr>
    </w:p>
    <w:p>
      <w:pPr>
        <w:spacing w:before="49"/>
        <w:ind w:left="112" w:right="-19"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7"/>
        <w:ind w:left="112"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39"/>
        <w:ind w:left="11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4434" w:space="4395"/>
            <w:col w:w="1041"/>
          </w:cols>
        </w:sectPr>
      </w:pP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15,036,096.58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751,804.82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4,544,039.45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454,403.95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5,907,672.20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1,772,301.66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2,801,772.10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1,400,886.05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792,540.00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634,032.00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1,441,966.40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1,441,966.40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30,524,086.73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6,455,394.88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21.15%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10"/>
        <w:rPr>
          <w:rFonts w:ascii="宋体" w:hAnsi="宋体" w:cs="宋体" w:eastAsia="宋体" w:hint="default"/>
          <w:sz w:val="25"/>
          <w:szCs w:val="25"/>
        </w:rPr>
      </w:pPr>
    </w:p>
    <w:p>
      <w:pPr>
        <w:spacing w:line="362" w:lineRule="auto" w:before="44"/>
        <w:ind w:left="112" w:right="523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3"/>
        <w:ind w:left="112" w:right="5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67" w:footer="979" w:top="1060" w:bottom="1160" w:left="1020" w:right="1020"/>
        </w:sectPr>
      </w:pPr>
    </w:p>
    <w:p>
      <w:pPr>
        <w:spacing w:line="340" w:lineRule="auto" w:before="44"/>
        <w:ind w:left="112" w:right="-1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1,078,545.00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420" w:space="2410"/>
            <w:col w:w="104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3"/>
        <w:spacing w:line="240" w:lineRule="auto" w:before="122"/>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26,190,829.75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25,007,269.90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4,119,167.26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3,820,500.26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214,089.72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439,948.68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30,524,086.73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29,267,718.84</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上海普华诚信信息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2,930,342.00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690,587.10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北京万柳置业集团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2,619,972.00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130,998.60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北京邮电大学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2,330,677.40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116,533.87</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江苏省设备成套有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1,923,600.00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577,080.00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文化部信息中心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975,350.25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48,767.51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10,779,941.65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1,563,967.08</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4"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before="11"/>
        <w:ind w:left="11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2"/>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line="357" w:lineRule="auto" w:before="0"/>
        <w:ind w:left="112" w:right="8834" w:firstLine="0"/>
        <w:jc w:val="left"/>
        <w:rPr>
          <w:rFonts w:ascii="宋体" w:hAnsi="宋体" w:cs="宋体" w:eastAsia="宋体" w:hint="default"/>
          <w:sz w:val="18"/>
          <w:szCs w:val="18"/>
        </w:rPr>
      </w:pPr>
      <w:r>
        <w:rPr>
          <w:rFonts w:ascii="宋体" w:hAnsi="宋体" w:cs="宋体" w:eastAsia="宋体" w:hint="default"/>
          <w:sz w:val="18"/>
          <w:szCs w:val="18"/>
        </w:rPr>
        <w:t>无 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2"/>
        <w:rPr>
          <w:rFonts w:ascii="宋体" w:hAnsi="宋体" w:cs="宋体" w:eastAsia="宋体" w:hint="default"/>
          <w:b/>
          <w:bCs/>
          <w:sz w:val="26"/>
          <w:szCs w:val="26"/>
        </w:rPr>
      </w:pPr>
    </w:p>
    <w:p>
      <w:pPr>
        <w:spacing w:line="360" w:lineRule="auto" w:before="0"/>
        <w:ind w:left="112" w:right="6494"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5"/>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8,516,319.38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8,516,319.38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9,355,322.42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9,355,322.42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15,788,215.85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15,788,215.85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15,458,437.33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15,458,437.33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项目开发成本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48,630,399.07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48,630,399.07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18,246,931.87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18,246,931.87</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72,934,934.30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72,934,934.30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43,060,691.62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43,060,691.62</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w:t>
      </w:r>
    </w:p>
    <w:p>
      <w:pPr>
        <w:spacing w:after="0"/>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12"/>
        <w:rPr>
          <w:rFonts w:ascii="宋体" w:hAnsi="宋体" w:cs="宋体" w:eastAsia="宋体" w:hint="default"/>
          <w:sz w:val="25"/>
          <w:szCs w:val="25"/>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否</w:t>
      </w:r>
    </w:p>
    <w:p>
      <w:pPr>
        <w:spacing w:line="338" w:lineRule="auto" w:before="117"/>
        <w:ind w:left="112" w:right="55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40" w:lineRule="auto" w:before="43"/>
        <w:ind w:left="112" w:right="73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6"/>
          <w:szCs w:val="26"/>
        </w:rPr>
      </w:pPr>
    </w:p>
    <w:p>
      <w:pPr>
        <w:spacing w:before="0"/>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28"/>
        <w:ind w:left="533" w:right="0"/>
        <w:jc w:val="left"/>
      </w:pPr>
      <w:r>
        <w:rPr/>
        <w:t>期末，本集团各项存货未发生可变现净值低于账面价值的情况，故未计提存货跌价。</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11</w:t>
      </w:r>
      <w:r>
        <w:rPr/>
        <w:t>、持有待售的资产</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2"/>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4,037,429.62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预缴城建税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227,733.80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预缴教育费及地方教育费附加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162,563.87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106,390.53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104,427,727.29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106,390.53</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6"/>
        <w:ind w:right="0" w:firstLine="420"/>
        <w:jc w:val="left"/>
      </w:pPr>
      <w:r>
        <w:rPr/>
        <w:t>购买的银行理财产品系公司于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日在北京银行清华园支行购买的稳健系列人民币 </w:t>
      </w:r>
      <w:r>
        <w:rPr>
          <w:rFonts w:ascii="Times New Roman" w:hAnsi="Times New Roman" w:cs="Times New Roman" w:eastAsia="Times New Roman" w:hint="default"/>
        </w:rPr>
        <w:t>35</w:t>
      </w:r>
      <w:r>
        <w:rPr>
          <w:rFonts w:ascii="Times New Roman" w:hAnsi="Times New Roman" w:cs="Times New Roman" w:eastAsia="Times New Roman" w:hint="default"/>
          <w:spacing w:val="5"/>
        </w:rPr>
        <w:t> </w:t>
      </w:r>
      <w:r>
        <w:rPr/>
        <w:t>天期</w:t>
      </w:r>
      <w:r>
        <w:rPr>
          <w:w w:val="100"/>
        </w:rPr>
        <w:t> </w:t>
      </w:r>
      <w:r>
        <w:rPr>
          <w:spacing w:val="-2"/>
        </w:rPr>
        <w:t>限银行间保证收益理财产品，本金</w:t>
      </w:r>
      <w:r>
        <w:rPr>
          <w:rFonts w:ascii="Times New Roman" w:hAnsi="Times New Roman" w:cs="Times New Roman" w:eastAsia="Times New Roman" w:hint="default"/>
          <w:spacing w:val="-2"/>
        </w:rPr>
        <w:t>1</w:t>
      </w:r>
      <w:r>
        <w:rPr>
          <w:spacing w:val="-2"/>
        </w:rPr>
        <w:t>亿元，年化收益率</w:t>
      </w:r>
      <w:r>
        <w:rPr>
          <w:rFonts w:ascii="Times New Roman" w:hAnsi="Times New Roman" w:cs="Times New Roman" w:eastAsia="Times New Roman" w:hint="default"/>
          <w:spacing w:val="-2"/>
        </w:rPr>
        <w:t>3.6%</w:t>
      </w:r>
      <w:r>
        <w:rPr>
          <w:spacing w:val="-2"/>
        </w:rPr>
        <w:t>，该产品于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8</w:t>
      </w:r>
      <w:r>
        <w:rPr>
          <w:spacing w:val="-2"/>
        </w:rPr>
        <w:t>日到期，收益</w:t>
      </w:r>
      <w:r>
        <w:rPr>
          <w:rFonts w:ascii="Times New Roman" w:hAnsi="Times New Roman" w:cs="Times New Roman" w:eastAsia="Times New Roman" w:hint="default"/>
          <w:spacing w:val="-2"/>
        </w:rPr>
        <w:t>345,205.48</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t>元，本金和收益已经全部收回。</w:t>
      </w:r>
    </w:p>
    <w:p>
      <w:pPr>
        <w:spacing w:line="240" w:lineRule="auto" w:before="9"/>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4"/>
        <w:rPr>
          <w:rFonts w:ascii="宋体" w:hAnsi="宋体" w:cs="宋体" w:eastAsia="宋体" w:hint="default"/>
          <w:b/>
          <w:bCs/>
          <w:sz w:val="26"/>
          <w:szCs w:val="26"/>
        </w:rPr>
      </w:pPr>
    </w:p>
    <w:p>
      <w:pPr>
        <w:spacing w:before="0"/>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98"/>
        <w:gridCol w:w="1196"/>
        <w:gridCol w:w="1198"/>
        <w:gridCol w:w="1196"/>
        <w:gridCol w:w="1248"/>
        <w:gridCol w:w="1369"/>
        <w:gridCol w:w="1368"/>
      </w:tblGrid>
      <w:tr>
        <w:trPr>
          <w:trHeight w:val="403"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3"/>
        <w:gridCol w:w="1916"/>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3"/>
        <w:gridCol w:w="869"/>
        <w:gridCol w:w="872"/>
        <w:gridCol w:w="869"/>
        <w:gridCol w:w="871"/>
        <w:gridCol w:w="869"/>
        <w:gridCol w:w="871"/>
        <w:gridCol w:w="869"/>
        <w:gridCol w:w="872"/>
        <w:gridCol w:w="869"/>
        <w:gridCol w:w="871"/>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335"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6"/>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4"/>
        <w:gridCol w:w="1913"/>
        <w:gridCol w:w="1916"/>
        <w:gridCol w:w="1914"/>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9" w:right="46" w:hanging="361"/>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6"/>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13"/>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2"/>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03"/>
        <w:gridCol w:w="1166"/>
        <w:gridCol w:w="1167"/>
        <w:gridCol w:w="1166"/>
        <w:gridCol w:w="1169"/>
        <w:gridCol w:w="1166"/>
        <w:gridCol w:w="1167"/>
        <w:gridCol w:w="1164"/>
      </w:tblGrid>
      <w:tr>
        <w:trPr>
          <w:trHeight w:val="403"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1"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2"/>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4"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北京版信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6" w:right="0"/>
              <w:jc w:val="left"/>
              <w:rPr>
                <w:rFonts w:ascii="Times New Roman" w:hAnsi="Times New Roman" w:cs="Times New Roman" w:eastAsia="Times New Roman" w:hint="default"/>
                <w:sz w:val="18"/>
                <w:szCs w:val="18"/>
              </w:rPr>
            </w:pPr>
            <w:r>
              <w:rPr>
                <w:rFonts w:ascii="Times New Roman"/>
                <w:sz w:val="18"/>
              </w:rPr>
              <w:t>-552,634.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1" w:right="0"/>
              <w:jc w:val="center"/>
              <w:rPr>
                <w:rFonts w:ascii="Times New Roman" w:hAnsi="Times New Roman" w:cs="Times New Roman" w:eastAsia="Times New Roman" w:hint="default"/>
                <w:sz w:val="18"/>
                <w:szCs w:val="18"/>
              </w:rPr>
            </w:pPr>
            <w:r>
              <w:rPr>
                <w:rFonts w:ascii="Times New Roman"/>
                <w:sz w:val="18"/>
              </w:rPr>
              <w:t>11,706,54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2" w:right="0"/>
              <w:jc w:val="left"/>
              <w:rPr>
                <w:rFonts w:ascii="Times New Roman" w:hAnsi="Times New Roman" w:cs="Times New Roman" w:eastAsia="Times New Roman" w:hint="default"/>
                <w:sz w:val="18"/>
                <w:szCs w:val="18"/>
              </w:rPr>
            </w:pPr>
            <w:r>
              <w:rPr>
                <w:rFonts w:ascii="Times New Roman"/>
                <w:sz w:val="18"/>
              </w:rPr>
              <w:t>11,153,90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675"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41"/>
              <w:jc w:val="left"/>
              <w:rPr>
                <w:rFonts w:ascii="宋体" w:hAnsi="宋体" w:cs="宋体" w:eastAsia="宋体" w:hint="default"/>
                <w:sz w:val="18"/>
                <w:szCs w:val="18"/>
              </w:rPr>
            </w:pPr>
            <w:r>
              <w:rPr>
                <w:rFonts w:ascii="宋体" w:hAnsi="宋体" w:cs="宋体" w:eastAsia="宋体" w:hint="default"/>
                <w:sz w:val="18"/>
                <w:szCs w:val="18"/>
              </w:rPr>
              <w:t>通技术有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z w:val="18"/>
              </w:rPr>
              <w:t>19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51" w:right="0"/>
              <w:jc w:val="left"/>
              <w:rPr>
                <w:rFonts w:ascii="Times New Roman" w:hAnsi="Times New Roman" w:cs="Times New Roman" w:eastAsia="Times New Roman" w:hint="default"/>
                <w:sz w:val="18"/>
                <w:szCs w:val="18"/>
              </w:rPr>
            </w:pPr>
            <w:r>
              <w:rPr>
                <w:rFonts w:ascii="Times New Roman"/>
                <w:sz w:val="18"/>
              </w:rPr>
              <w:t>5.81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-552,634.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11,706,54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11,153,90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-552,634.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11,706,54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11,153,90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5.81</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13"/>
          <w:szCs w:val="13"/>
        </w:rPr>
      </w:pPr>
    </w:p>
    <w:p>
      <w:pPr>
        <w:pStyle w:val="BodyText"/>
        <w:spacing w:line="261" w:lineRule="auto"/>
        <w:ind w:right="106" w:firstLine="420"/>
        <w:jc w:val="both"/>
      </w:pPr>
      <w:r>
        <w:rPr>
          <w:spacing w:val="-3"/>
        </w:rPr>
        <w:t>本期子公司版信通增资，增资完成后注册资本由人民币</w:t>
      </w:r>
      <w:r>
        <w:rPr>
          <w:rFonts w:ascii="Times New Roman" w:hAnsi="Times New Roman" w:cs="Times New Roman" w:eastAsia="Times New Roman" w:hint="default"/>
          <w:spacing w:val="-3"/>
        </w:rPr>
        <w:t>500</w:t>
      </w:r>
      <w:r>
        <w:rPr>
          <w:spacing w:val="-3"/>
        </w:rPr>
        <w:t>万元增加至</w:t>
      </w:r>
      <w:r>
        <w:rPr>
          <w:rFonts w:ascii="Times New Roman" w:hAnsi="Times New Roman" w:cs="Times New Roman" w:eastAsia="Times New Roman" w:hint="default"/>
          <w:spacing w:val="-3"/>
        </w:rPr>
        <w:t>543.48</w:t>
      </w:r>
      <w:r>
        <w:rPr>
          <w:spacing w:val="-3"/>
        </w:rPr>
        <w:t>万元，股权结构为：北京</w:t>
      </w:r>
      <w:r>
        <w:rPr>
          <w:w w:val="100"/>
        </w:rPr>
        <w:t> </w:t>
      </w:r>
      <w:r>
        <w:rPr>
          <w:spacing w:val="-3"/>
        </w:rPr>
        <w:t>数字认证股份有限公司占比</w:t>
      </w:r>
      <w:r>
        <w:rPr>
          <w:rFonts w:ascii="Times New Roman" w:hAnsi="Times New Roman" w:cs="Times New Roman" w:eastAsia="Times New Roman" w:hint="default"/>
          <w:spacing w:val="-3"/>
        </w:rPr>
        <w:t>46.92%</w:t>
      </w:r>
      <w:r>
        <w:rPr>
          <w:spacing w:val="-3"/>
        </w:rPr>
        <w:t>，北京云门信安科技有限公司占比</w:t>
      </w:r>
      <w:r>
        <w:rPr>
          <w:rFonts w:ascii="Times New Roman" w:hAnsi="Times New Roman" w:cs="Times New Roman" w:eastAsia="Times New Roman" w:hint="default"/>
          <w:spacing w:val="-3"/>
        </w:rPr>
        <w:t>45.08%</w:t>
      </w:r>
      <w:r>
        <w:rPr>
          <w:spacing w:val="-3"/>
        </w:rPr>
        <w:t>，杭州拾贝知识产权服务有限</w:t>
      </w:r>
      <w:r>
        <w:rPr>
          <w:spacing w:val="-14"/>
        </w:rPr>
        <w:t> </w:t>
      </w:r>
      <w:r>
        <w:rPr>
          <w:spacing w:val="-14"/>
        </w:rPr>
      </w:r>
      <w:r>
        <w:rPr>
          <w:spacing w:val="-4"/>
        </w:rPr>
        <w:t>公司占比</w:t>
      </w:r>
      <w:r>
        <w:rPr>
          <w:rFonts w:ascii="Times New Roman" w:hAnsi="Times New Roman" w:cs="Times New Roman" w:eastAsia="Times New Roman" w:hint="default"/>
          <w:spacing w:val="-4"/>
        </w:rPr>
        <w:t>4%</w:t>
      </w:r>
      <w:r>
        <w:rPr>
          <w:spacing w:val="-4"/>
        </w:rPr>
        <w:t>，杭州水木泽华创业投资合伙企业（有限合伙）占比</w:t>
      </w:r>
      <w:r>
        <w:rPr>
          <w:rFonts w:ascii="Times New Roman" w:hAnsi="Times New Roman" w:cs="Times New Roman" w:eastAsia="Times New Roman" w:hint="default"/>
          <w:spacing w:val="-4"/>
        </w:rPr>
        <w:t>4%</w:t>
      </w:r>
      <w:r>
        <w:rPr>
          <w:spacing w:val="-4"/>
        </w:rPr>
        <w:t>。增资完成后对版信通持股比例由</w:t>
      </w:r>
      <w:r>
        <w:rPr>
          <w:rFonts w:ascii="Times New Roman" w:hAnsi="Times New Roman" w:cs="Times New Roman" w:eastAsia="Times New Roman" w:hint="default"/>
          <w:spacing w:val="-4"/>
        </w:rPr>
        <w:t>51%</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变更为</w:t>
      </w:r>
      <w:r>
        <w:rPr>
          <w:rFonts w:ascii="Times New Roman" w:hAnsi="Times New Roman" w:cs="Times New Roman" w:eastAsia="Times New Roman" w:hint="default"/>
        </w:rPr>
        <w:t>46.92%</w:t>
      </w:r>
      <w:r>
        <w:rPr/>
        <w:t>，对其不再具有控制权，变为重大影响，自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月不再作为本公司的子公司纳入财务报</w:t>
      </w:r>
      <w:r>
        <w:rPr>
          <w:spacing w:val="-41"/>
        </w:rPr>
        <w:t> </w:t>
      </w:r>
      <w:r>
        <w:rPr>
          <w:spacing w:val="-41"/>
        </w:rPr>
      </w:r>
      <w:r>
        <w:rPr>
          <w:spacing w:val="-2"/>
        </w:rPr>
        <w:t>表合并范围，转为联营企业，对其长期股权投资核算由成本法改为权益法，按照其在丧失控制权日的公允</w:t>
      </w:r>
      <w:r>
        <w:rPr>
          <w:spacing w:val="-42"/>
        </w:rPr>
        <w:t> </w:t>
      </w:r>
      <w:r>
        <w:rPr>
          <w:spacing w:val="-42"/>
        </w:rPr>
      </w:r>
      <w:r>
        <w:rPr/>
        <w:t>价值进行重新计算。</w:t>
      </w:r>
    </w:p>
    <w:p>
      <w:pPr>
        <w:spacing w:line="240" w:lineRule="auto" w:before="4"/>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6"/>
          <w:szCs w:val="26"/>
        </w:rPr>
      </w:pPr>
    </w:p>
    <w:p>
      <w:pPr>
        <w:spacing w:before="0"/>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36,161,761.15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6,047,712.05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394,676.00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42,604,149.20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3,489,754.15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2,123,850.93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5,613,605.08</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3,489,754.15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2,123,850.93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5,613,605.08</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741,369.63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338,477.63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1,079,847.26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343,240.92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133,697.63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476,938.55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）其他减少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398,128.71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204,780.00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602,908.71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38,910,145.67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7,833,085.35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394,676.00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47,137,907.02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21,032,205.21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4,652,883.22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349,646.90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26,034,735.33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3,938,109.61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1,392,737.77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25,295.30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5,356,142.68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3,938,109.61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1,392,737.77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25,295.30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5,356,142.68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398,611.12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165,420.30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564,031.42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326,078.85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127,012.74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453,091.59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）其他减少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72,532.27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38,407.56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110,939.83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24,571,703.70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5,880,200.69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374,942.20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30,826,846.59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14,338,441.97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1,952,884.66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19,733.80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16,311,060.43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15,129,555.94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1,394,828.83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45,029.10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16,569,413.87</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6"/>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67"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6"/>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6"/>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13"/>
          <w:szCs w:val="13"/>
        </w:rPr>
      </w:pPr>
    </w:p>
    <w:p>
      <w:pPr>
        <w:pStyle w:val="BodyText"/>
        <w:spacing w:line="240" w:lineRule="auto"/>
        <w:ind w:left="533" w:right="0"/>
        <w:jc w:val="left"/>
      </w:pPr>
      <w:r>
        <w:rPr/>
        <w:t>（</w:t>
      </w:r>
      <w:r>
        <w:rPr>
          <w:rFonts w:ascii="Times New Roman" w:hAnsi="Times New Roman" w:cs="Times New Roman" w:eastAsia="Times New Roman" w:hint="default"/>
        </w:rPr>
        <w:t>1</w:t>
      </w:r>
      <w:r>
        <w:rPr/>
        <w:t>）期末不存在设定抵押、担保的固定资产；</w:t>
      </w:r>
    </w:p>
    <w:p>
      <w:pPr>
        <w:spacing w:line="240" w:lineRule="auto" w:before="2"/>
        <w:rPr>
          <w:rFonts w:ascii="宋体" w:hAnsi="宋体" w:cs="宋体" w:eastAsia="宋体" w:hint="default"/>
          <w:sz w:val="18"/>
          <w:szCs w:val="18"/>
        </w:rPr>
      </w:pPr>
    </w:p>
    <w:p>
      <w:pPr>
        <w:pStyle w:val="BodyText"/>
        <w:spacing w:line="240" w:lineRule="auto"/>
        <w:ind w:left="533" w:right="0"/>
        <w:jc w:val="left"/>
      </w:pPr>
      <w:r>
        <w:rPr/>
        <w:t>（</w:t>
      </w:r>
      <w:r>
        <w:rPr>
          <w:rFonts w:ascii="Times New Roman" w:hAnsi="Times New Roman" w:cs="Times New Roman" w:eastAsia="Times New Roman" w:hint="default"/>
        </w:rPr>
        <w:t>2</w:t>
      </w:r>
      <w:r>
        <w:rPr/>
        <w:t>）期末不存在暂时闲置的固定资产；</w:t>
      </w:r>
    </w:p>
    <w:p>
      <w:pPr>
        <w:spacing w:line="240" w:lineRule="auto" w:before="2"/>
        <w:rPr>
          <w:rFonts w:ascii="宋体" w:hAnsi="宋体" w:cs="宋体" w:eastAsia="宋体" w:hint="default"/>
          <w:sz w:val="18"/>
          <w:szCs w:val="18"/>
        </w:rPr>
      </w:pPr>
    </w:p>
    <w:p>
      <w:pPr>
        <w:pStyle w:val="BodyText"/>
        <w:spacing w:line="240" w:lineRule="auto"/>
        <w:ind w:left="533" w:right="0"/>
        <w:jc w:val="left"/>
      </w:pPr>
      <w:r>
        <w:rPr/>
        <w:t>（</w:t>
      </w:r>
      <w:r>
        <w:rPr>
          <w:rFonts w:ascii="Times New Roman" w:hAnsi="Times New Roman" w:cs="Times New Roman" w:eastAsia="Times New Roman" w:hint="default"/>
        </w:rPr>
        <w:t>3</w:t>
      </w:r>
      <w:r>
        <w:rPr/>
        <w:t>）期末不存在未办妥产权证书的固定资产。</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340"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13"/>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2"/>
        <w:ind w:right="0"/>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2"/>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5"/>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2"/>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w:t>
      </w:r>
    </w:p>
    <w:p>
      <w:pPr>
        <w:spacing w:before="10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61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7,487,388.06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7,487,388.06</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4,237,702.94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4,237,702.94</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9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他减少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206,500.85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206,500.85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11,518,590.15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11,518,590.15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5,433,736.76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5,433,736.76</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911,773.71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911,773.71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4"/>
              <w:ind w:left="9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他减少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5,906.29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5,906.29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6,339,604.18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6,339,604.18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5,178,985.97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5,178,985.97</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2,053,651.30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2,053,651.30</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1020" w:right="1020"/>
        </w:sectPr>
      </w:pPr>
    </w:p>
    <w:p>
      <w:pPr>
        <w:spacing w:line="240" w:lineRule="auto" w:before="3"/>
        <w:rPr>
          <w:rFonts w:ascii="Times New Roman" w:hAnsi="Times New Roman" w:cs="Times New Roman" w:eastAsia="Times New Roman" w:hint="default"/>
          <w:sz w:val="29"/>
          <w:szCs w:val="29"/>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13"/>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2"/>
        <w:gridCol w:w="1063"/>
        <w:gridCol w:w="3191"/>
        <w:gridCol w:w="3188"/>
        <w:gridCol w:w="1063"/>
      </w:tblGrid>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2"/>
        <w:ind w:right="0"/>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362" w:lineRule="auto" w:before="49"/>
        <w:ind w:left="112" w:right="5054"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 其他说明</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18"/>
              <w:jc w:val="left"/>
              <w:rPr>
                <w:rFonts w:ascii="宋体" w:hAnsi="宋体" w:cs="宋体" w:eastAsia="宋体" w:hint="default"/>
                <w:sz w:val="18"/>
                <w:szCs w:val="18"/>
              </w:rPr>
            </w:pPr>
            <w:r>
              <w:rPr>
                <w:rFonts w:ascii="宋体" w:hAnsi="宋体" w:cs="宋体" w:eastAsia="宋体" w:hint="default"/>
                <w:sz w:val="18"/>
                <w:szCs w:val="18"/>
              </w:rPr>
              <w:t>左岸公社十层装修 工程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13,551.07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13,551.07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13,551.07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13,551.07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13"/>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46,744,649.90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7,011,697.48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34,316,536.03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5,148,763.01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1,134,362.33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170,154.35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927,156.69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149,726.62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5,806,072.80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1,451,518.20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82,336,657.40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12,350,498.61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76,162,314.80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11,424,347.22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尚未支付的工资费用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35,900,219.80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5,385,032.97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20,693,450.13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3,104,017.52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13,612,332.09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2,041,849.81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12,608,868.50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1,891,330.28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179,728,221.52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26,959,233.22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150,514,398.95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23,169,702.85</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26,959,233.22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23,169,702.85</w:t>
            </w:r>
          </w:p>
        </w:tc>
      </w:tr>
    </w:tbl>
    <w:p>
      <w:pPr>
        <w:spacing w:line="240" w:lineRule="auto" w:before="6"/>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87"/>
        <w:gridCol w:w="2396"/>
        <w:gridCol w:w="2393"/>
        <w:gridCol w:w="2393"/>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13"/>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预付软件设备购置款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3,861,331.00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3,861,331.00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after="0"/>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13"/>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76,430,290.05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38,657,988.59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334,599.00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90,755.75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76,764,889.05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38,748,744.34</w:t>
            </w:r>
          </w:p>
        </w:tc>
      </w:tr>
    </w:tbl>
    <w:p>
      <w:pPr>
        <w:spacing w:line="240" w:lineRule="auto" w:before="6"/>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江苏先安科技有限公司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未办理结算手续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193,632,423.20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116,730,720.09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193,632,423.20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116,730,720.09</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国防科技大学计算机学院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北京市社会团体管理办公室</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1,603,285.00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北京邮电大学</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中国医学科学院肿瘤医院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6,413,285.00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67" w:footer="979" w:top="1060" w:bottom="1160" w:left="1020" w:right="1020"/>
        </w:sectPr>
      </w:pPr>
    </w:p>
    <w:p>
      <w:pPr>
        <w:spacing w:line="240" w:lineRule="auto" w:before="13"/>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778"/>
        <w:gridCol w:w="4791"/>
      </w:tblGrid>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3"/>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39,268,680.71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204,926,922.35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183,142,108.87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61,053,494.19</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32,934.52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13,232,628.54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13,265,563.06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39,301,615.23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218,159,550.89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196,407,671.93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61,053,494.19</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28,129,342.39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175,809,178.68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155,793,901.28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48,144,619.79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2,895,546.24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2,895,546.24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18,366.92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10,401,981.29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10,420,348.21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16,697.20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9,610,149.39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9,626,846.59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234,056.06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234,390.00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1,335.78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557,775.84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559,111.62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10,223,345.34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10,223,345.34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11,120,971.40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5,596,870.80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3,808,967.80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12,908,874.40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39,268,680.71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204,926,922.35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183,142,108.87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61,053,494.19</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31,603.84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12,704,307.99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12,735,911.83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1,330.68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528,320.55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529,651.23</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1915"/>
        <w:gridCol w:w="1916"/>
        <w:gridCol w:w="1916"/>
        <w:gridCol w:w="1913"/>
        <w:gridCol w:w="1916"/>
      </w:tblGrid>
      <w:tr>
        <w:trPr>
          <w:trHeight w:val="40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4" w:right="0"/>
              <w:jc w:val="left"/>
              <w:rPr>
                <w:rFonts w:ascii="Times New Roman" w:hAnsi="Times New Roman" w:cs="Times New Roman" w:eastAsia="Times New Roman" w:hint="default"/>
                <w:sz w:val="18"/>
                <w:szCs w:val="18"/>
              </w:rPr>
            </w:pPr>
            <w:r>
              <w:rPr>
                <w:rFonts w:ascii="Times New Roman"/>
                <w:sz w:val="18"/>
              </w:rPr>
              <w:t>32,934.52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13,232,628.54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13,265,563.06</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19,631,915.85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26,341,008.74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13,140,929.10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16,427,645.58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958,022.84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1,235,592.51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1,019,880.06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1,494,543.14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723,060.71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1,062,199.81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13,775.40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35,473,808.56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46,574,765.18</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9"/>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13"/>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代扣代缴职工个人保险费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1,002,131.59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467,842.14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717,887.50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1,307,019.27</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残疾人保障金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1,474,964.59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2,184,457.29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560,440.88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5,379,440.97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2,335,302.29</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360" w:lineRule="auto" w:before="50"/>
        <w:ind w:left="112" w:right="6404" w:firstLine="0"/>
        <w:jc w:val="left"/>
        <w:rPr>
          <w:rFonts w:ascii="宋体" w:hAnsi="宋体" w:cs="宋体" w:eastAsia="宋体" w:hint="default"/>
          <w:sz w:val="18"/>
          <w:szCs w:val="18"/>
        </w:rPr>
      </w:pPr>
      <w:r>
        <w:rPr>
          <w:rFonts w:ascii="宋体" w:hAnsi="宋体" w:cs="宋体" w:eastAsia="宋体" w:hint="default"/>
          <w:sz w:val="18"/>
          <w:szCs w:val="18"/>
        </w:rPr>
        <w:t>其他说明 期末，无账龄超过</w:t>
      </w:r>
      <w:r>
        <w:rPr>
          <w:rFonts w:ascii="Times New Roman" w:hAnsi="Times New Roman" w:cs="Times New Roman" w:eastAsia="Times New Roman" w:hint="default"/>
          <w:sz w:val="18"/>
          <w:szCs w:val="18"/>
        </w:rPr>
        <w:t>1</w:t>
      </w:r>
      <w:r>
        <w:rPr>
          <w:rFonts w:ascii="宋体" w:hAnsi="宋体" w:cs="宋体" w:eastAsia="宋体" w:hint="default"/>
          <w:sz w:val="18"/>
          <w:szCs w:val="18"/>
        </w:rPr>
        <w:t>年的重大其他应付款。</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42</w:t>
      </w:r>
      <w:r>
        <w:rPr/>
        <w:t>、持有待售的负债</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一年内到期的递延收益</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1,949,050.00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1,949,050.00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2"/>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7"/>
        <w:gridCol w:w="799"/>
        <w:gridCol w:w="799"/>
        <w:gridCol w:w="798"/>
        <w:gridCol w:w="797"/>
      </w:tblGrid>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2"/>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67"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60" w:lineRule="auto" w:before="50"/>
        <w:ind w:left="112" w:right="7574"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67" w:footer="979" w:top="1060" w:bottom="1160" w:left="1020" w:right="1020"/>
        </w:sectPr>
      </w:pPr>
    </w:p>
    <w:p>
      <w:pPr>
        <w:spacing w:line="360" w:lineRule="auto"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4613" w:space="4216"/>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3"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2" w:lineRule="auto" w:before="49"/>
        <w:ind w:left="112" w:right="6494"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3"/>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1020" w:right="1020"/>
        </w:sectPr>
      </w:pPr>
    </w:p>
    <w:p>
      <w:pPr>
        <w:spacing w:line="240" w:lineRule="auto" w:before="13"/>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2"/>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5"/>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20"/>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0" w:lineRule="auto" w:before="49"/>
        <w:ind w:left="112" w:right="2534"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7"/>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7"/>
        <w:gridCol w:w="2396"/>
        <w:gridCol w:w="2393"/>
        <w:gridCol w:w="2393"/>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0"/>
        <w:rPr>
          <w:rFonts w:ascii="宋体" w:hAnsi="宋体" w:cs="宋体" w:eastAsia="宋体" w:hint="default"/>
          <w:sz w:val="18"/>
          <w:szCs w:val="18"/>
        </w:rPr>
      </w:pPr>
    </w:p>
    <w:p>
      <w:pPr>
        <w:pStyle w:val="Heading3"/>
        <w:spacing w:line="240" w:lineRule="auto" w:before="122"/>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12,608,868.50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6,183,912.00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5,180,448.41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13,612,332.09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9"/>
              <w:jc w:val="left"/>
              <w:rPr>
                <w:rFonts w:ascii="宋体" w:hAnsi="宋体" w:cs="宋体" w:eastAsia="宋体" w:hint="default"/>
                <w:sz w:val="18"/>
                <w:szCs w:val="18"/>
              </w:rPr>
            </w:pPr>
            <w:r>
              <w:rPr>
                <w:rFonts w:ascii="宋体" w:hAnsi="宋体" w:cs="宋体" w:eastAsia="宋体" w:hint="default"/>
                <w:sz w:val="18"/>
                <w:szCs w:val="18"/>
              </w:rPr>
              <w:t>收到政府各项支持 项目补助</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一年内到期的递延 收益</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-1,949,050.00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-1,949,050.00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9"/>
              <w:jc w:val="left"/>
              <w:rPr>
                <w:rFonts w:ascii="宋体" w:hAnsi="宋体" w:cs="宋体" w:eastAsia="宋体" w:hint="default"/>
                <w:sz w:val="18"/>
                <w:szCs w:val="18"/>
              </w:rPr>
            </w:pPr>
            <w:r>
              <w:rPr>
                <w:rFonts w:ascii="宋体" w:hAnsi="宋体" w:cs="宋体" w:eastAsia="宋体" w:hint="default"/>
                <w:sz w:val="18"/>
                <w:szCs w:val="18"/>
              </w:rPr>
              <w:t>本期递延收益摊销 部分</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10,659,818.50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6,183,912.00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3,231,398.41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13,612,332.09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20"/>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062"/>
        <w:gridCol w:w="1066"/>
        <w:gridCol w:w="1064"/>
        <w:gridCol w:w="1063"/>
        <w:gridCol w:w="1061"/>
        <w:gridCol w:w="1063"/>
        <w:gridCol w:w="1063"/>
        <w:gridCol w:w="1064"/>
        <w:gridCol w:w="1063"/>
      </w:tblGrid>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76" w:right="0"/>
              <w:jc w:val="left"/>
              <w:rPr>
                <w:rFonts w:ascii="宋体" w:hAnsi="宋体" w:cs="宋体" w:eastAsia="宋体" w:hint="default"/>
                <w:sz w:val="18"/>
                <w:szCs w:val="18"/>
              </w:rPr>
            </w:pPr>
            <w:r>
              <w:rPr>
                <w:rFonts w:ascii="宋体" w:hAnsi="宋体" w:cs="宋体" w:eastAsia="宋体" w:hint="default"/>
                <w:sz w:val="18"/>
                <w:szCs w:val="18"/>
              </w:rPr>
              <w:t>本期新增补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76" w:right="0"/>
              <w:jc w:val="left"/>
              <w:rPr>
                <w:rFonts w:ascii="宋体" w:hAnsi="宋体" w:cs="宋体" w:eastAsia="宋体" w:hint="default"/>
                <w:sz w:val="18"/>
                <w:szCs w:val="18"/>
              </w:rPr>
            </w:pPr>
            <w:r>
              <w:rPr>
                <w:rFonts w:ascii="宋体" w:hAnsi="宋体" w:cs="宋体" w:eastAsia="宋体" w:hint="default"/>
                <w:sz w:val="18"/>
                <w:szCs w:val="18"/>
              </w:rPr>
              <w:t>本期计入营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76" w:right="0"/>
              <w:jc w:val="left"/>
              <w:rPr>
                <w:rFonts w:ascii="宋体" w:hAnsi="宋体" w:cs="宋体" w:eastAsia="宋体" w:hint="default"/>
                <w:sz w:val="18"/>
                <w:szCs w:val="18"/>
              </w:rPr>
            </w:pPr>
            <w:r>
              <w:rPr>
                <w:rFonts w:ascii="宋体" w:hAnsi="宋体" w:cs="宋体" w:eastAsia="宋体" w:hint="default"/>
                <w:sz w:val="18"/>
                <w:szCs w:val="18"/>
              </w:rPr>
              <w:t>本期计入其</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79" w:right="0"/>
              <w:jc w:val="left"/>
              <w:rPr>
                <w:rFonts w:ascii="宋体" w:hAnsi="宋体" w:cs="宋体" w:eastAsia="宋体" w:hint="default"/>
                <w:sz w:val="18"/>
                <w:szCs w:val="18"/>
              </w:rPr>
            </w:pPr>
            <w:r>
              <w:rPr>
                <w:rFonts w:ascii="宋体" w:hAnsi="宋体" w:cs="宋体" w:eastAsia="宋体" w:hint="default"/>
                <w:sz w:val="18"/>
                <w:szCs w:val="18"/>
              </w:rPr>
              <w:t>本期冲减成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5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67"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67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6" w:right="0"/>
              <w:jc w:val="left"/>
              <w:rPr>
                <w:rFonts w:ascii="宋体" w:hAnsi="宋体" w:cs="宋体" w:eastAsia="宋体" w:hint="default"/>
                <w:sz w:val="18"/>
                <w:szCs w:val="18"/>
              </w:rPr>
            </w:pPr>
            <w:r>
              <w:rPr>
                <w:rFonts w:ascii="宋体" w:hAnsi="宋体" w:cs="宋体" w:eastAsia="宋体" w:hint="default"/>
                <w:sz w:val="18"/>
                <w:szCs w:val="18"/>
              </w:rPr>
              <w:t>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436" w:right="74" w:hanging="360"/>
              <w:jc w:val="left"/>
              <w:rPr>
                <w:rFonts w:ascii="宋体" w:hAnsi="宋体" w:cs="宋体" w:eastAsia="宋体" w:hint="default"/>
                <w:sz w:val="18"/>
                <w:szCs w:val="18"/>
              </w:rPr>
            </w:pPr>
            <w:r>
              <w:rPr>
                <w:rFonts w:ascii="宋体" w:hAnsi="宋体" w:cs="宋体" w:eastAsia="宋体" w:hint="default"/>
                <w:sz w:val="18"/>
                <w:szCs w:val="18"/>
              </w:rPr>
              <w:t>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6" w:right="0"/>
              <w:jc w:val="left"/>
              <w:rPr>
                <w:rFonts w:ascii="宋体" w:hAnsi="宋体" w:cs="宋体" w:eastAsia="宋体" w:hint="default"/>
                <w:sz w:val="18"/>
                <w:szCs w:val="18"/>
              </w:rPr>
            </w:pPr>
            <w:r>
              <w:rPr>
                <w:rFonts w:ascii="宋体" w:hAnsi="宋体" w:cs="宋体" w:eastAsia="宋体" w:hint="default"/>
                <w:sz w:val="18"/>
                <w:szCs w:val="18"/>
              </w:rPr>
              <w:t>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9" w:right="0"/>
              <w:jc w:val="left"/>
              <w:rPr>
                <w:rFonts w:ascii="宋体" w:hAnsi="宋体" w:cs="宋体" w:eastAsia="宋体" w:hint="default"/>
                <w:sz w:val="18"/>
                <w:szCs w:val="18"/>
              </w:rPr>
            </w:pPr>
            <w:r>
              <w:rPr>
                <w:rFonts w:ascii="宋体" w:hAnsi="宋体" w:cs="宋体" w:eastAsia="宋体" w:hint="default"/>
                <w:sz w:val="18"/>
                <w:szCs w:val="18"/>
              </w:rPr>
              <w:t>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74"/>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高性能签名 验签服务器 产业化中央 补助资金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1,466,666.67</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6,533,333.33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基于国产密 码算法电子 认证关键技 术研究及应 用示范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315,650.00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315,650.00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北京市电子 认证服务试 点项目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7"/>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北京市支持 信息化发展 项目</w:t>
            </w:r>
            <w:r>
              <w:rPr>
                <w:rFonts w:ascii="Times New Roman" w:hAnsi="Times New Roman" w:cs="Times New Roman" w:eastAsia="Times New Roman" w:hint="default"/>
                <w:sz w:val="18"/>
                <w:szCs w:val="18"/>
              </w:rPr>
              <w:t>-</w:t>
            </w:r>
            <w:r>
              <w:rPr>
                <w:rFonts w:ascii="宋体" w:hAnsi="宋体" w:cs="宋体" w:eastAsia="宋体" w:hint="default"/>
                <w:sz w:val="18"/>
                <w:szCs w:val="18"/>
              </w:rPr>
              <w:t>云安全 服务平台项 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116,900.00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可信电子凭 证技术研发 与应用示范 项目专项补 贴</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976,318.50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332,668.86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-643,649.64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信息服务可 信及功能完 整性证明技 术研究</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1,517,000.00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18,899.43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1,498,100.57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7"/>
              <w:jc w:val="both"/>
              <w:rPr>
                <w:rFonts w:ascii="宋体" w:hAnsi="宋体" w:cs="宋体" w:eastAsia="宋体" w:hint="default"/>
                <w:sz w:val="18"/>
                <w:szCs w:val="18"/>
              </w:rPr>
            </w:pPr>
            <w:r>
              <w:rPr>
                <w:rFonts w:ascii="宋体" w:hAnsi="宋体" w:cs="宋体" w:eastAsia="宋体" w:hint="default"/>
                <w:sz w:val="18"/>
                <w:szCs w:val="18"/>
              </w:rPr>
              <w:t>亿级规模网 络身份管理 与服务系统 技术</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1,121,112.00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676,425.09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444,686.91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信息服务可 信管理平台 研制及应用 示范</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1,410,800.00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85,342.72</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1,325,457.28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信息服务可 信管理分级 分类体系研 究</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w w:val="95"/>
                <w:sz w:val="18"/>
              </w:rPr>
              <w:t>6,201.00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503,799.00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信息服务安</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699,008.00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right"/>
        <w:rPr>
          <w:rFonts w:ascii="宋体" w:hAnsi="宋体" w:cs="宋体" w:eastAsia="宋体" w:hint="default"/>
          <w:sz w:val="18"/>
          <w:szCs w:val="18"/>
        </w:rPr>
        <w:sectPr>
          <w:pgSz w:w="11910" w:h="16840"/>
          <w:pgMar w:header="867"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98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129"/>
              <w:jc w:val="both"/>
              <w:rPr>
                <w:rFonts w:ascii="宋体" w:hAnsi="宋体" w:cs="宋体" w:eastAsia="宋体" w:hint="default"/>
                <w:sz w:val="18"/>
                <w:szCs w:val="18"/>
              </w:rPr>
            </w:pPr>
            <w:r>
              <w:rPr>
                <w:rFonts w:ascii="宋体" w:hAnsi="宋体" w:cs="宋体" w:eastAsia="宋体" w:hint="default"/>
                <w:sz w:val="18"/>
                <w:szCs w:val="18"/>
              </w:rPr>
              <w:t>全评估体系 及测评标准 研究</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移动终端软 件生态体系 安全技术研 究</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925,000.00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553.00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1" w:right="0"/>
              <w:jc w:val="left"/>
              <w:rPr>
                <w:rFonts w:ascii="Times New Roman" w:hAnsi="Times New Roman" w:cs="Times New Roman" w:eastAsia="Times New Roman" w:hint="default"/>
                <w:sz w:val="18"/>
                <w:szCs w:val="18"/>
              </w:rPr>
            </w:pPr>
            <w:r>
              <w:rPr>
                <w:rFonts w:ascii="Times New Roman"/>
                <w:sz w:val="18"/>
              </w:rPr>
              <w:t>924,447.00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12,608,868.5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6,183,912.00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4,536,798.77</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-643,649.64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13,612,332.0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4"/>
        <w:gridCol w:w="1198"/>
        <w:gridCol w:w="1196"/>
        <w:gridCol w:w="1195"/>
        <w:gridCol w:w="1198"/>
        <w:gridCol w:w="1195"/>
        <w:gridCol w:w="1197"/>
        <w:gridCol w:w="1196"/>
      </w:tblGrid>
      <w:tr>
        <w:trPr>
          <w:trHeight w:val="402"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80,000,000.00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8" w:right="0"/>
              <w:jc w:val="left"/>
              <w:rPr>
                <w:rFonts w:ascii="Times New Roman" w:hAnsi="Times New Roman" w:cs="Times New Roman" w:eastAsia="Times New Roman" w:hint="default"/>
                <w:sz w:val="18"/>
                <w:szCs w:val="18"/>
              </w:rPr>
            </w:pPr>
            <w:r>
              <w:rPr>
                <w:rFonts w:ascii="Times New Roman"/>
                <w:sz w:val="18"/>
              </w:rPr>
              <w:t>80,000,000.00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3"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2" w:lineRule="auto" w:before="49"/>
        <w:ind w:left="112" w:right="3614"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242,254,231.31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242,254,231.31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242,254,231.31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242,254,231.31</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10"/>
        <w:gridCol w:w="1068"/>
        <w:gridCol w:w="936"/>
        <w:gridCol w:w="1152"/>
        <w:gridCol w:w="934"/>
        <w:gridCol w:w="937"/>
        <w:gridCol w:w="936"/>
        <w:gridCol w:w="799"/>
      </w:tblGrid>
      <w:tr>
        <w:trPr>
          <w:trHeight w:val="401" w:hRule="exact"/>
        </w:trPr>
        <w:tc>
          <w:tcPr>
            <w:tcW w:w="2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7" w:hRule="exact"/>
        </w:trPr>
        <w:tc>
          <w:tcPr>
            <w:tcW w:w="2810"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9" w:type="dxa"/>
            <w:vMerge/>
            <w:tcBorders>
              <w:left w:val="single" w:sz="4" w:space="0" w:color="000000"/>
              <w:bottom w:val="single" w:sz="4" w:space="0" w:color="000000"/>
              <w:right w:val="single" w:sz="4" w:space="0" w:color="000000"/>
            </w:tcBorders>
            <w:shd w:val="clear" w:color="auto" w:fill="D2D2D2"/>
          </w:tcPr>
          <w:p>
            <w:pP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22"/>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19,101,729.88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5,625,911.20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24,727,641.08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19,101,729.88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5,625,911.20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24,727,641.08</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240" w:lineRule="auto" w:before="96"/>
        <w:ind w:left="533" w:right="0"/>
        <w:jc w:val="left"/>
      </w:pPr>
      <w:r>
        <w:rPr/>
        <w:t>根据本公司的净利润提取</w:t>
      </w:r>
      <w:r>
        <w:rPr>
          <w:rFonts w:ascii="Times New Roman" w:hAnsi="Times New Roman" w:cs="Times New Roman" w:eastAsia="Times New Roman" w:hint="default"/>
        </w:rPr>
        <w:t>10%</w:t>
      </w:r>
      <w:r>
        <w:rPr/>
        <w:t>的法定盈余公积金。</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726"/>
        <w:gridCol w:w="2924"/>
        <w:gridCol w:w="2919"/>
      </w:tblGrid>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143,828,203.88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101,315,263.92</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143,828,203.88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101,315,263.92</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84,245,509.94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59,960,793.41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5,625,911.20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4,847,853.45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12,600,000.00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198,447,802.62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143,828,203.88</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8" w:right="0"/>
              <w:jc w:val="left"/>
              <w:rPr>
                <w:rFonts w:ascii="Times New Roman" w:hAnsi="Times New Roman" w:cs="Times New Roman" w:eastAsia="Times New Roman" w:hint="default"/>
                <w:sz w:val="18"/>
                <w:szCs w:val="18"/>
              </w:rPr>
            </w:pPr>
            <w:r>
              <w:rPr>
                <w:rFonts w:ascii="Times New Roman"/>
                <w:sz w:val="18"/>
              </w:rPr>
              <w:t>519,848,359.34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217,352,457.39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444,116,948.43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184,309,676.45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1,398,132.47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1,115,704.96</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58" w:right="0"/>
              <w:jc w:val="left"/>
              <w:rPr>
                <w:rFonts w:ascii="Times New Roman" w:hAnsi="Times New Roman" w:cs="Times New Roman" w:eastAsia="Times New Roman" w:hint="default"/>
                <w:sz w:val="18"/>
                <w:szCs w:val="18"/>
              </w:rPr>
            </w:pPr>
            <w:r>
              <w:rPr>
                <w:rFonts w:ascii="Times New Roman"/>
                <w:sz w:val="18"/>
              </w:rPr>
              <w:t>519,848,359.34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56" w:right="0"/>
              <w:jc w:val="left"/>
              <w:rPr>
                <w:rFonts w:ascii="Times New Roman" w:hAnsi="Times New Roman" w:cs="Times New Roman" w:eastAsia="Times New Roman" w:hint="default"/>
                <w:sz w:val="18"/>
                <w:szCs w:val="18"/>
              </w:rPr>
            </w:pPr>
            <w:r>
              <w:rPr>
                <w:rFonts w:ascii="Times New Roman"/>
                <w:sz w:val="18"/>
              </w:rPr>
              <w:t>217,352,457.39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445,515,080.90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185,425,381.41</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1,525,432.42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2,229,191.25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1,089,594.58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1,592,279.47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378,233.00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137,864.12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2,993,260.00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3,959,334.84</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51,234,814.96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39,367,820.42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15,819,631.74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15,493,963.78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8,051,920.43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7,657,542.85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租赁及办公费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7,854,571.84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5,593,604.14</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610,418.61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324,439.98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83,571,357.58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68,437,371.17</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107,848,795.07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85,049,193.41</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租赁及办公费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21,069,915.13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19,562,344.72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2,559,671.30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3,538,690.47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1,286,372.54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1,961,543.03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2,503,060.61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1,874,129.90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税费及残疾人保证金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2,032,169.12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1,798,772.18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834,202.79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787,979.53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2,183,076.58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1,233,885.30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140,317,263.14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115,806,538.54</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2"/>
        <w:ind w:right="0"/>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-3,667,165.02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-1,715,010.43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258,033.68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153,420.02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-3,409,131.34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-1,561,590.41</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12,440,939.94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10,922,841.69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12,440,939.94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10,922,841.69</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13"/>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-552,634.19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量产生的利得</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13,442,480.47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2,976,033.57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15,865,879.85</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2"/>
        <w:ind w:right="0"/>
        <w:jc w:val="left"/>
        <w:rPr>
          <w:b w:val="0"/>
          <w:bCs w:val="0"/>
        </w:rPr>
      </w:pPr>
      <w:r>
        <w:rPr>
          <w:rFonts w:ascii="Times New Roman" w:hAnsi="Times New Roman" w:cs="Times New Roman" w:eastAsia="Times New Roman" w:hint="default"/>
        </w:rPr>
        <w:t>69</w:t>
      </w:r>
      <w:r>
        <w:rPr/>
        <w:t>、资产处置收益</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-21,846.96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181,135.08</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70</w:t>
      </w:r>
      <w:r>
        <w:rPr/>
        <w:t>、其他收益</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5245"/>
        <w:gridCol w:w="2268"/>
        <w:gridCol w:w="2057"/>
      </w:tblGrid>
      <w:tr>
        <w:trPr>
          <w:trHeight w:val="401"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增值税退税收入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8,277,640.54</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高性能签名验签服务器产业化中央补助资金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1,466,666.67</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基于国产密码算法电子认证关键技术研究及应用示范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315,650.00</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北京市电子认证服务试点项目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1,600,000.00</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收北京市经济和信息化委员会曙光服务器政府补助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33,400.00</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可信电子凭证技术研发与应用示范项目专项补贴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332,668.86</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信息服务可信及功能完整性证明技术研究</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18,899.43</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亿级规模网络身份管理与服务系统技术</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676,425.09</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信息服务可信管理平台研制及应用示范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85,342.72</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信息服务可信管理分级分类体系研究</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6,201.00</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信息服务安全评估体系及测评标准研究</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992.00</w:t>
            </w:r>
          </w:p>
        </w:tc>
        <w:tc>
          <w:tcPr>
            <w:tcW w:w="20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5245"/>
        <w:gridCol w:w="2268"/>
        <w:gridCol w:w="2057"/>
      </w:tblGrid>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移动终端软件生态体系安全技术研究</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553.00</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北京市科学技术委员会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年北京市高新技术成果转化项目拨款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700,000.00</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政府其他奖励补贴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233,614.66</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13,748,053.97</w:t>
            </w:r>
          </w:p>
        </w:tc>
        <w:tc>
          <w:tcPr>
            <w:tcW w:w="20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71</w:t>
      </w:r>
      <w:r>
        <w:rPr/>
        <w:t>、营业外收入</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88"/>
        <w:gridCol w:w="2396"/>
        <w:gridCol w:w="2393"/>
        <w:gridCol w:w="2393"/>
      </w:tblGrid>
      <w:tr>
        <w:trPr>
          <w:trHeight w:val="163"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9,130,805.54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9,130,805.54</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1" w:firstLine="0"/>
        <w:jc w:val="right"/>
        <w:rPr>
          <w:rFonts w:ascii="宋体" w:hAnsi="宋体" w:cs="宋体" w:eastAsia="宋体" w:hint="default"/>
          <w:sz w:val="18"/>
          <w:szCs w:val="18"/>
        </w:rPr>
      </w:pPr>
      <w:r>
        <w:rPr/>
        <w:pict>
          <v:group style="position:absolute;margin-left:56.400002pt;margin-top:22.721756pt;width:479.05pt;height:431.6pt;mso-position-horizontal-relative:page;mso-position-vertical-relative:paragraph;z-index:-831064" coordorigin="1128,454" coordsize="9581,8632">
            <v:group style="position:absolute;left:1140;top:469;width:1055;height:706" coordorigin="1140,469" coordsize="1055,706">
              <v:shape style="position:absolute;left:1140;top:469;width:1055;height:706" coordorigin="1140,469" coordsize="1055,706" path="m1140,1174l2194,1174,2194,469,1140,469,1140,1174xe" filled="true" fillcolor="#d2d2d2" stroked="false">
                <v:path arrowok="t"/>
                <v:fill type="solid"/>
              </v:shape>
            </v:group>
            <v:group style="position:absolute;left:1162;top:625;width:1011;height:394" coordorigin="1162,625" coordsize="1011,394">
              <v:shape style="position:absolute;left:1162;top:625;width:1011;height:394" coordorigin="1162,625" coordsize="1011,394" path="m1162,1018l2172,1018,2172,625,1162,625,1162,1018xe" filled="true" fillcolor="#d2d2d2" stroked="false">
                <v:path arrowok="t"/>
                <v:fill type="solid"/>
              </v:shape>
            </v:group>
            <v:group style="position:absolute;left:2204;top:469;width:1054;height:706" coordorigin="2204,469" coordsize="1054,706">
              <v:shape style="position:absolute;left:2204;top:469;width:1054;height:706" coordorigin="2204,469" coordsize="1054,706" path="m2204,1174l3257,1174,3257,469,2204,469,2204,1174xe" filled="true" fillcolor="#d2d2d2" stroked="false">
                <v:path arrowok="t"/>
                <v:fill type="solid"/>
              </v:shape>
            </v:group>
            <v:group style="position:absolute;left:2228;top:625;width:1006;height:394" coordorigin="2228,625" coordsize="1006,394">
              <v:shape style="position:absolute;left:2228;top:625;width:1006;height:394" coordorigin="2228,625" coordsize="1006,394" path="m2228,1018l3233,1018,3233,625,2228,625,2228,1018xe" filled="true" fillcolor="#d2d2d2" stroked="false">
                <v:path arrowok="t"/>
                <v:fill type="solid"/>
              </v:shape>
            </v:group>
            <v:group style="position:absolute;left:3267;top:469;width:1055;height:706" coordorigin="3267,469" coordsize="1055,706">
              <v:shape style="position:absolute;left:3267;top:469;width:1055;height:706" coordorigin="3267,469" coordsize="1055,706" path="m3267,1174l4321,1174,4321,469,3267,469,3267,1174xe" filled="true" fillcolor="#d2d2d2" stroked="false">
                <v:path arrowok="t"/>
                <v:fill type="solid"/>
              </v:shape>
            </v:group>
            <v:group style="position:absolute;left:3291;top:625;width:1007;height:394" coordorigin="3291,625" coordsize="1007,394">
              <v:shape style="position:absolute;left:3291;top:625;width:1007;height:394" coordorigin="3291,625" coordsize="1007,394" path="m3291,1018l4297,1018,4297,625,3291,625,3291,1018xe" filled="true" fillcolor="#d2d2d2" stroked="false">
                <v:path arrowok="t"/>
                <v:fill type="solid"/>
              </v:shape>
            </v:group>
            <v:group style="position:absolute;left:4331;top:469;width:1054;height:706" coordorigin="4331,469" coordsize="1054,706">
              <v:shape style="position:absolute;left:4331;top:469;width:1054;height:706" coordorigin="4331,469" coordsize="1054,706" path="m4331,1174l5384,1174,5384,469,4331,469,4331,1174xe" filled="true" fillcolor="#d2d2d2" stroked="false">
                <v:path arrowok="t"/>
                <v:fill type="solid"/>
              </v:shape>
            </v:group>
            <v:group style="position:absolute;left:4355;top:625;width:1006;height:394" coordorigin="4355,625" coordsize="1006,394">
              <v:shape style="position:absolute;left:4355;top:625;width:1006;height:394" coordorigin="4355,625" coordsize="1006,394" path="m4355,1018l5360,1018,5360,625,4355,625,4355,1018xe" filled="true" fillcolor="#d2d2d2" stroked="false">
                <v:path arrowok="t"/>
                <v:fill type="solid"/>
              </v:shape>
            </v:group>
            <v:group style="position:absolute;left:5394;top:469;width:1055;height:706" coordorigin="5394,469" coordsize="1055,706">
              <v:shape style="position:absolute;left:5394;top:469;width:1055;height:706" coordorigin="5394,469" coordsize="1055,706" path="m5394,1174l6448,1174,6448,469,5394,469,5394,1174xe" filled="true" fillcolor="#d2d2d2" stroked="false">
                <v:path arrowok="t"/>
                <v:fill type="solid"/>
              </v:shape>
            </v:group>
            <v:group style="position:absolute;left:5418;top:469;width:1007;height:353" coordorigin="5418,469" coordsize="1007,353">
              <v:shape style="position:absolute;left:5418;top:469;width:1007;height:353" coordorigin="5418,469" coordsize="1007,353" path="m5418,822l6424,822,6424,469,5418,469,5418,822xe" filled="true" fillcolor="#d2d2d2" stroked="false">
                <v:path arrowok="t"/>
                <v:fill type="solid"/>
              </v:shape>
            </v:group>
            <v:group style="position:absolute;left:5418;top:822;width:1007;height:353" coordorigin="5418,822" coordsize="1007,353">
              <v:shape style="position:absolute;left:5418;top:822;width:1007;height:353" coordorigin="5418,822" coordsize="1007,353" path="m5418,1174l6424,1174,6424,822,5418,822,5418,1174xe" filled="true" fillcolor="#d2d2d2" stroked="false">
                <v:path arrowok="t"/>
                <v:fill type="solid"/>
              </v:shape>
            </v:group>
            <v:group style="position:absolute;left:6457;top:469;width:1054;height:706" coordorigin="6457,469" coordsize="1054,706">
              <v:shape style="position:absolute;left:6457;top:469;width:1054;height:706" coordorigin="6457,469" coordsize="1054,706" path="m6457,1174l7511,1174,7511,469,6457,469,6457,1174xe" filled="true" fillcolor="#d2d2d2" stroked="false">
                <v:path arrowok="t"/>
                <v:fill type="solid"/>
              </v:shape>
            </v:group>
            <v:group style="position:absolute;left:6481;top:469;width:1006;height:353" coordorigin="6481,469" coordsize="1006,353">
              <v:shape style="position:absolute;left:6481;top:469;width:1006;height:353" coordorigin="6481,469" coordsize="1006,353" path="m6481,822l7487,822,7487,469,6481,469,6481,822xe" filled="true" fillcolor="#d2d2d2" stroked="false">
                <v:path arrowok="t"/>
                <v:fill type="solid"/>
              </v:shape>
            </v:group>
            <v:group style="position:absolute;left:6481;top:822;width:1006;height:353" coordorigin="6481,822" coordsize="1006,353">
              <v:shape style="position:absolute;left:6481;top:822;width:1006;height:353" coordorigin="6481,822" coordsize="1006,353" path="m6481,1174l7487,1174,7487,822,6481,822,6481,1174xe" filled="true" fillcolor="#d2d2d2" stroked="false">
                <v:path arrowok="t"/>
                <v:fill type="solid"/>
              </v:shape>
            </v:group>
            <v:group style="position:absolute;left:7521;top:469;width:1054;height:706" coordorigin="7521,469" coordsize="1054,706">
              <v:shape style="position:absolute;left:7521;top:469;width:1054;height:706" coordorigin="7521,469" coordsize="1054,706" path="m7521,1174l8574,1174,8574,469,7521,469,7521,1174xe" filled="true" fillcolor="#d2d2d2" stroked="false">
                <v:path arrowok="t"/>
                <v:fill type="solid"/>
              </v:shape>
            </v:group>
            <v:group style="position:absolute;left:7542;top:469;width:1008;height:353" coordorigin="7542,469" coordsize="1008,353">
              <v:shape style="position:absolute;left:7542;top:469;width:1008;height:353" coordorigin="7542,469" coordsize="1008,353" path="m7542,822l8550,822,8550,469,7542,469,7542,822xe" filled="true" fillcolor="#d2d2d2" stroked="false">
                <v:path arrowok="t"/>
                <v:fill type="solid"/>
              </v:shape>
            </v:group>
            <v:group style="position:absolute;left:7542;top:822;width:1008;height:353" coordorigin="7542,822" coordsize="1008,353">
              <v:shape style="position:absolute;left:7542;top:822;width:1008;height:353" coordorigin="7542,822" coordsize="1008,353" path="m7542,1174l8550,1174,8550,822,7542,822,7542,1174xe" filled="true" fillcolor="#d2d2d2" stroked="false">
                <v:path arrowok="t"/>
                <v:fill type="solid"/>
              </v:shape>
            </v:group>
            <v:group style="position:absolute;left:8584;top:469;width:1055;height:706" coordorigin="8584,469" coordsize="1055,706">
              <v:shape style="position:absolute;left:8584;top:469;width:1055;height:706" coordorigin="8584,469" coordsize="1055,706" path="m8584,1174l9638,1174,9638,469,8584,469,8584,1174xe" filled="true" fillcolor="#d2d2d2" stroked="false">
                <v:path arrowok="t"/>
                <v:fill type="solid"/>
              </v:shape>
            </v:group>
            <v:group style="position:absolute;left:8605;top:469;width:1009;height:353" coordorigin="8605,469" coordsize="1009,353">
              <v:shape style="position:absolute;left:8605;top:469;width:1009;height:353" coordorigin="8605,469" coordsize="1009,353" path="m8605,822l9614,822,9614,469,8605,469,8605,822xe" filled="true" fillcolor="#d2d2d2" stroked="false">
                <v:path arrowok="t"/>
                <v:fill type="solid"/>
              </v:shape>
            </v:group>
            <v:group style="position:absolute;left:8605;top:822;width:1009;height:353" coordorigin="8605,822" coordsize="1009,353">
              <v:shape style="position:absolute;left:8605;top:822;width:1009;height:353" coordorigin="8605,822" coordsize="1009,353" path="m8605,1174l9614,1174,9614,822,8605,822,8605,1174xe" filled="true" fillcolor="#d2d2d2" stroked="false">
                <v:path arrowok="t"/>
                <v:fill type="solid"/>
              </v:shape>
            </v:group>
            <v:group style="position:absolute;left:9648;top:469;width:1052;height:706" coordorigin="9648,469" coordsize="1052,706">
              <v:shape style="position:absolute;left:9648;top:469;width:1052;height:706" coordorigin="9648,469" coordsize="1052,706" path="m9648,1174l10699,1174,10699,469,9648,469,9648,1174xe" filled="true" fillcolor="#d2d2d2" stroked="false">
                <v:path arrowok="t"/>
                <v:fill type="solid"/>
              </v:shape>
            </v:group>
            <v:group style="position:absolute;left:9669;top:469;width:1008;height:353" coordorigin="9669,469" coordsize="1008,353">
              <v:shape style="position:absolute;left:9669;top:469;width:1008;height:353" coordorigin="9669,469" coordsize="1008,353" path="m9669,822l10677,822,10677,469,9669,469,9669,822xe" filled="true" fillcolor="#d2d2d2" stroked="false">
                <v:path arrowok="t"/>
                <v:fill type="solid"/>
              </v:shape>
            </v:group>
            <v:group style="position:absolute;left:9669;top:822;width:1008;height:353" coordorigin="9669,822" coordsize="1008,353">
              <v:shape style="position:absolute;left:9669;top:822;width:1008;height:353" coordorigin="9669,822" coordsize="1008,353" path="m9669,1174l10677,1174,10677,822,9669,822,9669,1174xe" filled="true" fillcolor="#d2d2d2" stroked="false">
                <v:path arrowok="t"/>
                <v:fill type="solid"/>
              </v:shape>
            </v:group>
            <v:group style="position:absolute;left:1138;top:464;width:1057;height:2" coordorigin="1138,464" coordsize="1057,2">
              <v:shape style="position:absolute;left:1138;top:464;width:1057;height:2" coordorigin="1138,464" coordsize="1057,0" path="m1138,464l2194,464e" filled="false" stroked="true" strokeweight=".47998pt" strokecolor="#000000">
                <v:path arrowok="t"/>
              </v:shape>
            </v:group>
            <v:group style="position:absolute;left:2204;top:464;width:1054;height:2" coordorigin="2204,464" coordsize="1054,2">
              <v:shape style="position:absolute;left:2204;top:464;width:1054;height:2" coordorigin="2204,464" coordsize="1054,0" path="m2204,464l3257,464e" filled="false" stroked="true" strokeweight=".47998pt" strokecolor="#000000">
                <v:path arrowok="t"/>
              </v:shape>
            </v:group>
            <v:group style="position:absolute;left:3267;top:464;width:1055;height:2" coordorigin="3267,464" coordsize="1055,2">
              <v:shape style="position:absolute;left:3267;top:464;width:1055;height:2" coordorigin="3267,464" coordsize="1055,0" path="m3267,464l4321,464e" filled="false" stroked="true" strokeweight=".47998pt" strokecolor="#000000">
                <v:path arrowok="t"/>
              </v:shape>
            </v:group>
            <v:group style="position:absolute;left:4331;top:464;width:1054;height:2" coordorigin="4331,464" coordsize="1054,2">
              <v:shape style="position:absolute;left:4331;top:464;width:1054;height:2" coordorigin="4331,464" coordsize="1054,0" path="m4331,464l5384,464e" filled="false" stroked="true" strokeweight=".47998pt" strokecolor="#000000">
                <v:path arrowok="t"/>
              </v:shape>
            </v:group>
            <v:group style="position:absolute;left:5394;top:464;width:1052;height:2" coordorigin="5394,464" coordsize="1052,2">
              <v:shape style="position:absolute;left:5394;top:464;width:1052;height:2" coordorigin="5394,464" coordsize="1052,0" path="m5394,464l6445,464e" filled="false" stroked="true" strokeweight=".47998pt" strokecolor="#000000">
                <v:path arrowok="t"/>
              </v:shape>
            </v:group>
            <v:group style="position:absolute;left:6455;top:464;width:1054;height:2" coordorigin="6455,464" coordsize="1054,2">
              <v:shape style="position:absolute;left:6455;top:464;width:1054;height:2" coordorigin="6455,464" coordsize="1054,0" path="m6455,464l7509,464e" filled="false" stroked="true" strokeweight=".47998pt" strokecolor="#000000">
                <v:path arrowok="t"/>
              </v:shape>
            </v:group>
            <v:group style="position:absolute;left:7518;top:464;width:1054;height:2" coordorigin="7518,464" coordsize="1054,2">
              <v:shape style="position:absolute;left:7518;top:464;width:1054;height:2" coordorigin="7518,464" coordsize="1054,0" path="m7518,464l8572,464e" filled="false" stroked="true" strokeweight=".47998pt" strokecolor="#000000">
                <v:path arrowok="t"/>
              </v:shape>
            </v:group>
            <v:group style="position:absolute;left:8581;top:464;width:1055;height:2" coordorigin="8581,464" coordsize="1055,2">
              <v:shape style="position:absolute;left:8581;top:464;width:1055;height:2" coordorigin="8581,464" coordsize="1055,0" path="m8581,464l9635,464e" filled="false" stroked="true" strokeweight=".47998pt" strokecolor="#000000">
                <v:path arrowok="t"/>
              </v:shape>
            </v:group>
            <v:group style="position:absolute;left:9645;top:464;width:1054;height:2" coordorigin="9645,464" coordsize="1054,2">
              <v:shape style="position:absolute;left:9645;top:464;width:1054;height:2" coordorigin="9645,464" coordsize="1054,0" path="m9645,464l10699,464e" filled="false" stroked="true" strokeweight=".47998pt" strokecolor="#000000">
                <v:path arrowok="t"/>
              </v:shape>
            </v:group>
            <v:group style="position:absolute;left:1138;top:1179;width:1057;height:2" coordorigin="1138,1179" coordsize="1057,2">
              <v:shape style="position:absolute;left:1138;top:1179;width:1057;height:2" coordorigin="1138,1179" coordsize="1057,0" path="m1138,1179l2194,1179e" filled="false" stroked="true" strokeweight=".48001pt" strokecolor="#000000">
                <v:path arrowok="t"/>
              </v:shape>
            </v:group>
            <v:group style="position:absolute;left:2204;top:1179;width:1054;height:2" coordorigin="2204,1179" coordsize="1054,2">
              <v:shape style="position:absolute;left:2204;top:1179;width:1054;height:2" coordorigin="2204,1179" coordsize="1054,0" path="m2204,1179l3257,1179e" filled="false" stroked="true" strokeweight=".48001pt" strokecolor="#000000">
                <v:path arrowok="t"/>
              </v:shape>
            </v:group>
            <v:group style="position:absolute;left:3267;top:1179;width:1055;height:2" coordorigin="3267,1179" coordsize="1055,2">
              <v:shape style="position:absolute;left:3267;top:1179;width:1055;height:2" coordorigin="3267,1179" coordsize="1055,0" path="m3267,1179l4321,1179e" filled="false" stroked="true" strokeweight=".48001pt" strokecolor="#000000">
                <v:path arrowok="t"/>
              </v:shape>
            </v:group>
            <v:group style="position:absolute;left:4331;top:1179;width:1054;height:2" coordorigin="4331,1179" coordsize="1054,2">
              <v:shape style="position:absolute;left:4331;top:1179;width:1054;height:2" coordorigin="4331,1179" coordsize="1054,0" path="m4331,1179l5384,1179e" filled="false" stroked="true" strokeweight=".48001pt" strokecolor="#000000">
                <v:path arrowok="t"/>
              </v:shape>
            </v:group>
            <v:group style="position:absolute;left:5394;top:1179;width:1052;height:2" coordorigin="5394,1179" coordsize="1052,2">
              <v:shape style="position:absolute;left:5394;top:1179;width:1052;height:2" coordorigin="5394,1179" coordsize="1052,0" path="m5394,1179l6445,1179e" filled="false" stroked="true" strokeweight=".48001pt" strokecolor="#000000">
                <v:path arrowok="t"/>
              </v:shape>
            </v:group>
            <v:group style="position:absolute;left:6455;top:1179;width:1054;height:2" coordorigin="6455,1179" coordsize="1054,2">
              <v:shape style="position:absolute;left:6455;top:1179;width:1054;height:2" coordorigin="6455,1179" coordsize="1054,0" path="m6455,1179l7509,1179e" filled="false" stroked="true" strokeweight=".48001pt" strokecolor="#000000">
                <v:path arrowok="t"/>
              </v:shape>
            </v:group>
            <v:group style="position:absolute;left:7518;top:1179;width:1054;height:2" coordorigin="7518,1179" coordsize="1054,2">
              <v:shape style="position:absolute;left:7518;top:1179;width:1054;height:2" coordorigin="7518,1179" coordsize="1054,0" path="m7518,1179l8572,1179e" filled="false" stroked="true" strokeweight=".48001pt" strokecolor="#000000">
                <v:path arrowok="t"/>
              </v:shape>
            </v:group>
            <v:group style="position:absolute;left:8581;top:1179;width:1055;height:2" coordorigin="8581,1179" coordsize="1055,2">
              <v:shape style="position:absolute;left:8581;top:1179;width:1055;height:2" coordorigin="8581,1179" coordsize="1055,0" path="m8581,1179l9635,1179e" filled="false" stroked="true" strokeweight=".48001pt" strokecolor="#000000">
                <v:path arrowok="t"/>
              </v:shape>
            </v:group>
            <v:group style="position:absolute;left:9645;top:1179;width:1054;height:2" coordorigin="9645,1179" coordsize="1054,2">
              <v:shape style="position:absolute;left:9645;top:1179;width:1054;height:2" coordorigin="9645,1179" coordsize="1054,0" path="m9645,1179l10699,1179e" filled="false" stroked="true" strokeweight=".48001pt" strokecolor="#000000">
                <v:path arrowok="t"/>
              </v:shape>
            </v:group>
            <v:group style="position:absolute;left:5394;top:3457;width:1055;height:1642" coordorigin="5394,3457" coordsize="1055,1642">
              <v:shape style="position:absolute;left:5394;top:3457;width:1055;height:1642" coordorigin="5394,3457" coordsize="1055,1642" path="m5394,5099l6448,5099,6448,3457,5394,3457,5394,5099xe" filled="true" fillcolor="#ffffff" stroked="false">
                <v:path arrowok="t"/>
                <v:fill type="solid"/>
              </v:shape>
            </v:group>
            <v:group style="position:absolute;left:5418;top:4081;width:1007;height:394" coordorigin="5418,4081" coordsize="1007,394">
              <v:shape style="position:absolute;left:5418;top:4081;width:1007;height:394" coordorigin="5418,4081" coordsize="1007,394" path="m5418,4475l6424,4475,6424,4081,5418,4081,5418,4475xe" filled="true" fillcolor="#ffffff" stroked="false">
                <v:path arrowok="t"/>
                <v:fill type="solid"/>
              </v:shape>
            </v:group>
            <v:group style="position:absolute;left:1138;top:3452;width:1057;height:2" coordorigin="1138,3452" coordsize="1057,2">
              <v:shape style="position:absolute;left:1138;top:3452;width:1057;height:2" coordorigin="1138,3452" coordsize="1057,0" path="m1138,3452l2194,3452e" filled="false" stroked="true" strokeweight=".48001pt" strokecolor="#000000">
                <v:path arrowok="t"/>
              </v:shape>
            </v:group>
            <v:group style="position:absolute;left:2204;top:3452;width:1054;height:2" coordorigin="2204,3452" coordsize="1054,2">
              <v:shape style="position:absolute;left:2204;top:3452;width:1054;height:2" coordorigin="2204,3452" coordsize="1054,0" path="m2204,3452l3257,3452e" filled="false" stroked="true" strokeweight=".48001pt" strokecolor="#000000">
                <v:path arrowok="t"/>
              </v:shape>
            </v:group>
            <v:group style="position:absolute;left:3267;top:3452;width:1055;height:2" coordorigin="3267,3452" coordsize="1055,2">
              <v:shape style="position:absolute;left:3267;top:3452;width:1055;height:2" coordorigin="3267,3452" coordsize="1055,0" path="m3267,3452l4321,3452e" filled="false" stroked="true" strokeweight=".48001pt" strokecolor="#000000">
                <v:path arrowok="t"/>
              </v:shape>
            </v:group>
            <v:group style="position:absolute;left:4331;top:3452;width:1054;height:2" coordorigin="4331,3452" coordsize="1054,2">
              <v:shape style="position:absolute;left:4331;top:3452;width:1054;height:2" coordorigin="4331,3452" coordsize="1054,0" path="m4331,3452l5384,3452e" filled="false" stroked="true" strokeweight=".48001pt" strokecolor="#000000">
                <v:path arrowok="t"/>
              </v:shape>
            </v:group>
            <v:group style="position:absolute;left:5394;top:3452;width:1052;height:2" coordorigin="5394,3452" coordsize="1052,2">
              <v:shape style="position:absolute;left:5394;top:3452;width:1052;height:2" coordorigin="5394,3452" coordsize="1052,0" path="m5394,3452l6445,3452e" filled="false" stroked="true" strokeweight=".48001pt" strokecolor="#000000">
                <v:path arrowok="t"/>
              </v:shape>
            </v:group>
            <v:group style="position:absolute;left:6455;top:3452;width:1054;height:2" coordorigin="6455,3452" coordsize="1054,2">
              <v:shape style="position:absolute;left:6455;top:3452;width:1054;height:2" coordorigin="6455,3452" coordsize="1054,0" path="m6455,3452l7509,3452e" filled="false" stroked="true" strokeweight=".48001pt" strokecolor="#000000">
                <v:path arrowok="t"/>
              </v:shape>
            </v:group>
            <v:group style="position:absolute;left:7518;top:3452;width:1054;height:2" coordorigin="7518,3452" coordsize="1054,2">
              <v:shape style="position:absolute;left:7518;top:3452;width:1054;height:2" coordorigin="7518,3452" coordsize="1054,0" path="m7518,3452l8572,3452e" filled="false" stroked="true" strokeweight=".48001pt" strokecolor="#000000">
                <v:path arrowok="t"/>
              </v:shape>
            </v:group>
            <v:group style="position:absolute;left:8581;top:3452;width:1055;height:2" coordorigin="8581,3452" coordsize="1055,2">
              <v:shape style="position:absolute;left:8581;top:3452;width:1055;height:2" coordorigin="8581,3452" coordsize="1055,0" path="m8581,3452l9635,3452e" filled="false" stroked="true" strokeweight=".48001pt" strokecolor="#000000">
                <v:path arrowok="t"/>
              </v:shape>
            </v:group>
            <v:group style="position:absolute;left:9645;top:3452;width:1054;height:2" coordorigin="9645,3452" coordsize="1054,2">
              <v:shape style="position:absolute;left:9645;top:3452;width:1054;height:2" coordorigin="9645,3452" coordsize="1054,0" path="m9645,3452l10699,3452e" filled="false" stroked="true" strokeweight=".48001pt" strokecolor="#000000">
                <v:path arrowok="t"/>
              </v:shape>
            </v:group>
            <v:group style="position:absolute;left:5394;top:5109;width:1055;height:1328" coordorigin="5394,5109" coordsize="1055,1328">
              <v:shape style="position:absolute;left:5394;top:5109;width:1055;height:1328" coordorigin="5394,5109" coordsize="1055,1328" path="m5394,6436l6448,6436,6448,5109,5394,5109,5394,6436xe" filled="true" fillcolor="#ffffff" stroked="false">
                <v:path arrowok="t"/>
                <v:fill type="solid"/>
              </v:shape>
            </v:group>
            <v:group style="position:absolute;left:5418;top:5577;width:1007;height:392" coordorigin="5418,5577" coordsize="1007,392">
              <v:shape style="position:absolute;left:5418;top:5577;width:1007;height:392" coordorigin="5418,5577" coordsize="1007,392" path="m5418,5968l6424,5968,6424,5577,5418,5577,5418,5968xe" filled="true" fillcolor="#ffffff" stroked="false">
                <v:path arrowok="t"/>
                <v:fill type="solid"/>
              </v:shape>
            </v:group>
            <v:group style="position:absolute;left:1138;top:5104;width:1057;height:2" coordorigin="1138,5104" coordsize="1057,2">
              <v:shape style="position:absolute;left:1138;top:5104;width:1057;height:2" coordorigin="1138,5104" coordsize="1057,0" path="m1138,5104l2194,5104e" filled="false" stroked="true" strokeweight=".48004pt" strokecolor="#000000">
                <v:path arrowok="t"/>
              </v:shape>
            </v:group>
            <v:group style="position:absolute;left:2204;top:5104;width:1054;height:2" coordorigin="2204,5104" coordsize="1054,2">
              <v:shape style="position:absolute;left:2204;top:5104;width:1054;height:2" coordorigin="2204,5104" coordsize="1054,0" path="m2204,5104l3257,5104e" filled="false" stroked="true" strokeweight=".48004pt" strokecolor="#000000">
                <v:path arrowok="t"/>
              </v:shape>
            </v:group>
            <v:group style="position:absolute;left:3267;top:5104;width:1055;height:2" coordorigin="3267,5104" coordsize="1055,2">
              <v:shape style="position:absolute;left:3267;top:5104;width:1055;height:2" coordorigin="3267,5104" coordsize="1055,0" path="m3267,5104l4321,5104e" filled="false" stroked="true" strokeweight=".48004pt" strokecolor="#000000">
                <v:path arrowok="t"/>
              </v:shape>
            </v:group>
            <v:group style="position:absolute;left:4331;top:5104;width:1054;height:2" coordorigin="4331,5104" coordsize="1054,2">
              <v:shape style="position:absolute;left:4331;top:5104;width:1054;height:2" coordorigin="4331,5104" coordsize="1054,0" path="m4331,5104l5384,5104e" filled="false" stroked="true" strokeweight=".48004pt" strokecolor="#000000">
                <v:path arrowok="t"/>
              </v:shape>
            </v:group>
            <v:group style="position:absolute;left:5394;top:5104;width:1052;height:2" coordorigin="5394,5104" coordsize="1052,2">
              <v:shape style="position:absolute;left:5394;top:5104;width:1052;height:2" coordorigin="5394,5104" coordsize="1052,0" path="m5394,5104l6445,5104e" filled="false" stroked="true" strokeweight=".48004pt" strokecolor="#000000">
                <v:path arrowok="t"/>
              </v:shape>
            </v:group>
            <v:group style="position:absolute;left:6455;top:5104;width:1054;height:2" coordorigin="6455,5104" coordsize="1054,2">
              <v:shape style="position:absolute;left:6455;top:5104;width:1054;height:2" coordorigin="6455,5104" coordsize="1054,0" path="m6455,5104l7509,5104e" filled="false" stroked="true" strokeweight=".48004pt" strokecolor="#000000">
                <v:path arrowok="t"/>
              </v:shape>
            </v:group>
            <v:group style="position:absolute;left:7518;top:5104;width:1054;height:2" coordorigin="7518,5104" coordsize="1054,2">
              <v:shape style="position:absolute;left:7518;top:5104;width:1054;height:2" coordorigin="7518,5104" coordsize="1054,0" path="m7518,5104l8572,5104e" filled="false" stroked="true" strokeweight=".48004pt" strokecolor="#000000">
                <v:path arrowok="t"/>
              </v:shape>
            </v:group>
            <v:group style="position:absolute;left:8581;top:5104;width:1055;height:2" coordorigin="8581,5104" coordsize="1055,2">
              <v:shape style="position:absolute;left:8581;top:5104;width:1055;height:2" coordorigin="8581,5104" coordsize="1055,0" path="m8581,5104l9635,5104e" filled="false" stroked="true" strokeweight=".48004pt" strokecolor="#000000">
                <v:path arrowok="t"/>
              </v:shape>
            </v:group>
            <v:group style="position:absolute;left:9645;top:5104;width:1054;height:2" coordorigin="9645,5104" coordsize="1054,2">
              <v:shape style="position:absolute;left:9645;top:5104;width:1054;height:2" coordorigin="9645,5104" coordsize="1054,0" path="m9645,5104l10699,5104e" filled="false" stroked="true" strokeweight=".48004pt" strokecolor="#000000">
                <v:path arrowok="t"/>
              </v:shape>
            </v:group>
            <v:group style="position:absolute;left:5394;top:6446;width:1055;height:1952" coordorigin="5394,6446" coordsize="1055,1952">
              <v:shape style="position:absolute;left:5394;top:6446;width:1055;height:1952" coordorigin="5394,6446" coordsize="1055,1952" path="m5394,8397l6448,8397,6448,6446,5394,6446,5394,8397xe" filled="true" fillcolor="#ffffff" stroked="false">
                <v:path arrowok="t"/>
                <v:fill type="solid"/>
              </v:shape>
            </v:group>
            <v:group style="position:absolute;left:5418;top:7226;width:1007;height:392" coordorigin="5418,7226" coordsize="1007,392">
              <v:shape style="position:absolute;left:5418;top:7226;width:1007;height:392" coordorigin="5418,7226" coordsize="1007,392" path="m5418,7617l6424,7617,6424,7226,5418,7226,5418,7617xe" filled="true" fillcolor="#ffffff" stroked="false">
                <v:path arrowok="t"/>
                <v:fill type="solid"/>
              </v:shape>
            </v:group>
            <v:group style="position:absolute;left:1138;top:6441;width:1057;height:2" coordorigin="1138,6441" coordsize="1057,2">
              <v:shape style="position:absolute;left:1138;top:6441;width:1057;height:2" coordorigin="1138,6441" coordsize="1057,0" path="m1138,6441l2194,6441e" filled="false" stroked="true" strokeweight=".47998pt" strokecolor="#000000">
                <v:path arrowok="t"/>
              </v:shape>
            </v:group>
            <v:group style="position:absolute;left:2204;top:6441;width:1054;height:2" coordorigin="2204,6441" coordsize="1054,2">
              <v:shape style="position:absolute;left:2204;top:6441;width:1054;height:2" coordorigin="2204,6441" coordsize="1054,0" path="m2204,6441l3257,6441e" filled="false" stroked="true" strokeweight=".47998pt" strokecolor="#000000">
                <v:path arrowok="t"/>
              </v:shape>
            </v:group>
            <v:group style="position:absolute;left:3267;top:6441;width:1055;height:2" coordorigin="3267,6441" coordsize="1055,2">
              <v:shape style="position:absolute;left:3267;top:6441;width:1055;height:2" coordorigin="3267,6441" coordsize="1055,0" path="m3267,6441l4321,6441e" filled="false" stroked="true" strokeweight=".47998pt" strokecolor="#000000">
                <v:path arrowok="t"/>
              </v:shape>
            </v:group>
            <v:group style="position:absolute;left:4331;top:6441;width:1054;height:2" coordorigin="4331,6441" coordsize="1054,2">
              <v:shape style="position:absolute;left:4331;top:6441;width:1054;height:2" coordorigin="4331,6441" coordsize="1054,0" path="m4331,6441l5384,6441e" filled="false" stroked="true" strokeweight=".47998pt" strokecolor="#000000">
                <v:path arrowok="t"/>
              </v:shape>
            </v:group>
            <v:group style="position:absolute;left:5394;top:6441;width:1052;height:2" coordorigin="5394,6441" coordsize="1052,2">
              <v:shape style="position:absolute;left:5394;top:6441;width:1052;height:2" coordorigin="5394,6441" coordsize="1052,0" path="m5394,6441l6445,6441e" filled="false" stroked="true" strokeweight=".47998pt" strokecolor="#000000">
                <v:path arrowok="t"/>
              </v:shape>
            </v:group>
            <v:group style="position:absolute;left:6455;top:6441;width:1054;height:2" coordorigin="6455,6441" coordsize="1054,2">
              <v:shape style="position:absolute;left:6455;top:6441;width:1054;height:2" coordorigin="6455,6441" coordsize="1054,0" path="m6455,6441l7509,6441e" filled="false" stroked="true" strokeweight=".47998pt" strokecolor="#000000">
                <v:path arrowok="t"/>
              </v:shape>
            </v:group>
            <v:group style="position:absolute;left:7518;top:6441;width:1054;height:2" coordorigin="7518,6441" coordsize="1054,2">
              <v:shape style="position:absolute;left:7518;top:6441;width:1054;height:2" coordorigin="7518,6441" coordsize="1054,0" path="m7518,6441l8572,6441e" filled="false" stroked="true" strokeweight=".47998pt" strokecolor="#000000">
                <v:path arrowok="t"/>
              </v:shape>
            </v:group>
            <v:group style="position:absolute;left:8581;top:6441;width:1055;height:2" coordorigin="8581,6441" coordsize="1055,2">
              <v:shape style="position:absolute;left:8581;top:6441;width:1055;height:2" coordorigin="8581,6441" coordsize="1055,0" path="m8581,6441l9635,6441e" filled="false" stroked="true" strokeweight=".47998pt" strokecolor="#000000">
                <v:path arrowok="t"/>
              </v:shape>
            </v:group>
            <v:group style="position:absolute;left:9645;top:6441;width:1054;height:2" coordorigin="9645,6441" coordsize="1054,2">
              <v:shape style="position:absolute;left:9645;top:6441;width:1054;height:2" coordorigin="9645,6441" coordsize="1054,0" path="m9645,6441l10699,6441e" filled="false" stroked="true" strokeweight=".47998pt" strokecolor="#000000">
                <v:path arrowok="t"/>
              </v:shape>
            </v:group>
            <v:group style="position:absolute;left:5394;top:8409;width:1055;height:663" coordorigin="5394,8409" coordsize="1055,663">
              <v:shape style="position:absolute;left:5394;top:8409;width:1055;height:663" coordorigin="5394,8409" coordsize="1055,663" path="m5394,9072l6448,9072,6448,8409,5394,8409,5394,9072xe" filled="true" fillcolor="#ffffff" stroked="false">
                <v:path arrowok="t"/>
                <v:fill type="solid"/>
              </v:shape>
            </v:group>
            <v:group style="position:absolute;left:5418;top:8544;width:1007;height:394" coordorigin="5418,8544" coordsize="1007,394">
              <v:shape style="position:absolute;left:5418;top:8544;width:1007;height:394" coordorigin="5418,8544" coordsize="1007,394" path="m5418,8937l6424,8937,6424,8544,5418,8544,5418,8937xe" filled="true" fillcolor="#ffffff" stroked="false">
                <v:path arrowok="t"/>
                <v:fill type="solid"/>
              </v:shape>
            </v:group>
            <v:group style="position:absolute;left:1138;top:8402;width:1057;height:2" coordorigin="1138,8402" coordsize="1057,2">
              <v:shape style="position:absolute;left:1138;top:8402;width:1057;height:2" coordorigin="1138,8402" coordsize="1057,0" path="m1138,8402l2194,8402e" filled="false" stroked="true" strokeweight=".48004pt" strokecolor="#000000">
                <v:path arrowok="t"/>
              </v:shape>
            </v:group>
            <v:group style="position:absolute;left:2204;top:8402;width:1054;height:2" coordorigin="2204,8402" coordsize="1054,2">
              <v:shape style="position:absolute;left:2204;top:8402;width:1054;height:2" coordorigin="2204,8402" coordsize="1054,0" path="m2204,8402l3257,8402e" filled="false" stroked="true" strokeweight=".48004pt" strokecolor="#000000">
                <v:path arrowok="t"/>
              </v:shape>
            </v:group>
            <v:group style="position:absolute;left:3267;top:8402;width:1055;height:2" coordorigin="3267,8402" coordsize="1055,2">
              <v:shape style="position:absolute;left:3267;top:8402;width:1055;height:2" coordorigin="3267,8402" coordsize="1055,0" path="m3267,8402l4321,8402e" filled="false" stroked="true" strokeweight=".48004pt" strokecolor="#000000">
                <v:path arrowok="t"/>
              </v:shape>
            </v:group>
            <v:group style="position:absolute;left:4331;top:8402;width:1054;height:2" coordorigin="4331,8402" coordsize="1054,2">
              <v:shape style="position:absolute;left:4331;top:8402;width:1054;height:2" coordorigin="4331,8402" coordsize="1054,0" path="m4331,8402l5384,8402e" filled="false" stroked="true" strokeweight=".48004pt" strokecolor="#000000">
                <v:path arrowok="t"/>
              </v:shape>
            </v:group>
            <v:group style="position:absolute;left:5394;top:8402;width:1052;height:2" coordorigin="5394,8402" coordsize="1052,2">
              <v:shape style="position:absolute;left:5394;top:8402;width:1052;height:2" coordorigin="5394,8402" coordsize="1052,0" path="m5394,8402l6445,8402e" filled="false" stroked="true" strokeweight=".48004pt" strokecolor="#000000">
                <v:path arrowok="t"/>
              </v:shape>
            </v:group>
            <v:group style="position:absolute;left:6455;top:8402;width:1054;height:2" coordorigin="6455,8402" coordsize="1054,2">
              <v:shape style="position:absolute;left:6455;top:8402;width:1054;height:2" coordorigin="6455,8402" coordsize="1054,0" path="m6455,8402l7509,8402e" filled="false" stroked="true" strokeweight=".48004pt" strokecolor="#000000">
                <v:path arrowok="t"/>
              </v:shape>
            </v:group>
            <v:group style="position:absolute;left:7518;top:8402;width:1054;height:2" coordorigin="7518,8402" coordsize="1054,2">
              <v:shape style="position:absolute;left:7518;top:8402;width:1054;height:2" coordorigin="7518,8402" coordsize="1054,0" path="m7518,8402l8572,8402e" filled="false" stroked="true" strokeweight=".48004pt" strokecolor="#000000">
                <v:path arrowok="t"/>
              </v:shape>
            </v:group>
            <v:group style="position:absolute;left:8581;top:8402;width:1055;height:2" coordorigin="8581,8402" coordsize="1055,2">
              <v:shape style="position:absolute;left:8581;top:8402;width:1055;height:2" coordorigin="8581,8402" coordsize="1055,0" path="m8581,8402l9635,8402e" filled="false" stroked="true" strokeweight=".48004pt" strokecolor="#000000">
                <v:path arrowok="t"/>
              </v:shape>
            </v:group>
            <v:group style="position:absolute;left:9645;top:8402;width:1054;height:2" coordorigin="9645,8402" coordsize="1054,2">
              <v:shape style="position:absolute;left:9645;top:8402;width:1054;height:2" coordorigin="9645,8402" coordsize="1054,0" path="m9645,8402l10699,8402e" filled="false" stroked="true" strokeweight=".48004pt" strokecolor="#000000">
                <v:path arrowok="t"/>
              </v:shape>
            </v:group>
            <v:group style="position:absolute;left:1133;top:459;width:2;height:8623" coordorigin="1133,459" coordsize="2,8623">
              <v:shape style="position:absolute;left:1133;top:459;width:2;height:8623" coordorigin="1133,459" coordsize="0,8623" path="m1133,459l1133,9081e" filled="false" stroked="true" strokeweight=".48pt" strokecolor="#000000">
                <v:path arrowok="t"/>
              </v:shape>
            </v:group>
            <v:group style="position:absolute;left:1138;top:9077;width:1057;height:2" coordorigin="1138,9077" coordsize="1057,2">
              <v:shape style="position:absolute;left:1138;top:9077;width:1057;height:2" coordorigin="1138,9077" coordsize="1057,0" path="m1138,9077l2194,9077e" filled="false" stroked="true" strokeweight=".47998pt" strokecolor="#000000">
                <v:path arrowok="t"/>
              </v:shape>
            </v:group>
            <v:group style="position:absolute;left:2199;top:459;width:2;height:8623" coordorigin="2199,459" coordsize="2,8623">
              <v:shape style="position:absolute;left:2199;top:459;width:2;height:8623" coordorigin="2199,459" coordsize="0,8623" path="m2199,459l2199,9081e" filled="false" stroked="true" strokeweight=".48pt" strokecolor="#000000">
                <v:path arrowok="t"/>
              </v:shape>
            </v:group>
            <v:group style="position:absolute;left:2204;top:9077;width:1054;height:2" coordorigin="2204,9077" coordsize="1054,2">
              <v:shape style="position:absolute;left:2204;top:9077;width:1054;height:2" coordorigin="2204,9077" coordsize="1054,0" path="m2204,9077l3257,9077e" filled="false" stroked="true" strokeweight=".47998pt" strokecolor="#000000">
                <v:path arrowok="t"/>
              </v:shape>
            </v:group>
            <v:group style="position:absolute;left:3262;top:459;width:2;height:8623" coordorigin="3262,459" coordsize="2,8623">
              <v:shape style="position:absolute;left:3262;top:459;width:2;height:8623" coordorigin="3262,459" coordsize="0,8623" path="m3262,459l3262,9081e" filled="false" stroked="true" strokeweight=".48pt" strokecolor="#000000">
                <v:path arrowok="t"/>
              </v:shape>
            </v:group>
            <v:group style="position:absolute;left:3267;top:9077;width:1055;height:2" coordorigin="3267,9077" coordsize="1055,2">
              <v:shape style="position:absolute;left:3267;top:9077;width:1055;height:2" coordorigin="3267,9077" coordsize="1055,0" path="m3267,9077l4321,9077e" filled="false" stroked="true" strokeweight=".47998pt" strokecolor="#000000">
                <v:path arrowok="t"/>
              </v:shape>
            </v:group>
            <v:group style="position:absolute;left:4326;top:459;width:2;height:8623" coordorigin="4326,459" coordsize="2,8623">
              <v:shape style="position:absolute;left:4326;top:459;width:2;height:8623" coordorigin="4326,459" coordsize="0,8623" path="m4326,459l4326,9081e" filled="false" stroked="true" strokeweight=".48pt" strokecolor="#000000">
                <v:path arrowok="t"/>
              </v:shape>
            </v:group>
            <v:group style="position:absolute;left:4331;top:9077;width:1054;height:2" coordorigin="4331,9077" coordsize="1054,2">
              <v:shape style="position:absolute;left:4331;top:9077;width:1054;height:2" coordorigin="4331,9077" coordsize="1054,0" path="m4331,9077l5384,9077e" filled="false" stroked="true" strokeweight=".47998pt" strokecolor="#000000">
                <v:path arrowok="t"/>
              </v:shape>
            </v:group>
            <v:group style="position:absolute;left:5389;top:459;width:2;height:8623" coordorigin="5389,459" coordsize="2,8623">
              <v:shape style="position:absolute;left:5389;top:459;width:2;height:8623" coordorigin="5389,459" coordsize="0,8623" path="m5389,459l5389,9081e" filled="false" stroked="true" strokeweight=".47998pt" strokecolor="#000000">
                <v:path arrowok="t"/>
              </v:shape>
            </v:group>
            <v:group style="position:absolute;left:5394;top:9077;width:1052;height:2" coordorigin="5394,9077" coordsize="1052,2">
              <v:shape style="position:absolute;left:5394;top:9077;width:1052;height:2" coordorigin="5394,9077" coordsize="1052,0" path="m5394,9077l6445,9077e" filled="false" stroked="true" strokeweight=".47998pt" strokecolor="#000000">
                <v:path arrowok="t"/>
              </v:shape>
            </v:group>
            <v:group style="position:absolute;left:6450;top:459;width:2;height:8623" coordorigin="6450,459" coordsize="2,8623">
              <v:shape style="position:absolute;left:6450;top:459;width:2;height:8623" coordorigin="6450,459" coordsize="0,8623" path="m6450,459l6450,9081e" filled="false" stroked="true" strokeweight=".48001pt" strokecolor="#000000">
                <v:path arrowok="t"/>
              </v:shape>
            </v:group>
            <v:group style="position:absolute;left:6455;top:9077;width:1054;height:2" coordorigin="6455,9077" coordsize="1054,2">
              <v:shape style="position:absolute;left:6455;top:9077;width:1054;height:2" coordorigin="6455,9077" coordsize="1054,0" path="m6455,9077l7509,9077e" filled="false" stroked="true" strokeweight=".47998pt" strokecolor="#000000">
                <v:path arrowok="t"/>
              </v:shape>
            </v:group>
            <v:group style="position:absolute;left:7513;top:459;width:2;height:8623" coordorigin="7513,459" coordsize="2,8623">
              <v:shape style="position:absolute;left:7513;top:459;width:2;height:8623" coordorigin="7513,459" coordsize="0,8623" path="m7513,459l7513,9081e" filled="false" stroked="true" strokeweight=".48001pt" strokecolor="#000000">
                <v:path arrowok="t"/>
              </v:shape>
            </v:group>
            <v:group style="position:absolute;left:7518;top:9077;width:1054;height:2" coordorigin="7518,9077" coordsize="1054,2">
              <v:shape style="position:absolute;left:7518;top:9077;width:1054;height:2" coordorigin="7518,9077" coordsize="1054,0" path="m7518,9077l8572,9077e" filled="false" stroked="true" strokeweight=".47998pt" strokecolor="#000000">
                <v:path arrowok="t"/>
              </v:shape>
            </v:group>
            <v:group style="position:absolute;left:8577;top:459;width:2;height:8623" coordorigin="8577,459" coordsize="2,8623">
              <v:shape style="position:absolute;left:8577;top:459;width:2;height:8623" coordorigin="8577,459" coordsize="0,8623" path="m8577,459l8577,9081e" filled="false" stroked="true" strokeweight=".47998pt" strokecolor="#000000">
                <v:path arrowok="t"/>
              </v:shape>
            </v:group>
            <v:group style="position:absolute;left:8581;top:9077;width:1055;height:2" coordorigin="8581,9077" coordsize="1055,2">
              <v:shape style="position:absolute;left:8581;top:9077;width:1055;height:2" coordorigin="8581,9077" coordsize="1055,0" path="m8581,9077l9635,9077e" filled="false" stroked="true" strokeweight=".47998pt" strokecolor="#000000">
                <v:path arrowok="t"/>
              </v:shape>
            </v:group>
            <v:group style="position:absolute;left:9640;top:459;width:2;height:8623" coordorigin="9640,459" coordsize="2,8623">
              <v:shape style="position:absolute;left:9640;top:459;width:2;height:8623" coordorigin="9640,459" coordsize="0,8623" path="m9640,459l9640,9081e" filled="false" stroked="true" strokeweight=".48001pt" strokecolor="#000000">
                <v:path arrowok="t"/>
              </v:shape>
            </v:group>
            <v:group style="position:absolute;left:9645;top:9077;width:1054;height:2" coordorigin="9645,9077" coordsize="1054,2">
              <v:shape style="position:absolute;left:9645;top:9077;width:1054;height:2" coordorigin="9645,9077" coordsize="1054,0" path="m9645,9077l10699,9077e" filled="false" stroked="true" strokeweight=".47998pt" strokecolor="#000000">
                <v:path arrowok="t"/>
              </v:shape>
            </v:group>
            <v:group style="position:absolute;left:10704;top:459;width:2;height:8623" coordorigin="10704,459" coordsize="2,8623">
              <v:shape style="position:absolute;left:10704;top:459;width:2;height:8623" coordorigin="10704,459" coordsize="0,8623" path="m10704,459l10704,9081e" filled="false" stroked="true" strokeweight=".47998pt" strokecolor="#000000">
                <v:path arrowok="t"/>
              </v:shape>
              <v:shape style="position:absolute;left:8658;top:576;width:1990;height:190" type="#_x0000_t202" filled="false" stroked="false">
                <v:textbox inset="0,0,0,0">
                  <w:txbxContent>
                    <w:p>
                      <w:pPr>
                        <w:spacing w:line="190"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上期发生金</w:t>
                      </w:r>
                      <w:r>
                        <w:rPr>
                          <w:rFonts w:ascii="宋体" w:hAnsi="宋体" w:cs="宋体" w:eastAsia="宋体" w:hint="default"/>
                          <w:spacing w:val="49"/>
                          <w:sz w:val="18"/>
                          <w:szCs w:val="18"/>
                        </w:rPr>
                        <w:t> </w:t>
                      </w: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p>
                  </w:txbxContent>
                </v:textbox>
                <w10:wrap type="none"/>
              </v:shape>
              <v:shape style="position:absolute;left:1306;top:72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补助项目</w:t>
                      </w:r>
                    </w:p>
                  </w:txbxContent>
                </v:textbox>
                <w10:wrap type="none"/>
              </v:shape>
              <v:shape style="position:absolute;left:9019;top:888;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额</w:t>
                      </w:r>
                    </w:p>
                  </w:txbxContent>
                </v:textbox>
                <w10:wrap type="none"/>
              </v:shape>
              <v:shape style="position:absolute;left:9722;top:888;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1162;top:2071;width:900;height:49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即征即退的</w:t>
                      </w:r>
                    </w:p>
                    <w:p>
                      <w:pPr>
                        <w:spacing w:before="74"/>
                        <w:ind w:left="0" w:right="0" w:firstLine="0"/>
                        <w:jc w:val="left"/>
                        <w:rPr>
                          <w:rFonts w:ascii="宋体" w:hAnsi="宋体" w:cs="宋体" w:eastAsia="宋体" w:hint="default"/>
                          <w:sz w:val="18"/>
                          <w:szCs w:val="18"/>
                        </w:rPr>
                      </w:pPr>
                      <w:r>
                        <w:rPr>
                          <w:rFonts w:ascii="宋体" w:hAnsi="宋体" w:cs="宋体" w:eastAsia="宋体" w:hint="default"/>
                          <w:sz w:val="18"/>
                          <w:szCs w:val="18"/>
                        </w:rPr>
                        <w:t>增值税</w:t>
                      </w:r>
                    </w:p>
                  </w:txbxContent>
                </v:textbox>
                <w10:wrap type="none"/>
              </v:shape>
              <v:shape style="position:absolute;left:8668;top:2225;width:1902;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6,593,064.32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与收益相关</w:t>
                      </w:r>
                    </w:p>
                  </w:txbxContent>
                </v:textbox>
                <w10:wrap type="none"/>
              </v:shape>
              <v:shape style="position:absolute;left:1162;top:3564;width:900;height:1428" type="#_x0000_t202" filled="false" stroked="false">
                <v:textbox inset="0,0,0,0">
                  <w:txbxContent>
                    <w:p>
                      <w:pPr>
                        <w:spacing w:line="180" w:lineRule="exact" w:before="0"/>
                        <w:ind w:left="0" w:right="0" w:firstLine="0"/>
                        <w:jc w:val="both"/>
                        <w:rPr>
                          <w:rFonts w:ascii="宋体" w:hAnsi="宋体" w:cs="宋体" w:eastAsia="宋体" w:hint="default"/>
                          <w:sz w:val="18"/>
                          <w:szCs w:val="18"/>
                        </w:rPr>
                      </w:pPr>
                      <w:r>
                        <w:rPr>
                          <w:rFonts w:ascii="宋体" w:hAnsi="宋体" w:cs="宋体" w:eastAsia="宋体" w:hint="default"/>
                          <w:sz w:val="18"/>
                          <w:szCs w:val="18"/>
                        </w:rPr>
                        <w:t>可信电子凭</w:t>
                      </w:r>
                    </w:p>
                    <w:p>
                      <w:pPr>
                        <w:spacing w:line="310" w:lineRule="atLeast" w:before="2"/>
                        <w:ind w:left="0" w:right="0" w:firstLine="0"/>
                        <w:jc w:val="both"/>
                        <w:rPr>
                          <w:rFonts w:ascii="宋体" w:hAnsi="宋体" w:cs="宋体" w:eastAsia="宋体" w:hint="default"/>
                          <w:sz w:val="18"/>
                          <w:szCs w:val="18"/>
                        </w:rPr>
                      </w:pPr>
                      <w:r>
                        <w:rPr>
                          <w:rFonts w:ascii="宋体" w:hAnsi="宋体" w:cs="宋体" w:eastAsia="宋体" w:hint="default"/>
                          <w:sz w:val="18"/>
                          <w:szCs w:val="18"/>
                        </w:rPr>
                        <w:t>证技术研发 与应用示范 项目专项补 贴</w:t>
                      </w:r>
                    </w:p>
                  </w:txbxContent>
                </v:textbox>
                <w10:wrap type="none"/>
              </v:shape>
              <v:shape style="position:absolute;left:4355;top:3720;width:108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2228;top:4186;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国家科技部</w:t>
                      </w:r>
                    </w:p>
                  </w:txbxContent>
                </v:textbox>
                <w10:wrap type="none"/>
              </v:shape>
              <v:shape style="position:absolute;left:3291;top:418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5418;top:418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481;top:418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8236;top:4186;width:2334;height:190" type="#_x0000_t202" filled="false" stroked="false">
                <v:textbox inset="0,0,0,0">
                  <w:txbxContent>
                    <w:p>
                      <w:pPr>
                        <w:tabs>
                          <w:tab w:pos="566" w:val="left" w:leader="none"/>
                        </w:tabs>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0.00</w:t>
                        <w:tab/>
                        <w:t>140,000.00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与资产相关</w:t>
                      </w:r>
                    </w:p>
                  </w:txbxContent>
                </v:textbox>
                <w10:wrap type="none"/>
              </v:shape>
              <v:shape style="position:absolute;left:4355;top:4344;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1162;top:5372;width:900;height:80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电子签名服</w:t>
                      </w:r>
                    </w:p>
                    <w:p>
                      <w:pPr>
                        <w:spacing w:line="312" w:lineRule="exact" w:before="34"/>
                        <w:ind w:left="0" w:right="0" w:firstLine="0"/>
                        <w:jc w:val="left"/>
                        <w:rPr>
                          <w:rFonts w:ascii="宋体" w:hAnsi="宋体" w:cs="宋体" w:eastAsia="宋体" w:hint="default"/>
                          <w:sz w:val="18"/>
                          <w:szCs w:val="18"/>
                        </w:rPr>
                      </w:pPr>
                      <w:r>
                        <w:rPr>
                          <w:rFonts w:ascii="宋体" w:hAnsi="宋体" w:cs="宋体" w:eastAsia="宋体" w:hint="default"/>
                          <w:sz w:val="18"/>
                          <w:szCs w:val="18"/>
                        </w:rPr>
                        <w:t>务平台项目 财政补贴</w:t>
                      </w:r>
                    </w:p>
                  </w:txbxContent>
                </v:textbox>
                <w10:wrap type="none"/>
              </v:shape>
              <v:shape style="position:absolute;left:2228;top:5372;width:900;height:80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北京市经济</w:t>
                      </w:r>
                    </w:p>
                    <w:p>
                      <w:pPr>
                        <w:spacing w:line="312" w:lineRule="exact" w:before="34"/>
                        <w:ind w:left="0" w:right="0" w:firstLine="0"/>
                        <w:jc w:val="left"/>
                        <w:rPr>
                          <w:rFonts w:ascii="宋体" w:hAnsi="宋体" w:cs="宋体" w:eastAsia="宋体" w:hint="default"/>
                          <w:sz w:val="18"/>
                          <w:szCs w:val="18"/>
                        </w:rPr>
                      </w:pPr>
                      <w:r>
                        <w:rPr>
                          <w:rFonts w:ascii="宋体" w:hAnsi="宋体" w:cs="宋体" w:eastAsia="宋体" w:hint="default"/>
                          <w:sz w:val="18"/>
                          <w:szCs w:val="18"/>
                        </w:rPr>
                        <w:t>和信息化委 员会</w:t>
                      </w:r>
                    </w:p>
                  </w:txbxContent>
                </v:textbox>
                <w10:wrap type="none"/>
              </v:shape>
              <v:shape style="position:absolute;left:4355;top:5216;width:1080;height:49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4"/>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3291;top:568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5418;top:568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481;top:568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8236;top:5682;width:2334;height:190" type="#_x0000_t202" filled="false" stroked="false">
                <v:textbox inset="0,0,0,0">
                  <w:txbxContent>
                    <w:p>
                      <w:pPr>
                        <w:tabs>
                          <w:tab w:pos="566" w:val="left" w:leader="none"/>
                        </w:tabs>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0.00</w:t>
                        <w:tab/>
                        <w:t>100,000.00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与资产相关</w:t>
                      </w:r>
                    </w:p>
                  </w:txbxContent>
                </v:textbox>
                <w10:wrap type="none"/>
              </v:shape>
              <v:shape style="position:absolute;left:4355;top:5838;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1162;top:6553;width:900;height:1740" type="#_x0000_t202" filled="false" stroked="false">
                <v:textbox inset="0,0,0,0">
                  <w:txbxContent>
                    <w:p>
                      <w:pPr>
                        <w:spacing w:line="194" w:lineRule="exact" w:before="0"/>
                        <w:ind w:left="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CNGI</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跨域</w:t>
                      </w:r>
                    </w:p>
                    <w:p>
                      <w:pPr>
                        <w:spacing w:line="312" w:lineRule="exact" w:before="23"/>
                        <w:ind w:left="0" w:right="0" w:firstLine="0"/>
                        <w:jc w:val="both"/>
                        <w:rPr>
                          <w:rFonts w:ascii="宋体" w:hAnsi="宋体" w:cs="宋体" w:eastAsia="宋体" w:hint="default"/>
                          <w:sz w:val="18"/>
                          <w:szCs w:val="18"/>
                        </w:rPr>
                      </w:pPr>
                      <w:r>
                        <w:rPr>
                          <w:rFonts w:ascii="宋体" w:hAnsi="宋体" w:cs="宋体" w:eastAsia="宋体" w:hint="default"/>
                          <w:sz w:val="18"/>
                          <w:szCs w:val="18"/>
                        </w:rPr>
                        <w:t>认证授权中 间件系列标 准规范及应 用验证项目 专项补助</w:t>
                      </w:r>
                    </w:p>
                  </w:txbxContent>
                </v:textbox>
                <w10:wrap type="none"/>
              </v:shape>
              <v:shape style="position:absolute;left:4355;top:6865;width:108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2228;top:7330;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国家发改委</w:t>
                      </w:r>
                    </w:p>
                  </w:txbxContent>
                </v:textbox>
                <w10:wrap type="none"/>
              </v:shape>
              <v:shape style="position:absolute;left:3291;top:733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5418;top:7330;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481;top:7330;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8236;top:7330;width:2334;height:190" type="#_x0000_t202" filled="false" stroked="false">
                <v:textbox inset="0,0,0,0">
                  <w:txbxContent>
                    <w:p>
                      <w:pPr>
                        <w:tabs>
                          <w:tab w:pos="566" w:val="left" w:leader="none"/>
                        </w:tabs>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0.00</w:t>
                        <w:tab/>
                        <w:t>102,000.00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与资产相关</w:t>
                      </w:r>
                    </w:p>
                  </w:txbxContent>
                </v:textbox>
                <w10:wrap type="none"/>
              </v:shape>
              <v:shape style="position:absolute;left:4355;top:7489;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1162;top:8516;width:900;height:49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密码服务应</w:t>
                      </w:r>
                    </w:p>
                    <w:p>
                      <w:pPr>
                        <w:spacing w:before="74"/>
                        <w:ind w:left="0" w:right="0" w:firstLine="0"/>
                        <w:jc w:val="left"/>
                        <w:rPr>
                          <w:rFonts w:ascii="宋体" w:hAnsi="宋体" w:cs="宋体" w:eastAsia="宋体" w:hint="default"/>
                          <w:sz w:val="18"/>
                          <w:szCs w:val="18"/>
                        </w:rPr>
                      </w:pPr>
                      <w:r>
                        <w:rPr>
                          <w:rFonts w:ascii="宋体" w:hAnsi="宋体" w:cs="宋体" w:eastAsia="宋体" w:hint="default"/>
                          <w:sz w:val="18"/>
                          <w:szCs w:val="18"/>
                        </w:rPr>
                        <w:t>用接口规范</w:t>
                      </w:r>
                    </w:p>
                  </w:txbxContent>
                </v:textbox>
                <w10:wrap type="none"/>
              </v:shape>
              <v:shape style="position:absolute;left:2228;top:8648;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国家发改委</w:t>
                      </w:r>
                    </w:p>
                  </w:txbxContent>
                </v:textbox>
                <w10:wrap type="none"/>
              </v:shape>
              <v:shape style="position:absolute;left:3291;top:864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4355;top:8516;width:1244;height:312" type="#_x0000_t202" filled="false" stroked="false">
                <v:textbox inset="0,0,0,0">
                  <w:txbxContent>
                    <w:p>
                      <w:pPr>
                        <w:spacing w:line="128"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line="184"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481;top:8648;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8236;top:8648;width:2334;height:190" type="#_x0000_t202" filled="false" stroked="false">
                <v:textbox inset="0,0,0,0">
                  <w:txbxContent>
                    <w:p>
                      <w:pPr>
                        <w:tabs>
                          <w:tab w:pos="566" w:val="left" w:leader="none"/>
                        </w:tabs>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0.00</w:t>
                        <w:tab/>
                        <w:t>200,000.00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与资产相关</w:t>
                      </w:r>
                    </w:p>
                  </w:txbxContent>
                </v:textbox>
                <w10:wrap type="none"/>
              </v:shape>
              <v:shape style="position:absolute;left:4355;top:8826;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group>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7"/>
        <w:rPr>
          <w:rFonts w:ascii="宋体" w:hAnsi="宋体" w:cs="宋体" w:eastAsia="宋体" w:hint="default"/>
          <w:sz w:val="8"/>
          <w:szCs w:val="8"/>
        </w:rPr>
      </w:pPr>
    </w:p>
    <w:tbl>
      <w:tblPr>
        <w:tblW w:w="0" w:type="auto"/>
        <w:jc w:val="left"/>
        <w:tblInd w:w="1178" w:type="dxa"/>
        <w:tblLayout w:type="fixed"/>
        <w:tblCellMar>
          <w:top w:w="0" w:type="dxa"/>
          <w:left w:w="0" w:type="dxa"/>
          <w:bottom w:w="0" w:type="dxa"/>
          <w:right w:w="0" w:type="dxa"/>
        </w:tblCellMar>
        <w:tblLook w:val="01E0"/>
      </w:tblPr>
      <w:tblGrid>
        <w:gridCol w:w="1063"/>
        <w:gridCol w:w="1064"/>
        <w:gridCol w:w="1063"/>
        <w:gridCol w:w="1061"/>
        <w:gridCol w:w="1063"/>
        <w:gridCol w:w="1063"/>
      </w:tblGrid>
      <w:tr>
        <w:trPr>
          <w:trHeight w:val="715" w:hRule="exact"/>
        </w:trPr>
        <w:tc>
          <w:tcPr>
            <w:tcW w:w="106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nil" w:sz="6" w:space="0" w:color="auto"/>
              <w:left w:val="nil" w:sz="6" w:space="0" w:color="auto"/>
              <w:bottom w:val="nil" w:sz="6" w:space="0" w:color="auto"/>
              <w:right w:val="nil" w:sz="6" w:space="0" w:color="auto"/>
            </w:tcBorders>
            <w:shd w:val="clear" w:color="auto" w:fill="D2D2D2"/>
          </w:tcPr>
          <w:p>
            <w:pPr>
              <w:pStyle w:val="TableParagraph"/>
              <w:spacing w:line="316" w:lineRule="auto" w:before="56"/>
              <w:ind w:left="81"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316" w:lineRule="auto" w:before="56"/>
              <w:ind w:left="443"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316" w:lineRule="auto" w:before="56"/>
              <w:ind w:left="441" w:right="79"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r>
      <w:tr>
        <w:trPr>
          <w:trHeight w:val="357" w:hRule="exact"/>
        </w:trPr>
        <w:tc>
          <w:tcPr>
            <w:tcW w:w="106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3"/>
              <w:jc w:val="center"/>
              <w:rPr>
                <w:rFonts w:ascii="宋体" w:hAnsi="宋体" w:cs="宋体" w:eastAsia="宋体" w:hint="default"/>
                <w:sz w:val="18"/>
                <w:szCs w:val="18"/>
              </w:rPr>
            </w:pPr>
            <w:r>
              <w:rPr>
                <w:rFonts w:ascii="宋体" w:hAnsi="宋体" w:cs="宋体" w:eastAsia="宋体" w:hint="default"/>
                <w:sz w:val="18"/>
                <w:szCs w:val="18"/>
              </w:rPr>
              <w:t>因从事国家</w:t>
            </w:r>
          </w:p>
        </w:tc>
        <w:tc>
          <w:tcPr>
            <w:tcW w:w="106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r>
      <w:tr>
        <w:trPr>
          <w:trHeight w:val="311" w:hRule="exact"/>
        </w:trPr>
        <w:tc>
          <w:tcPr>
            <w:tcW w:w="106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3"/>
              <w:jc w:val="center"/>
              <w:rPr>
                <w:rFonts w:ascii="宋体" w:hAnsi="宋体" w:cs="宋体" w:eastAsia="宋体" w:hint="default"/>
                <w:sz w:val="18"/>
                <w:szCs w:val="18"/>
              </w:rPr>
            </w:pPr>
            <w:r>
              <w:rPr>
                <w:rFonts w:ascii="宋体" w:hAnsi="宋体" w:cs="宋体" w:eastAsia="宋体" w:hint="default"/>
                <w:sz w:val="18"/>
                <w:szCs w:val="18"/>
              </w:rPr>
              <w:t>鼓励和扶持</w:t>
            </w:r>
          </w:p>
        </w:tc>
        <w:tc>
          <w:tcPr>
            <w:tcW w:w="106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r>
      <w:tr>
        <w:trPr>
          <w:trHeight w:val="312" w:hRule="exact"/>
        </w:trPr>
        <w:tc>
          <w:tcPr>
            <w:tcW w:w="106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pacing w:val="-12"/>
                <w:sz w:val="18"/>
                <w:szCs w:val="18"/>
              </w:rPr>
              <w:t>特定行业、产</w:t>
            </w:r>
          </w:p>
        </w:tc>
        <w:tc>
          <w:tcPr>
            <w:tcW w:w="106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r>
      <w:tr>
        <w:trPr>
          <w:trHeight w:val="624" w:hRule="exact"/>
        </w:trPr>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国家税务局</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nil" w:sz="6" w:space="0" w:color="auto"/>
              <w:bottom w:val="nil" w:sz="6" w:space="0" w:color="auto"/>
              <w:right w:val="nil" w:sz="6" w:space="0" w:color="auto"/>
            </w:tcBorders>
          </w:tcPr>
          <w:p>
            <w:pPr>
              <w:pStyle w:val="TableParagraph"/>
              <w:spacing w:line="316" w:lineRule="auto" w:before="10"/>
              <w:ind w:left="28" w:right="24"/>
              <w:jc w:val="left"/>
              <w:rPr>
                <w:rFonts w:ascii="宋体" w:hAnsi="宋体" w:cs="宋体" w:eastAsia="宋体" w:hint="default"/>
                <w:sz w:val="18"/>
                <w:szCs w:val="18"/>
              </w:rPr>
            </w:pPr>
            <w:r>
              <w:rPr>
                <w:rFonts w:ascii="宋体" w:hAnsi="宋体" w:cs="宋体" w:eastAsia="宋体" w:hint="default"/>
                <w:sz w:val="18"/>
                <w:szCs w:val="18"/>
              </w:rPr>
              <w:t>业而获得的 </w:t>
            </w:r>
            <w:r>
              <w:rPr>
                <w:rFonts w:ascii="宋体" w:hAnsi="宋体" w:cs="宋体" w:eastAsia="宋体" w:hint="default"/>
                <w:spacing w:val="-12"/>
                <w:sz w:val="18"/>
                <w:szCs w:val="18"/>
              </w:rPr>
              <w:t>补助（按国家</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2" w:hRule="exact"/>
        </w:trPr>
        <w:tc>
          <w:tcPr>
            <w:tcW w:w="106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center"/>
              <w:rPr>
                <w:rFonts w:ascii="宋体" w:hAnsi="宋体" w:cs="宋体" w:eastAsia="宋体" w:hint="default"/>
                <w:sz w:val="18"/>
                <w:szCs w:val="18"/>
              </w:rPr>
            </w:pPr>
            <w:r>
              <w:rPr>
                <w:rFonts w:ascii="宋体" w:hAnsi="宋体" w:cs="宋体" w:eastAsia="宋体" w:hint="default"/>
                <w:sz w:val="18"/>
                <w:szCs w:val="18"/>
              </w:rPr>
              <w:t>级政策规定</w:t>
            </w:r>
          </w:p>
        </w:tc>
        <w:tc>
          <w:tcPr>
            <w:tcW w:w="106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r>
      <w:tr>
        <w:trPr>
          <w:trHeight w:val="357" w:hRule="exact"/>
        </w:trPr>
        <w:tc>
          <w:tcPr>
            <w:tcW w:w="106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center"/>
              <w:rPr>
                <w:rFonts w:ascii="宋体" w:hAnsi="宋体" w:cs="宋体" w:eastAsia="宋体" w:hint="default"/>
                <w:sz w:val="18"/>
                <w:szCs w:val="18"/>
              </w:rPr>
            </w:pPr>
            <w:r>
              <w:rPr>
                <w:rFonts w:ascii="宋体" w:hAnsi="宋体" w:cs="宋体" w:eastAsia="宋体" w:hint="default"/>
                <w:sz w:val="18"/>
                <w:szCs w:val="18"/>
              </w:rPr>
              <w:t>依法取得）</w:t>
            </w:r>
          </w:p>
        </w:tc>
        <w:tc>
          <w:tcPr>
            <w:tcW w:w="106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67" w:footer="979" w:top="1060" w:bottom="1160" w:left="1020" w:right="1020"/>
        </w:sectPr>
      </w:pPr>
    </w:p>
    <w:p>
      <w:pPr>
        <w:spacing w:line="240" w:lineRule="auto" w:before="0"/>
        <w:rPr>
          <w:rFonts w:ascii="Times New Roman" w:hAnsi="Times New Roman" w:cs="Times New Roman" w:eastAsia="Times New Roman" w:hint="default"/>
          <w:sz w:val="20"/>
          <w:szCs w:val="20"/>
        </w:rPr>
      </w:pPr>
      <w:r>
        <w:rPr/>
        <w:pict>
          <v:group style="position:absolute;margin-left:269.690002pt;margin-top:153.025986pt;width:52.75pt;height:247pt;mso-position-horizontal-relative:page;mso-position-vertical-relative:page;z-index:-831040" coordorigin="5394,3061" coordsize="1055,4940">
            <v:group style="position:absolute;left:5394;top:3061;width:1055;height:1952" coordorigin="5394,3061" coordsize="1055,1952">
              <v:shape style="position:absolute;left:5394;top:3061;width:1055;height:1952" coordorigin="5394,3061" coordsize="1055,1952" path="m5394,5012l6448,5012,6448,3061,5394,3061,5394,5012xe" filled="true" fillcolor="#ffffff" stroked="false">
                <v:path arrowok="t"/>
                <v:fill type="solid"/>
              </v:shape>
            </v:group>
            <v:group style="position:absolute;left:5418;top:3840;width:1007;height:392" coordorigin="5418,3840" coordsize="1007,392">
              <v:shape style="position:absolute;left:5418;top:3840;width:1007;height:392" coordorigin="5418,3840" coordsize="1007,392" path="m5418,4232l6424,4232,6424,3840,5418,3840,5418,4232xe" filled="true" fillcolor="#ffffff" stroked="false">
                <v:path arrowok="t"/>
                <v:fill type="solid"/>
              </v:shape>
            </v:group>
            <v:group style="position:absolute;left:5394;top:5022;width:1055;height:1330" coordorigin="5394,5022" coordsize="1055,1330">
              <v:shape style="position:absolute;left:5394;top:5022;width:1055;height:1330" coordorigin="5394,5022" coordsize="1055,1330" path="m5394,6351l6448,6351,6448,5022,5394,5022,5394,6351xe" filled="true" fillcolor="#ffffff" stroked="false">
                <v:path arrowok="t"/>
                <v:fill type="solid"/>
              </v:shape>
            </v:group>
            <v:group style="position:absolute;left:5418;top:5490;width:1007;height:394" coordorigin="5418,5490" coordsize="1007,394">
              <v:shape style="position:absolute;left:5418;top:5490;width:1007;height:394" coordorigin="5418,5490" coordsize="1007,394" path="m5418,5883l6424,5883,6424,5490,5418,5490,5418,5883xe" filled="true" fillcolor="#ffffff" stroked="false">
                <v:path arrowok="t"/>
                <v:fill type="solid"/>
              </v:shape>
            </v:group>
            <v:group style="position:absolute;left:5394;top:6361;width:1055;height:1640" coordorigin="5394,6361" coordsize="1055,1640">
              <v:shape style="position:absolute;left:5394;top:6361;width:1055;height:1640" coordorigin="5394,6361" coordsize="1055,1640" path="m5394,8000l6448,8000,6448,6361,5394,6361,5394,8000xe" filled="true" fillcolor="#ffffff" stroked="false">
                <v:path arrowok="t"/>
                <v:fill type="solid"/>
              </v:shape>
            </v:group>
            <v:group style="position:absolute;left:5418;top:6985;width:1007;height:392" coordorigin="5418,6985" coordsize="1007,392">
              <v:shape style="position:absolute;left:5418;top:6985;width:1007;height:392" coordorigin="5418,6985" coordsize="1007,392" path="m5418,7376l6424,7376,6424,6985,5418,6985,5418,737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161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130"/>
              <w:jc w:val="both"/>
              <w:rPr>
                <w:rFonts w:ascii="宋体" w:hAnsi="宋体" w:cs="宋体" w:eastAsia="宋体" w:hint="default"/>
                <w:sz w:val="18"/>
                <w:szCs w:val="18"/>
              </w:rPr>
            </w:pPr>
            <w:r>
              <w:rPr>
                <w:rFonts w:ascii="宋体" w:hAnsi="宋体" w:cs="宋体" w:eastAsia="宋体" w:hint="default"/>
                <w:sz w:val="18"/>
                <w:szCs w:val="18"/>
              </w:rPr>
              <w:t>仿真验证环 境建设及符 合性检测工 具开发项目 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27"/>
              <w:jc w:val="left"/>
              <w:rPr>
                <w:rFonts w:ascii="宋体" w:hAnsi="宋体" w:cs="宋体" w:eastAsia="宋体" w:hint="default"/>
                <w:sz w:val="18"/>
                <w:szCs w:val="18"/>
              </w:rPr>
            </w:pPr>
            <w:r>
              <w:rPr>
                <w:rFonts w:ascii="宋体" w:hAnsi="宋体" w:cs="宋体" w:eastAsia="宋体" w:hint="default"/>
                <w:sz w:val="18"/>
                <w:szCs w:val="18"/>
              </w:rPr>
              <w:t>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30"/>
              <w:jc w:val="both"/>
              <w:rPr>
                <w:rFonts w:ascii="宋体" w:hAnsi="宋体" w:cs="宋体" w:eastAsia="宋体" w:hint="default"/>
                <w:sz w:val="18"/>
                <w:szCs w:val="18"/>
              </w:rPr>
            </w:pPr>
            <w:r>
              <w:rPr>
                <w:rFonts w:ascii="宋体" w:hAnsi="宋体" w:cs="宋体" w:eastAsia="宋体" w:hint="default"/>
                <w:sz w:val="18"/>
                <w:szCs w:val="18"/>
              </w:rPr>
              <w:t>基于国产密 码算法电子 认证关键技 术研究及应 用示范专项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北京市科学 技术委员会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北京市电子 认证服务试 点项目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国家发改委</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9"/>
              <w:jc w:val="left"/>
              <w:rPr>
                <w:rFonts w:ascii="宋体" w:hAnsi="宋体" w:cs="宋体" w:eastAsia="宋体" w:hint="default"/>
                <w:sz w:val="18"/>
                <w:szCs w:val="18"/>
              </w:rPr>
            </w:pPr>
            <w:r>
              <w:rPr>
                <w:rFonts w:ascii="宋体" w:hAnsi="宋体" w:cs="宋体" w:eastAsia="宋体" w:hint="default"/>
                <w:sz w:val="18"/>
                <w:szCs w:val="18"/>
              </w:rPr>
              <w:t>北京市支持 信息化发展 项目</w:t>
            </w:r>
            <w:r>
              <w:rPr>
                <w:rFonts w:ascii="Times New Roman" w:hAnsi="Times New Roman" w:cs="Times New Roman" w:eastAsia="Times New Roman" w:hint="default"/>
                <w:sz w:val="18"/>
                <w:szCs w:val="18"/>
              </w:rPr>
              <w:t>-</w:t>
            </w:r>
            <w:r>
              <w:rPr>
                <w:rFonts w:ascii="宋体" w:hAnsi="宋体" w:cs="宋体" w:eastAsia="宋体" w:hint="default"/>
                <w:sz w:val="18"/>
                <w:szCs w:val="18"/>
              </w:rPr>
              <w:t>云安全 服务平台项 目补助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27"/>
              <w:jc w:val="both"/>
              <w:rPr>
                <w:rFonts w:ascii="宋体" w:hAnsi="宋体" w:cs="宋体" w:eastAsia="宋体" w:hint="default"/>
                <w:sz w:val="18"/>
                <w:szCs w:val="18"/>
              </w:rPr>
            </w:pPr>
            <w:r>
              <w:rPr>
                <w:rFonts w:ascii="宋体" w:hAnsi="宋体" w:cs="宋体" w:eastAsia="宋体" w:hint="default"/>
                <w:sz w:val="18"/>
                <w:szCs w:val="18"/>
              </w:rPr>
              <w:t>北京市经济 和信息化委 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58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北京市教育 工作委员会 经费补助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中国共产党 北京市委员 会教育工作 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广州支持企 业稳定岗位 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广州市人力 资源和社会 保障局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w w:val="95"/>
                <w:sz w:val="18"/>
              </w:rPr>
              <w:t>5,187.79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深圳支持企 业稳定岗位 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深圳市人力 资源和社会 保障局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9,153.43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675"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27"/>
              <w:jc w:val="left"/>
              <w:rPr>
                <w:rFonts w:ascii="宋体" w:hAnsi="宋体" w:cs="宋体" w:eastAsia="宋体" w:hint="default"/>
                <w:sz w:val="18"/>
                <w:szCs w:val="18"/>
              </w:rPr>
            </w:pPr>
            <w:r>
              <w:rPr>
                <w:rFonts w:ascii="宋体" w:hAnsi="宋体" w:cs="宋体" w:eastAsia="宋体" w:hint="default"/>
                <w:sz w:val="18"/>
                <w:szCs w:val="18"/>
              </w:rPr>
              <w:t>而获得的补 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9,130,805.54</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362" w:lineRule="auto" w:before="49"/>
        <w:ind w:left="112" w:right="2894" w:firstLine="0"/>
        <w:jc w:val="left"/>
        <w:rPr>
          <w:rFonts w:ascii="宋体" w:hAnsi="宋体" w:cs="宋体" w:eastAsia="宋体" w:hint="default"/>
          <w:sz w:val="18"/>
          <w:szCs w:val="18"/>
        </w:rPr>
      </w:pPr>
      <w:r>
        <w:rPr>
          <w:rFonts w:ascii="宋体" w:hAnsi="宋体" w:cs="宋体" w:eastAsia="宋体" w:hint="default"/>
          <w:sz w:val="18"/>
          <w:szCs w:val="18"/>
        </w:rPr>
        <w:t>其他说明： 根据最新会计准则规定，本期计入当期损益的政府补助已调整至其他收益项目中列示。</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72</w:t>
      </w:r>
      <w:r>
        <w:rPr/>
        <w:t>、营业外支出</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7,246.96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7,246.96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2"/>
        <w:ind w:right="0"/>
        <w:jc w:val="left"/>
        <w:rPr>
          <w:b w:val="0"/>
          <w:bCs w:val="0"/>
        </w:rPr>
      </w:pPr>
      <w:r>
        <w:rPr>
          <w:rFonts w:ascii="Times New Roman" w:hAnsi="Times New Roman" w:cs="Times New Roman" w:eastAsia="Times New Roman" w:hint="default"/>
        </w:rPr>
        <w:t>73</w:t>
      </w:r>
      <w:r>
        <w:rPr/>
        <w:t>、所得税费用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19,012,975.11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19,811,317.33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-6,001,328.74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-5,538,148.70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13,011,646.37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14,273,168.63</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79"/>
        <w:gridCol w:w="4791"/>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96,124,299.49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14,418,644.92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-306,902.64</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3,684,372.34</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权益法核算的合营企业和联营企业损益</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82,895.13</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-2,850,991.31</w:t>
            </w:r>
          </w:p>
        </w:tc>
      </w:tr>
      <w:tr>
        <w:trPr>
          <w:trHeight w:val="404"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-2,016,372.07</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13,011,646.37</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1020" w:right="1020"/>
        </w:sectPr>
      </w:pPr>
    </w:p>
    <w:p>
      <w:pPr>
        <w:spacing w:line="240" w:lineRule="auto" w:before="10"/>
        <w:rPr>
          <w:rFonts w:ascii="宋体" w:hAnsi="宋体" w:cs="宋体" w:eastAsia="宋体" w:hint="default"/>
          <w:sz w:val="25"/>
          <w:szCs w:val="25"/>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9"/>
        <w:ind w:left="449" w:right="0"/>
        <w:jc w:val="left"/>
      </w:pPr>
      <w:r>
        <w:rPr/>
        <w:t>本期其他金额为</w:t>
      </w:r>
      <w:r>
        <w:rPr>
          <w:rFonts w:ascii="Times New Roman" w:hAnsi="Times New Roman" w:cs="Times New Roman" w:eastAsia="Times New Roman" w:hint="default"/>
        </w:rPr>
        <w:t>-2,016,372.07</w:t>
      </w:r>
      <w:r>
        <w:rPr/>
        <w:t>元，系由丧失控制权后，剩余股权按公允价值重新计量产生的利得</w:t>
      </w:r>
    </w:p>
    <w:p>
      <w:pPr>
        <w:pStyle w:val="BodyText"/>
        <w:spacing w:line="240" w:lineRule="auto" w:before="21"/>
        <w:ind w:right="0"/>
        <w:jc w:val="left"/>
      </w:pPr>
      <w:r>
        <w:rPr>
          <w:rFonts w:ascii="Times New Roman" w:hAnsi="Times New Roman" w:cs="Times New Roman" w:eastAsia="Times New Roman" w:hint="default"/>
        </w:rPr>
        <w:t>13,442,480.47</w:t>
      </w:r>
      <w:r>
        <w:rPr/>
        <w:t>元导致的纳税差异。</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74</w:t>
      </w:r>
      <w:r>
        <w:rPr/>
        <w:t>、其他综合收益</w:t>
      </w:r>
      <w:r>
        <w:rPr>
          <w:b w:val="0"/>
          <w:bCs w:val="0"/>
        </w:rPr>
      </w:r>
    </w:p>
    <w:p>
      <w:pPr>
        <w:spacing w:line="240" w:lineRule="auto" w:before="2"/>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75</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2"/>
        <w:rPr>
          <w:rFonts w:ascii="宋体" w:hAnsi="宋体" w:cs="宋体" w:eastAsia="宋体" w:hint="default"/>
          <w:b/>
          <w:bCs/>
          <w:sz w:val="26"/>
          <w:szCs w:val="26"/>
        </w:rPr>
      </w:pPr>
    </w:p>
    <w:p>
      <w:pPr>
        <w:spacing w:before="0"/>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收到的与收益相关的政府补助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7,117,526.66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34,341.22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收回受限资金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694,276.31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收到的利息收入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3,667,165.02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1,715,010.43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3,057,201.53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13,841,893.21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2,443,627.96</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60,311,206.57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53,672,767.80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押金及项目保证金等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937,299.19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2,604,564.82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支付受限资金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9,937,347.71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258,033.68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153,420.02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71,443,887.15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56,430,752.64</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after="0"/>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13"/>
        <w:rPr>
          <w:rFonts w:ascii="宋体" w:hAnsi="宋体" w:cs="宋体" w:eastAsia="宋体" w:hint="default"/>
          <w:sz w:val="24"/>
          <w:szCs w:val="24"/>
        </w:rPr>
      </w:pPr>
      <w:r>
        <w:rPr/>
        <w:pict>
          <v:shape style="position:absolute;margin-left:190.130005pt;margin-top:708.219971pt;width:185.55pt;height:19.6pt;mso-position-horizontal-relative:page;mso-position-vertical-relative:page;z-index:-83101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2"/>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上市发行费用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4,409,816.97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4,409,816.97</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7"/>
        <w:gridCol w:w="1043"/>
        <w:gridCol w:w="2015"/>
        <w:gridCol w:w="3185"/>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4" w:right="0"/>
              <w:jc w:val="left"/>
              <w:rPr>
                <w:rFonts w:ascii="Times New Roman" w:hAnsi="Times New Roman" w:cs="Times New Roman" w:eastAsia="Times New Roman" w:hint="default"/>
                <w:sz w:val="18"/>
                <w:szCs w:val="18"/>
              </w:rPr>
            </w:pPr>
            <w:r>
              <w:rPr>
                <w:rFonts w:ascii="Times New Roman"/>
                <w:sz w:val="18"/>
              </w:rPr>
              <w:t>83,112,653.12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57,556,728.69</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12,440,939.94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10,922,841.69</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5,356,142.68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4,787,272.09</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911,773.71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962,874.99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13,551.07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565,684.88</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21,846.96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-440.28</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30" w:right="0"/>
              <w:jc w:val="left"/>
              <w:rPr>
                <w:rFonts w:ascii="Times New Roman" w:hAnsi="Times New Roman" w:cs="Times New Roman" w:eastAsia="Times New Roman" w:hint="default"/>
                <w:sz w:val="18"/>
                <w:szCs w:val="18"/>
              </w:rPr>
            </w:pPr>
            <w:r>
              <w:rPr>
                <w:rFonts w:ascii="Times New Roman"/>
                <w:sz w:val="18"/>
              </w:rPr>
              <w:t>-15,865,879.85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043" w:type="dxa"/>
            <w:tcBorders>
              <w:top w:val="single" w:sz="4" w:space="0" w:color="000000"/>
              <w:left w:val="single" w:sz="13" w:space="0" w:color="FFFFFF"/>
              <w:bottom w:val="single" w:sz="4" w:space="0" w:color="000000"/>
              <w:right w:val="nil" w:sz="6" w:space="0" w:color="auto"/>
            </w:tcBorders>
          </w:tcPr>
          <w:p>
            <w:pPr/>
          </w:p>
        </w:tc>
        <w:tc>
          <w:tcPr>
            <w:tcW w:w="201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left="980" w:right="0"/>
              <w:jc w:val="left"/>
              <w:rPr>
                <w:rFonts w:ascii="Times New Roman" w:hAnsi="Times New Roman" w:cs="Times New Roman" w:eastAsia="Times New Roman" w:hint="default"/>
                <w:sz w:val="18"/>
                <w:szCs w:val="18"/>
              </w:rPr>
            </w:pPr>
            <w:r>
              <w:rPr>
                <w:rFonts w:ascii="Times New Roman"/>
                <w:sz w:val="18"/>
              </w:rPr>
              <w:t>-6,001,328.74</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-5,538,148.70</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930" w:right="0"/>
              <w:jc w:val="left"/>
              <w:rPr>
                <w:rFonts w:ascii="Times New Roman" w:hAnsi="Times New Roman" w:cs="Times New Roman" w:eastAsia="Times New Roman" w:hint="default"/>
                <w:sz w:val="18"/>
                <w:szCs w:val="18"/>
              </w:rPr>
            </w:pPr>
            <w:r>
              <w:rPr>
                <w:rFonts w:ascii="Times New Roman"/>
                <w:sz w:val="18"/>
              </w:rPr>
              <w:t>-29,899,883.68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-3,351,316.90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0" w:right="0"/>
              <w:jc w:val="left"/>
              <w:rPr>
                <w:rFonts w:ascii="Times New Roman" w:hAnsi="Times New Roman" w:cs="Times New Roman" w:eastAsia="Times New Roman" w:hint="default"/>
                <w:sz w:val="18"/>
                <w:szCs w:val="18"/>
              </w:rPr>
            </w:pPr>
            <w:r>
              <w:rPr>
                <w:rFonts w:ascii="Times New Roman"/>
                <w:sz w:val="18"/>
              </w:rPr>
              <w:t>-55,863,813.40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-46,090,462.64</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3327"/>
        <w:gridCol w:w="3058"/>
        <w:gridCol w:w="3185"/>
      </w:tblGrid>
      <w:tr>
        <w:trPr>
          <w:trHeight w:val="36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131,034,697.22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19,661,957.40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-9,937,347.71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694,276.31</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115,323,351.32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40,171,267.53</w:t>
            </w:r>
          </w:p>
        </w:tc>
      </w:tr>
      <w:tr>
        <w:trPr>
          <w:trHeight w:val="161"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27" w:type="dxa"/>
            <w:vMerge/>
            <w:tcBorders>
              <w:left w:val="single" w:sz="4" w:space="0" w:color="000000"/>
              <w:right w:val="single" w:sz="4" w:space="0" w:color="000000"/>
            </w:tcBorders>
            <w:shd w:val="clear" w:color="auto" w:fill="D2D2D2"/>
          </w:tcPr>
          <w:p>
            <w:pPr/>
          </w:p>
        </w:tc>
        <w:tc>
          <w:tcPr>
            <w:tcW w:w="30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465,844,561.63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477,542,904.34</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477,542,904.34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223,624,694.19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-11,698,342.71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253,918,210.15</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987"/>
        <w:gridCol w:w="4583"/>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2"/>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987"/>
        <w:gridCol w:w="4583"/>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2"/>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465,844,561.63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477,542,904.34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125,966.62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212,260.53</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465,718,595.01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477,330,643.81</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326"/>
        <w:gridCol w:w="3058"/>
        <w:gridCol w:w="3185"/>
      </w:tblGrid>
      <w:tr>
        <w:trPr>
          <w:trHeight w:val="404"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465,844,561.63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6" w:right="0"/>
              <w:jc w:val="left"/>
              <w:rPr>
                <w:rFonts w:ascii="Times New Roman" w:hAnsi="Times New Roman" w:cs="Times New Roman" w:eastAsia="Times New Roman" w:hint="default"/>
                <w:sz w:val="18"/>
                <w:szCs w:val="18"/>
              </w:rPr>
            </w:pPr>
            <w:r>
              <w:rPr>
                <w:rFonts w:ascii="Times New Roman"/>
                <w:sz w:val="18"/>
              </w:rPr>
              <w:t>477,542,904.34</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77</w:t>
      </w:r>
      <w:r>
        <w:rPr/>
        <w:t>、所有者权益变动表项目注释</w:t>
      </w:r>
      <w:r>
        <w:rPr>
          <w:b w:val="0"/>
          <w:bCs w:val="0"/>
        </w:rPr>
      </w:r>
    </w:p>
    <w:p>
      <w:pPr>
        <w:spacing w:line="240" w:lineRule="auto" w:before="4"/>
        <w:rPr>
          <w:rFonts w:ascii="宋体" w:hAnsi="宋体" w:cs="宋体" w:eastAsia="宋体" w:hint="default"/>
          <w:b/>
          <w:bCs/>
          <w:sz w:val="26"/>
          <w:szCs w:val="26"/>
        </w:rPr>
      </w:pPr>
    </w:p>
    <w:p>
      <w:pPr>
        <w:spacing w:line="340" w:lineRule="auto" w:before="0"/>
        <w:ind w:left="112" w:right="4354"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无</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78</w:t>
      </w:r>
      <w:r>
        <w:rPr/>
        <w:t>、所有权或使用权受到限制的资产</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17,067,935.89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17,067,935.89</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2"/>
        <w:ind w:right="0"/>
        <w:jc w:val="left"/>
        <w:rPr>
          <w:b w:val="0"/>
          <w:bCs w:val="0"/>
        </w:rPr>
      </w:pPr>
      <w:r>
        <w:rPr>
          <w:rFonts w:ascii="Times New Roman" w:hAnsi="Times New Roman" w:cs="Times New Roman" w:eastAsia="Times New Roman" w:hint="default"/>
        </w:rPr>
        <w:t>79</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1"/>
        <w:gridCol w:w="2391"/>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59" w:lineRule="auto" w:before="122"/>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80</w:t>
      </w:r>
      <w:r>
        <w:rPr/>
        <w:t>、套期</w:t>
      </w:r>
      <w:r>
        <w:rPr>
          <w:b w:val="0"/>
          <w:bCs w:val="0"/>
        </w:rPr>
      </w:r>
    </w:p>
    <w:p>
      <w:pPr>
        <w:spacing w:line="240" w:lineRule="auto" w:before="5"/>
        <w:rPr>
          <w:rFonts w:ascii="宋体" w:hAnsi="宋体" w:cs="宋体" w:eastAsia="宋体" w:hint="default"/>
          <w:b/>
          <w:bCs/>
          <w:sz w:val="26"/>
          <w:szCs w:val="26"/>
        </w:rPr>
      </w:pPr>
    </w:p>
    <w:p>
      <w:pPr>
        <w:spacing w:line="357" w:lineRule="auto" w:before="0"/>
        <w:ind w:left="112" w:right="3614"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81</w:t>
      </w:r>
      <w:r>
        <w:rPr/>
        <w:t>、其他</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11"/>
        <w:rPr>
          <w:rFonts w:ascii="宋体" w:hAnsi="宋体" w:cs="宋体" w:eastAsia="宋体" w:hint="default"/>
          <w:sz w:val="23"/>
          <w:szCs w:val="23"/>
        </w:rPr>
      </w:pPr>
    </w:p>
    <w:p>
      <w:pPr>
        <w:pStyle w:val="Heading2"/>
        <w:spacing w:line="240" w:lineRule="auto" w:before="26"/>
        <w:ind w:right="0"/>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4"/>
        <w:gridCol w:w="1061"/>
      </w:tblGrid>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line="360" w:lineRule="auto" w:before="49"/>
        <w:ind w:left="112" w:right="5954" w:firstLine="0"/>
        <w:jc w:val="left"/>
        <w:rPr>
          <w:rFonts w:ascii="宋体" w:hAnsi="宋体" w:cs="宋体" w:eastAsia="宋体" w:hint="default"/>
          <w:sz w:val="18"/>
          <w:szCs w:val="18"/>
        </w:rPr>
      </w:pPr>
      <w:r>
        <w:rPr>
          <w:rFonts w:ascii="宋体" w:hAnsi="宋体" w:cs="宋体" w:eastAsia="宋体" w:hint="default"/>
          <w:sz w:val="18"/>
          <w:szCs w:val="18"/>
        </w:rPr>
        <w:t>其他说明： 本公司报告期内未发生非同一控制下企业合并。</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p>
      <w:pPr>
        <w:spacing w:line="422" w:lineRule="exact"/>
        <w:ind w:left="10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763;top:17;width:24;height:392" coordorigin="4763,17" coordsize="24,392">
              <v:shape style="position:absolute;left:4763;top:17;width:24;height:392" coordorigin="4763,17" coordsize="24,392" path="m4763,408l4787,408,4787,17,4763,17,4763,408xe" filled="true" fillcolor="#d2d2d2" stroked="false">
                <v:path arrowok="t"/>
                <v:fill type="solid"/>
              </v:shape>
            </v:group>
            <v:group style="position:absolute;left:12;top:17;width:22;height:392" coordorigin="12,17" coordsize="22,392">
              <v:shape style="position:absolute;left:12;top:17;width:22;height:392" coordorigin="12,17" coordsize="22,392" path="m12,408l34,408,34,17,12,17,12,408xe" filled="true" fillcolor="#d2d2d2" stroked="false">
                <v:path arrowok="t"/>
                <v:fill type="solid"/>
              </v:shape>
            </v:group>
            <v:group style="position:absolute;left:34;top:17;width:4729;height:392" coordorigin="34,17" coordsize="4729,392">
              <v:shape style="position:absolute;left:34;top:17;width:4729;height:392" coordorigin="34,17" coordsize="4729,392" path="m34,408l4763,408,4763,17,34,17,34,408xe" filled="true" fillcolor="#d2d2d2" stroked="false">
                <v:path arrowok="t"/>
                <v:fill type="solid"/>
              </v:shape>
            </v:group>
            <v:group style="position:absolute;left:4796;top:17;width:22;height:392" coordorigin="4796,17" coordsize="22,392">
              <v:shape style="position:absolute;left:4796;top:17;width:22;height:392" coordorigin="4796,17" coordsize="22,392" path="m4796,408l4818,408,4818,17,4796,17,4796,408xe" filled="true" fillcolor="#e0ffff" stroked="false">
                <v:path arrowok="t"/>
                <v:fill type="solid"/>
              </v:shape>
            </v:group>
            <v:group style="position:absolute;left:9547;top:17;width:24;height:392" coordorigin="9547,17" coordsize="24,392">
              <v:shape style="position:absolute;left:9547;top:17;width:24;height:392" coordorigin="9547,17" coordsize="24,392" path="m9547,408l9571,408,9571,17,9547,17,9547,408xe" filled="true" fillcolor="#e0ffff" stroked="false">
                <v:path arrowok="t"/>
                <v:fill type="solid"/>
              </v:shape>
            </v:group>
            <v:group style="position:absolute;left:4818;top:17;width:4729;height:392" coordorigin="4818,17" coordsize="4729,392">
              <v:shape style="position:absolute;left:4818;top:17;width:4729;height:392" coordorigin="4818,17" coordsize="4729,392" path="m4818,408l9547,408,9547,17,4818,17,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1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1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85;height:404"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44"/>
        <w:ind w:left="112" w:right="5054"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7"/>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3"/>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60" w:lineRule="auto" w:before="50"/>
        <w:ind w:left="112" w:right="6511"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2"/>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both"/>
        <w:rPr>
          <w:rFonts w:ascii="宋体" w:hAnsi="宋体" w:cs="宋体" w:eastAsia="宋体" w:hint="default"/>
          <w:sz w:val="18"/>
          <w:szCs w:val="18"/>
        </w:rPr>
        <w:sectPr>
          <w:pgSz w:w="11910" w:h="16840"/>
          <w:pgMar w:header="867" w:footer="979" w:top="1060" w:bottom="1160" w:left="1020" w:right="1020"/>
        </w:sectPr>
      </w:pPr>
    </w:p>
    <w:p>
      <w:pPr>
        <w:spacing w:line="240" w:lineRule="auto" w:before="13"/>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2"/>
        <w:rPr>
          <w:rFonts w:ascii="宋体" w:hAnsi="宋体" w:cs="宋体" w:eastAsia="宋体" w:hint="default"/>
          <w:b/>
          <w:bCs/>
          <w:sz w:val="26"/>
          <w:szCs w:val="26"/>
        </w:rPr>
      </w:pPr>
    </w:p>
    <w:p>
      <w:pPr>
        <w:spacing w:before="0"/>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1337"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6"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9"/>
        <w:ind w:left="533" w:right="0"/>
        <w:jc w:val="left"/>
      </w:pPr>
      <w:r>
        <w:rPr/>
        <w:t>本公司报告期内未发生同一控制下企业合并。</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22" w:lineRule="exact"/>
        <w:ind w:left="10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763;top:14;width:24;height:394" coordorigin="4763,14" coordsize="24,394">
              <v:shape style="position:absolute;left:4763;top:14;width:24;height:394" coordorigin="4763,14" coordsize="24,394" path="m4763,408l4787,408,4787,14,4763,14,4763,408xe" filled="true" fillcolor="#d2d2d2" stroked="false">
                <v:path arrowok="t"/>
                <v:fill type="solid"/>
              </v:shape>
            </v:group>
            <v:group style="position:absolute;left:12;top:14;width:22;height:394" coordorigin="12,14" coordsize="22,394">
              <v:shape style="position:absolute;left:12;top:14;width:22;height:394" coordorigin="12,14" coordsize="22,394" path="m12,408l34,408,34,14,12,14,12,408xe" filled="true" fillcolor="#d2d2d2" stroked="false">
                <v:path arrowok="t"/>
                <v:fill type="solid"/>
              </v:shape>
            </v:group>
            <v:group style="position:absolute;left:34;top:14;width:4729;height:394" coordorigin="34,14" coordsize="4729,394">
              <v:shape style="position:absolute;left:34;top:14;width:4729;height:394" coordorigin="34,14" coordsize="4729,394" path="m34,408l4763,408,4763,14,34,14,34,408xe" filled="true" fillcolor="#d2d2d2" stroked="false">
                <v:path arrowok="t"/>
                <v:fill type="solid"/>
              </v:shape>
            </v:group>
            <v:group style="position:absolute;left:4796;top:14;width:22;height:394" coordorigin="4796,14" coordsize="22,394">
              <v:shape style="position:absolute;left:4796;top:14;width:22;height:394" coordorigin="4796,14" coordsize="22,394" path="m4796,408l4818,408,4818,14,4796,14,4796,408xe" filled="true" fillcolor="#e0ffff" stroked="false">
                <v:path arrowok="t"/>
                <v:fill type="solid"/>
              </v:shape>
            </v:group>
            <v:group style="position:absolute;left:9547;top:14;width:24;height:394" coordorigin="9547,14" coordsize="24,394">
              <v:shape style="position:absolute;left:9547;top:14;width:24;height:394" coordorigin="9547,14" coordsize="24,394" path="m9547,408l9571,408,9571,14,9547,14,9547,408xe" filled="true" fillcolor="#e0ffff" stroked="false">
                <v:path arrowok="t"/>
                <v:fill type="solid"/>
              </v:shape>
            </v:group>
            <v:group style="position:absolute;left:4818;top:14;width:4729;height:394" coordorigin="4818,14" coordsize="4729,394">
              <v:shape style="position:absolute;left:4818;top:14;width:4729;height:394" coordorigin="4818,14" coordsize="4729,394" path="m4818,408l9547,408,9547,14,4818,14,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1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1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85;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45"/>
        <w:ind w:left="112" w:right="7574"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p>
      <w:pPr>
        <w:spacing w:line="823" w:lineRule="exact"/>
        <w:ind w:left="10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3169;top:14;width:24;height:394" coordorigin="3169,14" coordsize="24,394">
              <v:shape style="position:absolute;left:3169;top:14;width:24;height:394" coordorigin="3169,14" coordsize="24,394" path="m3169,408l3193,408,3193,14,3169,14,3169,408xe" filled="true" fillcolor="#d2d2d2" stroked="false">
                <v:path arrowok="t"/>
                <v:fill type="solid"/>
              </v:shape>
            </v:group>
            <v:group style="position:absolute;left:12;top:14;width:22;height:394" coordorigin="12,14" coordsize="22,394">
              <v:shape style="position:absolute;left:12;top:14;width:22;height:394" coordorigin="12,14" coordsize="22,394" path="m12,408l34,408,34,14,12,14,12,408xe" filled="true" fillcolor="#d2d2d2" stroked="false">
                <v:path arrowok="t"/>
                <v:fill type="solid"/>
              </v:shape>
            </v:group>
            <v:group style="position:absolute;left:34;top:14;width:3136;height:394" coordorigin="34,14" coordsize="3136,394">
              <v:shape style="position:absolute;left:34;top:14;width:3136;height:394" coordorigin="34,14" coordsize="3136,394" path="m34,408l3169,408,3169,14,34,14,34,408xe" filled="true" fillcolor="#d2d2d2" stroked="false">
                <v:path arrowok="t"/>
                <v:fill type="solid"/>
              </v:shape>
            </v:group>
            <v:group style="position:absolute;left:3203;top:14;width:22;height:394" coordorigin="3203,14" coordsize="22,394">
              <v:shape style="position:absolute;left:3203;top:14;width:22;height:394" coordorigin="3203,14" coordsize="22,394" path="m3203,408l3224,408,3224,14,3203,14,3203,408xe" filled="true" fillcolor="#e0ffff" stroked="false">
                <v:path arrowok="t"/>
                <v:fill type="solid"/>
              </v:shape>
            </v:group>
            <v:group style="position:absolute;left:9549;top:14;width:24;height:394" coordorigin="9549,14" coordsize="24,394">
              <v:shape style="position:absolute;left:9549;top:14;width:24;height:394" coordorigin="9549,14" coordsize="24,394" path="m9549,408l9573,408,9573,14,9549,14,9549,408xe" filled="true" fillcolor="#e0ffff" stroked="false">
                <v:path arrowok="t"/>
                <v:fill type="solid"/>
              </v:shape>
            </v:group>
            <v:group style="position:absolute;left:3224;top:14;width:6325;height:394" coordorigin="3224,14" coordsize="6325,394">
              <v:shape style="position:absolute;left:3224;top:14;width:6325;height:394" coordorigin="3224,14" coordsize="6325,394" path="m3224,408l9549,408,9549,14,3224,14,3224,408xe" filled="true" fillcolor="#e0ffff"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001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8001pt" strokecolor="#000000">
                <v:path arrowok="t"/>
              </v:shape>
            </v:group>
            <v:group style="position:absolute;left:3169;top:418;width:24;height:392" coordorigin="3169,418" coordsize="24,392">
              <v:shape style="position:absolute;left:3169;top:418;width:24;height:392" coordorigin="3169,418" coordsize="24,392" path="m3169,809l3193,809,3193,418,3169,418,3169,809xe" filled="true" fillcolor="#d2d2d2" stroked="false">
                <v:path arrowok="t"/>
                <v:fill type="solid"/>
              </v:shape>
            </v:group>
            <v:group style="position:absolute;left:12;top:418;width:22;height:392" coordorigin="12,418" coordsize="22,392">
              <v:shape style="position:absolute;left:12;top:418;width:22;height:392" coordorigin="12,418" coordsize="22,392" path="m12,809l34,809,34,418,12,418,12,809xe" filled="true" fillcolor="#d2d2d2" stroked="false">
                <v:path arrowok="t"/>
                <v:fill type="solid"/>
              </v:shape>
            </v:group>
            <v:group style="position:absolute;left:34;top:418;width:3136;height:392" coordorigin="34,418" coordsize="3136,392">
              <v:shape style="position:absolute;left:34;top:418;width:3136;height:392" coordorigin="34,418" coordsize="3136,392" path="m34,809l3169,809,3169,418,34,418,34,809xe" filled="true" fillcolor="#d2d2d2" stroked="false">
                <v:path arrowok="t"/>
                <v:fill type="solid"/>
              </v:shape>
            </v:group>
            <v:group style="position:absolute;left:6359;top:418;width:24;height:392" coordorigin="6359,418" coordsize="24,392">
              <v:shape style="position:absolute;left:6359;top:418;width:24;height:392" coordorigin="6359,418" coordsize="24,392" path="m6359,809l6383,809,6383,418,6359,418,6359,809xe" filled="true" fillcolor="#d2d2d2" stroked="false">
                <v:path arrowok="t"/>
                <v:fill type="solid"/>
              </v:shape>
            </v:group>
            <v:group style="position:absolute;left:3203;top:418;width:22;height:392" coordorigin="3203,418" coordsize="22,392">
              <v:shape style="position:absolute;left:3203;top:418;width:22;height:392" coordorigin="3203,418" coordsize="22,392" path="m3203,809l3224,809,3224,418,3203,418,3203,809xe" filled="true" fillcolor="#d2d2d2" stroked="false">
                <v:path arrowok="t"/>
                <v:fill type="solid"/>
              </v:shape>
            </v:group>
            <v:group style="position:absolute;left:3224;top:418;width:3135;height:392" coordorigin="3224,418" coordsize="3135,392">
              <v:shape style="position:absolute;left:3224;top:418;width:3135;height:392" coordorigin="3224,418" coordsize="3135,392" path="m3224,809l6359,809,6359,418,3224,418,3224,809xe" filled="true" fillcolor="#d2d2d2" stroked="false">
                <v:path arrowok="t"/>
                <v:fill type="solid"/>
              </v:shape>
            </v:group>
            <v:group style="position:absolute;left:9549;top:418;width:24;height:392" coordorigin="9549,418" coordsize="24,392">
              <v:shape style="position:absolute;left:9549;top:418;width:24;height:392" coordorigin="9549,418" coordsize="24,392" path="m9549,809l9573,809,9573,418,9549,418,9549,809xe" filled="true" fillcolor="#d2d2d2" stroked="false">
                <v:path arrowok="t"/>
                <v:fill type="solid"/>
              </v:shape>
            </v:group>
            <v:group style="position:absolute;left:6393;top:418;width:22;height:392" coordorigin="6393,418" coordsize="22,392">
              <v:shape style="position:absolute;left:6393;top:418;width:22;height:392" coordorigin="6393,418" coordsize="22,392" path="m6393,809l6414,809,6414,418,6393,418,6393,809xe" filled="true" fillcolor="#d2d2d2" stroked="false">
                <v:path arrowok="t"/>
                <v:fill type="solid"/>
              </v:shape>
            </v:group>
            <v:group style="position:absolute;left:6414;top:418;width:3135;height:392" coordorigin="6414,418" coordsize="3135,392">
              <v:shape style="position:absolute;left:6414;top:418;width:3135;height:392" coordorigin="6414,418" coordsize="3135,392" path="m6414,809l9549,809,9549,418,6414,418,6414,809xe" filled="true" fillcolor="#d2d2d2" stroked="false">
                <v:path arrowok="t"/>
                <v:fill type="solid"/>
              </v:shape>
            </v:group>
            <v:group style="position:absolute;left:10;top:413;width:3181;height:2" coordorigin="10,413" coordsize="3181,2">
              <v:shape style="position:absolute;left:10;top:413;width:3181;height:2" coordorigin="10,413" coordsize="3181,0" path="m10,413l3191,413e" filled="false" stroked="true" strokeweight=".47998pt" strokecolor="#000000">
                <v:path arrowok="t"/>
              </v:shape>
            </v:group>
            <v:group style="position:absolute;left:3200;top:413;width:3181;height:2" coordorigin="3200,413" coordsize="3181,2">
              <v:shape style="position:absolute;left:3200;top:413;width:3181;height:2" coordorigin="3200,413" coordsize="3181,0" path="m3200,413l6381,413e" filled="false" stroked="true" strokeweight=".47998pt" strokecolor="#000000">
                <v:path arrowok="t"/>
              </v:shape>
            </v:group>
            <v:group style="position:absolute;left:6390;top:413;width:3183;height:2" coordorigin="6390,413" coordsize="3183,2">
              <v:shape style="position:absolute;left:6390;top:413;width:3183;height:2" coordorigin="6390,413" coordsize="3183,0" path="m6390,413l9573,413e" filled="false" stroked="true" strokeweight=".4799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799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7998pt" strokecolor="#000000">
                <v:path arrowok="t"/>
              </v:shape>
            </v:group>
            <v:group style="position:absolute;left:6385;top:408;width:2;height:411" coordorigin="6385,408" coordsize="2,411">
              <v:shape style="position:absolute;left:6385;top:408;width:2;height:411" coordorigin="6385,408" coordsize="0,411" path="m6385,408l6385,818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7998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95;top:413;width:3190;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3;width:3193;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62" w:lineRule="auto" w:before="44"/>
        <w:ind w:left="112" w:right="6494"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spacing w:line="316" w:lineRule="auto" w:before="0"/>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性交易处理时调整权益的金额及其计算：</w:t>
      </w:r>
    </w:p>
    <w:p>
      <w:pPr>
        <w:pStyle w:val="BodyText"/>
        <w:spacing w:line="240" w:lineRule="auto" w:before="39"/>
        <w:ind w:left="533" w:right="0"/>
        <w:jc w:val="left"/>
      </w:pPr>
      <w:r>
        <w:rPr/>
        <w:t>本公司报告期内未发生反向购买。</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67" w:footer="979" w:top="1060" w:bottom="1160" w:left="1020" w:right="102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7"/>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4253" w:space="4576"/>
            <w:col w:w="1041"/>
          </w:cols>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36"/>
        <w:gridCol w:w="734"/>
        <w:gridCol w:w="737"/>
        <w:gridCol w:w="735"/>
        <w:gridCol w:w="737"/>
        <w:gridCol w:w="734"/>
        <w:gridCol w:w="735"/>
        <w:gridCol w:w="734"/>
        <w:gridCol w:w="737"/>
        <w:gridCol w:w="737"/>
        <w:gridCol w:w="737"/>
        <w:gridCol w:w="734"/>
        <w:gridCol w:w="737"/>
      </w:tblGrid>
      <w:tr>
        <w:trPr>
          <w:trHeight w:val="383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3" w:right="89"/>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89"/>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3" w:right="91" w:hanging="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651"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北京版 信通技 术有限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4.08%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159"/>
              <w:jc w:val="both"/>
              <w:rPr>
                <w:rFonts w:ascii="宋体" w:hAnsi="宋体" w:cs="宋体" w:eastAsia="宋体" w:hint="default"/>
                <w:sz w:val="18"/>
                <w:szCs w:val="18"/>
              </w:rPr>
            </w:pPr>
            <w:r>
              <w:rPr>
                <w:rFonts w:ascii="宋体" w:hAnsi="宋体" w:cs="宋体" w:eastAsia="宋体" w:hint="default"/>
                <w:sz w:val="18"/>
                <w:szCs w:val="18"/>
              </w:rPr>
              <w:t>视作出 售子公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8"/>
              <w:jc w:val="both"/>
              <w:rPr>
                <w:rFonts w:ascii="宋体" w:hAnsi="宋体" w:cs="宋体" w:eastAsia="宋体" w:hint="default"/>
                <w:sz w:val="18"/>
                <w:szCs w:val="18"/>
              </w:rPr>
            </w:pPr>
            <w:r>
              <w:rPr>
                <w:rFonts w:ascii="宋体" w:hAnsi="宋体" w:cs="宋体" w:eastAsia="宋体" w:hint="default"/>
                <w:sz w:val="18"/>
                <w:szCs w:val="18"/>
              </w:rPr>
              <w:t>出资完 成并丧 失半数 以上表 决权</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46.92%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-1,735,9</w:t>
            </w:r>
          </w:p>
          <w:p>
            <w:pPr>
              <w:pStyle w:val="TableParagraph"/>
              <w:spacing w:line="240" w:lineRule="auto" w:before="102"/>
              <w:ind w:left="279" w:right="0"/>
              <w:jc w:val="center"/>
              <w:rPr>
                <w:rFonts w:ascii="Times New Roman" w:hAnsi="Times New Roman" w:cs="Times New Roman" w:eastAsia="Times New Roman" w:hint="default"/>
                <w:sz w:val="18"/>
                <w:szCs w:val="18"/>
              </w:rPr>
            </w:pPr>
            <w:r>
              <w:rPr>
                <w:rFonts w:ascii="Times New Roman"/>
                <w:sz w:val="18"/>
              </w:rPr>
              <w:t>40.47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11,706,5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13,442,4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80.47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 w:right="158"/>
              <w:jc w:val="both"/>
              <w:rPr>
                <w:rFonts w:ascii="宋体" w:hAnsi="宋体" w:cs="宋体" w:eastAsia="宋体" w:hint="default"/>
                <w:sz w:val="18"/>
                <w:szCs w:val="18"/>
              </w:rPr>
            </w:pPr>
            <w:r>
              <w:rPr>
                <w:rFonts w:ascii="宋体" w:hAnsi="宋体" w:cs="宋体" w:eastAsia="宋体" w:hint="default"/>
                <w:sz w:val="18"/>
                <w:szCs w:val="18"/>
              </w:rPr>
              <w:t>参考股 权增资 协议</w:t>
            </w: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61" w:lineRule="auto" w:before="96"/>
        <w:ind w:right="106" w:firstLine="420"/>
        <w:jc w:val="both"/>
      </w:pPr>
      <w:r>
        <w:rPr>
          <w:spacing w:val="-3"/>
        </w:rPr>
        <w:t>本期子公司版信通增资，增资完成后注册资本由人民币</w:t>
      </w:r>
      <w:r>
        <w:rPr>
          <w:rFonts w:ascii="Times New Roman" w:hAnsi="Times New Roman" w:cs="Times New Roman" w:eastAsia="Times New Roman" w:hint="default"/>
          <w:spacing w:val="-3"/>
        </w:rPr>
        <w:t>500</w:t>
      </w:r>
      <w:r>
        <w:rPr>
          <w:spacing w:val="-3"/>
        </w:rPr>
        <w:t>万元增加至</w:t>
      </w:r>
      <w:r>
        <w:rPr>
          <w:rFonts w:ascii="Times New Roman" w:hAnsi="Times New Roman" w:cs="Times New Roman" w:eastAsia="Times New Roman" w:hint="default"/>
          <w:spacing w:val="-3"/>
        </w:rPr>
        <w:t>543.48</w:t>
      </w:r>
      <w:r>
        <w:rPr>
          <w:spacing w:val="-3"/>
        </w:rPr>
        <w:t>万元，股权结构为：北京</w:t>
      </w:r>
      <w:r>
        <w:rPr>
          <w:w w:val="100"/>
        </w:rPr>
        <w:t> </w:t>
      </w:r>
      <w:r>
        <w:rPr>
          <w:spacing w:val="-3"/>
        </w:rPr>
        <w:t>数字认证股份有限公司占比</w:t>
      </w:r>
      <w:r>
        <w:rPr>
          <w:rFonts w:ascii="Times New Roman" w:hAnsi="Times New Roman" w:cs="Times New Roman" w:eastAsia="Times New Roman" w:hint="default"/>
          <w:spacing w:val="-3"/>
        </w:rPr>
        <w:t>46.92%</w:t>
      </w:r>
      <w:r>
        <w:rPr>
          <w:spacing w:val="-3"/>
        </w:rPr>
        <w:t>，北京云门信安科技有限公司占比</w:t>
      </w:r>
      <w:r>
        <w:rPr>
          <w:rFonts w:ascii="Times New Roman" w:hAnsi="Times New Roman" w:cs="Times New Roman" w:eastAsia="Times New Roman" w:hint="default"/>
          <w:spacing w:val="-3"/>
        </w:rPr>
        <w:t>45.08%</w:t>
      </w:r>
      <w:r>
        <w:rPr>
          <w:spacing w:val="-3"/>
        </w:rPr>
        <w:t>，杭州拾贝知识产权服务有限</w:t>
      </w:r>
      <w:r>
        <w:rPr>
          <w:spacing w:val="-14"/>
        </w:rPr>
        <w:t> </w:t>
      </w:r>
      <w:r>
        <w:rPr>
          <w:spacing w:val="-14"/>
        </w:rPr>
      </w:r>
      <w:r>
        <w:rPr>
          <w:spacing w:val="-4"/>
        </w:rPr>
        <w:t>公司占比</w:t>
      </w:r>
      <w:r>
        <w:rPr>
          <w:rFonts w:ascii="Times New Roman" w:hAnsi="Times New Roman" w:cs="Times New Roman" w:eastAsia="Times New Roman" w:hint="default"/>
          <w:spacing w:val="-4"/>
        </w:rPr>
        <w:t>4%</w:t>
      </w:r>
      <w:r>
        <w:rPr>
          <w:spacing w:val="-4"/>
        </w:rPr>
        <w:t>，杭州水木泽华创业投资合伙企业（有限合伙）占比</w:t>
      </w:r>
      <w:r>
        <w:rPr>
          <w:rFonts w:ascii="Times New Roman" w:hAnsi="Times New Roman" w:cs="Times New Roman" w:eastAsia="Times New Roman" w:hint="default"/>
          <w:spacing w:val="-4"/>
        </w:rPr>
        <w:t>4%</w:t>
      </w:r>
      <w:r>
        <w:rPr>
          <w:spacing w:val="-4"/>
        </w:rPr>
        <w:t>。增资完成后对版信通持股比例由</w:t>
      </w:r>
      <w:r>
        <w:rPr>
          <w:rFonts w:ascii="Times New Roman" w:hAnsi="Times New Roman" w:cs="Times New Roman" w:eastAsia="Times New Roman" w:hint="default"/>
          <w:spacing w:val="-4"/>
        </w:rPr>
        <w:t>51%</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spacing w:val="-2"/>
        </w:rPr>
        <w:t>变更为</w:t>
      </w:r>
      <w:r>
        <w:rPr>
          <w:rFonts w:ascii="Times New Roman" w:hAnsi="Times New Roman" w:cs="Times New Roman" w:eastAsia="Times New Roman" w:hint="default"/>
          <w:spacing w:val="-2"/>
        </w:rPr>
        <w:t>46.92%</w:t>
      </w:r>
      <w:r>
        <w:rPr>
          <w:spacing w:val="-2"/>
        </w:rPr>
        <w:t>，对其不再具有控制权，变为重大影响，自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月不再作为本公司的子公司纳入财务报</w:t>
      </w:r>
      <w:r>
        <w:rPr>
          <w:spacing w:val="-11"/>
        </w:rPr>
        <w:t> </w:t>
      </w:r>
      <w:r>
        <w:rPr>
          <w:spacing w:val="-11"/>
        </w:rPr>
      </w:r>
      <w:r>
        <w:rPr>
          <w:spacing w:val="-2"/>
        </w:rPr>
        <w:t>表合并范围，转为联营企业，对其长期股权投资核算由成本法改为权益法，按照其在丧失控制权日的公允</w:t>
      </w:r>
      <w:r>
        <w:rPr>
          <w:spacing w:val="-42"/>
        </w:rPr>
        <w:t> </w:t>
      </w:r>
      <w:r>
        <w:rPr>
          <w:spacing w:val="-42"/>
        </w:rPr>
      </w:r>
      <w:r>
        <w:rPr/>
        <w:t>价值进行重新计量。</w:t>
      </w:r>
    </w:p>
    <w:p>
      <w:pPr>
        <w:spacing w:before="77"/>
        <w:ind w:left="112"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是否存在通过多次交易分步处置对子公司投资且在本期丧失控制权的情形</w:t>
      </w:r>
    </w:p>
    <w:p>
      <w:pPr>
        <w:spacing w:before="119"/>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spacing w:line="360" w:lineRule="auto" w:before="0"/>
        <w:ind w:left="112" w:right="2894"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 无</w:t>
      </w:r>
    </w:p>
    <w:p>
      <w:pPr>
        <w:spacing w:line="240" w:lineRule="auto" w:before="4"/>
        <w:rPr>
          <w:rFonts w:ascii="宋体" w:hAnsi="宋体" w:cs="宋体" w:eastAsia="宋体" w:hint="default"/>
          <w:sz w:val="20"/>
          <w:szCs w:val="20"/>
        </w:rPr>
      </w:pPr>
    </w:p>
    <w:p>
      <w:pPr>
        <w:spacing w:line="487" w:lineRule="auto" w:before="0"/>
        <w:ind w:left="112" w:right="70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4"/>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4"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67" w:footer="979" w:top="1060" w:bottom="1160" w:left="1020" w:right="1020"/>
        </w:sectPr>
      </w:pPr>
    </w:p>
    <w:p>
      <w:pPr>
        <w:spacing w:line="240" w:lineRule="auto" w:before="6"/>
        <w:rPr>
          <w:rFonts w:ascii="宋体" w:hAnsi="宋体" w:cs="宋体" w:eastAsia="宋体" w:hint="default"/>
          <w:b/>
          <w:bCs/>
          <w:sz w:val="28"/>
          <w:szCs w:val="28"/>
        </w:rPr>
      </w:pPr>
    </w:p>
    <w:tbl>
      <w:tblPr>
        <w:tblW w:w="0" w:type="auto"/>
        <w:jc w:val="left"/>
        <w:tblInd w:w="105" w:type="dxa"/>
        <w:tblLayout w:type="fixed"/>
        <w:tblCellMar>
          <w:top w:w="0" w:type="dxa"/>
          <w:left w:w="0" w:type="dxa"/>
          <w:bottom w:w="0" w:type="dxa"/>
          <w:right w:w="0" w:type="dxa"/>
        </w:tblCellMar>
        <w:tblLook w:val="01E0"/>
      </w:tblPr>
      <w:tblGrid>
        <w:gridCol w:w="1373"/>
        <w:gridCol w:w="1369"/>
        <w:gridCol w:w="1366"/>
        <w:gridCol w:w="1368"/>
        <w:gridCol w:w="1368"/>
        <w:gridCol w:w="1366"/>
        <w:gridCol w:w="1366"/>
      </w:tblGrid>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安信天行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系统集成及软件 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60" w:lineRule="auto" w:before="49"/>
        <w:ind w:left="112" w:right="1814"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5"/>
        <w:ind w:left="112" w:right="667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3"/>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7"/>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7"/>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line="360" w:lineRule="auto" w:before="49"/>
        <w:ind w:left="112" w:right="541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736"/>
        <w:gridCol w:w="734"/>
        <w:gridCol w:w="737"/>
        <w:gridCol w:w="737"/>
        <w:gridCol w:w="734"/>
        <w:gridCol w:w="737"/>
        <w:gridCol w:w="735"/>
        <w:gridCol w:w="734"/>
        <w:gridCol w:w="734"/>
        <w:gridCol w:w="737"/>
        <w:gridCol w:w="737"/>
        <w:gridCol w:w="734"/>
        <w:gridCol w:w="737"/>
      </w:tblGrid>
      <w:tr>
        <w:trPr>
          <w:trHeight w:val="404"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spacing w:before="49"/>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4"/>
        <w:gridCol w:w="1066"/>
      </w:tblGrid>
      <w:tr>
        <w:trPr>
          <w:trHeight w:val="401"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67" w:footer="979" w:top="1060" w:bottom="1160" w:left="1020" w:right="1020"/>
        </w:sectPr>
      </w:pPr>
    </w:p>
    <w:p>
      <w:pPr>
        <w:spacing w:line="240" w:lineRule="auto" w:before="2"/>
        <w:rPr>
          <w:rFonts w:ascii="宋体" w:hAnsi="宋体" w:cs="宋体" w:eastAsia="宋体" w:hint="default"/>
          <w:sz w:val="28"/>
          <w:szCs w:val="28"/>
        </w:rPr>
      </w:pPr>
    </w:p>
    <w:p>
      <w:pPr>
        <w:spacing w:line="422" w:lineRule="exact"/>
        <w:ind w:left="10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763;top:14;width:24;height:392" coordorigin="4763,14" coordsize="24,392">
              <v:shape style="position:absolute;left:4763;top:14;width:24;height:392" coordorigin="4763,14" coordsize="24,392" path="m4763,406l4787,406,4787,14,4763,14,4763,406xe" filled="true" fillcolor="#d2d2d2"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2d2d2" stroked="false">
                <v:path arrowok="t"/>
                <v:fill type="solid"/>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796;top:14;width:22;height:392" coordorigin="4796,14" coordsize="22,392">
              <v:shape style="position:absolute;left:4796;top:14;width:22;height:392" coordorigin="4796,14" coordsize="22,392" path="m4796,406l4818,406,4818,14,4796,14,4796,406xe" filled="true" fillcolor="#e0ffff" stroked="false">
                <v:path arrowok="t"/>
                <v:fill type="solid"/>
              </v:shape>
            </v:group>
            <v:group style="position:absolute;left:9547;top:14;width:24;height:392" coordorigin="9547,14" coordsize="24,392">
              <v:shape style="position:absolute;left:9547;top:14;width:24;height:392" coordorigin="9547,14" coordsize="24,392" path="m9547,406l9571,406,9571,14,9547,14,9547,406xe" filled="true" fillcolor="#e0ffff" stroked="false">
                <v:path arrowok="t"/>
                <v:fill type="solid"/>
              </v:shape>
            </v:group>
            <v:group style="position:absolute;left:4818;top:14;width:4729;height:392" coordorigin="4818,14" coordsize="4729,392">
              <v:shape style="position:absolute;left:4818;top:14;width:4729;height:392" coordorigin="4818,14" coordsize="4729,392" path="m4818,406l9547,406,9547,14,4818,14,4818,406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pt" strokecolor="#000000">
                <v:path arrowok="t"/>
              </v:shape>
            </v:group>
            <v:group style="position:absolute;left:4789;top:5;width:2;height:414" coordorigin="4789,5" coordsize="2,414">
              <v:shape style="position:absolute;left:4789;top:5;width:2;height:414" coordorigin="4789,5" coordsize="0,414"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pt" strokecolor="#000000">
                <v:path arrowok="t"/>
              </v:shape>
            </v:group>
            <v:group style="position:absolute;left:9576;top:5;width:2;height:414" coordorigin="9576,5" coordsize="2,414">
              <v:shape style="position:absolute;left:9576;top:5;width:2;height:414" coordorigin="9576,5" coordsize="0,414" path="m9576,5l9576,418e" filled="false" stroked="true" strokeweight=".47998pt" strokecolor="#000000">
                <v:path arrowok="t"/>
              </v:shape>
            </v:group>
          </v:group>
        </w:pict>
      </w:r>
      <w:r>
        <w:rPr>
          <w:rFonts w:ascii="宋体" w:hAnsi="宋体" w:cs="宋体" w:eastAsia="宋体" w:hint="default"/>
          <w:position w:val="-7"/>
          <w:sz w:val="20"/>
          <w:szCs w:val="20"/>
        </w:rPr>
      </w:r>
    </w:p>
    <w:p>
      <w:pPr>
        <w:spacing w:before="45"/>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5"/>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4"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版信通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6" w:right="70"/>
              <w:jc w:val="left"/>
              <w:rPr>
                <w:rFonts w:ascii="宋体" w:hAnsi="宋体" w:cs="宋体" w:eastAsia="宋体" w:hint="default"/>
                <w:sz w:val="18"/>
                <w:szCs w:val="18"/>
              </w:rPr>
            </w:pPr>
            <w:r>
              <w:rPr>
                <w:rFonts w:ascii="宋体" w:hAnsi="宋体" w:cs="宋体" w:eastAsia="宋体" w:hint="default"/>
                <w:sz w:val="18"/>
                <w:szCs w:val="18"/>
              </w:rPr>
              <w:t>技术咨询及服 务、数据处理、 版权转让及代理 服务等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46.92%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3"/>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2"/>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3"/>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1,627,930.22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1,095,833.84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3,606,418.76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2,057,120.53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5,234,348.98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3,152,954.37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6,737,416.04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4,244,806.51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599,250.00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7,336,666.04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4,244,806.51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-2,102,317.06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-1,091,852.14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-2,102,317.06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-986,407.16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12,140,312.97</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11,153,905.81</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1,558,031.77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283.02</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-3,489,774.92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-4,906,254.53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-3,489,774.92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-4,906,254.53</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60"/>
        <w:gridCol w:w="3185"/>
      </w:tblGrid>
      <w:tr>
        <w:trPr>
          <w:trHeight w:val="4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3"/>
        <w:gridCol w:w="2391"/>
        <w:gridCol w:w="2396"/>
      </w:tblGrid>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2"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4"/>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2" w:lineRule="auto" w:before="49"/>
        <w:ind w:left="112" w:right="4514"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3"/>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5"/>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after="0"/>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13"/>
        <w:rPr>
          <w:rFonts w:ascii="宋体" w:hAnsi="宋体" w:cs="宋体" w:eastAsia="宋体" w:hint="default"/>
          <w:sz w:val="24"/>
          <w:szCs w:val="24"/>
        </w:rPr>
      </w:pPr>
    </w:p>
    <w:p>
      <w:pPr>
        <w:pStyle w:val="BodyText"/>
        <w:spacing w:line="240" w:lineRule="auto" w:before="36"/>
        <w:ind w:right="0"/>
        <w:jc w:val="both"/>
      </w:pPr>
      <w:r>
        <w:rPr/>
        <w:t>本公司报告期内不存在未纳入合并财务报表范围的结构化主体。</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both"/>
        <w:rPr>
          <w:b w:val="0"/>
          <w:bCs w:val="0"/>
        </w:rPr>
      </w:pPr>
      <w:r>
        <w:rPr/>
        <w:t>十、与金融工具相关的风险</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206" w:firstLine="420"/>
        <w:jc w:val="both"/>
      </w:pPr>
      <w:r>
        <w:rPr>
          <w:spacing w:val="-2"/>
        </w:rPr>
        <w:t>本集团各项金融工具的详细情况已于相关附注内披露。与这些金融工具有关的风险，以及本集团为降</w:t>
      </w:r>
      <w:r>
        <w:rPr>
          <w:w w:val="100"/>
        </w:rPr>
        <w:t> </w:t>
      </w:r>
      <w:r>
        <w:rPr>
          <w:spacing w:val="-2"/>
        </w:rPr>
        <w:t>低这些风险所采取的风险管理政策如下所述。本集团管理层对这些风险敞口进行管理和监控以确保将上述</w:t>
      </w:r>
      <w:r>
        <w:rPr>
          <w:spacing w:val="-43"/>
        </w:rPr>
        <w:t> </w:t>
      </w:r>
      <w:r>
        <w:rPr>
          <w:spacing w:val="-43"/>
        </w:rPr>
      </w:r>
      <w:r>
        <w:rPr/>
        <w:t>风险控制在限定的范围之内。</w:t>
      </w:r>
    </w:p>
    <w:p>
      <w:pPr>
        <w:pStyle w:val="BodyText"/>
        <w:spacing w:line="290" w:lineRule="auto" w:before="48"/>
        <w:ind w:left="533" w:right="0"/>
        <w:jc w:val="left"/>
      </w:pPr>
      <w:r>
        <w:rPr>
          <w:rFonts w:ascii="Times New Roman" w:hAnsi="Times New Roman" w:cs="Times New Roman" w:eastAsia="Times New Roman" w:hint="default"/>
        </w:rPr>
        <w:t>1</w:t>
      </w:r>
      <w:r>
        <w:rPr/>
        <w:t>、风险管理目标和政策</w:t>
      </w:r>
      <w:r>
        <w:rPr>
          <w:w w:val="100"/>
        </w:rPr>
        <w:t> </w:t>
      </w:r>
      <w:r>
        <w:rPr>
          <w:spacing w:val="-2"/>
        </w:rPr>
        <w:t>本集团从事风险管理的目标是在风险和收益之间取得适当的平衡，力求降低金融风险对本集团财务业</w:t>
      </w:r>
    </w:p>
    <w:p>
      <w:pPr>
        <w:pStyle w:val="BodyText"/>
        <w:spacing w:line="273" w:lineRule="auto"/>
        <w:ind w:right="206"/>
        <w:jc w:val="both"/>
      </w:pPr>
      <w:r>
        <w:rPr>
          <w:spacing w:val="-2"/>
        </w:rPr>
        <w:t>绩的不利影响。基于该风险管理目标，本集团已制定风险管理政策以辨别和分析本集团所面临的风险，设</w:t>
      </w:r>
      <w:r>
        <w:rPr>
          <w:spacing w:val="-43"/>
        </w:rPr>
        <w:t> </w:t>
      </w:r>
      <w:r>
        <w:rPr>
          <w:spacing w:val="-43"/>
        </w:rPr>
      </w:r>
      <w:r>
        <w:rPr>
          <w:spacing w:val="-2"/>
        </w:rPr>
        <w:t>定适当的风险可接受水平并设计相应的内部控制程序，以监控本集团的风险水平。本集团会定期审阅这些</w:t>
      </w:r>
      <w:r>
        <w:rPr>
          <w:spacing w:val="-43"/>
        </w:rPr>
        <w:t> </w:t>
      </w:r>
      <w:r>
        <w:rPr>
          <w:spacing w:val="-43"/>
        </w:rPr>
      </w:r>
      <w:r>
        <w:rPr>
          <w:spacing w:val="-2"/>
        </w:rPr>
        <w:t>风险管理政策及有关内部控制系统，以适应市场情况或本集团经营活动的改变。本集团的内部审计部门也</w:t>
      </w:r>
      <w:r>
        <w:rPr>
          <w:spacing w:val="-43"/>
        </w:rPr>
        <w:t> </w:t>
      </w:r>
      <w:r>
        <w:rPr>
          <w:spacing w:val="-43"/>
        </w:rPr>
      </w:r>
      <w:r>
        <w:rPr/>
        <w:t>定期或随机检查内部控制系统的执行是否符合风险管理政策。</w:t>
      </w:r>
    </w:p>
    <w:p>
      <w:pPr>
        <w:pStyle w:val="BodyText"/>
        <w:spacing w:line="273" w:lineRule="auto" w:before="48"/>
        <w:ind w:right="208" w:firstLine="420"/>
        <w:jc w:val="both"/>
      </w:pPr>
      <w:r>
        <w:rPr>
          <w:spacing w:val="-2"/>
        </w:rPr>
        <w:t>本集团的金融工具导致的主要风险是信用风险、流动性风险、市场风险（包括利率风险、汇率风险和</w:t>
      </w:r>
      <w:r>
        <w:rPr>
          <w:w w:val="100"/>
        </w:rPr>
        <w:t> </w:t>
      </w:r>
      <w:r>
        <w:rPr/>
        <w:t>商品价格风险</w:t>
      </w:r>
      <w:r>
        <w:rPr>
          <w:rFonts w:ascii="Times New Roman" w:hAnsi="Times New Roman" w:cs="Times New Roman" w:eastAsia="Times New Roman" w:hint="default"/>
        </w:rPr>
        <w:t>/</w:t>
      </w:r>
      <w:r>
        <w:rPr/>
        <w:t>权益工具价格风险）。</w:t>
      </w:r>
    </w:p>
    <w:p>
      <w:pPr>
        <w:pStyle w:val="BodyText"/>
        <w:spacing w:line="297" w:lineRule="auto" w:before="29"/>
        <w:ind w:left="533" w:right="528"/>
        <w:jc w:val="left"/>
      </w:pPr>
      <w:r>
        <w:rPr/>
        <w:t>（</w:t>
      </w:r>
      <w:r>
        <w:rPr>
          <w:rFonts w:ascii="Times New Roman" w:hAnsi="Times New Roman" w:cs="Times New Roman" w:eastAsia="Times New Roman" w:hint="default"/>
        </w:rPr>
        <w:t>1</w:t>
      </w:r>
      <w:r>
        <w:rPr/>
        <w:t>）信用风险</w:t>
      </w:r>
      <w:r>
        <w:rPr>
          <w:w w:val="100"/>
        </w:rPr>
        <w:t> </w:t>
      </w:r>
      <w:r>
        <w:rPr/>
        <w:t>信用风险，是指交易对手方未能履行合同义务而导致本公司产生财务损失的风险。</w:t>
      </w:r>
      <w:r>
        <w:rPr>
          <w:w w:val="100"/>
        </w:rPr>
        <w:t> </w:t>
      </w:r>
      <w:r>
        <w:rPr>
          <w:spacing w:val="-2"/>
        </w:rPr>
        <w:t>本集团对信用风险按组合分类进行管理。信用风险主要产生于银行存款和应收款项等。</w:t>
      </w:r>
    </w:p>
    <w:p>
      <w:pPr>
        <w:pStyle w:val="BodyText"/>
        <w:spacing w:line="273" w:lineRule="auto" w:before="28"/>
        <w:ind w:right="206" w:firstLine="420"/>
        <w:jc w:val="both"/>
      </w:pPr>
      <w:r>
        <w:rPr>
          <w:spacing w:val="-2"/>
        </w:rPr>
        <w:t>本集团银行存款主要存放于信用良好并拥有较高信用评级的金融机构，本集团预期银行存款不存在重</w:t>
      </w:r>
      <w:r>
        <w:rPr>
          <w:w w:val="100"/>
        </w:rPr>
        <w:t> </w:t>
      </w:r>
      <w:r>
        <w:rPr/>
        <w:t>大的信用风险。</w:t>
      </w:r>
    </w:p>
    <w:p>
      <w:pPr>
        <w:pStyle w:val="BodyText"/>
        <w:spacing w:line="273" w:lineRule="auto" w:before="46"/>
        <w:ind w:right="206" w:firstLine="420"/>
        <w:jc w:val="both"/>
      </w:pPr>
      <w:r>
        <w:rPr>
          <w:spacing w:val="-2"/>
        </w:rPr>
        <w:t>对于应收款项，本集团设定相关政策以控制信用风险敞口，主要采取控制信用期和信用额度，不定期</w:t>
      </w:r>
      <w:r>
        <w:rPr>
          <w:w w:val="100"/>
        </w:rPr>
        <w:t> </w:t>
      </w:r>
      <w:r>
        <w:rPr>
          <w:spacing w:val="-2"/>
        </w:rPr>
        <w:t>对债务人进行信用风险评估，必要时采取催收货款、缩短信用期或取消信用期等方式，以确保本集团的整</w:t>
      </w:r>
      <w:r>
        <w:rPr>
          <w:spacing w:val="-44"/>
        </w:rPr>
        <w:t> </w:t>
      </w:r>
      <w:r>
        <w:rPr>
          <w:spacing w:val="-44"/>
        </w:rPr>
      </w:r>
      <w:r>
        <w:rPr/>
        <w:t>体信用风险在可控的范围内。</w:t>
      </w:r>
    </w:p>
    <w:p>
      <w:pPr>
        <w:pStyle w:val="BodyText"/>
        <w:spacing w:line="273" w:lineRule="auto" w:before="48"/>
        <w:ind w:right="206" w:firstLine="420"/>
        <w:jc w:val="both"/>
      </w:pPr>
      <w:r>
        <w:rPr>
          <w:spacing w:val="-2"/>
        </w:rPr>
        <w:t>本集团所承受的最大信用风险敞口为资产负债表中每项金融资产的账面金额。本集团没有提供任何其</w:t>
      </w:r>
      <w:r>
        <w:rPr>
          <w:w w:val="100"/>
        </w:rPr>
        <w:t> </w:t>
      </w:r>
      <w:r>
        <w:rPr/>
        <w:t>他可能令本集团承受信用风险的担保。</w:t>
      </w:r>
    </w:p>
    <w:p>
      <w:pPr>
        <w:pStyle w:val="BodyText"/>
        <w:spacing w:line="256" w:lineRule="auto" w:before="48"/>
        <w:ind w:right="201" w:firstLine="420"/>
        <w:jc w:val="both"/>
        <w:rPr>
          <w:rFonts w:ascii="Times New Roman" w:hAnsi="Times New Roman" w:cs="Times New Roman" w:eastAsia="Times New Roman" w:hint="default"/>
        </w:rPr>
      </w:pPr>
      <w:r>
        <w:rPr>
          <w:spacing w:val="6"/>
        </w:rPr>
        <w:t>本集团应收账款中，欠款金额前五名客户的应收账款占本集团应收账款总额的</w:t>
      </w:r>
      <w:r>
        <w:rPr>
          <w:spacing w:val="-36"/>
        </w:rPr>
        <w:t> </w:t>
      </w:r>
      <w:r>
        <w:rPr>
          <w:rFonts w:ascii="Times New Roman" w:hAnsi="Times New Roman" w:cs="Times New Roman" w:eastAsia="Times New Roman" w:hint="default"/>
          <w:spacing w:val="2"/>
        </w:rPr>
        <w:t>12.93%</w:t>
      </w:r>
      <w:r>
        <w:rPr>
          <w:spacing w:val="2"/>
        </w:rPr>
        <w:t>（</w:t>
      </w:r>
      <w:r>
        <w:rPr>
          <w:rFonts w:ascii="Times New Roman" w:hAnsi="Times New Roman" w:cs="Times New Roman" w:eastAsia="Times New Roman" w:hint="default"/>
          <w:spacing w:val="2"/>
        </w:rPr>
        <w:t>2016</w:t>
      </w:r>
      <w:r>
        <w:rPr>
          <w:spacing w:val="2"/>
        </w:rPr>
        <w:t>年：</w:t>
      </w:r>
      <w:r>
        <w:rPr>
          <w:spacing w:val="9"/>
          <w:w w:val="100"/>
        </w:rPr>
        <w:t> </w:t>
      </w:r>
      <w:r>
        <w:rPr>
          <w:rFonts w:ascii="Times New Roman" w:hAnsi="Times New Roman" w:cs="Times New Roman" w:eastAsia="Times New Roman" w:hint="default"/>
        </w:rPr>
        <w:t>10.51%</w:t>
      </w:r>
      <w:r>
        <w:rPr/>
        <w:t>）；本集团其他应收款中，欠款金额前五大公司的其他应收款占本集团其他应收款总额的</w:t>
      </w:r>
      <w:r>
        <w:rPr>
          <w:rFonts w:ascii="Times New Roman" w:hAnsi="Times New Roman" w:cs="Times New Roman" w:eastAsia="Times New Roman" w:hint="default"/>
        </w:rPr>
        <w:t>35.32%</w:t>
      </w:r>
    </w:p>
    <w:p>
      <w:pPr>
        <w:pStyle w:val="BodyText"/>
        <w:spacing w:line="240" w:lineRule="auto" w:before="5"/>
        <w:ind w:right="0"/>
        <w:jc w:val="both"/>
      </w:pP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32.24%</w:t>
      </w:r>
      <w:r>
        <w:rPr/>
        <w:t>）。</w:t>
      </w:r>
    </w:p>
    <w:p>
      <w:pPr>
        <w:pStyle w:val="BodyText"/>
        <w:spacing w:line="290" w:lineRule="auto" w:before="60"/>
        <w:ind w:left="533" w:right="0"/>
        <w:jc w:val="left"/>
      </w:pPr>
      <w:r>
        <w:rPr/>
        <w:t>（</w:t>
      </w:r>
      <w:r>
        <w:rPr>
          <w:rFonts w:ascii="Times New Roman" w:hAnsi="Times New Roman" w:cs="Times New Roman" w:eastAsia="Times New Roman" w:hint="default"/>
        </w:rPr>
        <w:t>2</w:t>
      </w:r>
      <w:r>
        <w:rPr/>
        <w:t>）流动性风险</w:t>
      </w:r>
      <w:r>
        <w:rPr>
          <w:w w:val="100"/>
        </w:rPr>
        <w:t> </w:t>
      </w:r>
      <w:r>
        <w:rPr>
          <w:spacing w:val="2"/>
        </w:rPr>
        <w:t>流动性风险，是指本集团在履行以交付现金或其他金融资产的方式结算的义务时发生资金短缺的风</w:t>
      </w:r>
    </w:p>
    <w:p>
      <w:pPr>
        <w:pStyle w:val="BodyText"/>
        <w:spacing w:line="268" w:lineRule="exact"/>
        <w:ind w:right="0"/>
        <w:jc w:val="both"/>
      </w:pPr>
      <w:r>
        <w:rPr/>
        <w:t>险。</w:t>
      </w:r>
    </w:p>
    <w:p>
      <w:pPr>
        <w:pStyle w:val="BodyText"/>
        <w:spacing w:line="273" w:lineRule="auto" w:before="78"/>
        <w:ind w:right="206" w:firstLine="420"/>
        <w:jc w:val="both"/>
      </w:pPr>
      <w:r>
        <w:rPr>
          <w:spacing w:val="-2"/>
        </w:rPr>
        <w:t>管理流动风险时，本集团保持管理层认为充分的现金及现金等价物，并对其进行监控，以满足本集团</w:t>
      </w:r>
      <w:r>
        <w:rPr>
          <w:w w:val="100"/>
        </w:rPr>
        <w:t> </w:t>
      </w:r>
      <w:r>
        <w:rPr/>
        <w:t>经营需要，并降低现金流量波动的影响。</w:t>
      </w:r>
    </w:p>
    <w:p>
      <w:pPr>
        <w:pStyle w:val="BodyText"/>
        <w:spacing w:line="273" w:lineRule="auto" w:before="46"/>
        <w:ind w:right="0" w:firstLine="420"/>
        <w:jc w:val="left"/>
      </w:pPr>
      <w:r>
        <w:rPr>
          <w:spacing w:val="-5"/>
        </w:rPr>
        <w:t>管理层根据目前的资产负债状况，以及预计的未来经营活动现金流入和流出，认为在正常经营情况下，</w:t>
      </w:r>
      <w:r>
        <w:rPr>
          <w:w w:val="100"/>
        </w:rPr>
        <w:t> </w:t>
      </w:r>
      <w:r>
        <w:rPr/>
        <w:t>未来一段时期内流动性风险是可控的。</w:t>
      </w:r>
    </w:p>
    <w:p>
      <w:pPr>
        <w:pStyle w:val="BodyText"/>
        <w:spacing w:line="290" w:lineRule="auto" w:before="48"/>
        <w:ind w:left="533" w:right="0"/>
        <w:jc w:val="left"/>
      </w:pPr>
      <w:r>
        <w:rPr/>
        <w:t>（</w:t>
      </w:r>
      <w:r>
        <w:rPr>
          <w:rFonts w:ascii="Times New Roman" w:hAnsi="Times New Roman" w:cs="Times New Roman" w:eastAsia="Times New Roman" w:hint="default"/>
        </w:rPr>
        <w:t>3</w:t>
      </w:r>
      <w:r>
        <w:rPr/>
        <w:t>）市场风险</w:t>
      </w:r>
      <w:r>
        <w:rPr>
          <w:w w:val="100"/>
        </w:rPr>
        <w:t> </w:t>
      </w:r>
      <w:r>
        <w:rPr>
          <w:spacing w:val="-2"/>
        </w:rPr>
        <w:t>金融工具的市场风险，是指金融工具的公允价值或未来现金流量因市场价格变动而发生波动的风险，</w:t>
      </w:r>
    </w:p>
    <w:p>
      <w:pPr>
        <w:pStyle w:val="BodyText"/>
        <w:spacing w:line="307" w:lineRule="auto"/>
        <w:ind w:left="533" w:right="5334" w:hanging="421"/>
        <w:jc w:val="left"/>
      </w:pPr>
      <w:r>
        <w:rPr>
          <w:spacing w:val="-2"/>
        </w:rPr>
        <w:t>包括利率风险、汇率风险和其他价格风险。</w:t>
      </w:r>
      <w:r>
        <w:rPr>
          <w:spacing w:val="-69"/>
        </w:rPr>
        <w:t> </w:t>
      </w:r>
      <w:r>
        <w:rPr>
          <w:spacing w:val="-69"/>
        </w:rPr>
      </w:r>
      <w:r>
        <w:rPr/>
        <w:t>利率风险</w:t>
      </w:r>
    </w:p>
    <w:p>
      <w:pPr>
        <w:pStyle w:val="BodyText"/>
        <w:spacing w:line="240" w:lineRule="auto" w:before="19"/>
        <w:ind w:left="533" w:right="0"/>
        <w:jc w:val="left"/>
      </w:pPr>
      <w:r>
        <w:rPr/>
        <w:t>利率风险，是指金融工具的公允价值或未来现金流量因市场利率变动而发生波动的风险。利率风险可</w:t>
      </w:r>
    </w:p>
    <w:p>
      <w:pPr>
        <w:spacing w:after="0" w:line="240" w:lineRule="auto"/>
        <w:jc w:val="left"/>
        <w:sectPr>
          <w:pgSz w:w="11910" w:h="16840"/>
          <w:pgMar w:header="867" w:footer="979" w:top="1060" w:bottom="1160" w:left="1020" w:right="920"/>
        </w:sectPr>
      </w:pPr>
    </w:p>
    <w:p>
      <w:pPr>
        <w:spacing w:line="240" w:lineRule="auto" w:before="13"/>
        <w:rPr>
          <w:rFonts w:ascii="宋体" w:hAnsi="宋体" w:cs="宋体" w:eastAsia="宋体" w:hint="default"/>
          <w:sz w:val="24"/>
          <w:szCs w:val="24"/>
        </w:rPr>
      </w:pPr>
    </w:p>
    <w:p>
      <w:pPr>
        <w:pStyle w:val="BodyText"/>
        <w:spacing w:line="307" w:lineRule="auto" w:before="36"/>
        <w:ind w:left="533" w:right="403" w:hanging="421"/>
        <w:jc w:val="left"/>
      </w:pPr>
      <w:r>
        <w:rPr>
          <w:spacing w:val="-2"/>
        </w:rPr>
        <w:t>源于已确认的计息金融工具和未确认的金融工具（如某些贷款承诺）。</w:t>
      </w:r>
      <w:r>
        <w:rPr>
          <w:spacing w:val="-45"/>
        </w:rPr>
        <w:t> </w:t>
      </w:r>
      <w:r>
        <w:rPr>
          <w:spacing w:val="-45"/>
        </w:rPr>
      </w:r>
      <w:r>
        <w:rPr/>
        <w:t>本集团报告期内无带息债务，利率变动风险对本集团影响很小。</w:t>
      </w:r>
      <w:r>
        <w:rPr>
          <w:w w:val="100"/>
        </w:rPr>
        <w:t> </w:t>
      </w:r>
      <w:r>
        <w:rPr/>
        <w:t>本集团持有的计息金融工具如下：</w:t>
      </w:r>
    </w:p>
    <w:p>
      <w:pPr>
        <w:spacing w:line="240" w:lineRule="auto" w:before="1"/>
        <w:rPr>
          <w:rFonts w:ascii="宋体" w:hAnsi="宋体" w:cs="宋体" w:eastAsia="宋体" w:hint="default"/>
          <w:sz w:val="7"/>
          <w:szCs w:val="7"/>
        </w:rPr>
      </w:pPr>
    </w:p>
    <w:tbl>
      <w:tblPr>
        <w:tblW w:w="0" w:type="auto"/>
        <w:jc w:val="left"/>
        <w:tblInd w:w="372" w:type="dxa"/>
        <w:tblLayout w:type="fixed"/>
        <w:tblCellMar>
          <w:top w:w="0" w:type="dxa"/>
          <w:left w:w="0" w:type="dxa"/>
          <w:bottom w:w="0" w:type="dxa"/>
          <w:right w:w="0" w:type="dxa"/>
        </w:tblCellMar>
        <w:tblLook w:val="01E0"/>
      </w:tblPr>
      <w:tblGrid>
        <w:gridCol w:w="3413"/>
        <w:gridCol w:w="3710"/>
        <w:gridCol w:w="1998"/>
      </w:tblGrid>
      <w:tr>
        <w:trPr>
          <w:trHeight w:val="278" w:hRule="exact"/>
        </w:trPr>
        <w:tc>
          <w:tcPr>
            <w:tcW w:w="3413" w:type="dxa"/>
            <w:tcBorders>
              <w:top w:val="nil" w:sz="6" w:space="0" w:color="auto"/>
              <w:left w:val="nil" w:sz="6" w:space="0" w:color="auto"/>
              <w:bottom w:val="single" w:sz="8" w:space="0" w:color="000000"/>
              <w:right w:val="nil" w:sz="6" w:space="0" w:color="auto"/>
            </w:tcBorders>
          </w:tcPr>
          <w:p>
            <w:pPr>
              <w:pStyle w:val="TableParagraph"/>
              <w:spacing w:line="211"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710" w:type="dxa"/>
            <w:tcBorders>
              <w:top w:val="nil" w:sz="6" w:space="0" w:color="auto"/>
              <w:left w:val="nil" w:sz="6" w:space="0" w:color="auto"/>
              <w:bottom w:val="single" w:sz="8" w:space="0" w:color="000000"/>
              <w:right w:val="nil" w:sz="6" w:space="0" w:color="auto"/>
            </w:tcBorders>
          </w:tcPr>
          <w:p>
            <w:pPr>
              <w:pStyle w:val="TableParagraph"/>
              <w:spacing w:line="211" w:lineRule="exact"/>
              <w:ind w:right="673"/>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998" w:type="dxa"/>
            <w:tcBorders>
              <w:top w:val="nil" w:sz="6" w:space="0" w:color="auto"/>
              <w:left w:val="nil" w:sz="6" w:space="0" w:color="auto"/>
              <w:bottom w:val="single" w:sz="8" w:space="0" w:color="000000"/>
              <w:right w:val="nil" w:sz="6" w:space="0" w:color="auto"/>
            </w:tcBorders>
          </w:tcPr>
          <w:p>
            <w:pPr>
              <w:pStyle w:val="TableParagraph"/>
              <w:spacing w:line="211" w:lineRule="exact"/>
              <w:ind w:right="7"/>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43" w:hRule="exact"/>
        </w:trPr>
        <w:tc>
          <w:tcPr>
            <w:tcW w:w="3413" w:type="dxa"/>
            <w:tcBorders>
              <w:top w:val="single" w:sz="8" w:space="0" w:color="000000"/>
              <w:left w:val="nil" w:sz="6" w:space="0" w:color="auto"/>
              <w:bottom w:val="single" w:sz="8" w:space="0" w:color="000000"/>
              <w:right w:val="nil" w:sz="6" w:space="0" w:color="auto"/>
            </w:tcBorders>
          </w:tcPr>
          <w:p>
            <w:pPr>
              <w:pStyle w:val="TableParagraph"/>
              <w:spacing w:line="267" w:lineRule="exact"/>
              <w:ind w:left="9" w:right="0"/>
              <w:jc w:val="left"/>
              <w:rPr>
                <w:rFonts w:ascii="宋体" w:hAnsi="宋体" w:cs="宋体" w:eastAsia="宋体" w:hint="default"/>
                <w:sz w:val="21"/>
                <w:szCs w:val="21"/>
              </w:rPr>
            </w:pPr>
            <w:r>
              <w:rPr>
                <w:rFonts w:ascii="宋体" w:hAnsi="宋体" w:cs="宋体" w:eastAsia="宋体" w:hint="default"/>
                <w:sz w:val="21"/>
                <w:szCs w:val="21"/>
              </w:rPr>
              <w:t>浮动利率金融工具</w:t>
            </w:r>
          </w:p>
        </w:tc>
        <w:tc>
          <w:tcPr>
            <w:tcW w:w="371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673"/>
              <w:jc w:val="right"/>
              <w:rPr>
                <w:rFonts w:ascii="Times New Roman" w:hAnsi="Times New Roman" w:cs="Times New Roman" w:eastAsia="Times New Roman" w:hint="default"/>
                <w:sz w:val="21"/>
                <w:szCs w:val="21"/>
              </w:rPr>
            </w:pPr>
            <w:r>
              <w:rPr>
                <w:rFonts w:ascii="Times New Roman"/>
                <w:w w:val="100"/>
                <w:sz w:val="21"/>
              </w:rPr>
              <w:t>-</w:t>
            </w:r>
          </w:p>
        </w:tc>
        <w:tc>
          <w:tcPr>
            <w:tcW w:w="1998"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21"/>
                <w:szCs w:val="21"/>
              </w:rPr>
            </w:pPr>
            <w:r>
              <w:rPr>
                <w:rFonts w:ascii="Times New Roman"/>
                <w:w w:val="100"/>
                <w:sz w:val="21"/>
              </w:rPr>
              <w:t>-</w:t>
            </w:r>
          </w:p>
        </w:tc>
      </w:tr>
      <w:tr>
        <w:trPr>
          <w:trHeight w:val="341" w:hRule="exact"/>
        </w:trPr>
        <w:tc>
          <w:tcPr>
            <w:tcW w:w="3413"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3710"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671"/>
              <w:jc w:val="right"/>
              <w:rPr>
                <w:rFonts w:ascii="Times New Roman" w:hAnsi="Times New Roman" w:cs="Times New Roman" w:eastAsia="Times New Roman" w:hint="default"/>
                <w:sz w:val="21"/>
                <w:szCs w:val="21"/>
              </w:rPr>
            </w:pPr>
            <w:r>
              <w:rPr>
                <w:rFonts w:ascii="Times New Roman"/>
                <w:spacing w:val="-1"/>
                <w:sz w:val="21"/>
              </w:rPr>
              <w:t>482,786,530.90</w:t>
            </w:r>
          </w:p>
        </w:tc>
        <w:tc>
          <w:tcPr>
            <w:tcW w:w="1998"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7"/>
              <w:jc w:val="right"/>
              <w:rPr>
                <w:rFonts w:ascii="Times New Roman" w:hAnsi="Times New Roman" w:cs="Times New Roman" w:eastAsia="Times New Roman" w:hint="default"/>
                <w:sz w:val="21"/>
                <w:szCs w:val="21"/>
              </w:rPr>
            </w:pPr>
            <w:r>
              <w:rPr>
                <w:rFonts w:ascii="Times New Roman"/>
                <w:spacing w:val="-1"/>
                <w:sz w:val="21"/>
              </w:rPr>
              <w:t>484,461,231.99</w:t>
            </w:r>
          </w:p>
        </w:tc>
      </w:tr>
      <w:tr>
        <w:trPr>
          <w:trHeight w:val="343" w:hRule="exact"/>
        </w:trPr>
        <w:tc>
          <w:tcPr>
            <w:tcW w:w="3413" w:type="dxa"/>
            <w:tcBorders>
              <w:top w:val="single" w:sz="8" w:space="0" w:color="000000"/>
              <w:left w:val="nil" w:sz="6" w:space="0" w:color="auto"/>
              <w:bottom w:val="single" w:sz="8" w:space="0" w:color="000000"/>
              <w:right w:val="nil" w:sz="6" w:space="0" w:color="auto"/>
            </w:tcBorders>
          </w:tcPr>
          <w:p>
            <w:pPr>
              <w:pStyle w:val="TableParagraph"/>
              <w:spacing w:line="267" w:lineRule="exact"/>
              <w:ind w:left="9" w:right="0"/>
              <w:jc w:val="left"/>
              <w:rPr>
                <w:rFonts w:ascii="宋体" w:hAnsi="宋体" w:cs="宋体" w:eastAsia="宋体" w:hint="default"/>
                <w:sz w:val="21"/>
                <w:szCs w:val="21"/>
              </w:rPr>
            </w:pPr>
            <w:r>
              <w:rPr>
                <w:rFonts w:ascii="宋体" w:hAnsi="宋体" w:cs="宋体" w:eastAsia="宋体" w:hint="default"/>
                <w:sz w:val="21"/>
                <w:szCs w:val="21"/>
              </w:rPr>
              <w:t>其中：货币资金</w:t>
            </w:r>
          </w:p>
        </w:tc>
        <w:tc>
          <w:tcPr>
            <w:tcW w:w="371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671"/>
              <w:jc w:val="right"/>
              <w:rPr>
                <w:rFonts w:ascii="Times New Roman" w:hAnsi="Times New Roman" w:cs="Times New Roman" w:eastAsia="Times New Roman" w:hint="default"/>
                <w:sz w:val="21"/>
                <w:szCs w:val="21"/>
              </w:rPr>
            </w:pPr>
            <w:r>
              <w:rPr>
                <w:rFonts w:ascii="Times New Roman"/>
                <w:spacing w:val="-1"/>
                <w:sz w:val="21"/>
              </w:rPr>
              <w:t>482,786,530.90</w:t>
            </w:r>
          </w:p>
        </w:tc>
        <w:tc>
          <w:tcPr>
            <w:tcW w:w="1998"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spacing w:val="-1"/>
                <w:sz w:val="21"/>
              </w:rPr>
              <w:t>484,461,231.99</w:t>
            </w:r>
          </w:p>
        </w:tc>
      </w:tr>
    </w:tbl>
    <w:p>
      <w:pPr>
        <w:pStyle w:val="BodyText"/>
        <w:spacing w:line="307" w:lineRule="auto" w:before="28"/>
        <w:ind w:left="533" w:right="0"/>
        <w:jc w:val="left"/>
      </w:pPr>
      <w:r>
        <w:rPr/>
        <w:t>汇率风险</w:t>
      </w:r>
      <w:r>
        <w:rPr>
          <w:w w:val="100"/>
        </w:rPr>
        <w:t> </w:t>
      </w:r>
      <w:r>
        <w:rPr>
          <w:spacing w:val="-2"/>
        </w:rPr>
        <w:t>汇率风险，是指金融工具的公允价值或未来现金流量因外汇汇率变动而发生波动的风险。汇率风险可</w:t>
      </w:r>
    </w:p>
    <w:p>
      <w:pPr>
        <w:pStyle w:val="BodyText"/>
        <w:spacing w:line="254" w:lineRule="exact"/>
        <w:ind w:right="0"/>
        <w:jc w:val="left"/>
      </w:pPr>
      <w:r>
        <w:rPr/>
        <w:t>源于以记账本位币之外的外币进行计价的金融工具。</w:t>
      </w:r>
    </w:p>
    <w:p>
      <w:pPr>
        <w:pStyle w:val="BodyText"/>
        <w:spacing w:line="273" w:lineRule="auto" w:before="78"/>
        <w:ind w:right="0" w:firstLine="420"/>
        <w:jc w:val="left"/>
      </w:pPr>
      <w:r>
        <w:rPr>
          <w:spacing w:val="-2"/>
        </w:rPr>
        <w:t>本集团的主要经营位于中国境内，主要业务以人民币结算。因此，本集团所承担的外汇变动市场风险</w:t>
      </w:r>
      <w:r>
        <w:rPr>
          <w:w w:val="100"/>
        </w:rPr>
        <w:t> </w:t>
      </w:r>
      <w:r>
        <w:rPr/>
        <w:t>不重大。</w:t>
      </w:r>
    </w:p>
    <w:p>
      <w:pPr>
        <w:pStyle w:val="BodyText"/>
        <w:spacing w:line="290" w:lineRule="auto" w:before="48"/>
        <w:ind w:left="533" w:right="0"/>
        <w:jc w:val="left"/>
      </w:pPr>
      <w:r>
        <w:rPr>
          <w:rFonts w:ascii="Times New Roman" w:hAnsi="Times New Roman" w:cs="Times New Roman" w:eastAsia="Times New Roman" w:hint="default"/>
        </w:rPr>
        <w:t>2</w:t>
      </w:r>
      <w:r>
        <w:rPr/>
        <w:t>、资本管理</w:t>
      </w:r>
      <w:r>
        <w:rPr>
          <w:w w:val="100"/>
        </w:rPr>
        <w:t> </w:t>
      </w:r>
      <w:r>
        <w:rPr>
          <w:spacing w:val="-2"/>
        </w:rPr>
        <w:t>本集团资本管理政策的目标是为了保障本集团能够持续经营，从而为股东提供回报，并使其他利益相</w:t>
      </w:r>
    </w:p>
    <w:p>
      <w:pPr>
        <w:pStyle w:val="BodyText"/>
        <w:spacing w:line="307" w:lineRule="auto"/>
        <w:ind w:left="533" w:right="0" w:hanging="421"/>
        <w:jc w:val="left"/>
      </w:pPr>
      <w:r>
        <w:rPr/>
        <w:t>关者获益，同时维持最佳的资本结构以降低资本成本。</w:t>
      </w:r>
      <w:r>
        <w:rPr>
          <w:w w:val="100"/>
        </w:rPr>
        <w:t> </w:t>
      </w:r>
      <w:r>
        <w:rPr>
          <w:spacing w:val="-2"/>
        </w:rPr>
        <w:t>本集团以资产负债率（即总负债除以总资产）为基础对资本结构进行监控。于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日，本集</w:t>
      </w:r>
    </w:p>
    <w:p>
      <w:pPr>
        <w:pStyle w:val="BodyText"/>
        <w:spacing w:line="247" w:lineRule="exact"/>
        <w:ind w:right="0"/>
        <w:jc w:val="left"/>
      </w:pPr>
      <w:r>
        <w:rPr/>
        <w:t>团的资产负债率为</w:t>
      </w:r>
      <w:r>
        <w:rPr>
          <w:rFonts w:ascii="Times New Roman" w:hAnsi="Times New Roman" w:cs="Times New Roman" w:eastAsia="Times New Roman" w:hint="default"/>
        </w:rPr>
        <w:t>41.44%</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34.59%</w:t>
      </w:r>
      <w:r>
        <w:rPr/>
        <w:t>）。</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6"/>
          <w:szCs w:val="26"/>
        </w:rPr>
      </w:pPr>
    </w:p>
    <w:p>
      <w:pPr>
        <w:spacing w:before="0"/>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第一层次：相同资产或负债在活跃市场中的报价（未经调整的）。</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2"/>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第二层次：直接（即价格）或间接（即从价格推导出）地使用除第一层次中的资产或负债的市场报价之外的可观察输入值。</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5"/>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第三层次：资产或负债使用了任何非基于可观察市场数据的输入值（不可观察输入值）。</w:t>
      </w:r>
    </w:p>
    <w:p>
      <w:pPr>
        <w:spacing w:after="0"/>
        <w:jc w:val="left"/>
        <w:rPr>
          <w:rFonts w:ascii="宋体" w:hAnsi="宋体" w:cs="宋体" w:eastAsia="宋体" w:hint="default"/>
          <w:sz w:val="18"/>
          <w:szCs w:val="18"/>
        </w:rPr>
        <w:sectPr>
          <w:pgSz w:w="11910" w:h="16840"/>
          <w:pgMar w:header="867" w:footer="979" w:top="1060" w:bottom="1160" w:left="1020" w:right="940"/>
        </w:sectPr>
      </w:pPr>
    </w:p>
    <w:p>
      <w:pPr>
        <w:spacing w:line="240" w:lineRule="auto" w:before="13"/>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2"/>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590" w:lineRule="atLeast" w:before="57"/>
        <w:ind w:left="53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本集团以摊余成本计量的金融资产和金融负债主要包括：货币资金、应收票据、应收账款、其他应收</w:t>
      </w:r>
    </w:p>
    <w:p>
      <w:pPr>
        <w:pStyle w:val="BodyText"/>
        <w:spacing w:line="273" w:lineRule="auto" w:before="37"/>
        <w:ind w:right="0"/>
        <w:jc w:val="left"/>
      </w:pPr>
      <w:r>
        <w:rPr>
          <w:spacing w:val="-2"/>
        </w:rPr>
        <w:t>款、应付账款、其他应付款等。上述不以公允价值计量的金融资产和金融负债的账面价值与公允价值相差</w:t>
      </w:r>
      <w:r>
        <w:rPr>
          <w:spacing w:val="-44"/>
        </w:rPr>
        <w:t> </w:t>
      </w:r>
      <w:r>
        <w:rPr>
          <w:spacing w:val="-44"/>
        </w:rPr>
      </w:r>
      <w:r>
        <w:rPr/>
        <w:t>很小。</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北京市国有资产经 营有限责任公司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pacing w:val="-10"/>
                <w:sz w:val="18"/>
                <w:szCs w:val="18"/>
              </w:rPr>
              <w:t>国有资产经营、投资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26.24%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26.24%</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pStyle w:val="BodyText"/>
        <w:spacing w:line="266" w:lineRule="auto" w:before="97"/>
        <w:ind w:right="105" w:firstLine="420"/>
        <w:jc w:val="both"/>
      </w:pPr>
      <w:r>
        <w:rPr>
          <w:spacing w:val="-2"/>
        </w:rPr>
        <w:t>北京国资公司是经北京市人民政府授权的、专门从事资本运营的大型国有投资控股公司。其前身是北</w:t>
      </w:r>
      <w:r>
        <w:rPr>
          <w:w w:val="100"/>
        </w:rPr>
        <w:t> </w:t>
      </w:r>
      <w:r>
        <w:rPr/>
        <w:t>京市国有资产经营公司，成立于</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9</w:t>
      </w:r>
      <w:r>
        <w:rPr/>
        <w:t>月。北京国资公司作为北京市重大项目建设的承担者和经营者，</w:t>
      </w:r>
      <w:r>
        <w:rPr>
          <w:spacing w:val="-27"/>
        </w:rPr>
        <w:t> </w:t>
      </w:r>
      <w:r>
        <w:rPr>
          <w:spacing w:val="-27"/>
        </w:rPr>
      </w:r>
      <w:r>
        <w:rPr>
          <w:spacing w:val="-2"/>
        </w:rPr>
        <w:t>重点关注产业集中在金融与现代服务业，科技、现代制造业与新能源，城市功能区开发环保与社会事业，</w:t>
      </w:r>
      <w:r>
        <w:rPr>
          <w:spacing w:val="-21"/>
        </w:rPr>
        <w:t> </w:t>
      </w:r>
      <w:r>
        <w:rPr>
          <w:spacing w:val="-21"/>
        </w:rPr>
      </w:r>
      <w:r>
        <w:rPr/>
        <w:t>文化创意、旅游休闲与体育四大领域。其与本公司主营业务不存在关系。</w:t>
      </w:r>
    </w:p>
    <w:p>
      <w:pPr>
        <w:spacing w:line="360" w:lineRule="auto" w:before="75"/>
        <w:ind w:left="112" w:right="5254" w:firstLine="0"/>
        <w:jc w:val="left"/>
        <w:rPr>
          <w:rFonts w:ascii="宋体" w:hAnsi="宋体" w:cs="宋体" w:eastAsia="宋体" w:hint="default"/>
          <w:sz w:val="18"/>
          <w:szCs w:val="18"/>
        </w:rPr>
      </w:pPr>
      <w:r>
        <w:rPr>
          <w:rFonts w:ascii="宋体" w:hAnsi="宋体" w:cs="宋体" w:eastAsia="宋体" w:hint="default"/>
          <w:sz w:val="18"/>
          <w:szCs w:val="18"/>
        </w:rPr>
        <w:t>本企业最终控制方是北京市国有资产经营有限责任公司。 其他说明：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867" w:footer="979" w:top="1060" w:bottom="1160" w:left="1020" w:right="1000"/>
        </w:sectPr>
      </w:pPr>
    </w:p>
    <w:p>
      <w:pPr>
        <w:spacing w:line="240" w:lineRule="auto" w:before="13"/>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12" w:right="127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w:t>
      </w:r>
      <w:r>
        <w:rPr>
          <w:rFonts w:ascii="Times New Roman" w:hAnsi="Times New Roman" w:cs="Times New Roman" w:eastAsia="Times New Roman" w:hint="default"/>
          <w:sz w:val="18"/>
          <w:szCs w:val="18"/>
        </w:rPr>
        <w:t>3</w:t>
      </w:r>
      <w:r>
        <w:rPr>
          <w:rFonts w:ascii="宋体" w:hAnsi="宋体" w:cs="宋体" w:eastAsia="宋体" w:hint="default"/>
          <w:sz w:val="18"/>
          <w:szCs w:val="18"/>
        </w:rPr>
        <w:t>。 本期与本公司发生关联方交易，或前期与本公司发生关联方交易形成余额的其他合营或联营企业情况如下：</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版信通</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本公司联营企业</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首都信息发展股份有限公司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本公司股东、受同一母公司控制的其他企业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首都信息科技发展有限公司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北京首信网创网络信息服务有限责任公司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北京金融资产交易所有限公司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北京产权交易所有限公司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北京软件和信息服务交易所有限公司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国家体育场有限责任公司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北京权益通支付科技有限公司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北京首融在线金融信息服务有限公司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董事、监事、经理、财务总监及董事会秘书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3"/>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1"/>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844"/>
        <w:gridCol w:w="1153"/>
        <w:gridCol w:w="1452"/>
        <w:gridCol w:w="1709"/>
        <w:gridCol w:w="1707"/>
        <w:gridCol w:w="1706"/>
      </w:tblGrid>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89"/>
              <w:jc w:val="left"/>
              <w:rPr>
                <w:rFonts w:ascii="宋体" w:hAnsi="宋体" w:cs="宋体" w:eastAsia="宋体" w:hint="default"/>
                <w:sz w:val="18"/>
                <w:szCs w:val="18"/>
              </w:rPr>
            </w:pPr>
            <w:r>
              <w:rPr>
                <w:rFonts w:ascii="宋体" w:hAnsi="宋体" w:cs="宋体" w:eastAsia="宋体" w:hint="default"/>
                <w:sz w:val="18"/>
                <w:szCs w:val="18"/>
              </w:rPr>
              <w:t>北京首信网创网络信 息服务有限责任公司</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38"/>
              <w:jc w:val="left"/>
              <w:rPr>
                <w:rFonts w:ascii="宋体" w:hAnsi="宋体" w:cs="宋体" w:eastAsia="宋体" w:hint="default"/>
                <w:sz w:val="18"/>
                <w:szCs w:val="18"/>
              </w:rPr>
            </w:pPr>
            <w:r>
              <w:rPr>
                <w:rFonts w:ascii="宋体" w:hAnsi="宋体" w:cs="宋体" w:eastAsia="宋体" w:hint="default"/>
                <w:sz w:val="18"/>
                <w:szCs w:val="18"/>
              </w:rPr>
              <w:t>采购商品、接 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320,603.76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317,851.88</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9"/>
              <w:jc w:val="left"/>
              <w:rPr>
                <w:rFonts w:ascii="宋体" w:hAnsi="宋体" w:cs="宋体" w:eastAsia="宋体" w:hint="default"/>
                <w:sz w:val="18"/>
                <w:szCs w:val="18"/>
              </w:rPr>
            </w:pPr>
            <w:r>
              <w:rPr>
                <w:rFonts w:ascii="宋体" w:hAnsi="宋体" w:cs="宋体" w:eastAsia="宋体" w:hint="default"/>
                <w:sz w:val="18"/>
                <w:szCs w:val="18"/>
              </w:rPr>
              <w:t>首都信息发展股份有 限公司</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8"/>
              <w:jc w:val="left"/>
              <w:rPr>
                <w:rFonts w:ascii="宋体" w:hAnsi="宋体" w:cs="宋体" w:eastAsia="宋体" w:hint="default"/>
                <w:sz w:val="18"/>
                <w:szCs w:val="18"/>
              </w:rPr>
            </w:pPr>
            <w:r>
              <w:rPr>
                <w:rFonts w:ascii="宋体" w:hAnsi="宋体" w:cs="宋体" w:eastAsia="宋体" w:hint="default"/>
                <w:sz w:val="18"/>
                <w:szCs w:val="18"/>
              </w:rPr>
              <w:t>采购商品、接 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443,396.22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50,339.62</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89"/>
              <w:jc w:val="left"/>
              <w:rPr>
                <w:rFonts w:ascii="宋体" w:hAnsi="宋体" w:cs="宋体" w:eastAsia="宋体" w:hint="default"/>
                <w:sz w:val="18"/>
                <w:szCs w:val="18"/>
              </w:rPr>
            </w:pPr>
            <w:r>
              <w:rPr>
                <w:rFonts w:ascii="宋体" w:hAnsi="宋体" w:cs="宋体" w:eastAsia="宋体" w:hint="default"/>
                <w:sz w:val="18"/>
                <w:szCs w:val="18"/>
              </w:rPr>
              <w:t>首都信息科技发展有 限公司</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38"/>
              <w:jc w:val="left"/>
              <w:rPr>
                <w:rFonts w:ascii="宋体" w:hAnsi="宋体" w:cs="宋体" w:eastAsia="宋体" w:hint="default"/>
                <w:sz w:val="18"/>
                <w:szCs w:val="18"/>
              </w:rPr>
            </w:pPr>
            <w:r>
              <w:rPr>
                <w:rFonts w:ascii="宋体" w:hAnsi="宋体" w:cs="宋体" w:eastAsia="宋体" w:hint="default"/>
                <w:sz w:val="18"/>
                <w:szCs w:val="18"/>
              </w:rPr>
              <w:t>采购商品、接 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1,630,126.67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9"/>
              <w:jc w:val="left"/>
              <w:rPr>
                <w:rFonts w:ascii="宋体" w:hAnsi="宋体" w:cs="宋体" w:eastAsia="宋体" w:hint="default"/>
                <w:sz w:val="18"/>
                <w:szCs w:val="18"/>
              </w:rPr>
            </w:pPr>
            <w:r>
              <w:rPr>
                <w:rFonts w:ascii="宋体" w:hAnsi="宋体" w:cs="宋体" w:eastAsia="宋体" w:hint="default"/>
                <w:sz w:val="18"/>
                <w:szCs w:val="18"/>
              </w:rPr>
              <w:t>北京软件和信息服务 交易所有限公司</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8"/>
              <w:jc w:val="left"/>
              <w:rPr>
                <w:rFonts w:ascii="宋体" w:hAnsi="宋体" w:cs="宋体" w:eastAsia="宋体" w:hint="default"/>
                <w:sz w:val="18"/>
                <w:szCs w:val="18"/>
              </w:rPr>
            </w:pPr>
            <w:r>
              <w:rPr>
                <w:rFonts w:ascii="宋体" w:hAnsi="宋体" w:cs="宋体" w:eastAsia="宋体" w:hint="default"/>
                <w:sz w:val="18"/>
                <w:szCs w:val="18"/>
              </w:rPr>
              <w:t>采购商品、接 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111,068.37</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1846"/>
        <w:gridCol w:w="1153"/>
        <w:gridCol w:w="1452"/>
        <w:gridCol w:w="1709"/>
        <w:gridCol w:w="1707"/>
        <w:gridCol w:w="1706"/>
      </w:tblGrid>
      <w:tr>
        <w:trPr>
          <w:trHeight w:val="716"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0"/>
              <w:jc w:val="left"/>
              <w:rPr>
                <w:rFonts w:ascii="宋体" w:hAnsi="宋体" w:cs="宋体" w:eastAsia="宋体" w:hint="default"/>
                <w:sz w:val="18"/>
                <w:szCs w:val="18"/>
              </w:rPr>
            </w:pPr>
            <w:r>
              <w:rPr>
                <w:rFonts w:ascii="宋体" w:hAnsi="宋体" w:cs="宋体" w:eastAsia="宋体" w:hint="default"/>
                <w:sz w:val="18"/>
                <w:szCs w:val="18"/>
              </w:rPr>
              <w:t>国家体育场有限责任 公司</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8"/>
              <w:jc w:val="left"/>
              <w:rPr>
                <w:rFonts w:ascii="宋体" w:hAnsi="宋体" w:cs="宋体" w:eastAsia="宋体" w:hint="default"/>
                <w:sz w:val="18"/>
                <w:szCs w:val="18"/>
              </w:rPr>
            </w:pPr>
            <w:r>
              <w:rPr>
                <w:rFonts w:ascii="宋体" w:hAnsi="宋体" w:cs="宋体" w:eastAsia="宋体" w:hint="default"/>
                <w:sz w:val="18"/>
                <w:szCs w:val="18"/>
              </w:rPr>
              <w:t>采购商品、接 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283,018.86</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81"/>
              <w:jc w:val="righ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北京权益通支付科技有限公司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03"/>
              <w:jc w:val="right"/>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4,716.98</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北京软件和信息服务交易所有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03"/>
              <w:jc w:val="right"/>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573,734.08</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北京版信通技术有限公司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03"/>
              <w:jc w:val="right"/>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101,367.56</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北京首融在线金融信息服务有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03"/>
              <w:jc w:val="right"/>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1,458.96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1,981.49</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首都信息发展股份有限公司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03"/>
              <w:jc w:val="right"/>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2,997,676.80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2,594,996.80</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北京产权交易所有限公司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03"/>
              <w:jc w:val="right"/>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448,402.03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82,644.16</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首都信息科技发展有限公司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03"/>
              <w:jc w:val="right"/>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138,505.08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2,589,684.42</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3"/>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27" w:right="20"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12"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4" w:lineRule="auto"/>
        <w:jc w:val="left"/>
        <w:rPr>
          <w:rFonts w:ascii="宋体" w:hAnsi="宋体" w:cs="宋体" w:eastAsia="宋体" w:hint="default"/>
          <w:sz w:val="18"/>
          <w:szCs w:val="18"/>
        </w:rPr>
        <w:sectPr>
          <w:pgSz w:w="11910" w:h="16840"/>
          <w:pgMar w:header="867" w:footer="979" w:top="1060" w:bottom="1160" w:left="1020" w:right="1020"/>
        </w:sectPr>
      </w:pPr>
    </w:p>
    <w:p>
      <w:pPr>
        <w:spacing w:line="340" w:lineRule="auto" w:before="49"/>
        <w:ind w:left="112" w:right="-19"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2504" w:space="6325"/>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0"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5"/>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7"/>
        <w:gridCol w:w="2396"/>
        <w:gridCol w:w="2393"/>
        <w:gridCol w:w="2393"/>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after="0"/>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13"/>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5"/>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0"/>
        <w:rPr>
          <w:rFonts w:ascii="宋体" w:hAnsi="宋体" w:cs="宋体" w:eastAsia="宋体" w:hint="default"/>
          <w:sz w:val="18"/>
          <w:szCs w:val="18"/>
        </w:rPr>
      </w:pPr>
    </w:p>
    <w:p>
      <w:pPr>
        <w:pStyle w:val="Heading3"/>
        <w:spacing w:line="240" w:lineRule="auto" w:before="123"/>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3"/>
        <w:gridCol w:w="2393"/>
        <w:gridCol w:w="2393"/>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6"/>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5,675,765.52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3,145,781.07</w:t>
            </w:r>
          </w:p>
        </w:tc>
      </w:tr>
    </w:tbl>
    <w:p>
      <w:pPr>
        <w:spacing w:line="240" w:lineRule="auto" w:before="6"/>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136"/>
        <w:gridCol w:w="2977"/>
        <w:gridCol w:w="1419"/>
        <w:gridCol w:w="1416"/>
        <w:gridCol w:w="1277"/>
        <w:gridCol w:w="1344"/>
      </w:tblGrid>
      <w:tr>
        <w:trPr>
          <w:trHeight w:val="403" w:hRule="exact"/>
        </w:trPr>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9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136" w:type="dxa"/>
            <w:vMerge/>
            <w:tcBorders>
              <w:left w:val="single" w:sz="4" w:space="0" w:color="000000"/>
              <w:bottom w:val="single" w:sz="4" w:space="0" w:color="000000"/>
              <w:right w:val="single" w:sz="4" w:space="0" w:color="000000"/>
            </w:tcBorders>
            <w:shd w:val="clear" w:color="auto" w:fill="D2D2D2"/>
          </w:tcPr>
          <w:p>
            <w:pPr/>
          </w:p>
        </w:tc>
        <w:tc>
          <w:tcPr>
            <w:tcW w:w="2977"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首都信息发展股份有限公司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2,853,900.00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271,635.00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1,482,180.00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152,985.00</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首都信息科技发展有限公司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1,630,177.00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122,346.35</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1136"/>
        <w:gridCol w:w="2977"/>
        <w:gridCol w:w="1419"/>
        <w:gridCol w:w="1416"/>
        <w:gridCol w:w="1277"/>
        <w:gridCol w:w="1344"/>
      </w:tblGrid>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北京软件和信息服务交易所有限公司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193,450.00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北京版信通技术有限公司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1,070,480.00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213,374.00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北京产权交易所有限公司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247,750.00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12,387.50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60"/>
        <w:gridCol w:w="3224"/>
        <w:gridCol w:w="2393"/>
        <w:gridCol w:w="2393"/>
      </w:tblGrid>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北京首融在线金融信息服务有限公司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455.00</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北京产权交易所有限公司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22,316.26</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北京软件和信息服务交易所有限公司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161,310.00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首都信息发展股份有限公司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322,800.00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首都信息发展股份有限公司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56,380.38</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首都信息科技发展有限公司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840,038.00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4"/>
          <w:szCs w:val="24"/>
        </w:rPr>
      </w:pPr>
    </w:p>
    <w:p>
      <w:pPr>
        <w:spacing w:line="487" w:lineRule="auto" w:before="0"/>
        <w:ind w:left="112" w:right="773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5"/>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2" w:right="73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5"/>
        <w:ind w:left="112"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after="0"/>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13"/>
        <w:rPr>
          <w:rFonts w:ascii="宋体" w:hAnsi="宋体" w:cs="宋体" w:eastAsia="宋体" w:hint="default"/>
          <w:sz w:val="24"/>
          <w:szCs w:val="24"/>
        </w:rPr>
      </w:pPr>
    </w:p>
    <w:p>
      <w:pPr>
        <w:pStyle w:val="BodyText"/>
        <w:spacing w:line="264" w:lineRule="auto" w:before="36"/>
        <w:ind w:left="533" w:right="0"/>
        <w:jc w:val="left"/>
      </w:pPr>
      <w:r>
        <w:rPr/>
        <w:t>经营租赁承诺</w:t>
      </w:r>
      <w:r>
        <w:rPr>
          <w:w w:val="100"/>
        </w:rPr>
        <w:t> </w:t>
      </w:r>
      <w:r>
        <w:rPr>
          <w:spacing w:val="-2"/>
        </w:rPr>
        <w:t>至资产负债表日止，本公司对外签订的不可撤销的经营租赁最低付款额约为</w:t>
      </w:r>
      <w:r>
        <w:rPr>
          <w:rFonts w:ascii="Times New Roman" w:hAnsi="Times New Roman" w:cs="Times New Roman" w:eastAsia="Times New Roman" w:hint="default"/>
          <w:spacing w:val="-2"/>
        </w:rPr>
        <w:t>1,637.46</w:t>
      </w:r>
      <w:r>
        <w:rPr>
          <w:spacing w:val="-2"/>
        </w:rPr>
        <w:t>万元。</w:t>
      </w:r>
      <w:r>
        <w:rPr>
          <w:spacing w:val="-24"/>
        </w:rPr>
        <w:t> </w:t>
      </w:r>
      <w:r>
        <w:rPr>
          <w:spacing w:val="-24"/>
        </w:rPr>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日，本集团不存在其他应披露的承诺事项。</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spacing w:line="506" w:lineRule="auto" w:before="0"/>
        <w:ind w:left="53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100"/>
          <w:sz w:val="21"/>
          <w:szCs w:val="21"/>
        </w:rPr>
        <w:t> </w:t>
      </w:r>
      <w:r>
        <w:rPr>
          <w:rFonts w:ascii="宋体" w:hAnsi="宋体" w:cs="宋体" w:eastAsia="宋体" w:hint="default"/>
          <w:spacing w:val="-2"/>
          <w:sz w:val="21"/>
          <w:szCs w:val="21"/>
        </w:rPr>
        <w:t>截至</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日，本集团不存在应披露的未决诉讼、对外担保等或有事项。</w:t>
      </w:r>
    </w:p>
    <w:p>
      <w:pPr>
        <w:pStyle w:val="Heading3"/>
        <w:spacing w:line="240" w:lineRule="auto" w:before="63"/>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56"/>
        <w:ind w:left="112" w:right="6674" w:firstLine="0"/>
        <w:jc w:val="left"/>
        <w:rPr>
          <w:rFonts w:ascii="宋体" w:hAnsi="宋体" w:cs="宋体" w:eastAsia="宋体" w:hint="default"/>
          <w:sz w:val="24"/>
          <w:szCs w:val="24"/>
        </w:rPr>
      </w:pPr>
      <w:r>
        <w:rPr>
          <w:rFonts w:ascii="宋体" w:hAnsi="宋体" w:cs="宋体" w:eastAsia="宋体" w:hint="default"/>
          <w:sz w:val="18"/>
          <w:szCs w:val="18"/>
        </w:rPr>
        <w:t>公司不存在需要披露的重要或有事项。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6"/>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24,000,000.00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24,000,000.00</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10"/>
        <w:rPr>
          <w:rFonts w:ascii="宋体" w:hAnsi="宋体" w:cs="宋体" w:eastAsia="宋体" w:hint="default"/>
          <w:b/>
          <w:bCs/>
          <w:sz w:val="24"/>
          <w:szCs w:val="24"/>
        </w:rPr>
      </w:pPr>
    </w:p>
    <w:p>
      <w:pPr>
        <w:pStyle w:val="BodyText"/>
        <w:spacing w:line="261" w:lineRule="auto"/>
        <w:ind w:right="106"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日，公司第三届董事会第四次会议审议通过了《关于北京安信天行科技有限公司增资的</w:t>
      </w:r>
      <w:r>
        <w:rPr>
          <w:w w:val="100"/>
        </w:rPr>
        <w:t> </w:t>
      </w:r>
      <w:r>
        <w:rPr>
          <w:spacing w:val="-6"/>
        </w:rPr>
        <w:t>议案》，公司拟以自有资金向其增资</w:t>
      </w:r>
      <w:r>
        <w:rPr>
          <w:rFonts w:ascii="Times New Roman" w:hAnsi="Times New Roman" w:cs="Times New Roman" w:eastAsia="Times New Roman" w:hint="default"/>
          <w:spacing w:val="-6"/>
        </w:rPr>
        <w:t>1000</w:t>
      </w:r>
      <w:r>
        <w:rPr>
          <w:spacing w:val="-6"/>
        </w:rPr>
        <w:t>万元，增资完成后，安信天行的注册资本将由</w:t>
      </w:r>
      <w:r>
        <w:rPr>
          <w:rFonts w:ascii="Times New Roman" w:hAnsi="Times New Roman" w:cs="Times New Roman" w:eastAsia="Times New Roman" w:hint="default"/>
          <w:spacing w:val="-6"/>
        </w:rPr>
        <w:t>2000</w:t>
      </w:r>
      <w:r>
        <w:rPr>
          <w:spacing w:val="-6"/>
        </w:rPr>
        <w:t>万元增加至</w:t>
      </w:r>
      <w:r>
        <w:rPr>
          <w:rFonts w:ascii="Times New Roman" w:hAnsi="Times New Roman" w:cs="Times New Roman" w:eastAsia="Times New Roman" w:hint="default"/>
          <w:spacing w:val="-6"/>
        </w:rPr>
        <w:t>3000</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spacing w:val="-2"/>
        </w:rPr>
        <w:t>万元。本次对外投资金额在公司董事会决策权限内，无需提交公司股东大会审议批准。截至本报告出具之</w:t>
      </w:r>
      <w:r>
        <w:rPr>
          <w:spacing w:val="-45"/>
        </w:rPr>
        <w:t> </w:t>
      </w:r>
      <w:r>
        <w:rPr>
          <w:spacing w:val="-45"/>
        </w:rPr>
      </w:r>
      <w:r>
        <w:rPr>
          <w:spacing w:val="-3"/>
        </w:rPr>
        <w:t>日，安信天行就变更注册资本事宜完成了工商变更登记手续</w:t>
      </w:r>
      <w:r>
        <w:rPr>
          <w:rFonts w:ascii="Times New Roman" w:hAnsi="Times New Roman" w:cs="Times New Roman" w:eastAsia="Times New Roman" w:hint="default"/>
          <w:spacing w:val="-3"/>
        </w:rPr>
        <w:t>,</w:t>
      </w:r>
      <w:r>
        <w:rPr>
          <w:spacing w:val="-3"/>
        </w:rPr>
        <w:t>并取得了北京市工商行政管理局海淀分局换发</w:t>
      </w:r>
      <w:r>
        <w:rPr>
          <w:spacing w:val="-48"/>
        </w:rPr>
        <w:t> </w:t>
      </w:r>
      <w:r>
        <w:rPr>
          <w:spacing w:val="-48"/>
        </w:rPr>
      </w:r>
      <w:r>
        <w:rPr/>
        <w:t>的营业执照。</w:t>
      </w:r>
    </w:p>
    <w:p>
      <w:pPr>
        <w:pStyle w:val="BodyText"/>
        <w:spacing w:line="261" w:lineRule="auto" w:before="174"/>
        <w:ind w:right="106"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日，公司第三届董事会第五次会议审议通过了公司董事会同意公司以自有资金出资人民</w:t>
      </w:r>
      <w:r>
        <w:rPr>
          <w:w w:val="100"/>
        </w:rPr>
        <w:t> </w:t>
      </w:r>
      <w:r>
        <w:rPr>
          <w:spacing w:val="-2"/>
        </w:rPr>
        <w:t>币</w:t>
      </w:r>
      <w:r>
        <w:rPr>
          <w:rFonts w:ascii="Times New Roman" w:hAnsi="Times New Roman" w:cs="Times New Roman" w:eastAsia="Times New Roman" w:hint="default"/>
          <w:spacing w:val="-2"/>
        </w:rPr>
        <w:t>1000</w:t>
      </w:r>
      <w:r>
        <w:rPr>
          <w:spacing w:val="-2"/>
        </w:rPr>
        <w:t>万元设立全资子公司，子公司主要业务将致力于为医疗信息化领域提供安全可信解决方案。拟开展</w:t>
      </w:r>
      <w:r>
        <w:rPr>
          <w:spacing w:val="-40"/>
        </w:rPr>
        <w:t> </w:t>
      </w:r>
      <w:r>
        <w:rPr>
          <w:spacing w:val="-40"/>
        </w:rPr>
      </w:r>
      <w:r>
        <w:rPr/>
        <w:t>的主要业务为研发可信电子处方流转、家庭医生安全签约、就医后可信电子缴</w:t>
      </w:r>
      <w:r>
        <w:rPr>
          <w:spacing w:val="77"/>
        </w:rPr>
        <w:t> </w:t>
      </w:r>
      <w:r>
        <w:rPr/>
        <w:t>费凭证、安全可信的电子</w:t>
      </w:r>
      <w:r>
        <w:rPr>
          <w:spacing w:val="-98"/>
        </w:rPr>
        <w:t> </w:t>
      </w:r>
      <w:r>
        <w:rPr>
          <w:spacing w:val="-98"/>
        </w:rPr>
      </w:r>
      <w:r>
        <w:rPr>
          <w:spacing w:val="-2"/>
        </w:rPr>
        <w:t>病案、互联网医疗可信监管支撑服务等系统，形成安全可信医疗业务解决方案，向国内医疗领域客户销售</w:t>
      </w:r>
    </w:p>
    <w:p>
      <w:pPr>
        <w:spacing w:after="0" w:line="261" w:lineRule="auto"/>
        <w:jc w:val="both"/>
        <w:sectPr>
          <w:pgSz w:w="11910" w:h="16840"/>
          <w:pgMar w:header="867" w:footer="979" w:top="1060" w:bottom="1160" w:left="1020" w:right="1020"/>
        </w:sectPr>
      </w:pPr>
    </w:p>
    <w:p>
      <w:pPr>
        <w:spacing w:line="240" w:lineRule="auto" w:before="13"/>
        <w:rPr>
          <w:rFonts w:ascii="宋体" w:hAnsi="宋体" w:cs="宋体" w:eastAsia="宋体" w:hint="default"/>
          <w:sz w:val="24"/>
          <w:szCs w:val="24"/>
        </w:rPr>
      </w:pPr>
    </w:p>
    <w:p>
      <w:pPr>
        <w:pStyle w:val="BodyText"/>
        <w:spacing w:line="240" w:lineRule="auto" w:before="36"/>
        <w:ind w:right="0"/>
        <w:jc w:val="left"/>
      </w:pPr>
      <w:r>
        <w:rPr/>
        <w:t>产品、提供服务。</w:t>
      </w:r>
    </w:p>
    <w:p>
      <w:pPr>
        <w:spacing w:line="240" w:lineRule="auto" w:before="10"/>
        <w:rPr>
          <w:rFonts w:ascii="宋体" w:hAnsi="宋体" w:cs="宋体" w:eastAsia="宋体" w:hint="default"/>
          <w:sz w:val="14"/>
          <w:szCs w:val="14"/>
        </w:rPr>
      </w:pPr>
    </w:p>
    <w:p>
      <w:pPr>
        <w:pStyle w:val="BodyText"/>
        <w:spacing w:line="261" w:lineRule="auto"/>
        <w:ind w:right="101"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日，公司召开第三届董事会第六次会议，全票审议通过《关于设立子公司和部分变更募</w:t>
      </w:r>
      <w:r>
        <w:rPr>
          <w:w w:val="100"/>
        </w:rPr>
        <w:t> </w:t>
      </w:r>
      <w:r>
        <w:rPr>
          <w:spacing w:val="-2"/>
        </w:rPr>
        <w:t>集资金投资项目实施内容的议案》，同意公司以首发上市募集资金设立全资子公司并对部分募集资金投资</w:t>
      </w:r>
      <w:r>
        <w:rPr>
          <w:spacing w:val="-44"/>
        </w:rPr>
        <w:t> </w:t>
      </w:r>
      <w:r>
        <w:rPr>
          <w:spacing w:val="-44"/>
        </w:rPr>
      </w:r>
      <w:r>
        <w:rPr>
          <w:spacing w:val="-3"/>
        </w:rPr>
        <w:t>项目实施内容进行调整。公司拟以募集资金</w:t>
      </w:r>
      <w:r>
        <w:rPr>
          <w:rFonts w:ascii="Times New Roman" w:hAnsi="Times New Roman" w:cs="Times New Roman" w:eastAsia="Times New Roman" w:hint="default"/>
          <w:spacing w:val="-3"/>
        </w:rPr>
        <w:t>2,000</w:t>
      </w:r>
      <w:r>
        <w:rPr>
          <w:spacing w:val="-3"/>
        </w:rPr>
        <w:t>万元在武汉临空港经济技术开发区国家网络安全人才与创</w:t>
      </w:r>
      <w:r>
        <w:rPr>
          <w:spacing w:val="-43"/>
        </w:rPr>
        <w:t> </w:t>
      </w:r>
      <w:r>
        <w:rPr>
          <w:spacing w:val="-43"/>
        </w:rPr>
      </w:r>
      <w:r>
        <w:rPr/>
        <w:t>新基地投资设立全资子公司（以下简称</w:t>
      </w:r>
      <w:r>
        <w:rPr>
          <w:rFonts w:ascii="Times New Roman" w:hAnsi="Times New Roman" w:cs="Times New Roman" w:eastAsia="Times New Roman" w:hint="default"/>
        </w:rPr>
        <w:t>“</w:t>
      </w:r>
      <w:r>
        <w:rPr/>
        <w:t>武汉新公司</w:t>
      </w:r>
      <w:r>
        <w:rPr>
          <w:rFonts w:ascii="Times New Roman" w:hAnsi="Times New Roman" w:cs="Times New Roman" w:eastAsia="Times New Roman" w:hint="default"/>
        </w:rPr>
        <w:t>”</w:t>
      </w:r>
      <w:r>
        <w:rPr/>
        <w:t>），武汉新公司主营业务为网络安全相关，募投项目</w:t>
      </w:r>
      <w:r>
        <w:rPr>
          <w:w w:val="100"/>
        </w:rPr>
        <w:t> </w:t>
      </w:r>
      <w:r>
        <w:rPr>
          <w:spacing w:val="-4"/>
        </w:rPr>
        <w:t>办公楼建设由武汉新公司具体负责，各募投项目实施期限均延期至</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日，并继续加大研发投入。</w:t>
      </w:r>
    </w:p>
    <w:p>
      <w:pPr>
        <w:pStyle w:val="BodyText"/>
        <w:spacing w:line="256" w:lineRule="auto" w:before="156"/>
        <w:ind w:right="0" w:firstLine="420"/>
        <w:jc w:val="left"/>
      </w:pP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28</w:t>
      </w:r>
      <w:r>
        <w:rPr>
          <w:spacing w:val="-4"/>
        </w:rPr>
        <w:t>日，公司第三届董事会第七次会议审议通过了公司</w:t>
      </w:r>
      <w:r>
        <w:rPr>
          <w:rFonts w:ascii="Times New Roman" w:hAnsi="Times New Roman" w:cs="Times New Roman" w:eastAsia="Times New Roman" w:hint="default"/>
          <w:spacing w:val="-4"/>
        </w:rPr>
        <w:t>2017</w:t>
      </w:r>
      <w:r>
        <w:rPr>
          <w:spacing w:val="-4"/>
        </w:rPr>
        <w:t>年度利润分配的预案：以截止</w:t>
      </w:r>
      <w:r>
        <w:rPr>
          <w:rFonts w:ascii="Times New Roman" w:hAnsi="Times New Roman" w:cs="Times New Roman" w:eastAsia="Times New Roman" w:hint="default"/>
          <w:spacing w:val="-4"/>
        </w:rPr>
        <w:t>2017</w:t>
      </w:r>
      <w:r>
        <w:rPr>
          <w:rFonts w:ascii="Times New Roman" w:hAnsi="Times New Roman" w:cs="Times New Roman" w:eastAsia="Times New Roman" w:hint="default"/>
          <w:w w:val="100"/>
        </w:rPr>
        <w:t> </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日公司总股本</w:t>
      </w:r>
      <w:r>
        <w:rPr>
          <w:rFonts w:ascii="Times New Roman" w:hAnsi="Times New Roman" w:cs="Times New Roman" w:eastAsia="Times New Roman" w:hint="default"/>
          <w:spacing w:val="-4"/>
        </w:rPr>
        <w:t>8000</w:t>
      </w:r>
      <w:r>
        <w:rPr>
          <w:spacing w:val="-4"/>
        </w:rPr>
        <w:t>万股为基数，向全体股东每</w:t>
      </w:r>
      <w:r>
        <w:rPr>
          <w:rFonts w:ascii="Times New Roman" w:hAnsi="Times New Roman" w:cs="Times New Roman" w:eastAsia="Times New Roman" w:hint="default"/>
          <w:spacing w:val="-4"/>
        </w:rPr>
        <w:t>10</w:t>
      </w:r>
      <w:r>
        <w:rPr>
          <w:spacing w:val="-4"/>
        </w:rPr>
        <w:t>股派发人民币现金红利</w:t>
      </w:r>
      <w:r>
        <w:rPr>
          <w:rFonts w:ascii="Times New Roman" w:hAnsi="Times New Roman" w:cs="Times New Roman" w:eastAsia="Times New Roman" w:hint="default"/>
          <w:spacing w:val="-4"/>
        </w:rPr>
        <w:t>3</w:t>
      </w:r>
      <w:r>
        <w:rPr>
          <w:spacing w:val="-4"/>
        </w:rPr>
        <w:t>元（含税），送红股</w:t>
      </w:r>
      <w:r>
        <w:rPr>
          <w:rFonts w:ascii="Times New Roman" w:hAnsi="Times New Roman" w:cs="Times New Roman" w:eastAsia="Times New Roman" w:hint="default"/>
          <w:spacing w:val="-4"/>
        </w:rPr>
        <w:t>0</w:t>
      </w:r>
      <w:r>
        <w:rPr>
          <w:spacing w:val="-4"/>
        </w:rPr>
        <w:t>股，</w:t>
      </w:r>
      <w:r>
        <w:rPr>
          <w:spacing w:val="-40"/>
        </w:rPr>
        <w:t> </w:t>
      </w:r>
      <w:r>
        <w:rPr/>
        <w:t>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w:t>
      </w:r>
    </w:p>
    <w:p>
      <w:pPr>
        <w:pStyle w:val="BodyText"/>
        <w:spacing w:line="240" w:lineRule="auto" w:before="161"/>
        <w:ind w:left="533"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日，本集团不存在其他应披露的资产负债表日后事项。</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1"/>
        <w:gridCol w:w="2391"/>
      </w:tblGrid>
      <w:tr>
        <w:trPr>
          <w:trHeight w:val="716"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5"/>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60"/>
        <w:gridCol w:w="318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5"/>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67" w:footer="979" w:top="1060" w:bottom="1160" w:left="1020" w:right="920"/>
        </w:sectPr>
      </w:pPr>
    </w:p>
    <w:p>
      <w:pPr>
        <w:spacing w:line="240" w:lineRule="auto" w:before="13"/>
        <w:rPr>
          <w:rFonts w:ascii="宋体" w:hAnsi="宋体" w:cs="宋体" w:eastAsia="宋体" w:hint="default"/>
          <w:sz w:val="24"/>
          <w:szCs w:val="24"/>
        </w:rPr>
      </w:pPr>
    </w:p>
    <w:p>
      <w:pPr>
        <w:pStyle w:val="Heading3"/>
        <w:spacing w:line="240" w:lineRule="auto" w:before="36"/>
        <w:ind w:left="252"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52"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252"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2"/>
        <w:rPr>
          <w:rFonts w:ascii="宋体" w:hAnsi="宋体" w:cs="宋体" w:eastAsia="宋体" w:hint="default"/>
          <w:b/>
          <w:bCs/>
          <w:sz w:val="22"/>
          <w:szCs w:val="22"/>
        </w:rPr>
      </w:pPr>
    </w:p>
    <w:p>
      <w:pPr>
        <w:spacing w:before="44"/>
        <w:ind w:left="0" w:right="2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249" w:type="dxa"/>
        <w:tblLayout w:type="fixed"/>
        <w:tblCellMar>
          <w:top w:w="0" w:type="dxa"/>
          <w:left w:w="0" w:type="dxa"/>
          <w:bottom w:w="0" w:type="dxa"/>
          <w:right w:w="0" w:type="dxa"/>
        </w:tblCellMar>
        <w:tblLook w:val="01E0"/>
      </w:tblPr>
      <w:tblGrid>
        <w:gridCol w:w="2392"/>
        <w:gridCol w:w="2392"/>
        <w:gridCol w:w="2392"/>
        <w:gridCol w:w="2393"/>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5"/>
        <w:rPr>
          <w:rFonts w:ascii="宋体" w:hAnsi="宋体" w:cs="宋体" w:eastAsia="宋体" w:hint="default"/>
          <w:sz w:val="19"/>
          <w:szCs w:val="19"/>
        </w:rPr>
      </w:pPr>
    </w:p>
    <w:p>
      <w:pPr>
        <w:pStyle w:val="Heading3"/>
        <w:spacing w:line="240" w:lineRule="auto" w:before="36"/>
        <w:ind w:left="252"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left="252" w:right="0" w:firstLine="420"/>
        <w:jc w:val="left"/>
      </w:pPr>
      <w:r>
        <w:rPr/>
        <w:t>除电子认证服务及产品、可管理的信息安全服务业务外，本公司未经营其他对经营成果有重大影响的</w:t>
      </w:r>
      <w:r>
        <w:rPr>
          <w:w w:val="100"/>
        </w:rPr>
        <w:t> </w:t>
      </w:r>
      <w:r>
        <w:rPr>
          <w:spacing w:val="-5"/>
        </w:rPr>
        <w:t>业务。同时，由于本公司仅于一个地域内经营业务，收入主要来自中国境内，其主要资产亦位于中国境内，</w:t>
      </w:r>
      <w:r>
        <w:rPr>
          <w:spacing w:val="-10"/>
        </w:rPr>
        <w:t> </w:t>
      </w:r>
      <w:r>
        <w:rPr>
          <w:spacing w:val="-10"/>
        </w:rPr>
      </w:r>
      <w:r>
        <w:rPr/>
        <w:t>因此本公司无需披露分部数据。</w:t>
      </w:r>
    </w:p>
    <w:p>
      <w:pPr>
        <w:spacing w:line="240" w:lineRule="auto" w:before="7"/>
        <w:rPr>
          <w:rFonts w:ascii="宋体" w:hAnsi="宋体" w:cs="宋体" w:eastAsia="宋体" w:hint="default"/>
          <w:sz w:val="23"/>
          <w:szCs w:val="23"/>
        </w:rPr>
      </w:pPr>
    </w:p>
    <w:p>
      <w:pPr>
        <w:pStyle w:val="Heading3"/>
        <w:spacing w:line="240" w:lineRule="auto"/>
        <w:ind w:left="252"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52"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spacing w:line="506" w:lineRule="auto" w:before="0"/>
        <w:ind w:left="252" w:right="90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sz w:val="21"/>
          <w:szCs w:val="21"/>
        </w:rPr>
        <w:t>政府补助</w:t>
      </w:r>
    </w:p>
    <w:p>
      <w:pPr>
        <w:pStyle w:val="BodyText"/>
        <w:spacing w:line="240" w:lineRule="auto" w:before="20"/>
        <w:ind w:left="252" w:right="0"/>
        <w:jc w:val="left"/>
      </w:pPr>
      <w:r>
        <w:rPr/>
        <w:t>（</w:t>
      </w:r>
      <w:r>
        <w:rPr>
          <w:rFonts w:ascii="Times New Roman" w:hAnsi="Times New Roman" w:cs="Times New Roman" w:eastAsia="Times New Roman" w:hint="default"/>
        </w:rPr>
        <w:t>1</w:t>
      </w:r>
      <w:r>
        <w:rPr/>
        <w:t>）计入递延收益的政府补助，后续采用总额法计量</w:t>
      </w:r>
    </w:p>
    <w:p>
      <w:pPr>
        <w:spacing w:line="240" w:lineRule="auto" w:before="9"/>
        <w:rPr>
          <w:rFonts w:ascii="宋体" w:hAnsi="宋体" w:cs="宋体" w:eastAsia="宋体" w:hint="default"/>
          <w:sz w:val="19"/>
          <w:szCs w:val="19"/>
        </w:rPr>
      </w:pPr>
    </w:p>
    <w:p>
      <w:pPr>
        <w:spacing w:before="0"/>
        <w:ind w:left="0" w:right="2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2015"/>
        <w:gridCol w:w="879"/>
        <w:gridCol w:w="1091"/>
        <w:gridCol w:w="992"/>
        <w:gridCol w:w="984"/>
        <w:gridCol w:w="956"/>
        <w:gridCol w:w="1041"/>
        <w:gridCol w:w="961"/>
        <w:gridCol w:w="1003"/>
      </w:tblGrid>
      <w:tr>
        <w:trPr>
          <w:trHeight w:val="970" w:hRule="exact"/>
        </w:trPr>
        <w:tc>
          <w:tcPr>
            <w:tcW w:w="2015"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631" w:right="0"/>
              <w:jc w:val="left"/>
              <w:rPr>
                <w:rFonts w:ascii="宋体" w:hAnsi="宋体" w:cs="宋体" w:eastAsia="宋体" w:hint="default"/>
                <w:sz w:val="18"/>
                <w:szCs w:val="18"/>
              </w:rPr>
            </w:pPr>
            <w:r>
              <w:rPr>
                <w:rFonts w:ascii="宋体" w:hAnsi="宋体" w:cs="宋体" w:eastAsia="宋体" w:hint="default"/>
                <w:b/>
                <w:bCs/>
                <w:sz w:val="18"/>
                <w:szCs w:val="18"/>
              </w:rPr>
              <w:t>补助项目</w:t>
            </w:r>
            <w:r>
              <w:rPr>
                <w:rFonts w:ascii="宋体" w:hAnsi="宋体" w:cs="宋体" w:eastAsia="宋体" w:hint="default"/>
                <w:sz w:val="18"/>
                <w:szCs w:val="18"/>
              </w:rPr>
            </w:r>
          </w:p>
        </w:tc>
        <w:tc>
          <w:tcPr>
            <w:tcW w:w="879"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81"/>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1091"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4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992"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211" w:right="57" w:hanging="180"/>
              <w:jc w:val="left"/>
              <w:rPr>
                <w:rFonts w:ascii="宋体" w:hAnsi="宋体" w:cs="宋体" w:eastAsia="宋体" w:hint="default"/>
                <w:sz w:val="18"/>
                <w:szCs w:val="18"/>
              </w:rPr>
            </w:pPr>
            <w:r>
              <w:rPr>
                <w:rFonts w:ascii="宋体" w:hAnsi="宋体" w:cs="宋体" w:eastAsia="宋体" w:hint="default"/>
                <w:b/>
                <w:bCs/>
                <w:sz w:val="18"/>
                <w:szCs w:val="18"/>
              </w:rPr>
              <w:t>本期新增补</w:t>
            </w:r>
            <w:r>
              <w:rPr>
                <w:rFonts w:ascii="宋体" w:hAnsi="宋体" w:cs="宋体" w:eastAsia="宋体" w:hint="default"/>
                <w:b/>
                <w:bCs/>
                <w:w w:val="99"/>
                <w:sz w:val="18"/>
                <w:szCs w:val="18"/>
              </w:rPr>
              <w:t> </w:t>
            </w:r>
            <w:r>
              <w:rPr>
                <w:rFonts w:ascii="宋体" w:hAnsi="宋体" w:cs="宋体" w:eastAsia="宋体" w:hint="default"/>
                <w:b/>
                <w:bCs/>
                <w:sz w:val="18"/>
                <w:szCs w:val="18"/>
              </w:rPr>
              <w:t>助金额</w:t>
            </w:r>
            <w:r>
              <w:rPr>
                <w:rFonts w:ascii="宋体" w:hAnsi="宋体" w:cs="宋体" w:eastAsia="宋体" w:hint="default"/>
                <w:sz w:val="18"/>
                <w:szCs w:val="18"/>
              </w:rPr>
            </w:r>
          </w:p>
        </w:tc>
        <w:tc>
          <w:tcPr>
            <w:tcW w:w="984"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29" w:right="50"/>
              <w:jc w:val="center"/>
              <w:rPr>
                <w:rFonts w:ascii="宋体" w:hAnsi="宋体" w:cs="宋体" w:eastAsia="宋体" w:hint="default"/>
                <w:sz w:val="18"/>
                <w:szCs w:val="18"/>
              </w:rPr>
            </w:pPr>
            <w:r>
              <w:rPr>
                <w:rFonts w:ascii="宋体" w:hAnsi="宋体" w:cs="宋体" w:eastAsia="宋体" w:hint="default"/>
                <w:b/>
                <w:bCs/>
                <w:w w:val="95"/>
                <w:sz w:val="18"/>
                <w:szCs w:val="18"/>
              </w:rPr>
              <w:t>本期结转计</w:t>
            </w:r>
            <w:r>
              <w:rPr>
                <w:rFonts w:ascii="宋体" w:hAnsi="宋体" w:cs="宋体" w:eastAsia="宋体" w:hint="default"/>
                <w:b/>
                <w:bCs/>
                <w:spacing w:val="-45"/>
                <w:w w:val="95"/>
                <w:sz w:val="18"/>
                <w:szCs w:val="18"/>
              </w:rPr>
              <w:t> </w:t>
            </w:r>
            <w:r>
              <w:rPr>
                <w:rFonts w:ascii="宋体" w:hAnsi="宋体" w:cs="宋体" w:eastAsia="宋体" w:hint="default"/>
                <w:b/>
                <w:bCs/>
                <w:spacing w:val="-45"/>
                <w:w w:val="95"/>
                <w:sz w:val="18"/>
                <w:szCs w:val="18"/>
              </w:rPr>
            </w:r>
            <w:r>
              <w:rPr>
                <w:rFonts w:ascii="宋体" w:hAnsi="宋体" w:cs="宋体" w:eastAsia="宋体" w:hint="default"/>
                <w:b/>
                <w:bCs/>
                <w:w w:val="95"/>
                <w:sz w:val="18"/>
                <w:szCs w:val="18"/>
              </w:rPr>
              <w:t>入损益的金</w:t>
            </w:r>
            <w:r>
              <w:rPr>
                <w:rFonts w:ascii="宋体" w:hAnsi="宋体" w:cs="宋体" w:eastAsia="宋体" w:hint="default"/>
                <w:b/>
                <w:bCs/>
                <w:spacing w:val="-45"/>
                <w:w w:val="95"/>
                <w:sz w:val="18"/>
                <w:szCs w:val="18"/>
              </w:rPr>
              <w:t> </w:t>
            </w:r>
            <w:r>
              <w:rPr>
                <w:rFonts w:ascii="宋体" w:hAnsi="宋体" w:cs="宋体" w:eastAsia="宋体" w:hint="default"/>
                <w:b/>
                <w:bCs/>
                <w:spacing w:val="-45"/>
                <w:w w:val="95"/>
                <w:sz w:val="18"/>
                <w:szCs w:val="18"/>
              </w:rPr>
            </w:r>
            <w:r>
              <w:rPr>
                <w:rFonts w:ascii="宋体" w:hAnsi="宋体" w:cs="宋体" w:eastAsia="宋体" w:hint="default"/>
                <w:b/>
                <w:bCs/>
                <w:sz w:val="18"/>
                <w:szCs w:val="18"/>
              </w:rPr>
              <w:t>额</w:t>
            </w:r>
            <w:r>
              <w:rPr>
                <w:rFonts w:ascii="宋体" w:hAnsi="宋体" w:cs="宋体" w:eastAsia="宋体" w:hint="default"/>
                <w:sz w:val="18"/>
                <w:szCs w:val="18"/>
              </w:rPr>
            </w:r>
          </w:p>
        </w:tc>
        <w:tc>
          <w:tcPr>
            <w:tcW w:w="956"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262" w:right="326"/>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b/>
                <w:bCs/>
                <w:spacing w:val="-89"/>
                <w:sz w:val="18"/>
                <w:szCs w:val="18"/>
              </w:rPr>
              <w:t> </w:t>
            </w:r>
            <w:r>
              <w:rPr>
                <w:rFonts w:ascii="宋体" w:hAnsi="宋体" w:cs="宋体" w:eastAsia="宋体" w:hint="default"/>
                <w:b/>
                <w:bCs/>
                <w:sz w:val="18"/>
                <w:szCs w:val="18"/>
              </w:rPr>
              <w:t>变动</w:t>
            </w:r>
            <w:r>
              <w:rPr>
                <w:rFonts w:ascii="宋体" w:hAnsi="宋体" w:cs="宋体" w:eastAsia="宋体" w:hint="default"/>
                <w:sz w:val="18"/>
                <w:szCs w:val="18"/>
              </w:rPr>
            </w:r>
          </w:p>
        </w:tc>
        <w:tc>
          <w:tcPr>
            <w:tcW w:w="1041"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302" w:right="371"/>
              <w:jc w:val="left"/>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b/>
                <w:bCs/>
                <w:spacing w:val="-8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c>
          <w:tcPr>
            <w:tcW w:w="961"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25" w:right="31"/>
              <w:jc w:val="center"/>
              <w:rPr>
                <w:rFonts w:ascii="宋体" w:hAnsi="宋体" w:cs="宋体" w:eastAsia="宋体" w:hint="default"/>
                <w:sz w:val="18"/>
                <w:szCs w:val="18"/>
              </w:rPr>
            </w:pPr>
            <w:r>
              <w:rPr>
                <w:rFonts w:ascii="宋体" w:hAnsi="宋体" w:cs="宋体" w:eastAsia="宋体" w:hint="default"/>
                <w:b/>
                <w:bCs/>
                <w:w w:val="95"/>
                <w:sz w:val="18"/>
                <w:szCs w:val="18"/>
              </w:rPr>
              <w:t>本期结转计</w:t>
            </w:r>
            <w:r>
              <w:rPr>
                <w:rFonts w:ascii="宋体" w:hAnsi="宋体" w:cs="宋体" w:eastAsia="宋体" w:hint="default"/>
                <w:b/>
                <w:bCs/>
                <w:spacing w:val="-45"/>
                <w:w w:val="95"/>
                <w:sz w:val="18"/>
                <w:szCs w:val="18"/>
              </w:rPr>
              <w:t> </w:t>
            </w:r>
            <w:r>
              <w:rPr>
                <w:rFonts w:ascii="宋体" w:hAnsi="宋体" w:cs="宋体" w:eastAsia="宋体" w:hint="default"/>
                <w:b/>
                <w:bCs/>
                <w:spacing w:val="-45"/>
                <w:w w:val="95"/>
                <w:sz w:val="18"/>
                <w:szCs w:val="18"/>
              </w:rPr>
            </w:r>
            <w:r>
              <w:rPr>
                <w:rFonts w:ascii="宋体" w:hAnsi="宋体" w:cs="宋体" w:eastAsia="宋体" w:hint="default"/>
                <w:b/>
                <w:bCs/>
                <w:w w:val="95"/>
                <w:sz w:val="18"/>
                <w:szCs w:val="18"/>
              </w:rPr>
              <w:t>入损益的列</w:t>
            </w:r>
            <w:r>
              <w:rPr>
                <w:rFonts w:ascii="宋体" w:hAnsi="宋体" w:cs="宋体" w:eastAsia="宋体" w:hint="default"/>
                <w:b/>
                <w:bCs/>
                <w:spacing w:val="-45"/>
                <w:w w:val="95"/>
                <w:sz w:val="18"/>
                <w:szCs w:val="18"/>
              </w:rPr>
              <w:t> </w:t>
            </w:r>
            <w:r>
              <w:rPr>
                <w:rFonts w:ascii="宋体" w:hAnsi="宋体" w:cs="宋体" w:eastAsia="宋体" w:hint="default"/>
                <w:b/>
                <w:bCs/>
                <w:spacing w:val="-45"/>
                <w:w w:val="95"/>
                <w:sz w:val="18"/>
                <w:szCs w:val="18"/>
              </w:rPr>
            </w:r>
            <w:r>
              <w:rPr>
                <w:rFonts w:ascii="宋体" w:hAnsi="宋体" w:cs="宋体" w:eastAsia="宋体" w:hint="default"/>
                <w:b/>
                <w:bCs/>
                <w:sz w:val="18"/>
                <w:szCs w:val="18"/>
              </w:rPr>
              <w:t>报项目</w:t>
            </w:r>
            <w:r>
              <w:rPr>
                <w:rFonts w:ascii="宋体" w:hAnsi="宋体" w:cs="宋体" w:eastAsia="宋体" w:hint="default"/>
                <w:sz w:val="18"/>
                <w:szCs w:val="18"/>
              </w:rPr>
            </w:r>
          </w:p>
        </w:tc>
        <w:tc>
          <w:tcPr>
            <w:tcW w:w="1003" w:type="dxa"/>
            <w:tcBorders>
              <w:top w:val="single" w:sz="6" w:space="0" w:color="000000"/>
              <w:left w:val="nil" w:sz="6" w:space="0" w:color="auto"/>
              <w:bottom w:val="single" w:sz="6" w:space="0" w:color="000000"/>
              <w:right w:val="nil" w:sz="6" w:space="0" w:color="auto"/>
            </w:tcBorders>
          </w:tcPr>
          <w:p>
            <w:pPr>
              <w:pStyle w:val="TableParagraph"/>
              <w:spacing w:line="300" w:lineRule="auto" w:before="20"/>
              <w:ind w:left="57" w:right="12" w:hanging="24"/>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660" w:hRule="exact"/>
        </w:trPr>
        <w:tc>
          <w:tcPr>
            <w:tcW w:w="2015" w:type="dxa"/>
            <w:tcBorders>
              <w:top w:val="single" w:sz="6" w:space="0" w:color="000000"/>
              <w:left w:val="nil" w:sz="6" w:space="0" w:color="auto"/>
              <w:bottom w:val="single" w:sz="6" w:space="0" w:color="000000"/>
              <w:right w:val="nil" w:sz="6" w:space="0" w:color="auto"/>
            </w:tcBorders>
          </w:tcPr>
          <w:p>
            <w:pPr>
              <w:pStyle w:val="TableParagraph"/>
              <w:spacing w:line="316" w:lineRule="auto" w:before="22"/>
              <w:ind w:left="9" w:right="36"/>
              <w:jc w:val="left"/>
              <w:rPr>
                <w:rFonts w:ascii="宋体" w:hAnsi="宋体" w:cs="宋体" w:eastAsia="宋体" w:hint="default"/>
                <w:sz w:val="18"/>
                <w:szCs w:val="18"/>
              </w:rPr>
            </w:pPr>
            <w:r>
              <w:rPr>
                <w:rFonts w:ascii="宋体" w:hAnsi="宋体" w:cs="宋体" w:eastAsia="宋体" w:hint="default"/>
                <w:spacing w:val="16"/>
                <w:sz w:val="18"/>
                <w:szCs w:val="18"/>
              </w:rPr>
              <w:t>高性能签名验签服务器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产业化中央补助资金</w:t>
            </w:r>
          </w:p>
        </w:tc>
        <w:tc>
          <w:tcPr>
            <w:tcW w:w="879"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81"/>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091"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8,000,000.00</w:t>
            </w:r>
          </w:p>
        </w:tc>
        <w:tc>
          <w:tcPr>
            <w:tcW w:w="992"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4"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13"/>
              <w:jc w:val="right"/>
              <w:rPr>
                <w:rFonts w:ascii="Times New Roman" w:hAnsi="Times New Roman" w:cs="Times New Roman" w:eastAsia="Times New Roman" w:hint="default"/>
                <w:sz w:val="18"/>
                <w:szCs w:val="18"/>
              </w:rPr>
            </w:pPr>
            <w:r>
              <w:rPr>
                <w:rFonts w:ascii="Times New Roman"/>
                <w:spacing w:val="-1"/>
                <w:sz w:val="18"/>
              </w:rPr>
              <w:t>1,466,666.67</w:t>
            </w:r>
          </w:p>
        </w:tc>
        <w:tc>
          <w:tcPr>
            <w:tcW w:w="956"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6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1"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6,533,333.33</w:t>
            </w:r>
          </w:p>
        </w:tc>
        <w:tc>
          <w:tcPr>
            <w:tcW w:w="961"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16"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03"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5"/>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73" w:hRule="exact"/>
        </w:trPr>
        <w:tc>
          <w:tcPr>
            <w:tcW w:w="2015" w:type="dxa"/>
            <w:tcBorders>
              <w:top w:val="single" w:sz="6" w:space="0" w:color="000000"/>
              <w:left w:val="nil" w:sz="6" w:space="0" w:color="auto"/>
              <w:bottom w:val="single" w:sz="6" w:space="0" w:color="000000"/>
              <w:right w:val="nil" w:sz="6" w:space="0" w:color="auto"/>
            </w:tcBorders>
          </w:tcPr>
          <w:p>
            <w:pPr>
              <w:pStyle w:val="TableParagraph"/>
              <w:spacing w:line="319" w:lineRule="auto" w:before="20"/>
              <w:ind w:left="9" w:right="36"/>
              <w:jc w:val="both"/>
              <w:rPr>
                <w:rFonts w:ascii="宋体" w:hAnsi="宋体" w:cs="宋体" w:eastAsia="宋体" w:hint="default"/>
                <w:sz w:val="18"/>
                <w:szCs w:val="18"/>
              </w:rPr>
            </w:pPr>
            <w:r>
              <w:rPr>
                <w:rFonts w:ascii="宋体" w:hAnsi="宋体" w:cs="宋体" w:eastAsia="宋体" w:hint="default"/>
                <w:spacing w:val="16"/>
                <w:sz w:val="18"/>
                <w:szCs w:val="18"/>
              </w:rPr>
              <w:t>基于国产密码算法电子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6"/>
                <w:sz w:val="18"/>
                <w:szCs w:val="18"/>
              </w:rPr>
              <w:t>认证关键技术研究及应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用示范</w:t>
            </w:r>
          </w:p>
        </w:tc>
        <w:tc>
          <w:tcPr>
            <w:tcW w:w="879"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81"/>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091"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315,650.00</w:t>
            </w:r>
          </w:p>
        </w:tc>
        <w:tc>
          <w:tcPr>
            <w:tcW w:w="992"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4"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315,650.00</w:t>
            </w:r>
          </w:p>
        </w:tc>
        <w:tc>
          <w:tcPr>
            <w:tcW w:w="956"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6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1"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1"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8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03"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58" w:hRule="exact"/>
        </w:trPr>
        <w:tc>
          <w:tcPr>
            <w:tcW w:w="2015"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9" w:right="35"/>
              <w:jc w:val="left"/>
              <w:rPr>
                <w:rFonts w:ascii="宋体" w:hAnsi="宋体" w:cs="宋体" w:eastAsia="宋体" w:hint="default"/>
                <w:sz w:val="18"/>
                <w:szCs w:val="18"/>
              </w:rPr>
            </w:pPr>
            <w:r>
              <w:rPr>
                <w:rFonts w:ascii="宋体" w:hAnsi="宋体" w:cs="宋体" w:eastAsia="宋体" w:hint="default"/>
                <w:spacing w:val="16"/>
                <w:sz w:val="18"/>
                <w:szCs w:val="18"/>
              </w:rPr>
              <w:t>北京市电子认证服务试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点项目</w:t>
            </w:r>
          </w:p>
        </w:tc>
        <w:tc>
          <w:tcPr>
            <w:tcW w:w="879"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81"/>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091"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23"/>
              <w:jc w:val="right"/>
              <w:rPr>
                <w:rFonts w:ascii="Times New Roman" w:hAnsi="Times New Roman" w:cs="Times New Roman" w:eastAsia="Times New Roman" w:hint="default"/>
                <w:sz w:val="18"/>
                <w:szCs w:val="18"/>
              </w:rPr>
            </w:pPr>
            <w:r>
              <w:rPr>
                <w:rFonts w:ascii="Times New Roman"/>
                <w:spacing w:val="-1"/>
                <w:sz w:val="18"/>
              </w:rPr>
              <w:t>3,200,000.00</w:t>
            </w:r>
          </w:p>
        </w:tc>
        <w:tc>
          <w:tcPr>
            <w:tcW w:w="992"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4"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1,600,000.00</w:t>
            </w:r>
          </w:p>
        </w:tc>
        <w:tc>
          <w:tcPr>
            <w:tcW w:w="956"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6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1"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23"/>
              <w:jc w:val="right"/>
              <w:rPr>
                <w:rFonts w:ascii="Times New Roman" w:hAnsi="Times New Roman" w:cs="Times New Roman" w:eastAsia="Times New Roman" w:hint="default"/>
                <w:sz w:val="18"/>
                <w:szCs w:val="18"/>
              </w:rPr>
            </w:pPr>
            <w:r>
              <w:rPr>
                <w:rFonts w:ascii="Times New Roman"/>
                <w:spacing w:val="-1"/>
                <w:sz w:val="18"/>
              </w:rPr>
              <w:t>1,600,000.00</w:t>
            </w:r>
          </w:p>
        </w:tc>
        <w:tc>
          <w:tcPr>
            <w:tcW w:w="961"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16"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03"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72" w:hRule="exact"/>
        </w:trPr>
        <w:tc>
          <w:tcPr>
            <w:tcW w:w="2015" w:type="dxa"/>
            <w:tcBorders>
              <w:top w:val="single" w:sz="6" w:space="0" w:color="000000"/>
              <w:left w:val="nil" w:sz="6" w:space="0" w:color="auto"/>
              <w:bottom w:val="single" w:sz="6" w:space="0" w:color="000000"/>
              <w:right w:val="nil" w:sz="6" w:space="0" w:color="auto"/>
            </w:tcBorders>
          </w:tcPr>
          <w:p>
            <w:pPr>
              <w:pStyle w:val="TableParagraph"/>
              <w:spacing w:line="309" w:lineRule="auto" w:before="22"/>
              <w:ind w:left="9" w:right="36"/>
              <w:jc w:val="both"/>
              <w:rPr>
                <w:rFonts w:ascii="宋体" w:hAnsi="宋体" w:cs="宋体" w:eastAsia="宋体" w:hint="default"/>
                <w:sz w:val="18"/>
                <w:szCs w:val="18"/>
              </w:rPr>
            </w:pPr>
            <w:r>
              <w:rPr>
                <w:rFonts w:ascii="宋体" w:hAnsi="宋体" w:cs="宋体" w:eastAsia="宋体" w:hint="default"/>
                <w:spacing w:val="16"/>
                <w:sz w:val="18"/>
                <w:szCs w:val="18"/>
              </w:rPr>
              <w:t>北京市支持信息化发展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项目</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云安全服务平台项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目</w:t>
            </w:r>
          </w:p>
        </w:tc>
        <w:tc>
          <w:tcPr>
            <w:tcW w:w="879"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81"/>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091"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116,900.00</w:t>
            </w:r>
          </w:p>
        </w:tc>
        <w:tc>
          <w:tcPr>
            <w:tcW w:w="992"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4"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16"/>
              <w:jc w:val="right"/>
              <w:rPr>
                <w:rFonts w:ascii="Times New Roman" w:hAnsi="Times New Roman" w:cs="Times New Roman" w:eastAsia="Times New Roman" w:hint="default"/>
                <w:sz w:val="18"/>
                <w:szCs w:val="18"/>
              </w:rPr>
            </w:pPr>
            <w:r>
              <w:rPr>
                <w:rFonts w:ascii="Times New Roman"/>
                <w:spacing w:val="-1"/>
                <w:sz w:val="18"/>
              </w:rPr>
              <w:t>33,400.00</w:t>
            </w:r>
          </w:p>
        </w:tc>
        <w:tc>
          <w:tcPr>
            <w:tcW w:w="956"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6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1"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18"/>
                <w:szCs w:val="18"/>
              </w:rPr>
            </w:pPr>
            <w:r>
              <w:rPr>
                <w:rFonts w:ascii="Times New Roman"/>
                <w:spacing w:val="-1"/>
                <w:sz w:val="18"/>
              </w:rPr>
              <w:t>83,500.00</w:t>
            </w:r>
          </w:p>
        </w:tc>
        <w:tc>
          <w:tcPr>
            <w:tcW w:w="961"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16"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03"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5"/>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70" w:hRule="exact"/>
        </w:trPr>
        <w:tc>
          <w:tcPr>
            <w:tcW w:w="2015"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9" w:right="36"/>
              <w:jc w:val="both"/>
              <w:rPr>
                <w:rFonts w:ascii="宋体" w:hAnsi="宋体" w:cs="宋体" w:eastAsia="宋体" w:hint="default"/>
                <w:sz w:val="18"/>
                <w:szCs w:val="18"/>
              </w:rPr>
            </w:pPr>
            <w:r>
              <w:rPr>
                <w:rFonts w:ascii="宋体" w:hAnsi="宋体" w:cs="宋体" w:eastAsia="宋体" w:hint="default"/>
                <w:spacing w:val="16"/>
                <w:sz w:val="18"/>
                <w:szCs w:val="18"/>
              </w:rPr>
              <w:t>可信电子凭证技术研发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6"/>
                <w:sz w:val="18"/>
                <w:szCs w:val="18"/>
              </w:rPr>
              <w:t>与应用示范项目专项补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贴</w:t>
            </w:r>
          </w:p>
        </w:tc>
        <w:tc>
          <w:tcPr>
            <w:tcW w:w="879"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81"/>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091"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976,318.50</w:t>
            </w:r>
          </w:p>
        </w:tc>
        <w:tc>
          <w:tcPr>
            <w:tcW w:w="992"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4"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332,668.86</w:t>
            </w:r>
          </w:p>
        </w:tc>
        <w:tc>
          <w:tcPr>
            <w:tcW w:w="956"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67"/>
              <w:jc w:val="right"/>
              <w:rPr>
                <w:rFonts w:ascii="Times New Roman" w:hAnsi="Times New Roman" w:cs="Times New Roman" w:eastAsia="Times New Roman" w:hint="default"/>
                <w:sz w:val="18"/>
                <w:szCs w:val="18"/>
              </w:rPr>
            </w:pPr>
            <w:r>
              <w:rPr>
                <w:rFonts w:ascii="Times New Roman"/>
                <w:spacing w:val="-1"/>
                <w:sz w:val="18"/>
              </w:rPr>
              <w:t>-643,649.64</w:t>
            </w:r>
          </w:p>
        </w:tc>
        <w:tc>
          <w:tcPr>
            <w:tcW w:w="1041"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1"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16"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03"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60" w:hRule="exact"/>
        </w:trPr>
        <w:tc>
          <w:tcPr>
            <w:tcW w:w="2015" w:type="dxa"/>
            <w:tcBorders>
              <w:top w:val="single" w:sz="6" w:space="0" w:color="000000"/>
              <w:left w:val="nil" w:sz="6" w:space="0" w:color="auto"/>
              <w:bottom w:val="single" w:sz="6" w:space="0" w:color="000000"/>
              <w:right w:val="nil" w:sz="6" w:space="0" w:color="auto"/>
            </w:tcBorders>
          </w:tcPr>
          <w:p>
            <w:pPr>
              <w:pStyle w:val="TableParagraph"/>
              <w:spacing w:line="316" w:lineRule="auto" w:before="22"/>
              <w:ind w:left="9" w:right="36"/>
              <w:jc w:val="left"/>
              <w:rPr>
                <w:rFonts w:ascii="宋体" w:hAnsi="宋体" w:cs="宋体" w:eastAsia="宋体" w:hint="default"/>
                <w:sz w:val="18"/>
                <w:szCs w:val="18"/>
              </w:rPr>
            </w:pPr>
            <w:r>
              <w:rPr>
                <w:rFonts w:ascii="宋体" w:hAnsi="宋体" w:cs="宋体" w:eastAsia="宋体" w:hint="default"/>
                <w:spacing w:val="16"/>
                <w:sz w:val="18"/>
                <w:szCs w:val="18"/>
              </w:rPr>
              <w:t>信息服务可信及功能完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整性证明技术研究</w:t>
            </w:r>
          </w:p>
        </w:tc>
        <w:tc>
          <w:tcPr>
            <w:tcW w:w="879"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81"/>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091"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1,517,000.00</w:t>
            </w:r>
          </w:p>
        </w:tc>
        <w:tc>
          <w:tcPr>
            <w:tcW w:w="984"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13"/>
              <w:jc w:val="right"/>
              <w:rPr>
                <w:rFonts w:ascii="Times New Roman" w:hAnsi="Times New Roman" w:cs="Times New Roman" w:eastAsia="Times New Roman" w:hint="default"/>
                <w:sz w:val="18"/>
                <w:szCs w:val="18"/>
              </w:rPr>
            </w:pPr>
            <w:r>
              <w:rPr>
                <w:rFonts w:ascii="Times New Roman"/>
                <w:spacing w:val="-1"/>
                <w:sz w:val="18"/>
              </w:rPr>
              <w:t>18,899.43</w:t>
            </w:r>
          </w:p>
        </w:tc>
        <w:tc>
          <w:tcPr>
            <w:tcW w:w="956"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6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1"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1,498,100.57</w:t>
            </w:r>
          </w:p>
        </w:tc>
        <w:tc>
          <w:tcPr>
            <w:tcW w:w="961"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16"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03"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5"/>
              <w:jc w:val="righ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right"/>
        <w:rPr>
          <w:rFonts w:ascii="宋体" w:hAnsi="宋体" w:cs="宋体" w:eastAsia="宋体" w:hint="default"/>
          <w:sz w:val="18"/>
          <w:szCs w:val="18"/>
        </w:rPr>
        <w:sectPr>
          <w:pgSz w:w="11910" w:h="16840"/>
          <w:pgMar w:header="867" w:footer="979" w:top="1060" w:bottom="1160" w:left="880" w:right="880"/>
        </w:sectPr>
      </w:pPr>
    </w:p>
    <w:p>
      <w:pPr>
        <w:spacing w:line="240" w:lineRule="auto" w:before="6"/>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2029"/>
        <w:gridCol w:w="863"/>
        <w:gridCol w:w="1108"/>
        <w:gridCol w:w="993"/>
        <w:gridCol w:w="985"/>
        <w:gridCol w:w="912"/>
        <w:gridCol w:w="1131"/>
        <w:gridCol w:w="901"/>
        <w:gridCol w:w="1018"/>
      </w:tblGrid>
      <w:tr>
        <w:trPr>
          <w:trHeight w:val="660" w:hRule="exact"/>
        </w:trPr>
        <w:tc>
          <w:tcPr>
            <w:tcW w:w="2029"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23" w:right="36"/>
              <w:jc w:val="left"/>
              <w:rPr>
                <w:rFonts w:ascii="宋体" w:hAnsi="宋体" w:cs="宋体" w:eastAsia="宋体" w:hint="default"/>
                <w:sz w:val="18"/>
                <w:szCs w:val="18"/>
              </w:rPr>
            </w:pPr>
            <w:r>
              <w:rPr>
                <w:rFonts w:ascii="宋体" w:hAnsi="宋体" w:cs="宋体" w:eastAsia="宋体" w:hint="default"/>
                <w:spacing w:val="16"/>
                <w:sz w:val="18"/>
                <w:szCs w:val="18"/>
              </w:rPr>
              <w:t>亿级规模网络身份管理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与服务系统技术</w:t>
            </w:r>
          </w:p>
        </w:tc>
        <w:tc>
          <w:tcPr>
            <w:tcW w:w="863"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102"/>
              <w:jc w:val="right"/>
              <w:rPr>
                <w:rFonts w:ascii="宋体" w:hAnsi="宋体" w:cs="宋体" w:eastAsia="宋体" w:hint="default"/>
                <w:sz w:val="18"/>
                <w:szCs w:val="18"/>
              </w:rPr>
            </w:pPr>
            <w:r>
              <w:rPr>
                <w:rFonts w:ascii="宋体" w:hAnsi="宋体" w:cs="宋体" w:eastAsia="宋体" w:hint="default"/>
                <w:sz w:val="18"/>
                <w:szCs w:val="18"/>
              </w:rPr>
              <w:t>财政拨款</w:t>
            </w:r>
          </w:p>
        </w:tc>
        <w:tc>
          <w:tcPr>
            <w:tcW w:w="1108"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3"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1,121,112.00</w:t>
            </w:r>
          </w:p>
        </w:tc>
        <w:tc>
          <w:tcPr>
            <w:tcW w:w="985"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676,425.09</w:t>
            </w:r>
          </w:p>
        </w:tc>
        <w:tc>
          <w:tcPr>
            <w:tcW w:w="912"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1"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68"/>
              <w:jc w:val="right"/>
              <w:rPr>
                <w:rFonts w:ascii="Times New Roman" w:hAnsi="Times New Roman" w:cs="Times New Roman" w:eastAsia="Times New Roman" w:hint="default"/>
                <w:sz w:val="18"/>
                <w:szCs w:val="18"/>
              </w:rPr>
            </w:pPr>
            <w:r>
              <w:rPr>
                <w:rFonts w:ascii="Times New Roman"/>
                <w:spacing w:val="-1"/>
                <w:sz w:val="18"/>
              </w:rPr>
              <w:t>444,686.91</w:t>
            </w:r>
          </w:p>
        </w:tc>
        <w:tc>
          <w:tcPr>
            <w:tcW w:w="901"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7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18"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58" w:hRule="exact"/>
        </w:trPr>
        <w:tc>
          <w:tcPr>
            <w:tcW w:w="2029"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23" w:right="36"/>
              <w:jc w:val="left"/>
              <w:rPr>
                <w:rFonts w:ascii="宋体" w:hAnsi="宋体" w:cs="宋体" w:eastAsia="宋体" w:hint="default"/>
                <w:sz w:val="18"/>
                <w:szCs w:val="18"/>
              </w:rPr>
            </w:pPr>
            <w:r>
              <w:rPr>
                <w:rFonts w:ascii="宋体" w:hAnsi="宋体" w:cs="宋体" w:eastAsia="宋体" w:hint="default"/>
                <w:spacing w:val="16"/>
                <w:sz w:val="18"/>
                <w:szCs w:val="18"/>
              </w:rPr>
              <w:t>信息服务可信管理平台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研制及应用示范</w:t>
            </w:r>
          </w:p>
        </w:tc>
        <w:tc>
          <w:tcPr>
            <w:tcW w:w="863"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102"/>
              <w:jc w:val="right"/>
              <w:rPr>
                <w:rFonts w:ascii="宋体" w:hAnsi="宋体" w:cs="宋体" w:eastAsia="宋体" w:hint="default"/>
                <w:sz w:val="18"/>
                <w:szCs w:val="18"/>
              </w:rPr>
            </w:pPr>
            <w:r>
              <w:rPr>
                <w:rFonts w:ascii="宋体" w:hAnsi="宋体" w:cs="宋体" w:eastAsia="宋体" w:hint="default"/>
                <w:sz w:val="18"/>
                <w:szCs w:val="18"/>
              </w:rPr>
              <w:t>财政拨款</w:t>
            </w:r>
          </w:p>
        </w:tc>
        <w:tc>
          <w:tcPr>
            <w:tcW w:w="1108"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3"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1,410,800.00</w:t>
            </w:r>
          </w:p>
        </w:tc>
        <w:tc>
          <w:tcPr>
            <w:tcW w:w="985"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85,342.72</w:t>
            </w:r>
          </w:p>
        </w:tc>
        <w:tc>
          <w:tcPr>
            <w:tcW w:w="912"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1"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69"/>
              <w:jc w:val="right"/>
              <w:rPr>
                <w:rFonts w:ascii="Times New Roman" w:hAnsi="Times New Roman" w:cs="Times New Roman" w:eastAsia="Times New Roman" w:hint="default"/>
                <w:sz w:val="18"/>
                <w:szCs w:val="18"/>
              </w:rPr>
            </w:pPr>
            <w:r>
              <w:rPr>
                <w:rFonts w:ascii="Times New Roman"/>
                <w:spacing w:val="-1"/>
                <w:sz w:val="18"/>
              </w:rPr>
              <w:t>1,325,457.28</w:t>
            </w:r>
          </w:p>
        </w:tc>
        <w:tc>
          <w:tcPr>
            <w:tcW w:w="901"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7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18"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60" w:hRule="exact"/>
        </w:trPr>
        <w:tc>
          <w:tcPr>
            <w:tcW w:w="2029" w:type="dxa"/>
            <w:tcBorders>
              <w:top w:val="single" w:sz="6" w:space="0" w:color="000000"/>
              <w:left w:val="nil" w:sz="6" w:space="0" w:color="auto"/>
              <w:bottom w:val="single" w:sz="6" w:space="0" w:color="000000"/>
              <w:right w:val="nil" w:sz="6" w:space="0" w:color="auto"/>
            </w:tcBorders>
          </w:tcPr>
          <w:p>
            <w:pPr>
              <w:pStyle w:val="TableParagraph"/>
              <w:spacing w:line="316" w:lineRule="auto" w:before="22"/>
              <w:ind w:left="23" w:right="36"/>
              <w:jc w:val="left"/>
              <w:rPr>
                <w:rFonts w:ascii="宋体" w:hAnsi="宋体" w:cs="宋体" w:eastAsia="宋体" w:hint="default"/>
                <w:sz w:val="18"/>
                <w:szCs w:val="18"/>
              </w:rPr>
            </w:pPr>
            <w:r>
              <w:rPr>
                <w:rFonts w:ascii="宋体" w:hAnsi="宋体" w:cs="宋体" w:eastAsia="宋体" w:hint="default"/>
                <w:spacing w:val="16"/>
                <w:sz w:val="18"/>
                <w:szCs w:val="18"/>
              </w:rPr>
              <w:t>信息服务可信管理分级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分类体系研究</w:t>
            </w:r>
          </w:p>
        </w:tc>
        <w:tc>
          <w:tcPr>
            <w:tcW w:w="863"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102"/>
              <w:jc w:val="right"/>
              <w:rPr>
                <w:rFonts w:ascii="宋体" w:hAnsi="宋体" w:cs="宋体" w:eastAsia="宋体" w:hint="default"/>
                <w:sz w:val="18"/>
                <w:szCs w:val="18"/>
              </w:rPr>
            </w:pPr>
            <w:r>
              <w:rPr>
                <w:rFonts w:ascii="宋体" w:hAnsi="宋体" w:cs="宋体" w:eastAsia="宋体" w:hint="default"/>
                <w:sz w:val="18"/>
                <w:szCs w:val="18"/>
              </w:rPr>
              <w:t>财政拨款</w:t>
            </w:r>
          </w:p>
        </w:tc>
        <w:tc>
          <w:tcPr>
            <w:tcW w:w="1108"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3"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510,000.00</w:t>
            </w:r>
          </w:p>
        </w:tc>
        <w:tc>
          <w:tcPr>
            <w:tcW w:w="985"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13"/>
              <w:jc w:val="right"/>
              <w:rPr>
                <w:rFonts w:ascii="Times New Roman" w:hAnsi="Times New Roman" w:cs="Times New Roman" w:eastAsia="Times New Roman" w:hint="default"/>
                <w:sz w:val="18"/>
                <w:szCs w:val="18"/>
              </w:rPr>
            </w:pPr>
            <w:r>
              <w:rPr>
                <w:rFonts w:ascii="Times New Roman"/>
                <w:w w:val="95"/>
                <w:sz w:val="18"/>
              </w:rPr>
              <w:t>6,201.00</w:t>
            </w:r>
          </w:p>
        </w:tc>
        <w:tc>
          <w:tcPr>
            <w:tcW w:w="912"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1"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68"/>
              <w:jc w:val="right"/>
              <w:rPr>
                <w:rFonts w:ascii="Times New Roman" w:hAnsi="Times New Roman" w:cs="Times New Roman" w:eastAsia="Times New Roman" w:hint="default"/>
                <w:sz w:val="18"/>
                <w:szCs w:val="18"/>
              </w:rPr>
            </w:pPr>
            <w:r>
              <w:rPr>
                <w:rFonts w:ascii="Times New Roman"/>
                <w:spacing w:val="-1"/>
                <w:sz w:val="18"/>
              </w:rPr>
              <w:t>503,799.00</w:t>
            </w:r>
          </w:p>
        </w:tc>
        <w:tc>
          <w:tcPr>
            <w:tcW w:w="901"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7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18"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5"/>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58" w:hRule="exact"/>
        </w:trPr>
        <w:tc>
          <w:tcPr>
            <w:tcW w:w="2029"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23" w:right="36"/>
              <w:jc w:val="left"/>
              <w:rPr>
                <w:rFonts w:ascii="宋体" w:hAnsi="宋体" w:cs="宋体" w:eastAsia="宋体" w:hint="default"/>
                <w:sz w:val="18"/>
                <w:szCs w:val="18"/>
              </w:rPr>
            </w:pPr>
            <w:r>
              <w:rPr>
                <w:rFonts w:ascii="宋体" w:hAnsi="宋体" w:cs="宋体" w:eastAsia="宋体" w:hint="default"/>
                <w:spacing w:val="16"/>
                <w:sz w:val="18"/>
                <w:szCs w:val="18"/>
              </w:rPr>
              <w:t>信息服务安全评估体系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及测评标准研究</w:t>
            </w:r>
          </w:p>
        </w:tc>
        <w:tc>
          <w:tcPr>
            <w:tcW w:w="863"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102"/>
              <w:jc w:val="right"/>
              <w:rPr>
                <w:rFonts w:ascii="宋体" w:hAnsi="宋体" w:cs="宋体" w:eastAsia="宋体" w:hint="default"/>
                <w:sz w:val="18"/>
                <w:szCs w:val="18"/>
              </w:rPr>
            </w:pPr>
            <w:r>
              <w:rPr>
                <w:rFonts w:ascii="宋体" w:hAnsi="宋体" w:cs="宋体" w:eastAsia="宋体" w:hint="default"/>
                <w:sz w:val="18"/>
                <w:szCs w:val="18"/>
              </w:rPr>
              <w:t>财政拨款</w:t>
            </w:r>
          </w:p>
        </w:tc>
        <w:tc>
          <w:tcPr>
            <w:tcW w:w="1108"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3"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700,000.00</w:t>
            </w:r>
          </w:p>
        </w:tc>
        <w:tc>
          <w:tcPr>
            <w:tcW w:w="985"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992.00</w:t>
            </w:r>
          </w:p>
        </w:tc>
        <w:tc>
          <w:tcPr>
            <w:tcW w:w="912"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1"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68"/>
              <w:jc w:val="right"/>
              <w:rPr>
                <w:rFonts w:ascii="Times New Roman" w:hAnsi="Times New Roman" w:cs="Times New Roman" w:eastAsia="Times New Roman" w:hint="default"/>
                <w:sz w:val="18"/>
                <w:szCs w:val="18"/>
              </w:rPr>
            </w:pPr>
            <w:r>
              <w:rPr>
                <w:rFonts w:ascii="Times New Roman"/>
                <w:spacing w:val="-1"/>
                <w:sz w:val="18"/>
              </w:rPr>
              <w:t>699,008.00</w:t>
            </w:r>
          </w:p>
        </w:tc>
        <w:tc>
          <w:tcPr>
            <w:tcW w:w="901"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7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18"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60" w:hRule="exact"/>
        </w:trPr>
        <w:tc>
          <w:tcPr>
            <w:tcW w:w="2029" w:type="dxa"/>
            <w:tcBorders>
              <w:top w:val="single" w:sz="6" w:space="0" w:color="000000"/>
              <w:left w:val="nil" w:sz="6" w:space="0" w:color="auto"/>
              <w:bottom w:val="single" w:sz="6" w:space="0" w:color="000000"/>
              <w:right w:val="nil" w:sz="6" w:space="0" w:color="auto"/>
            </w:tcBorders>
          </w:tcPr>
          <w:p>
            <w:pPr>
              <w:pStyle w:val="TableParagraph"/>
              <w:spacing w:line="316" w:lineRule="auto" w:before="22"/>
              <w:ind w:left="23" w:right="36"/>
              <w:jc w:val="left"/>
              <w:rPr>
                <w:rFonts w:ascii="宋体" w:hAnsi="宋体" w:cs="宋体" w:eastAsia="宋体" w:hint="default"/>
                <w:sz w:val="18"/>
                <w:szCs w:val="18"/>
              </w:rPr>
            </w:pPr>
            <w:r>
              <w:rPr>
                <w:rFonts w:ascii="宋体" w:hAnsi="宋体" w:cs="宋体" w:eastAsia="宋体" w:hint="default"/>
                <w:spacing w:val="16"/>
                <w:sz w:val="18"/>
                <w:szCs w:val="18"/>
              </w:rPr>
              <w:t>移动终端软件生态体系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安全技术研究</w:t>
            </w:r>
          </w:p>
        </w:tc>
        <w:tc>
          <w:tcPr>
            <w:tcW w:w="863"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102"/>
              <w:jc w:val="right"/>
              <w:rPr>
                <w:rFonts w:ascii="宋体" w:hAnsi="宋体" w:cs="宋体" w:eastAsia="宋体" w:hint="default"/>
                <w:sz w:val="18"/>
                <w:szCs w:val="18"/>
              </w:rPr>
            </w:pPr>
            <w:r>
              <w:rPr>
                <w:rFonts w:ascii="宋体" w:hAnsi="宋体" w:cs="宋体" w:eastAsia="宋体" w:hint="default"/>
                <w:sz w:val="18"/>
                <w:szCs w:val="18"/>
              </w:rPr>
              <w:t>财政拨款</w:t>
            </w:r>
          </w:p>
        </w:tc>
        <w:tc>
          <w:tcPr>
            <w:tcW w:w="1108"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3"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925,000.00</w:t>
            </w:r>
          </w:p>
        </w:tc>
        <w:tc>
          <w:tcPr>
            <w:tcW w:w="985"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13"/>
              <w:jc w:val="right"/>
              <w:rPr>
                <w:rFonts w:ascii="Times New Roman" w:hAnsi="Times New Roman" w:cs="Times New Roman" w:eastAsia="Times New Roman" w:hint="default"/>
                <w:sz w:val="18"/>
                <w:szCs w:val="18"/>
              </w:rPr>
            </w:pPr>
            <w:r>
              <w:rPr>
                <w:rFonts w:ascii="Times New Roman"/>
                <w:spacing w:val="-1"/>
                <w:sz w:val="18"/>
              </w:rPr>
              <w:t>553.00</w:t>
            </w:r>
          </w:p>
        </w:tc>
        <w:tc>
          <w:tcPr>
            <w:tcW w:w="912"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1"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68"/>
              <w:jc w:val="right"/>
              <w:rPr>
                <w:rFonts w:ascii="Times New Roman" w:hAnsi="Times New Roman" w:cs="Times New Roman" w:eastAsia="Times New Roman" w:hint="default"/>
                <w:sz w:val="18"/>
                <w:szCs w:val="18"/>
              </w:rPr>
            </w:pPr>
            <w:r>
              <w:rPr>
                <w:rFonts w:ascii="Times New Roman"/>
                <w:spacing w:val="-1"/>
                <w:sz w:val="18"/>
              </w:rPr>
              <w:t>924,447.00</w:t>
            </w:r>
          </w:p>
        </w:tc>
        <w:tc>
          <w:tcPr>
            <w:tcW w:w="901"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7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18"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5"/>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9" w:hRule="exact"/>
        </w:trPr>
        <w:tc>
          <w:tcPr>
            <w:tcW w:w="2029"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9"/>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863" w:type="dxa"/>
            <w:tcBorders>
              <w:top w:val="single" w:sz="6" w:space="0" w:color="000000"/>
              <w:left w:val="nil" w:sz="6" w:space="0" w:color="auto"/>
              <w:bottom w:val="single" w:sz="6" w:space="0" w:color="000000"/>
              <w:right w:val="nil" w:sz="6" w:space="0" w:color="auto"/>
            </w:tcBorders>
          </w:tcPr>
          <w:p>
            <w:pPr>
              <w:pStyle w:val="TableParagraph"/>
              <w:spacing w:line="240" w:lineRule="auto" w:before="67"/>
              <w:ind w:right="47"/>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108" w:type="dxa"/>
            <w:tcBorders>
              <w:top w:val="single" w:sz="6" w:space="0" w:color="000000"/>
              <w:left w:val="nil" w:sz="6" w:space="0" w:color="auto"/>
              <w:bottom w:val="single" w:sz="6" w:space="0" w:color="000000"/>
              <w:right w:val="nil" w:sz="6" w:space="0" w:color="auto"/>
            </w:tcBorders>
          </w:tcPr>
          <w:p>
            <w:pPr>
              <w:pStyle w:val="TableParagraph"/>
              <w:spacing w:line="240" w:lineRule="auto" w:before="67"/>
              <w:ind w:right="22"/>
              <w:jc w:val="right"/>
              <w:rPr>
                <w:rFonts w:ascii="Times New Roman" w:hAnsi="Times New Roman" w:cs="Times New Roman" w:eastAsia="Times New Roman" w:hint="default"/>
                <w:sz w:val="18"/>
                <w:szCs w:val="18"/>
              </w:rPr>
            </w:pPr>
            <w:r>
              <w:rPr>
                <w:rFonts w:ascii="Times New Roman"/>
                <w:b/>
                <w:spacing w:val="-1"/>
                <w:sz w:val="18"/>
              </w:rPr>
              <w:t>12,608,868.50</w:t>
            </w:r>
            <w:r>
              <w:rPr>
                <w:rFonts w:ascii="Times New Roman"/>
                <w:spacing w:val="-1"/>
                <w:sz w:val="18"/>
              </w:rPr>
            </w:r>
          </w:p>
        </w:tc>
        <w:tc>
          <w:tcPr>
            <w:tcW w:w="993" w:type="dxa"/>
            <w:tcBorders>
              <w:top w:val="single" w:sz="6" w:space="0" w:color="000000"/>
              <w:left w:val="nil" w:sz="6" w:space="0" w:color="auto"/>
              <w:bottom w:val="single" w:sz="6" w:space="0" w:color="000000"/>
              <w:right w:val="nil" w:sz="6" w:space="0" w:color="auto"/>
            </w:tcBorders>
          </w:tcPr>
          <w:p>
            <w:pPr>
              <w:pStyle w:val="TableParagraph"/>
              <w:spacing w:line="240" w:lineRule="auto" w:before="67"/>
              <w:ind w:right="20"/>
              <w:jc w:val="right"/>
              <w:rPr>
                <w:rFonts w:ascii="Times New Roman" w:hAnsi="Times New Roman" w:cs="Times New Roman" w:eastAsia="Times New Roman" w:hint="default"/>
                <w:sz w:val="18"/>
                <w:szCs w:val="18"/>
              </w:rPr>
            </w:pPr>
            <w:r>
              <w:rPr>
                <w:rFonts w:ascii="Times New Roman"/>
                <w:b/>
                <w:spacing w:val="-1"/>
                <w:sz w:val="18"/>
              </w:rPr>
              <w:t>6,183,912.00</w:t>
            </w:r>
            <w:r>
              <w:rPr>
                <w:rFonts w:ascii="Times New Roman"/>
                <w:spacing w:val="-1"/>
                <w:sz w:val="18"/>
              </w:rPr>
            </w:r>
          </w:p>
        </w:tc>
        <w:tc>
          <w:tcPr>
            <w:tcW w:w="985" w:type="dxa"/>
            <w:tcBorders>
              <w:top w:val="single" w:sz="6" w:space="0" w:color="000000"/>
              <w:left w:val="nil" w:sz="6" w:space="0" w:color="auto"/>
              <w:bottom w:val="single" w:sz="6" w:space="0" w:color="000000"/>
              <w:right w:val="nil" w:sz="6" w:space="0" w:color="auto"/>
            </w:tcBorders>
          </w:tcPr>
          <w:p>
            <w:pPr>
              <w:pStyle w:val="TableParagraph"/>
              <w:spacing w:line="240" w:lineRule="auto" w:before="67"/>
              <w:ind w:right="14"/>
              <w:jc w:val="right"/>
              <w:rPr>
                <w:rFonts w:ascii="Times New Roman" w:hAnsi="Times New Roman" w:cs="Times New Roman" w:eastAsia="Times New Roman" w:hint="default"/>
                <w:sz w:val="18"/>
                <w:szCs w:val="18"/>
              </w:rPr>
            </w:pPr>
            <w:r>
              <w:rPr>
                <w:rFonts w:ascii="Times New Roman"/>
                <w:b/>
                <w:spacing w:val="-1"/>
                <w:sz w:val="18"/>
              </w:rPr>
              <w:t>4,536,798.77</w:t>
            </w:r>
            <w:r>
              <w:rPr>
                <w:rFonts w:ascii="Times New Roman"/>
                <w:spacing w:val="-1"/>
                <w:sz w:val="18"/>
              </w:rPr>
            </w:r>
          </w:p>
        </w:tc>
        <w:tc>
          <w:tcPr>
            <w:tcW w:w="912" w:type="dxa"/>
            <w:tcBorders>
              <w:top w:val="single" w:sz="6" w:space="0" w:color="000000"/>
              <w:left w:val="nil" w:sz="6" w:space="0" w:color="auto"/>
              <w:bottom w:val="single" w:sz="6" w:space="0" w:color="000000"/>
              <w:right w:val="nil" w:sz="6" w:space="0" w:color="auto"/>
            </w:tcBorders>
          </w:tcPr>
          <w:p>
            <w:pPr>
              <w:pStyle w:val="TableParagraph"/>
              <w:spacing w:line="240" w:lineRule="auto" w:before="67"/>
              <w:ind w:right="23"/>
              <w:jc w:val="right"/>
              <w:rPr>
                <w:rFonts w:ascii="Times New Roman" w:hAnsi="Times New Roman" w:cs="Times New Roman" w:eastAsia="Times New Roman" w:hint="default"/>
                <w:sz w:val="18"/>
                <w:szCs w:val="18"/>
              </w:rPr>
            </w:pPr>
            <w:r>
              <w:rPr>
                <w:rFonts w:ascii="Times New Roman"/>
                <w:b/>
                <w:spacing w:val="-1"/>
                <w:sz w:val="18"/>
              </w:rPr>
              <w:t>-643,649.64</w:t>
            </w:r>
            <w:r>
              <w:rPr>
                <w:rFonts w:ascii="Times New Roman"/>
                <w:spacing w:val="-1"/>
                <w:sz w:val="18"/>
              </w:rPr>
            </w:r>
          </w:p>
        </w:tc>
        <w:tc>
          <w:tcPr>
            <w:tcW w:w="1131" w:type="dxa"/>
            <w:tcBorders>
              <w:top w:val="single" w:sz="6" w:space="0" w:color="000000"/>
              <w:left w:val="nil" w:sz="6" w:space="0" w:color="auto"/>
              <w:bottom w:val="single" w:sz="6" w:space="0" w:color="000000"/>
              <w:right w:val="nil" w:sz="6" w:space="0" w:color="auto"/>
            </w:tcBorders>
          </w:tcPr>
          <w:p>
            <w:pPr>
              <w:pStyle w:val="TableParagraph"/>
              <w:spacing w:line="240" w:lineRule="auto" w:before="67"/>
              <w:ind w:right="69"/>
              <w:jc w:val="right"/>
              <w:rPr>
                <w:rFonts w:ascii="Times New Roman" w:hAnsi="Times New Roman" w:cs="Times New Roman" w:eastAsia="Times New Roman" w:hint="default"/>
                <w:sz w:val="18"/>
                <w:szCs w:val="18"/>
              </w:rPr>
            </w:pPr>
            <w:r>
              <w:rPr>
                <w:rFonts w:ascii="Times New Roman"/>
                <w:b/>
                <w:spacing w:val="-1"/>
                <w:sz w:val="18"/>
              </w:rPr>
              <w:t>13,612,332.09</w:t>
            </w:r>
            <w:r>
              <w:rPr>
                <w:rFonts w:ascii="Times New Roman"/>
                <w:spacing w:val="-1"/>
                <w:sz w:val="18"/>
              </w:rPr>
            </w:r>
          </w:p>
        </w:tc>
        <w:tc>
          <w:tcPr>
            <w:tcW w:w="901" w:type="dxa"/>
            <w:tcBorders>
              <w:top w:val="single" w:sz="6" w:space="0" w:color="000000"/>
              <w:left w:val="nil" w:sz="6" w:space="0" w:color="auto"/>
              <w:bottom w:val="single" w:sz="6" w:space="0" w:color="000000"/>
              <w:right w:val="nil" w:sz="6" w:space="0" w:color="auto"/>
            </w:tcBorders>
          </w:tcPr>
          <w:p>
            <w:pPr/>
          </w:p>
        </w:tc>
        <w:tc>
          <w:tcPr>
            <w:tcW w:w="1018" w:type="dxa"/>
            <w:tcBorders>
              <w:top w:val="single" w:sz="6" w:space="0" w:color="000000"/>
              <w:left w:val="nil" w:sz="6" w:space="0" w:color="auto"/>
              <w:bottom w:val="single" w:sz="6" w:space="0" w:color="000000"/>
              <w:right w:val="nil" w:sz="6" w:space="0" w:color="auto"/>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line="240" w:lineRule="auto" w:before="8"/>
        <w:rPr>
          <w:rFonts w:ascii="宋体" w:hAnsi="宋体" w:cs="宋体" w:eastAsia="宋体" w:hint="default"/>
          <w:sz w:val="5"/>
          <w:szCs w:val="5"/>
        </w:rPr>
      </w:pPr>
    </w:p>
    <w:p>
      <w:pPr>
        <w:pStyle w:val="BodyText"/>
        <w:spacing w:line="240" w:lineRule="auto" w:before="36"/>
        <w:ind w:left="272" w:right="0"/>
        <w:jc w:val="left"/>
      </w:pPr>
      <w:r>
        <w:rPr/>
        <w:t>（</w:t>
      </w:r>
      <w:r>
        <w:rPr>
          <w:rFonts w:ascii="Times New Roman" w:hAnsi="Times New Roman" w:cs="Times New Roman" w:eastAsia="Times New Roman" w:hint="default"/>
        </w:rPr>
        <w:t>2</w:t>
      </w:r>
      <w:r>
        <w:rPr/>
        <w:t>）采用总额法计入当期损益的政府补助情况</w:t>
      </w:r>
    </w:p>
    <w:p>
      <w:pPr>
        <w:spacing w:line="240" w:lineRule="auto" w:before="4"/>
        <w:rPr>
          <w:rFonts w:ascii="宋体" w:hAnsi="宋体" w:cs="宋体" w:eastAsia="宋体" w:hint="default"/>
          <w:sz w:val="16"/>
          <w:szCs w:val="16"/>
        </w:rPr>
      </w:pPr>
    </w:p>
    <w:p>
      <w:pPr>
        <w:spacing w:before="44"/>
        <w:ind w:left="0" w:right="2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258" w:type="dxa"/>
        <w:tblLayout w:type="fixed"/>
        <w:tblCellMar>
          <w:top w:w="0" w:type="dxa"/>
          <w:left w:w="0" w:type="dxa"/>
          <w:bottom w:w="0" w:type="dxa"/>
          <w:right w:w="0" w:type="dxa"/>
        </w:tblCellMar>
        <w:tblLook w:val="01E0"/>
      </w:tblPr>
      <w:tblGrid>
        <w:gridCol w:w="2638"/>
        <w:gridCol w:w="1137"/>
        <w:gridCol w:w="1671"/>
        <w:gridCol w:w="1415"/>
        <w:gridCol w:w="1350"/>
        <w:gridCol w:w="1444"/>
      </w:tblGrid>
      <w:tr>
        <w:trPr>
          <w:trHeight w:val="662" w:hRule="exact"/>
        </w:trPr>
        <w:tc>
          <w:tcPr>
            <w:tcW w:w="2638" w:type="dxa"/>
            <w:tcBorders>
              <w:top w:val="single" w:sz="6" w:space="0" w:color="000000"/>
              <w:left w:val="nil" w:sz="6" w:space="0" w:color="auto"/>
              <w:bottom w:val="single" w:sz="8" w:space="0" w:color="000000"/>
              <w:right w:val="nil" w:sz="6" w:space="0" w:color="auto"/>
            </w:tcBorders>
          </w:tcPr>
          <w:p>
            <w:pPr>
              <w:pStyle w:val="TableParagraph"/>
              <w:spacing w:line="240" w:lineRule="auto" w:before="22"/>
              <w:ind w:left="67" w:right="0"/>
              <w:jc w:val="center"/>
              <w:rPr>
                <w:rFonts w:ascii="宋体" w:hAnsi="宋体" w:cs="宋体" w:eastAsia="宋体" w:hint="default"/>
                <w:sz w:val="18"/>
                <w:szCs w:val="18"/>
              </w:rPr>
            </w:pPr>
            <w:r>
              <w:rPr>
                <w:rFonts w:ascii="宋体" w:hAnsi="宋体" w:cs="宋体" w:eastAsia="宋体" w:hint="default"/>
                <w:b/>
                <w:bCs/>
                <w:sz w:val="18"/>
                <w:szCs w:val="18"/>
              </w:rPr>
              <w:t>补助项目</w:t>
            </w:r>
            <w:r>
              <w:rPr>
                <w:rFonts w:ascii="宋体" w:hAnsi="宋体" w:cs="宋体" w:eastAsia="宋体" w:hint="default"/>
                <w:sz w:val="18"/>
                <w:szCs w:val="18"/>
              </w:rPr>
            </w:r>
          </w:p>
        </w:tc>
        <w:tc>
          <w:tcPr>
            <w:tcW w:w="1137" w:type="dxa"/>
            <w:tcBorders>
              <w:top w:val="single" w:sz="6" w:space="0" w:color="000000"/>
              <w:left w:val="nil" w:sz="6" w:space="0" w:color="auto"/>
              <w:bottom w:val="single" w:sz="8" w:space="0" w:color="000000"/>
              <w:right w:val="nil" w:sz="6" w:space="0" w:color="auto"/>
            </w:tcBorders>
          </w:tcPr>
          <w:p>
            <w:pPr>
              <w:pStyle w:val="TableParagraph"/>
              <w:spacing w:line="240" w:lineRule="auto" w:before="22"/>
              <w:ind w:right="296"/>
              <w:jc w:val="righ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1671" w:type="dxa"/>
            <w:tcBorders>
              <w:top w:val="single" w:sz="6" w:space="0" w:color="000000"/>
              <w:left w:val="nil" w:sz="6" w:space="0" w:color="auto"/>
              <w:bottom w:val="single" w:sz="8" w:space="0" w:color="000000"/>
              <w:right w:val="nil" w:sz="6" w:space="0" w:color="auto"/>
            </w:tcBorders>
          </w:tcPr>
          <w:p>
            <w:pPr>
              <w:pStyle w:val="TableParagraph"/>
              <w:spacing w:line="316" w:lineRule="auto" w:before="22"/>
              <w:ind w:left="749" w:right="105" w:hanging="452"/>
              <w:jc w:val="left"/>
              <w:rPr>
                <w:rFonts w:ascii="宋体" w:hAnsi="宋体" w:cs="宋体" w:eastAsia="宋体" w:hint="default"/>
                <w:sz w:val="18"/>
                <w:szCs w:val="18"/>
              </w:rPr>
            </w:pPr>
            <w:r>
              <w:rPr>
                <w:rFonts w:ascii="宋体" w:hAnsi="宋体" w:cs="宋体" w:eastAsia="宋体" w:hint="default"/>
                <w:b/>
                <w:bCs/>
                <w:sz w:val="18"/>
                <w:szCs w:val="18"/>
              </w:rPr>
              <w:t>上期计入损益的</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415" w:type="dxa"/>
            <w:tcBorders>
              <w:top w:val="single" w:sz="6" w:space="0" w:color="000000"/>
              <w:left w:val="nil" w:sz="6" w:space="0" w:color="auto"/>
              <w:bottom w:val="single" w:sz="8" w:space="0" w:color="000000"/>
              <w:right w:val="nil" w:sz="6" w:space="0" w:color="auto"/>
            </w:tcBorders>
          </w:tcPr>
          <w:p>
            <w:pPr>
              <w:pStyle w:val="TableParagraph"/>
              <w:spacing w:line="316" w:lineRule="auto" w:before="22"/>
              <w:ind w:left="493" w:right="106" w:hanging="452"/>
              <w:jc w:val="left"/>
              <w:rPr>
                <w:rFonts w:ascii="宋体" w:hAnsi="宋体" w:cs="宋体" w:eastAsia="宋体" w:hint="default"/>
                <w:sz w:val="18"/>
                <w:szCs w:val="18"/>
              </w:rPr>
            </w:pPr>
            <w:r>
              <w:rPr>
                <w:rFonts w:ascii="宋体" w:hAnsi="宋体" w:cs="宋体" w:eastAsia="宋体" w:hint="default"/>
                <w:b/>
                <w:bCs/>
                <w:sz w:val="18"/>
                <w:szCs w:val="18"/>
              </w:rPr>
              <w:t>本期计入损益的</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350" w:type="dxa"/>
            <w:tcBorders>
              <w:top w:val="single" w:sz="6" w:space="0" w:color="000000"/>
              <w:left w:val="nil" w:sz="6" w:space="0" w:color="auto"/>
              <w:bottom w:val="single" w:sz="8" w:space="0" w:color="000000"/>
              <w:right w:val="nil" w:sz="6" w:space="0" w:color="auto"/>
            </w:tcBorders>
          </w:tcPr>
          <w:p>
            <w:pPr>
              <w:pStyle w:val="TableParagraph"/>
              <w:spacing w:line="316" w:lineRule="auto" w:before="22"/>
              <w:ind w:left="494" w:right="40" w:hanging="452"/>
              <w:jc w:val="left"/>
              <w:rPr>
                <w:rFonts w:ascii="宋体" w:hAnsi="宋体" w:cs="宋体" w:eastAsia="宋体" w:hint="default"/>
                <w:sz w:val="18"/>
                <w:szCs w:val="18"/>
              </w:rPr>
            </w:pPr>
            <w:r>
              <w:rPr>
                <w:rFonts w:ascii="宋体" w:hAnsi="宋体" w:cs="宋体" w:eastAsia="宋体" w:hint="default"/>
                <w:b/>
                <w:bCs/>
                <w:sz w:val="18"/>
                <w:szCs w:val="18"/>
              </w:rPr>
              <w:t>计入损益的列报</w:t>
            </w:r>
            <w:r>
              <w:rPr>
                <w:rFonts w:ascii="宋体" w:hAnsi="宋体" w:cs="宋体" w:eastAsia="宋体" w:hint="default"/>
                <w:b/>
                <w:bCs/>
                <w:w w:val="99"/>
                <w:sz w:val="18"/>
                <w:szCs w:val="18"/>
              </w:rPr>
              <w:t> </w:t>
            </w:r>
            <w:r>
              <w:rPr>
                <w:rFonts w:ascii="宋体" w:hAnsi="宋体" w:cs="宋体" w:eastAsia="宋体" w:hint="default"/>
                <w:b/>
                <w:bCs/>
                <w:sz w:val="18"/>
                <w:szCs w:val="18"/>
              </w:rPr>
              <w:t>项目</w:t>
            </w:r>
            <w:r>
              <w:rPr>
                <w:rFonts w:ascii="宋体" w:hAnsi="宋体" w:cs="宋体" w:eastAsia="宋体" w:hint="default"/>
                <w:sz w:val="18"/>
                <w:szCs w:val="18"/>
              </w:rPr>
            </w:r>
          </w:p>
        </w:tc>
        <w:tc>
          <w:tcPr>
            <w:tcW w:w="1444" w:type="dxa"/>
            <w:tcBorders>
              <w:top w:val="single" w:sz="6" w:space="0" w:color="000000"/>
              <w:left w:val="nil" w:sz="6" w:space="0" w:color="auto"/>
              <w:bottom w:val="single" w:sz="8" w:space="0" w:color="000000"/>
              <w:right w:val="nil" w:sz="6" w:space="0" w:color="auto"/>
            </w:tcBorders>
          </w:tcPr>
          <w:p>
            <w:pPr>
              <w:pStyle w:val="TableParagraph"/>
              <w:spacing w:line="300" w:lineRule="auto" w:before="22"/>
              <w:ind w:left="467" w:right="47" w:hanging="387"/>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与收</w:t>
            </w:r>
            <w:r>
              <w:rPr>
                <w:rFonts w:ascii="宋体" w:hAnsi="宋体" w:cs="宋体" w:eastAsia="宋体" w:hint="default"/>
                <w:b/>
                <w:bCs/>
                <w:w w:val="99"/>
                <w:sz w:val="18"/>
                <w:szCs w:val="18"/>
              </w:rPr>
              <w:t> </w:t>
            </w:r>
            <w:r>
              <w:rPr>
                <w:rFonts w:ascii="宋体" w:hAnsi="宋体" w:cs="宋体" w:eastAsia="宋体" w:hint="default"/>
                <w:b/>
                <w:bCs/>
                <w:sz w:val="18"/>
                <w:szCs w:val="18"/>
              </w:rPr>
              <w:t>益相关</w:t>
            </w:r>
            <w:r>
              <w:rPr>
                <w:rFonts w:ascii="宋体" w:hAnsi="宋体" w:cs="宋体" w:eastAsia="宋体" w:hint="default"/>
                <w:sz w:val="18"/>
                <w:szCs w:val="18"/>
              </w:rPr>
            </w:r>
          </w:p>
        </w:tc>
      </w:tr>
      <w:tr>
        <w:trPr>
          <w:trHeight w:val="660" w:hRule="exact"/>
        </w:trPr>
        <w:tc>
          <w:tcPr>
            <w:tcW w:w="2638"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z w:val="18"/>
                <w:szCs w:val="18"/>
              </w:rPr>
              <w:t>增值税退税收入</w:t>
            </w:r>
          </w:p>
        </w:tc>
        <w:tc>
          <w:tcPr>
            <w:tcW w:w="1137"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right="353"/>
              <w:jc w:val="right"/>
              <w:rPr>
                <w:rFonts w:ascii="宋体" w:hAnsi="宋体" w:cs="宋体" w:eastAsia="宋体" w:hint="default"/>
                <w:sz w:val="18"/>
                <w:szCs w:val="18"/>
              </w:rPr>
            </w:pPr>
            <w:r>
              <w:rPr>
                <w:rFonts w:ascii="宋体" w:hAnsi="宋体" w:cs="宋体" w:eastAsia="宋体" w:hint="default"/>
                <w:sz w:val="18"/>
                <w:szCs w:val="18"/>
              </w:rPr>
              <w:t>财政拨款</w:t>
            </w:r>
          </w:p>
        </w:tc>
        <w:tc>
          <w:tcPr>
            <w:tcW w:w="1671"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42"/>
              <w:jc w:val="right"/>
              <w:rPr>
                <w:rFonts w:ascii="Times New Roman" w:hAnsi="Times New Roman" w:cs="Times New Roman" w:eastAsia="Times New Roman" w:hint="default"/>
                <w:sz w:val="18"/>
                <w:szCs w:val="18"/>
              </w:rPr>
            </w:pPr>
            <w:r>
              <w:rPr>
                <w:rFonts w:ascii="Times New Roman"/>
                <w:spacing w:val="-1"/>
                <w:sz w:val="18"/>
              </w:rPr>
              <w:t>6,593,064.32</w:t>
            </w:r>
          </w:p>
        </w:tc>
        <w:tc>
          <w:tcPr>
            <w:tcW w:w="141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43"/>
              <w:jc w:val="right"/>
              <w:rPr>
                <w:rFonts w:ascii="Times New Roman" w:hAnsi="Times New Roman" w:cs="Times New Roman" w:eastAsia="Times New Roman" w:hint="default"/>
                <w:sz w:val="18"/>
                <w:szCs w:val="18"/>
              </w:rPr>
            </w:pPr>
            <w:r>
              <w:rPr>
                <w:rFonts w:ascii="Times New Roman"/>
                <w:spacing w:val="-1"/>
                <w:sz w:val="18"/>
              </w:rPr>
              <w:t>8,277,640.54</w:t>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104"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444" w:type="dxa"/>
            <w:tcBorders>
              <w:top w:val="single" w:sz="8" w:space="0" w:color="000000"/>
              <w:left w:val="nil" w:sz="6" w:space="0" w:color="auto"/>
              <w:bottom w:val="single" w:sz="8" w:space="0" w:color="000000"/>
              <w:right w:val="nil" w:sz="6" w:space="0" w:color="auto"/>
            </w:tcBorders>
          </w:tcPr>
          <w:p>
            <w:pPr>
              <w:pStyle w:val="TableParagraph"/>
              <w:spacing w:line="316" w:lineRule="auto" w:before="15"/>
              <w:ind w:left="42" w:right="35" w:firstLine="105"/>
              <w:jc w:val="left"/>
              <w:rPr>
                <w:rFonts w:ascii="宋体" w:hAnsi="宋体" w:cs="宋体" w:eastAsia="宋体" w:hint="default"/>
                <w:sz w:val="18"/>
                <w:szCs w:val="18"/>
              </w:rPr>
            </w:pPr>
            <w:r>
              <w:rPr>
                <w:rFonts w:ascii="宋体" w:hAnsi="宋体" w:cs="宋体" w:eastAsia="宋体" w:hint="default"/>
                <w:sz w:val="18"/>
                <w:szCs w:val="18"/>
              </w:rPr>
              <w:t>与收益相关的政 府补助</w:t>
            </w:r>
          </w:p>
        </w:tc>
      </w:tr>
      <w:tr>
        <w:trPr>
          <w:trHeight w:val="658" w:hRule="exact"/>
        </w:trPr>
        <w:tc>
          <w:tcPr>
            <w:tcW w:w="2638" w:type="dxa"/>
            <w:tcBorders>
              <w:top w:val="single" w:sz="8" w:space="0" w:color="000000"/>
              <w:left w:val="nil" w:sz="6" w:space="0" w:color="auto"/>
              <w:bottom w:val="single" w:sz="8" w:space="0" w:color="000000"/>
              <w:right w:val="nil" w:sz="6" w:space="0" w:color="auto"/>
            </w:tcBorders>
          </w:tcPr>
          <w:p>
            <w:pPr>
              <w:pStyle w:val="TableParagraph"/>
              <w:spacing w:line="316" w:lineRule="auto" w:before="15"/>
              <w:ind w:left="26" w:right="60"/>
              <w:jc w:val="left"/>
              <w:rPr>
                <w:rFonts w:ascii="宋体" w:hAnsi="宋体" w:cs="宋体" w:eastAsia="宋体" w:hint="default"/>
                <w:sz w:val="18"/>
                <w:szCs w:val="18"/>
              </w:rPr>
            </w:pPr>
            <w:r>
              <w:rPr>
                <w:rFonts w:ascii="宋体" w:hAnsi="宋体" w:cs="宋体" w:eastAsia="宋体" w:hint="default"/>
                <w:sz w:val="18"/>
                <w:szCs w:val="18"/>
              </w:rPr>
              <w:t>高性能签名验签服务器产业化中</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央补助资金</w:t>
            </w:r>
          </w:p>
        </w:tc>
        <w:tc>
          <w:tcPr>
            <w:tcW w:w="1137"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right="353"/>
              <w:jc w:val="right"/>
              <w:rPr>
                <w:rFonts w:ascii="宋体" w:hAnsi="宋体" w:cs="宋体" w:eastAsia="宋体" w:hint="default"/>
                <w:sz w:val="18"/>
                <w:szCs w:val="18"/>
              </w:rPr>
            </w:pPr>
            <w:r>
              <w:rPr>
                <w:rFonts w:ascii="宋体" w:hAnsi="宋体" w:cs="宋体" w:eastAsia="宋体" w:hint="default"/>
                <w:sz w:val="18"/>
                <w:szCs w:val="18"/>
              </w:rPr>
              <w:t>财政拨款</w:t>
            </w:r>
          </w:p>
        </w:tc>
        <w:tc>
          <w:tcPr>
            <w:tcW w:w="1671"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4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43"/>
              <w:jc w:val="right"/>
              <w:rPr>
                <w:rFonts w:ascii="Times New Roman" w:hAnsi="Times New Roman" w:cs="Times New Roman" w:eastAsia="Times New Roman" w:hint="default"/>
                <w:sz w:val="18"/>
                <w:szCs w:val="18"/>
              </w:rPr>
            </w:pPr>
            <w:r>
              <w:rPr>
                <w:rFonts w:ascii="Times New Roman"/>
                <w:spacing w:val="-1"/>
                <w:sz w:val="18"/>
              </w:rPr>
              <w:t>1,466,666.67</w:t>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104"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444" w:type="dxa"/>
            <w:tcBorders>
              <w:top w:val="single" w:sz="8" w:space="0" w:color="000000"/>
              <w:left w:val="nil" w:sz="6" w:space="0" w:color="auto"/>
              <w:bottom w:val="single" w:sz="8" w:space="0" w:color="000000"/>
              <w:right w:val="nil" w:sz="6" w:space="0" w:color="auto"/>
            </w:tcBorders>
          </w:tcPr>
          <w:p>
            <w:pPr>
              <w:pStyle w:val="TableParagraph"/>
              <w:spacing w:line="316" w:lineRule="auto" w:before="15"/>
              <w:ind w:left="42" w:right="35" w:firstLine="105"/>
              <w:jc w:val="left"/>
              <w:rPr>
                <w:rFonts w:ascii="宋体" w:hAnsi="宋体" w:cs="宋体" w:eastAsia="宋体" w:hint="default"/>
                <w:sz w:val="18"/>
                <w:szCs w:val="18"/>
              </w:rPr>
            </w:pPr>
            <w:r>
              <w:rPr>
                <w:rFonts w:ascii="宋体" w:hAnsi="宋体" w:cs="宋体" w:eastAsia="宋体" w:hint="default"/>
                <w:sz w:val="18"/>
                <w:szCs w:val="18"/>
              </w:rPr>
              <w:t>与资产相关的政 府补助</w:t>
            </w:r>
          </w:p>
        </w:tc>
      </w:tr>
      <w:tr>
        <w:trPr>
          <w:trHeight w:val="660" w:hRule="exact"/>
        </w:trPr>
        <w:tc>
          <w:tcPr>
            <w:tcW w:w="2638" w:type="dxa"/>
            <w:tcBorders>
              <w:top w:val="single" w:sz="8" w:space="0" w:color="000000"/>
              <w:left w:val="nil" w:sz="6" w:space="0" w:color="auto"/>
              <w:bottom w:val="single" w:sz="8" w:space="0" w:color="000000"/>
              <w:right w:val="nil" w:sz="6" w:space="0" w:color="auto"/>
            </w:tcBorders>
          </w:tcPr>
          <w:p>
            <w:pPr>
              <w:pStyle w:val="TableParagraph"/>
              <w:spacing w:line="316" w:lineRule="auto" w:before="17"/>
              <w:ind w:left="26" w:right="60"/>
              <w:jc w:val="left"/>
              <w:rPr>
                <w:rFonts w:ascii="宋体" w:hAnsi="宋体" w:cs="宋体" w:eastAsia="宋体" w:hint="default"/>
                <w:sz w:val="18"/>
                <w:szCs w:val="18"/>
              </w:rPr>
            </w:pPr>
            <w:r>
              <w:rPr>
                <w:rFonts w:ascii="宋体" w:hAnsi="宋体" w:cs="宋体" w:eastAsia="宋体" w:hint="default"/>
                <w:sz w:val="18"/>
                <w:szCs w:val="18"/>
              </w:rPr>
              <w:t>基于国产密码算法电子认证关键</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技术研究及应用示范</w:t>
            </w:r>
          </w:p>
        </w:tc>
        <w:tc>
          <w:tcPr>
            <w:tcW w:w="1137"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353"/>
              <w:jc w:val="right"/>
              <w:rPr>
                <w:rFonts w:ascii="宋体" w:hAnsi="宋体" w:cs="宋体" w:eastAsia="宋体" w:hint="default"/>
                <w:sz w:val="18"/>
                <w:szCs w:val="18"/>
              </w:rPr>
            </w:pPr>
            <w:r>
              <w:rPr>
                <w:rFonts w:ascii="宋体" w:hAnsi="宋体" w:cs="宋体" w:eastAsia="宋体" w:hint="default"/>
                <w:sz w:val="18"/>
                <w:szCs w:val="18"/>
              </w:rPr>
              <w:t>财政拨款</w:t>
            </w:r>
          </w:p>
        </w:tc>
        <w:tc>
          <w:tcPr>
            <w:tcW w:w="1671"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42"/>
              <w:jc w:val="right"/>
              <w:rPr>
                <w:rFonts w:ascii="Times New Roman" w:hAnsi="Times New Roman" w:cs="Times New Roman" w:eastAsia="Times New Roman" w:hint="default"/>
                <w:sz w:val="18"/>
                <w:szCs w:val="18"/>
              </w:rPr>
            </w:pPr>
            <w:r>
              <w:rPr>
                <w:rFonts w:ascii="Times New Roman"/>
                <w:spacing w:val="-1"/>
                <w:sz w:val="18"/>
              </w:rPr>
              <w:t>328,000.00</w:t>
            </w:r>
          </w:p>
        </w:tc>
        <w:tc>
          <w:tcPr>
            <w:tcW w:w="1415"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43"/>
              <w:jc w:val="right"/>
              <w:rPr>
                <w:rFonts w:ascii="Times New Roman" w:hAnsi="Times New Roman" w:cs="Times New Roman" w:eastAsia="Times New Roman" w:hint="default"/>
                <w:sz w:val="18"/>
                <w:szCs w:val="18"/>
              </w:rPr>
            </w:pPr>
            <w:r>
              <w:rPr>
                <w:rFonts w:ascii="Times New Roman"/>
                <w:spacing w:val="-1"/>
                <w:sz w:val="18"/>
              </w:rPr>
              <w:t>315,650.00</w:t>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104"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444" w:type="dxa"/>
            <w:tcBorders>
              <w:top w:val="single" w:sz="8" w:space="0" w:color="000000"/>
              <w:left w:val="nil" w:sz="6" w:space="0" w:color="auto"/>
              <w:bottom w:val="single" w:sz="8" w:space="0" w:color="000000"/>
              <w:right w:val="nil" w:sz="6" w:space="0" w:color="auto"/>
            </w:tcBorders>
          </w:tcPr>
          <w:p>
            <w:pPr>
              <w:pStyle w:val="TableParagraph"/>
              <w:spacing w:line="316" w:lineRule="auto" w:before="17"/>
              <w:ind w:left="42" w:right="35" w:firstLine="105"/>
              <w:jc w:val="left"/>
              <w:rPr>
                <w:rFonts w:ascii="宋体" w:hAnsi="宋体" w:cs="宋体" w:eastAsia="宋体" w:hint="default"/>
                <w:sz w:val="18"/>
                <w:szCs w:val="18"/>
              </w:rPr>
            </w:pPr>
            <w:r>
              <w:rPr>
                <w:rFonts w:ascii="宋体" w:hAnsi="宋体" w:cs="宋体" w:eastAsia="宋体" w:hint="default"/>
                <w:sz w:val="18"/>
                <w:szCs w:val="18"/>
              </w:rPr>
              <w:t>与资产相关的政 府补助</w:t>
            </w:r>
          </w:p>
        </w:tc>
      </w:tr>
      <w:tr>
        <w:trPr>
          <w:trHeight w:val="658" w:hRule="exact"/>
        </w:trPr>
        <w:tc>
          <w:tcPr>
            <w:tcW w:w="2638"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z w:val="18"/>
                <w:szCs w:val="18"/>
              </w:rPr>
              <w:t>北京市电子认证服务试点项目</w:t>
            </w:r>
          </w:p>
        </w:tc>
        <w:tc>
          <w:tcPr>
            <w:tcW w:w="1137"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right="353"/>
              <w:jc w:val="right"/>
              <w:rPr>
                <w:rFonts w:ascii="宋体" w:hAnsi="宋体" w:cs="宋体" w:eastAsia="宋体" w:hint="default"/>
                <w:sz w:val="18"/>
                <w:szCs w:val="18"/>
              </w:rPr>
            </w:pPr>
            <w:r>
              <w:rPr>
                <w:rFonts w:ascii="宋体" w:hAnsi="宋体" w:cs="宋体" w:eastAsia="宋体" w:hint="default"/>
                <w:sz w:val="18"/>
                <w:szCs w:val="18"/>
              </w:rPr>
              <w:t>财政拨款</w:t>
            </w:r>
          </w:p>
        </w:tc>
        <w:tc>
          <w:tcPr>
            <w:tcW w:w="1671"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42"/>
              <w:jc w:val="right"/>
              <w:rPr>
                <w:rFonts w:ascii="Times New Roman" w:hAnsi="Times New Roman" w:cs="Times New Roman" w:eastAsia="Times New Roman" w:hint="default"/>
                <w:sz w:val="18"/>
                <w:szCs w:val="18"/>
              </w:rPr>
            </w:pPr>
            <w:r>
              <w:rPr>
                <w:rFonts w:ascii="Times New Roman"/>
                <w:spacing w:val="-1"/>
                <w:sz w:val="18"/>
              </w:rPr>
              <w:t>1,600,000.00</w:t>
            </w:r>
          </w:p>
        </w:tc>
        <w:tc>
          <w:tcPr>
            <w:tcW w:w="141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43"/>
              <w:jc w:val="right"/>
              <w:rPr>
                <w:rFonts w:ascii="Times New Roman" w:hAnsi="Times New Roman" w:cs="Times New Roman" w:eastAsia="Times New Roman" w:hint="default"/>
                <w:sz w:val="18"/>
                <w:szCs w:val="18"/>
              </w:rPr>
            </w:pPr>
            <w:r>
              <w:rPr>
                <w:rFonts w:ascii="Times New Roman"/>
                <w:spacing w:val="-1"/>
                <w:sz w:val="18"/>
              </w:rPr>
              <w:t>1,600,000.00</w:t>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104"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444" w:type="dxa"/>
            <w:tcBorders>
              <w:top w:val="single" w:sz="8" w:space="0" w:color="000000"/>
              <w:left w:val="nil" w:sz="6" w:space="0" w:color="auto"/>
              <w:bottom w:val="single" w:sz="8" w:space="0" w:color="000000"/>
              <w:right w:val="nil" w:sz="6" w:space="0" w:color="auto"/>
            </w:tcBorders>
          </w:tcPr>
          <w:p>
            <w:pPr>
              <w:pStyle w:val="TableParagraph"/>
              <w:spacing w:line="316" w:lineRule="auto" w:before="15"/>
              <w:ind w:left="42" w:right="35" w:firstLine="105"/>
              <w:jc w:val="left"/>
              <w:rPr>
                <w:rFonts w:ascii="宋体" w:hAnsi="宋体" w:cs="宋体" w:eastAsia="宋体" w:hint="default"/>
                <w:sz w:val="18"/>
                <w:szCs w:val="18"/>
              </w:rPr>
            </w:pPr>
            <w:r>
              <w:rPr>
                <w:rFonts w:ascii="宋体" w:hAnsi="宋体" w:cs="宋体" w:eastAsia="宋体" w:hint="default"/>
                <w:sz w:val="18"/>
                <w:szCs w:val="18"/>
              </w:rPr>
              <w:t>与资产相关的政 府补助</w:t>
            </w:r>
          </w:p>
        </w:tc>
      </w:tr>
      <w:tr>
        <w:trPr>
          <w:trHeight w:val="660" w:hRule="exact"/>
        </w:trPr>
        <w:tc>
          <w:tcPr>
            <w:tcW w:w="2638" w:type="dxa"/>
            <w:tcBorders>
              <w:top w:val="single" w:sz="8" w:space="0" w:color="000000"/>
              <w:left w:val="nil" w:sz="6" w:space="0" w:color="auto"/>
              <w:bottom w:val="single" w:sz="8" w:space="0" w:color="000000"/>
              <w:right w:val="nil" w:sz="6" w:space="0" w:color="auto"/>
            </w:tcBorders>
          </w:tcPr>
          <w:p>
            <w:pPr>
              <w:pStyle w:val="TableParagraph"/>
              <w:spacing w:line="316" w:lineRule="auto" w:before="17"/>
              <w:ind w:left="26" w:right="60"/>
              <w:jc w:val="left"/>
              <w:rPr>
                <w:rFonts w:ascii="宋体" w:hAnsi="宋体" w:cs="宋体" w:eastAsia="宋体" w:hint="default"/>
                <w:sz w:val="18"/>
                <w:szCs w:val="18"/>
              </w:rPr>
            </w:pPr>
            <w:r>
              <w:rPr>
                <w:rFonts w:ascii="宋体" w:hAnsi="宋体" w:cs="宋体" w:eastAsia="宋体" w:hint="default"/>
                <w:sz w:val="18"/>
                <w:szCs w:val="18"/>
              </w:rPr>
              <w:t>收北京市经济和信息化委员会曙</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光服务器政府补助</w:t>
            </w:r>
          </w:p>
        </w:tc>
        <w:tc>
          <w:tcPr>
            <w:tcW w:w="1137"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353"/>
              <w:jc w:val="right"/>
              <w:rPr>
                <w:rFonts w:ascii="宋体" w:hAnsi="宋体" w:cs="宋体" w:eastAsia="宋体" w:hint="default"/>
                <w:sz w:val="18"/>
                <w:szCs w:val="18"/>
              </w:rPr>
            </w:pPr>
            <w:r>
              <w:rPr>
                <w:rFonts w:ascii="宋体" w:hAnsi="宋体" w:cs="宋体" w:eastAsia="宋体" w:hint="default"/>
                <w:sz w:val="18"/>
                <w:szCs w:val="18"/>
              </w:rPr>
              <w:t>财政拨款</w:t>
            </w:r>
          </w:p>
        </w:tc>
        <w:tc>
          <w:tcPr>
            <w:tcW w:w="1671"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42"/>
              <w:jc w:val="right"/>
              <w:rPr>
                <w:rFonts w:ascii="Times New Roman" w:hAnsi="Times New Roman" w:cs="Times New Roman" w:eastAsia="Times New Roman" w:hint="default"/>
                <w:sz w:val="18"/>
                <w:szCs w:val="18"/>
              </w:rPr>
            </w:pPr>
            <w:r>
              <w:rPr>
                <w:rFonts w:ascii="Times New Roman"/>
                <w:spacing w:val="-1"/>
                <w:sz w:val="18"/>
              </w:rPr>
              <w:t>33,400.00</w:t>
            </w:r>
          </w:p>
        </w:tc>
        <w:tc>
          <w:tcPr>
            <w:tcW w:w="1415"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43"/>
              <w:jc w:val="right"/>
              <w:rPr>
                <w:rFonts w:ascii="Times New Roman" w:hAnsi="Times New Roman" w:cs="Times New Roman" w:eastAsia="Times New Roman" w:hint="default"/>
                <w:sz w:val="18"/>
                <w:szCs w:val="18"/>
              </w:rPr>
            </w:pPr>
            <w:r>
              <w:rPr>
                <w:rFonts w:ascii="Times New Roman"/>
                <w:spacing w:val="-1"/>
                <w:sz w:val="18"/>
              </w:rPr>
              <w:t>33,400.00</w:t>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104"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444" w:type="dxa"/>
            <w:tcBorders>
              <w:top w:val="single" w:sz="8" w:space="0" w:color="000000"/>
              <w:left w:val="nil" w:sz="6" w:space="0" w:color="auto"/>
              <w:bottom w:val="single" w:sz="8" w:space="0" w:color="000000"/>
              <w:right w:val="nil" w:sz="6" w:space="0" w:color="auto"/>
            </w:tcBorders>
          </w:tcPr>
          <w:p>
            <w:pPr>
              <w:pStyle w:val="TableParagraph"/>
              <w:spacing w:line="316" w:lineRule="auto" w:before="17"/>
              <w:ind w:left="42" w:right="35" w:firstLine="105"/>
              <w:jc w:val="left"/>
              <w:rPr>
                <w:rFonts w:ascii="宋体" w:hAnsi="宋体" w:cs="宋体" w:eastAsia="宋体" w:hint="default"/>
                <w:sz w:val="18"/>
                <w:szCs w:val="18"/>
              </w:rPr>
            </w:pPr>
            <w:r>
              <w:rPr>
                <w:rFonts w:ascii="宋体" w:hAnsi="宋体" w:cs="宋体" w:eastAsia="宋体" w:hint="default"/>
                <w:sz w:val="18"/>
                <w:szCs w:val="18"/>
              </w:rPr>
              <w:t>与资产相关的政 府补助</w:t>
            </w:r>
          </w:p>
        </w:tc>
      </w:tr>
      <w:tr>
        <w:trPr>
          <w:trHeight w:val="658" w:hRule="exact"/>
        </w:trPr>
        <w:tc>
          <w:tcPr>
            <w:tcW w:w="2638" w:type="dxa"/>
            <w:tcBorders>
              <w:top w:val="single" w:sz="8" w:space="0" w:color="000000"/>
              <w:left w:val="nil" w:sz="6" w:space="0" w:color="auto"/>
              <w:bottom w:val="single" w:sz="8" w:space="0" w:color="000000"/>
              <w:right w:val="nil" w:sz="6" w:space="0" w:color="auto"/>
            </w:tcBorders>
          </w:tcPr>
          <w:p>
            <w:pPr>
              <w:pStyle w:val="TableParagraph"/>
              <w:spacing w:line="316" w:lineRule="auto" w:before="15"/>
              <w:ind w:left="26" w:right="60"/>
              <w:jc w:val="left"/>
              <w:rPr>
                <w:rFonts w:ascii="宋体" w:hAnsi="宋体" w:cs="宋体" w:eastAsia="宋体" w:hint="default"/>
                <w:sz w:val="18"/>
                <w:szCs w:val="18"/>
              </w:rPr>
            </w:pPr>
            <w:r>
              <w:rPr>
                <w:rFonts w:ascii="宋体" w:hAnsi="宋体" w:cs="宋体" w:eastAsia="宋体" w:hint="default"/>
                <w:sz w:val="18"/>
                <w:szCs w:val="18"/>
              </w:rPr>
              <w:t>可信电子凭证技术研发与应用示</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范项目专项补贴</w:t>
            </w:r>
          </w:p>
        </w:tc>
        <w:tc>
          <w:tcPr>
            <w:tcW w:w="1137"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right="353"/>
              <w:jc w:val="right"/>
              <w:rPr>
                <w:rFonts w:ascii="宋体" w:hAnsi="宋体" w:cs="宋体" w:eastAsia="宋体" w:hint="default"/>
                <w:sz w:val="18"/>
                <w:szCs w:val="18"/>
              </w:rPr>
            </w:pPr>
            <w:r>
              <w:rPr>
                <w:rFonts w:ascii="宋体" w:hAnsi="宋体" w:cs="宋体" w:eastAsia="宋体" w:hint="default"/>
                <w:sz w:val="18"/>
                <w:szCs w:val="18"/>
              </w:rPr>
              <w:t>财政拨款</w:t>
            </w:r>
          </w:p>
        </w:tc>
        <w:tc>
          <w:tcPr>
            <w:tcW w:w="1671"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42"/>
              <w:jc w:val="right"/>
              <w:rPr>
                <w:rFonts w:ascii="Times New Roman" w:hAnsi="Times New Roman" w:cs="Times New Roman" w:eastAsia="Times New Roman" w:hint="default"/>
                <w:sz w:val="18"/>
                <w:szCs w:val="18"/>
              </w:rPr>
            </w:pPr>
            <w:r>
              <w:rPr>
                <w:rFonts w:ascii="Times New Roman"/>
                <w:spacing w:val="-1"/>
                <w:sz w:val="18"/>
              </w:rPr>
              <w:t>140,000.00</w:t>
            </w:r>
          </w:p>
        </w:tc>
        <w:tc>
          <w:tcPr>
            <w:tcW w:w="141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43"/>
              <w:jc w:val="right"/>
              <w:rPr>
                <w:rFonts w:ascii="Times New Roman" w:hAnsi="Times New Roman" w:cs="Times New Roman" w:eastAsia="Times New Roman" w:hint="default"/>
                <w:sz w:val="18"/>
                <w:szCs w:val="18"/>
              </w:rPr>
            </w:pPr>
            <w:r>
              <w:rPr>
                <w:rFonts w:ascii="Times New Roman"/>
                <w:spacing w:val="-1"/>
                <w:sz w:val="18"/>
              </w:rPr>
              <w:t>332,668.86</w:t>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104"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444" w:type="dxa"/>
            <w:tcBorders>
              <w:top w:val="single" w:sz="8" w:space="0" w:color="000000"/>
              <w:left w:val="nil" w:sz="6" w:space="0" w:color="auto"/>
              <w:bottom w:val="single" w:sz="8" w:space="0" w:color="000000"/>
              <w:right w:val="nil" w:sz="6" w:space="0" w:color="auto"/>
            </w:tcBorders>
          </w:tcPr>
          <w:p>
            <w:pPr>
              <w:pStyle w:val="TableParagraph"/>
              <w:spacing w:line="316" w:lineRule="auto" w:before="15"/>
              <w:ind w:left="42" w:right="35" w:firstLine="105"/>
              <w:jc w:val="left"/>
              <w:rPr>
                <w:rFonts w:ascii="宋体" w:hAnsi="宋体" w:cs="宋体" w:eastAsia="宋体" w:hint="default"/>
                <w:sz w:val="18"/>
                <w:szCs w:val="18"/>
              </w:rPr>
            </w:pPr>
            <w:r>
              <w:rPr>
                <w:rFonts w:ascii="宋体" w:hAnsi="宋体" w:cs="宋体" w:eastAsia="宋体" w:hint="default"/>
                <w:sz w:val="18"/>
                <w:szCs w:val="18"/>
              </w:rPr>
              <w:t>与收益相关的政 府补助</w:t>
            </w:r>
          </w:p>
        </w:tc>
      </w:tr>
      <w:tr>
        <w:trPr>
          <w:trHeight w:val="661" w:hRule="exact"/>
        </w:trPr>
        <w:tc>
          <w:tcPr>
            <w:tcW w:w="2638" w:type="dxa"/>
            <w:tcBorders>
              <w:top w:val="single" w:sz="8" w:space="0" w:color="000000"/>
              <w:left w:val="nil" w:sz="6" w:space="0" w:color="auto"/>
              <w:bottom w:val="single" w:sz="8" w:space="0" w:color="000000"/>
              <w:right w:val="nil" w:sz="6" w:space="0" w:color="auto"/>
            </w:tcBorders>
          </w:tcPr>
          <w:p>
            <w:pPr>
              <w:pStyle w:val="TableParagraph"/>
              <w:spacing w:line="316" w:lineRule="auto" w:before="17"/>
              <w:ind w:left="26" w:right="60"/>
              <w:jc w:val="left"/>
              <w:rPr>
                <w:rFonts w:ascii="宋体" w:hAnsi="宋体" w:cs="宋体" w:eastAsia="宋体" w:hint="default"/>
                <w:sz w:val="18"/>
                <w:szCs w:val="18"/>
              </w:rPr>
            </w:pPr>
            <w:r>
              <w:rPr>
                <w:rFonts w:ascii="宋体" w:hAnsi="宋体" w:cs="宋体" w:eastAsia="宋体" w:hint="default"/>
                <w:sz w:val="18"/>
                <w:szCs w:val="18"/>
              </w:rPr>
              <w:t>信息服务可信及功能完整性证明</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技术研究</w:t>
            </w:r>
          </w:p>
        </w:tc>
        <w:tc>
          <w:tcPr>
            <w:tcW w:w="1137"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353"/>
              <w:jc w:val="right"/>
              <w:rPr>
                <w:rFonts w:ascii="宋体" w:hAnsi="宋体" w:cs="宋体" w:eastAsia="宋体" w:hint="default"/>
                <w:sz w:val="18"/>
                <w:szCs w:val="18"/>
              </w:rPr>
            </w:pPr>
            <w:r>
              <w:rPr>
                <w:rFonts w:ascii="宋体" w:hAnsi="宋体" w:cs="宋体" w:eastAsia="宋体" w:hint="default"/>
                <w:sz w:val="18"/>
                <w:szCs w:val="18"/>
              </w:rPr>
              <w:t>财政拨款</w:t>
            </w:r>
          </w:p>
        </w:tc>
        <w:tc>
          <w:tcPr>
            <w:tcW w:w="1671"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4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5"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43"/>
              <w:jc w:val="right"/>
              <w:rPr>
                <w:rFonts w:ascii="Times New Roman" w:hAnsi="Times New Roman" w:cs="Times New Roman" w:eastAsia="Times New Roman" w:hint="default"/>
                <w:sz w:val="18"/>
                <w:szCs w:val="18"/>
              </w:rPr>
            </w:pPr>
            <w:r>
              <w:rPr>
                <w:rFonts w:ascii="Times New Roman"/>
                <w:spacing w:val="-1"/>
                <w:sz w:val="18"/>
              </w:rPr>
              <w:t>18,899.43</w:t>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104"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444" w:type="dxa"/>
            <w:tcBorders>
              <w:top w:val="single" w:sz="8" w:space="0" w:color="000000"/>
              <w:left w:val="nil" w:sz="6" w:space="0" w:color="auto"/>
              <w:bottom w:val="single" w:sz="8" w:space="0" w:color="000000"/>
              <w:right w:val="nil" w:sz="6" w:space="0" w:color="auto"/>
            </w:tcBorders>
          </w:tcPr>
          <w:p>
            <w:pPr>
              <w:pStyle w:val="TableParagraph"/>
              <w:spacing w:line="316" w:lineRule="auto" w:before="17"/>
              <w:ind w:left="42" w:right="35" w:firstLine="105"/>
              <w:jc w:val="left"/>
              <w:rPr>
                <w:rFonts w:ascii="宋体" w:hAnsi="宋体" w:cs="宋体" w:eastAsia="宋体" w:hint="default"/>
                <w:sz w:val="18"/>
                <w:szCs w:val="18"/>
              </w:rPr>
            </w:pPr>
            <w:r>
              <w:rPr>
                <w:rFonts w:ascii="宋体" w:hAnsi="宋体" w:cs="宋体" w:eastAsia="宋体" w:hint="default"/>
                <w:sz w:val="18"/>
                <w:szCs w:val="18"/>
              </w:rPr>
              <w:t>与收益相关的政 府补助</w:t>
            </w:r>
          </w:p>
        </w:tc>
      </w:tr>
      <w:tr>
        <w:trPr>
          <w:trHeight w:val="660" w:hRule="exact"/>
        </w:trPr>
        <w:tc>
          <w:tcPr>
            <w:tcW w:w="2638" w:type="dxa"/>
            <w:tcBorders>
              <w:top w:val="single" w:sz="8" w:space="0" w:color="000000"/>
              <w:left w:val="nil" w:sz="6" w:space="0" w:color="auto"/>
              <w:bottom w:val="single" w:sz="8" w:space="0" w:color="000000"/>
              <w:right w:val="nil" w:sz="6" w:space="0" w:color="auto"/>
            </w:tcBorders>
          </w:tcPr>
          <w:p>
            <w:pPr>
              <w:pStyle w:val="TableParagraph"/>
              <w:spacing w:line="316" w:lineRule="auto" w:before="15"/>
              <w:ind w:left="26" w:right="60"/>
              <w:jc w:val="left"/>
              <w:rPr>
                <w:rFonts w:ascii="宋体" w:hAnsi="宋体" w:cs="宋体" w:eastAsia="宋体" w:hint="default"/>
                <w:sz w:val="18"/>
                <w:szCs w:val="18"/>
              </w:rPr>
            </w:pPr>
            <w:r>
              <w:rPr>
                <w:rFonts w:ascii="宋体" w:hAnsi="宋体" w:cs="宋体" w:eastAsia="宋体" w:hint="default"/>
                <w:sz w:val="18"/>
                <w:szCs w:val="18"/>
              </w:rPr>
              <w:t>亿级规模网络身份管理与服务系</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统技术</w:t>
            </w:r>
          </w:p>
        </w:tc>
        <w:tc>
          <w:tcPr>
            <w:tcW w:w="1137"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right="353"/>
              <w:jc w:val="right"/>
              <w:rPr>
                <w:rFonts w:ascii="宋体" w:hAnsi="宋体" w:cs="宋体" w:eastAsia="宋体" w:hint="default"/>
                <w:sz w:val="18"/>
                <w:szCs w:val="18"/>
              </w:rPr>
            </w:pPr>
            <w:r>
              <w:rPr>
                <w:rFonts w:ascii="宋体" w:hAnsi="宋体" w:cs="宋体" w:eastAsia="宋体" w:hint="default"/>
                <w:sz w:val="18"/>
                <w:szCs w:val="18"/>
              </w:rPr>
              <w:t>财政拨款</w:t>
            </w:r>
          </w:p>
        </w:tc>
        <w:tc>
          <w:tcPr>
            <w:tcW w:w="1671"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4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43"/>
              <w:jc w:val="right"/>
              <w:rPr>
                <w:rFonts w:ascii="Times New Roman" w:hAnsi="Times New Roman" w:cs="Times New Roman" w:eastAsia="Times New Roman" w:hint="default"/>
                <w:sz w:val="18"/>
                <w:szCs w:val="18"/>
              </w:rPr>
            </w:pPr>
            <w:r>
              <w:rPr>
                <w:rFonts w:ascii="Times New Roman"/>
                <w:spacing w:val="-1"/>
                <w:sz w:val="18"/>
              </w:rPr>
              <w:t>676,425.09</w:t>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104"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444" w:type="dxa"/>
            <w:tcBorders>
              <w:top w:val="single" w:sz="8" w:space="0" w:color="000000"/>
              <w:left w:val="nil" w:sz="6" w:space="0" w:color="auto"/>
              <w:bottom w:val="single" w:sz="8" w:space="0" w:color="000000"/>
              <w:right w:val="nil" w:sz="6" w:space="0" w:color="auto"/>
            </w:tcBorders>
          </w:tcPr>
          <w:p>
            <w:pPr>
              <w:pStyle w:val="TableParagraph"/>
              <w:spacing w:line="316" w:lineRule="auto" w:before="15"/>
              <w:ind w:left="42" w:right="35" w:firstLine="105"/>
              <w:jc w:val="left"/>
              <w:rPr>
                <w:rFonts w:ascii="宋体" w:hAnsi="宋体" w:cs="宋体" w:eastAsia="宋体" w:hint="default"/>
                <w:sz w:val="18"/>
                <w:szCs w:val="18"/>
              </w:rPr>
            </w:pPr>
            <w:r>
              <w:rPr>
                <w:rFonts w:ascii="宋体" w:hAnsi="宋体" w:cs="宋体" w:eastAsia="宋体" w:hint="default"/>
                <w:sz w:val="18"/>
                <w:szCs w:val="18"/>
              </w:rPr>
              <w:t>与收益相关的政 府补助</w:t>
            </w:r>
          </w:p>
        </w:tc>
      </w:tr>
      <w:tr>
        <w:trPr>
          <w:trHeight w:val="658" w:hRule="exact"/>
        </w:trPr>
        <w:tc>
          <w:tcPr>
            <w:tcW w:w="2638" w:type="dxa"/>
            <w:tcBorders>
              <w:top w:val="single" w:sz="8" w:space="0" w:color="000000"/>
              <w:left w:val="nil" w:sz="6" w:space="0" w:color="auto"/>
              <w:bottom w:val="single" w:sz="8" w:space="0" w:color="000000"/>
              <w:right w:val="nil" w:sz="6" w:space="0" w:color="auto"/>
            </w:tcBorders>
          </w:tcPr>
          <w:p>
            <w:pPr>
              <w:pStyle w:val="TableParagraph"/>
              <w:spacing w:line="316" w:lineRule="auto" w:before="15"/>
              <w:ind w:left="26" w:right="60"/>
              <w:jc w:val="left"/>
              <w:rPr>
                <w:rFonts w:ascii="宋体" w:hAnsi="宋体" w:cs="宋体" w:eastAsia="宋体" w:hint="default"/>
                <w:sz w:val="18"/>
                <w:szCs w:val="18"/>
              </w:rPr>
            </w:pPr>
            <w:r>
              <w:rPr>
                <w:rFonts w:ascii="宋体" w:hAnsi="宋体" w:cs="宋体" w:eastAsia="宋体" w:hint="default"/>
                <w:sz w:val="18"/>
                <w:szCs w:val="18"/>
              </w:rPr>
              <w:t>信息服务可信管理平台研制及应</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用示范</w:t>
            </w:r>
          </w:p>
        </w:tc>
        <w:tc>
          <w:tcPr>
            <w:tcW w:w="1137"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right="353"/>
              <w:jc w:val="right"/>
              <w:rPr>
                <w:rFonts w:ascii="宋体" w:hAnsi="宋体" w:cs="宋体" w:eastAsia="宋体" w:hint="default"/>
                <w:sz w:val="18"/>
                <w:szCs w:val="18"/>
              </w:rPr>
            </w:pPr>
            <w:r>
              <w:rPr>
                <w:rFonts w:ascii="宋体" w:hAnsi="宋体" w:cs="宋体" w:eastAsia="宋体" w:hint="default"/>
                <w:sz w:val="18"/>
                <w:szCs w:val="18"/>
              </w:rPr>
              <w:t>财政拨款</w:t>
            </w:r>
          </w:p>
        </w:tc>
        <w:tc>
          <w:tcPr>
            <w:tcW w:w="1671"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4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43"/>
              <w:jc w:val="right"/>
              <w:rPr>
                <w:rFonts w:ascii="Times New Roman" w:hAnsi="Times New Roman" w:cs="Times New Roman" w:eastAsia="Times New Roman" w:hint="default"/>
                <w:sz w:val="18"/>
                <w:szCs w:val="18"/>
              </w:rPr>
            </w:pPr>
            <w:r>
              <w:rPr>
                <w:rFonts w:ascii="Times New Roman"/>
                <w:spacing w:val="-1"/>
                <w:sz w:val="18"/>
              </w:rPr>
              <w:t>85,342.72</w:t>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104"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444" w:type="dxa"/>
            <w:tcBorders>
              <w:top w:val="single" w:sz="8" w:space="0" w:color="000000"/>
              <w:left w:val="nil" w:sz="6" w:space="0" w:color="auto"/>
              <w:bottom w:val="single" w:sz="8" w:space="0" w:color="000000"/>
              <w:right w:val="nil" w:sz="6" w:space="0" w:color="auto"/>
            </w:tcBorders>
          </w:tcPr>
          <w:p>
            <w:pPr>
              <w:pStyle w:val="TableParagraph"/>
              <w:spacing w:line="316" w:lineRule="auto" w:before="15"/>
              <w:ind w:left="42" w:right="35" w:firstLine="105"/>
              <w:jc w:val="left"/>
              <w:rPr>
                <w:rFonts w:ascii="宋体" w:hAnsi="宋体" w:cs="宋体" w:eastAsia="宋体" w:hint="default"/>
                <w:sz w:val="18"/>
                <w:szCs w:val="18"/>
              </w:rPr>
            </w:pPr>
            <w:r>
              <w:rPr>
                <w:rFonts w:ascii="宋体" w:hAnsi="宋体" w:cs="宋体" w:eastAsia="宋体" w:hint="default"/>
                <w:sz w:val="18"/>
                <w:szCs w:val="18"/>
              </w:rPr>
              <w:t>与收益相关的政 府补助</w:t>
            </w:r>
          </w:p>
        </w:tc>
      </w:tr>
      <w:tr>
        <w:trPr>
          <w:trHeight w:val="660" w:hRule="exact"/>
        </w:trPr>
        <w:tc>
          <w:tcPr>
            <w:tcW w:w="2638" w:type="dxa"/>
            <w:tcBorders>
              <w:top w:val="single" w:sz="8" w:space="0" w:color="000000"/>
              <w:left w:val="nil" w:sz="6" w:space="0" w:color="auto"/>
              <w:bottom w:val="single" w:sz="8" w:space="0" w:color="000000"/>
              <w:right w:val="nil" w:sz="6" w:space="0" w:color="auto"/>
            </w:tcBorders>
          </w:tcPr>
          <w:p>
            <w:pPr>
              <w:pStyle w:val="TableParagraph"/>
              <w:spacing w:line="316" w:lineRule="auto" w:before="17"/>
              <w:ind w:left="26" w:right="60"/>
              <w:jc w:val="left"/>
              <w:rPr>
                <w:rFonts w:ascii="宋体" w:hAnsi="宋体" w:cs="宋体" w:eastAsia="宋体" w:hint="default"/>
                <w:sz w:val="18"/>
                <w:szCs w:val="18"/>
              </w:rPr>
            </w:pPr>
            <w:r>
              <w:rPr>
                <w:rFonts w:ascii="宋体" w:hAnsi="宋体" w:cs="宋体" w:eastAsia="宋体" w:hint="default"/>
                <w:sz w:val="18"/>
                <w:szCs w:val="18"/>
              </w:rPr>
              <w:t>信息服务可信管理分级分类体系</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研究</w:t>
            </w:r>
          </w:p>
        </w:tc>
        <w:tc>
          <w:tcPr>
            <w:tcW w:w="1137"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353"/>
              <w:jc w:val="right"/>
              <w:rPr>
                <w:rFonts w:ascii="宋体" w:hAnsi="宋体" w:cs="宋体" w:eastAsia="宋体" w:hint="default"/>
                <w:sz w:val="18"/>
                <w:szCs w:val="18"/>
              </w:rPr>
            </w:pPr>
            <w:r>
              <w:rPr>
                <w:rFonts w:ascii="宋体" w:hAnsi="宋体" w:cs="宋体" w:eastAsia="宋体" w:hint="default"/>
                <w:sz w:val="18"/>
                <w:szCs w:val="18"/>
              </w:rPr>
              <w:t>财政拨款</w:t>
            </w:r>
          </w:p>
        </w:tc>
        <w:tc>
          <w:tcPr>
            <w:tcW w:w="1671"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4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5"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43"/>
              <w:jc w:val="right"/>
              <w:rPr>
                <w:rFonts w:ascii="Times New Roman" w:hAnsi="Times New Roman" w:cs="Times New Roman" w:eastAsia="Times New Roman" w:hint="default"/>
                <w:sz w:val="18"/>
                <w:szCs w:val="18"/>
              </w:rPr>
            </w:pPr>
            <w:r>
              <w:rPr>
                <w:rFonts w:ascii="Times New Roman"/>
                <w:w w:val="95"/>
                <w:sz w:val="18"/>
              </w:rPr>
              <w:t>6,201.00</w:t>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104"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444" w:type="dxa"/>
            <w:tcBorders>
              <w:top w:val="single" w:sz="8" w:space="0" w:color="000000"/>
              <w:left w:val="nil" w:sz="6" w:space="0" w:color="auto"/>
              <w:bottom w:val="single" w:sz="8" w:space="0" w:color="000000"/>
              <w:right w:val="nil" w:sz="6" w:space="0" w:color="auto"/>
            </w:tcBorders>
          </w:tcPr>
          <w:p>
            <w:pPr>
              <w:pStyle w:val="TableParagraph"/>
              <w:spacing w:line="316" w:lineRule="auto" w:before="17"/>
              <w:ind w:left="42" w:right="35" w:firstLine="105"/>
              <w:jc w:val="left"/>
              <w:rPr>
                <w:rFonts w:ascii="宋体" w:hAnsi="宋体" w:cs="宋体" w:eastAsia="宋体" w:hint="default"/>
                <w:sz w:val="18"/>
                <w:szCs w:val="18"/>
              </w:rPr>
            </w:pPr>
            <w:r>
              <w:rPr>
                <w:rFonts w:ascii="宋体" w:hAnsi="宋体" w:cs="宋体" w:eastAsia="宋体" w:hint="default"/>
                <w:sz w:val="18"/>
                <w:szCs w:val="18"/>
              </w:rPr>
              <w:t>与收益相关的政 府补助</w:t>
            </w:r>
          </w:p>
        </w:tc>
      </w:tr>
      <w:tr>
        <w:trPr>
          <w:trHeight w:val="658" w:hRule="exact"/>
        </w:trPr>
        <w:tc>
          <w:tcPr>
            <w:tcW w:w="2638" w:type="dxa"/>
            <w:tcBorders>
              <w:top w:val="single" w:sz="8" w:space="0" w:color="000000"/>
              <w:left w:val="nil" w:sz="6" w:space="0" w:color="auto"/>
              <w:bottom w:val="single" w:sz="8" w:space="0" w:color="000000"/>
              <w:right w:val="nil" w:sz="6" w:space="0" w:color="auto"/>
            </w:tcBorders>
          </w:tcPr>
          <w:p>
            <w:pPr>
              <w:pStyle w:val="TableParagraph"/>
              <w:spacing w:line="316" w:lineRule="auto" w:before="15"/>
              <w:ind w:left="26" w:right="60"/>
              <w:jc w:val="left"/>
              <w:rPr>
                <w:rFonts w:ascii="宋体" w:hAnsi="宋体" w:cs="宋体" w:eastAsia="宋体" w:hint="default"/>
                <w:sz w:val="18"/>
                <w:szCs w:val="18"/>
              </w:rPr>
            </w:pPr>
            <w:r>
              <w:rPr>
                <w:rFonts w:ascii="宋体" w:hAnsi="宋体" w:cs="宋体" w:eastAsia="宋体" w:hint="default"/>
                <w:sz w:val="18"/>
                <w:szCs w:val="18"/>
              </w:rPr>
              <w:t>信息服务安全评估体系及测评标</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准研究</w:t>
            </w:r>
          </w:p>
        </w:tc>
        <w:tc>
          <w:tcPr>
            <w:tcW w:w="1137"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right="353"/>
              <w:jc w:val="right"/>
              <w:rPr>
                <w:rFonts w:ascii="宋体" w:hAnsi="宋体" w:cs="宋体" w:eastAsia="宋体" w:hint="default"/>
                <w:sz w:val="18"/>
                <w:szCs w:val="18"/>
              </w:rPr>
            </w:pPr>
            <w:r>
              <w:rPr>
                <w:rFonts w:ascii="宋体" w:hAnsi="宋体" w:cs="宋体" w:eastAsia="宋体" w:hint="default"/>
                <w:sz w:val="18"/>
                <w:szCs w:val="18"/>
              </w:rPr>
              <w:t>财政拨款</w:t>
            </w:r>
          </w:p>
        </w:tc>
        <w:tc>
          <w:tcPr>
            <w:tcW w:w="1671"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4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42"/>
              <w:jc w:val="right"/>
              <w:rPr>
                <w:rFonts w:ascii="Times New Roman" w:hAnsi="Times New Roman" w:cs="Times New Roman" w:eastAsia="Times New Roman" w:hint="default"/>
                <w:sz w:val="18"/>
                <w:szCs w:val="18"/>
              </w:rPr>
            </w:pPr>
            <w:r>
              <w:rPr>
                <w:rFonts w:ascii="Times New Roman"/>
                <w:spacing w:val="-1"/>
                <w:sz w:val="18"/>
              </w:rPr>
              <w:t>992.00</w:t>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104"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444" w:type="dxa"/>
            <w:tcBorders>
              <w:top w:val="single" w:sz="8" w:space="0" w:color="000000"/>
              <w:left w:val="nil" w:sz="6" w:space="0" w:color="auto"/>
              <w:bottom w:val="single" w:sz="8" w:space="0" w:color="000000"/>
              <w:right w:val="nil" w:sz="6" w:space="0" w:color="auto"/>
            </w:tcBorders>
          </w:tcPr>
          <w:p>
            <w:pPr>
              <w:pStyle w:val="TableParagraph"/>
              <w:spacing w:line="316" w:lineRule="auto" w:before="15"/>
              <w:ind w:left="42" w:right="35" w:firstLine="105"/>
              <w:jc w:val="left"/>
              <w:rPr>
                <w:rFonts w:ascii="宋体" w:hAnsi="宋体" w:cs="宋体" w:eastAsia="宋体" w:hint="default"/>
                <w:sz w:val="18"/>
                <w:szCs w:val="18"/>
              </w:rPr>
            </w:pPr>
            <w:r>
              <w:rPr>
                <w:rFonts w:ascii="宋体" w:hAnsi="宋体" w:cs="宋体" w:eastAsia="宋体" w:hint="default"/>
                <w:sz w:val="18"/>
                <w:szCs w:val="18"/>
              </w:rPr>
              <w:t>与收益相关的政 府补助</w:t>
            </w:r>
          </w:p>
        </w:tc>
      </w:tr>
      <w:tr>
        <w:trPr>
          <w:trHeight w:val="660" w:hRule="exact"/>
        </w:trPr>
        <w:tc>
          <w:tcPr>
            <w:tcW w:w="2638" w:type="dxa"/>
            <w:tcBorders>
              <w:top w:val="single" w:sz="8" w:space="0" w:color="000000"/>
              <w:left w:val="nil" w:sz="6" w:space="0" w:color="auto"/>
              <w:bottom w:val="single" w:sz="8" w:space="0" w:color="000000"/>
              <w:right w:val="nil" w:sz="6" w:space="0" w:color="auto"/>
            </w:tcBorders>
          </w:tcPr>
          <w:p>
            <w:pPr>
              <w:pStyle w:val="TableParagraph"/>
              <w:spacing w:line="316" w:lineRule="auto" w:before="17"/>
              <w:ind w:left="26" w:right="60"/>
              <w:jc w:val="left"/>
              <w:rPr>
                <w:rFonts w:ascii="宋体" w:hAnsi="宋体" w:cs="宋体" w:eastAsia="宋体" w:hint="default"/>
                <w:sz w:val="18"/>
                <w:szCs w:val="18"/>
              </w:rPr>
            </w:pPr>
            <w:r>
              <w:rPr>
                <w:rFonts w:ascii="宋体" w:hAnsi="宋体" w:cs="宋体" w:eastAsia="宋体" w:hint="default"/>
                <w:sz w:val="18"/>
                <w:szCs w:val="18"/>
              </w:rPr>
              <w:t>移动终端软件生态体系安全技术</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研究</w:t>
            </w:r>
          </w:p>
        </w:tc>
        <w:tc>
          <w:tcPr>
            <w:tcW w:w="1137"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353"/>
              <w:jc w:val="right"/>
              <w:rPr>
                <w:rFonts w:ascii="宋体" w:hAnsi="宋体" w:cs="宋体" w:eastAsia="宋体" w:hint="default"/>
                <w:sz w:val="18"/>
                <w:szCs w:val="18"/>
              </w:rPr>
            </w:pPr>
            <w:r>
              <w:rPr>
                <w:rFonts w:ascii="宋体" w:hAnsi="宋体" w:cs="宋体" w:eastAsia="宋体" w:hint="default"/>
                <w:sz w:val="18"/>
                <w:szCs w:val="18"/>
              </w:rPr>
              <w:t>财政拨款</w:t>
            </w:r>
          </w:p>
        </w:tc>
        <w:tc>
          <w:tcPr>
            <w:tcW w:w="1671"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4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5"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42"/>
              <w:jc w:val="right"/>
              <w:rPr>
                <w:rFonts w:ascii="Times New Roman" w:hAnsi="Times New Roman" w:cs="Times New Roman" w:eastAsia="Times New Roman" w:hint="default"/>
                <w:sz w:val="18"/>
                <w:szCs w:val="18"/>
              </w:rPr>
            </w:pPr>
            <w:r>
              <w:rPr>
                <w:rFonts w:ascii="Times New Roman"/>
                <w:spacing w:val="-1"/>
                <w:sz w:val="18"/>
              </w:rPr>
              <w:t>553.00</w:t>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104"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444" w:type="dxa"/>
            <w:tcBorders>
              <w:top w:val="single" w:sz="8" w:space="0" w:color="000000"/>
              <w:left w:val="nil" w:sz="6" w:space="0" w:color="auto"/>
              <w:bottom w:val="single" w:sz="8" w:space="0" w:color="000000"/>
              <w:right w:val="nil" w:sz="6" w:space="0" w:color="auto"/>
            </w:tcBorders>
          </w:tcPr>
          <w:p>
            <w:pPr>
              <w:pStyle w:val="TableParagraph"/>
              <w:spacing w:line="316" w:lineRule="auto" w:before="17"/>
              <w:ind w:left="42" w:right="35" w:firstLine="105"/>
              <w:jc w:val="left"/>
              <w:rPr>
                <w:rFonts w:ascii="宋体" w:hAnsi="宋体" w:cs="宋体" w:eastAsia="宋体" w:hint="default"/>
                <w:sz w:val="18"/>
                <w:szCs w:val="18"/>
              </w:rPr>
            </w:pPr>
            <w:r>
              <w:rPr>
                <w:rFonts w:ascii="宋体" w:hAnsi="宋体" w:cs="宋体" w:eastAsia="宋体" w:hint="default"/>
                <w:sz w:val="18"/>
                <w:szCs w:val="18"/>
              </w:rPr>
              <w:t>与收益相关的政 府补助</w:t>
            </w:r>
          </w:p>
        </w:tc>
      </w:tr>
      <w:tr>
        <w:trPr>
          <w:trHeight w:val="660" w:hRule="exact"/>
        </w:trPr>
        <w:tc>
          <w:tcPr>
            <w:tcW w:w="2638"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z w:val="18"/>
                <w:szCs w:val="18"/>
              </w:rPr>
              <w:t>电子签名服务平台项目财政补贴</w:t>
            </w:r>
          </w:p>
        </w:tc>
        <w:tc>
          <w:tcPr>
            <w:tcW w:w="1137"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right="353"/>
              <w:jc w:val="right"/>
              <w:rPr>
                <w:rFonts w:ascii="宋体" w:hAnsi="宋体" w:cs="宋体" w:eastAsia="宋体" w:hint="default"/>
                <w:sz w:val="18"/>
                <w:szCs w:val="18"/>
              </w:rPr>
            </w:pPr>
            <w:r>
              <w:rPr>
                <w:rFonts w:ascii="宋体" w:hAnsi="宋体" w:cs="宋体" w:eastAsia="宋体" w:hint="default"/>
                <w:sz w:val="18"/>
                <w:szCs w:val="18"/>
              </w:rPr>
              <w:t>财政拨款</w:t>
            </w:r>
          </w:p>
        </w:tc>
        <w:tc>
          <w:tcPr>
            <w:tcW w:w="1671"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42"/>
              <w:jc w:val="right"/>
              <w:rPr>
                <w:rFonts w:ascii="Times New Roman" w:hAnsi="Times New Roman" w:cs="Times New Roman" w:eastAsia="Times New Roman" w:hint="default"/>
                <w:sz w:val="18"/>
                <w:szCs w:val="18"/>
              </w:rPr>
            </w:pPr>
            <w:r>
              <w:rPr>
                <w:rFonts w:ascii="Times New Roman"/>
                <w:spacing w:val="-1"/>
                <w:sz w:val="18"/>
              </w:rPr>
              <w:t>100,000.00</w:t>
            </w:r>
          </w:p>
        </w:tc>
        <w:tc>
          <w:tcPr>
            <w:tcW w:w="141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4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0" w:type="dxa"/>
            <w:tcBorders>
              <w:top w:val="single" w:sz="8" w:space="0" w:color="000000"/>
              <w:left w:val="nil" w:sz="6" w:space="0" w:color="auto"/>
              <w:bottom w:val="single" w:sz="8" w:space="0" w:color="000000"/>
              <w:right w:val="nil" w:sz="6" w:space="0" w:color="auto"/>
            </w:tcBorders>
          </w:tcPr>
          <w:p>
            <w:pPr/>
          </w:p>
        </w:tc>
        <w:tc>
          <w:tcPr>
            <w:tcW w:w="1444" w:type="dxa"/>
            <w:tcBorders>
              <w:top w:val="single" w:sz="8" w:space="0" w:color="000000"/>
              <w:left w:val="nil" w:sz="6" w:space="0" w:color="auto"/>
              <w:bottom w:val="single" w:sz="8" w:space="0" w:color="000000"/>
              <w:right w:val="nil" w:sz="6" w:space="0" w:color="auto"/>
            </w:tcBorders>
          </w:tcPr>
          <w:p>
            <w:pPr>
              <w:pStyle w:val="TableParagraph"/>
              <w:spacing w:line="316" w:lineRule="auto" w:before="15"/>
              <w:ind w:left="42" w:right="35" w:firstLine="105"/>
              <w:jc w:val="left"/>
              <w:rPr>
                <w:rFonts w:ascii="宋体" w:hAnsi="宋体" w:cs="宋体" w:eastAsia="宋体" w:hint="default"/>
                <w:sz w:val="18"/>
                <w:szCs w:val="18"/>
              </w:rPr>
            </w:pPr>
            <w:r>
              <w:rPr>
                <w:rFonts w:ascii="宋体" w:hAnsi="宋体" w:cs="宋体" w:eastAsia="宋体" w:hint="default"/>
                <w:sz w:val="18"/>
                <w:szCs w:val="18"/>
              </w:rPr>
              <w:t>与资产相关的政 府补助</w:t>
            </w:r>
          </w:p>
        </w:tc>
      </w:tr>
    </w:tbl>
    <w:p>
      <w:pPr>
        <w:spacing w:after="0" w:line="316" w:lineRule="auto"/>
        <w:jc w:val="left"/>
        <w:rPr>
          <w:rFonts w:ascii="宋体" w:hAnsi="宋体" w:cs="宋体" w:eastAsia="宋体" w:hint="default"/>
          <w:sz w:val="18"/>
          <w:szCs w:val="18"/>
        </w:rPr>
        <w:sectPr>
          <w:pgSz w:w="11910" w:h="16840"/>
          <w:pgMar w:header="867" w:footer="979" w:top="1060" w:bottom="1160" w:left="860" w:right="880"/>
        </w:sectPr>
      </w:pPr>
    </w:p>
    <w:p>
      <w:pPr>
        <w:spacing w:line="240" w:lineRule="auto" w:before="6"/>
        <w:rPr>
          <w:rFonts w:ascii="宋体" w:hAnsi="宋体" w:cs="宋体" w:eastAsia="宋体"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2644"/>
        <w:gridCol w:w="1361"/>
        <w:gridCol w:w="1588"/>
        <w:gridCol w:w="1429"/>
        <w:gridCol w:w="1078"/>
        <w:gridCol w:w="1554"/>
      </w:tblGrid>
      <w:tr>
        <w:trPr>
          <w:trHeight w:val="975" w:hRule="exact"/>
        </w:trPr>
        <w:tc>
          <w:tcPr>
            <w:tcW w:w="2644" w:type="dxa"/>
            <w:tcBorders>
              <w:top w:val="single" w:sz="6" w:space="0" w:color="000000"/>
              <w:left w:val="nil" w:sz="6" w:space="0" w:color="auto"/>
              <w:bottom w:val="single" w:sz="8" w:space="0" w:color="000000"/>
              <w:right w:val="nil" w:sz="6" w:space="0" w:color="auto"/>
            </w:tcBorders>
          </w:tcPr>
          <w:p>
            <w:pPr>
              <w:pStyle w:val="TableParagraph"/>
              <w:spacing w:line="309" w:lineRule="auto" w:before="20"/>
              <w:ind w:left="26" w:right="54"/>
              <w:jc w:val="both"/>
              <w:rPr>
                <w:rFonts w:ascii="宋体" w:hAnsi="宋体" w:cs="宋体" w:eastAsia="宋体" w:hint="default"/>
                <w:sz w:val="18"/>
                <w:szCs w:val="18"/>
              </w:rPr>
            </w:pPr>
            <w:r>
              <w:rPr>
                <w:rFonts w:ascii="Times New Roman" w:hAnsi="Times New Roman" w:cs="Times New Roman" w:eastAsia="Times New Roman" w:hint="default"/>
                <w:spacing w:val="9"/>
                <w:sz w:val="18"/>
                <w:szCs w:val="18"/>
              </w:rPr>
              <w:t>CNGI</w:t>
            </w:r>
            <w:r>
              <w:rPr>
                <w:rFonts w:ascii="宋体" w:hAnsi="宋体" w:cs="宋体" w:eastAsia="宋体" w:hint="default"/>
                <w:spacing w:val="9"/>
                <w:sz w:val="18"/>
                <w:szCs w:val="18"/>
              </w:rPr>
              <w:t>跨域认证授权中间件系列</w:t>
            </w:r>
            <w:r>
              <w:rPr>
                <w:rFonts w:ascii="宋体" w:hAnsi="宋体" w:cs="宋体" w:eastAsia="宋体" w:hint="default"/>
                <w:spacing w:val="-86"/>
                <w:sz w:val="18"/>
                <w:szCs w:val="18"/>
              </w:rPr>
              <w:t> </w:t>
            </w:r>
            <w:r>
              <w:rPr>
                <w:rFonts w:ascii="宋体" w:hAnsi="宋体" w:cs="宋体" w:eastAsia="宋体" w:hint="default"/>
                <w:sz w:val="18"/>
                <w:szCs w:val="18"/>
              </w:rPr>
              <w:t>标准规范及应用验证项目专项补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助</w:t>
            </w:r>
          </w:p>
        </w:tc>
        <w:tc>
          <w:tcPr>
            <w:tcW w:w="1361" w:type="dxa"/>
            <w:tcBorders>
              <w:top w:val="single" w:sz="6" w:space="0" w:color="000000"/>
              <w:left w:val="nil" w:sz="6" w:space="0" w:color="auto"/>
              <w:bottom w:val="single" w:sz="8" w:space="0" w:color="000000"/>
              <w:right w:val="nil" w:sz="6" w:space="0" w:color="auto"/>
            </w:tcBorders>
          </w:tcPr>
          <w:p>
            <w:pPr>
              <w:pStyle w:val="TableParagraph"/>
              <w:spacing w:line="240" w:lineRule="auto" w:before="20"/>
              <w:ind w:left="56"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588"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right="190"/>
              <w:jc w:val="right"/>
              <w:rPr>
                <w:rFonts w:ascii="Times New Roman" w:hAnsi="Times New Roman" w:cs="Times New Roman" w:eastAsia="Times New Roman" w:hint="default"/>
                <w:sz w:val="18"/>
                <w:szCs w:val="18"/>
              </w:rPr>
            </w:pPr>
            <w:r>
              <w:rPr>
                <w:rFonts w:ascii="Times New Roman"/>
                <w:spacing w:val="-1"/>
                <w:sz w:val="18"/>
              </w:rPr>
              <w:t>102,000.00</w:t>
            </w:r>
          </w:p>
        </w:tc>
        <w:tc>
          <w:tcPr>
            <w:tcW w:w="1429"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right="2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8" w:type="dxa"/>
            <w:tcBorders>
              <w:top w:val="single" w:sz="6" w:space="0" w:color="000000"/>
              <w:left w:val="nil" w:sz="6" w:space="0" w:color="auto"/>
              <w:bottom w:val="single" w:sz="8" w:space="0" w:color="000000"/>
              <w:right w:val="nil" w:sz="6" w:space="0" w:color="auto"/>
            </w:tcBorders>
          </w:tcPr>
          <w:p>
            <w:pPr/>
          </w:p>
        </w:tc>
        <w:tc>
          <w:tcPr>
            <w:tcW w:w="1554" w:type="dxa"/>
            <w:tcBorders>
              <w:top w:val="single" w:sz="6" w:space="0" w:color="000000"/>
              <w:left w:val="nil" w:sz="6" w:space="0" w:color="auto"/>
              <w:bottom w:val="single" w:sz="8" w:space="0" w:color="000000"/>
              <w:right w:val="nil" w:sz="6" w:space="0" w:color="auto"/>
            </w:tcBorders>
          </w:tcPr>
          <w:p>
            <w:pPr>
              <w:pStyle w:val="TableParagraph"/>
              <w:spacing w:line="316" w:lineRule="auto" w:before="20"/>
              <w:ind w:left="152" w:right="35" w:firstLine="105"/>
              <w:jc w:val="left"/>
              <w:rPr>
                <w:rFonts w:ascii="宋体" w:hAnsi="宋体" w:cs="宋体" w:eastAsia="宋体" w:hint="default"/>
                <w:sz w:val="18"/>
                <w:szCs w:val="18"/>
              </w:rPr>
            </w:pPr>
            <w:r>
              <w:rPr>
                <w:rFonts w:ascii="宋体" w:hAnsi="宋体" w:cs="宋体" w:eastAsia="宋体" w:hint="default"/>
                <w:sz w:val="18"/>
                <w:szCs w:val="18"/>
              </w:rPr>
              <w:t>与资产相关的政 府补助</w:t>
            </w:r>
          </w:p>
        </w:tc>
      </w:tr>
      <w:tr>
        <w:trPr>
          <w:trHeight w:val="970" w:hRule="exact"/>
        </w:trPr>
        <w:tc>
          <w:tcPr>
            <w:tcW w:w="2644" w:type="dxa"/>
            <w:tcBorders>
              <w:top w:val="single" w:sz="8" w:space="0" w:color="000000"/>
              <w:left w:val="nil" w:sz="6" w:space="0" w:color="auto"/>
              <w:bottom w:val="single" w:sz="8" w:space="0" w:color="000000"/>
              <w:right w:val="nil" w:sz="6" w:space="0" w:color="auto"/>
            </w:tcBorders>
          </w:tcPr>
          <w:p>
            <w:pPr>
              <w:pStyle w:val="TableParagraph"/>
              <w:spacing w:line="316" w:lineRule="auto" w:before="15"/>
              <w:ind w:left="26" w:right="67"/>
              <w:jc w:val="both"/>
              <w:rPr>
                <w:rFonts w:ascii="宋体" w:hAnsi="宋体" w:cs="宋体" w:eastAsia="宋体" w:hint="default"/>
                <w:sz w:val="18"/>
                <w:szCs w:val="18"/>
              </w:rPr>
            </w:pPr>
            <w:r>
              <w:rPr>
                <w:rFonts w:ascii="宋体" w:hAnsi="宋体" w:cs="宋体" w:eastAsia="宋体" w:hint="default"/>
                <w:sz w:val="18"/>
                <w:szCs w:val="18"/>
              </w:rPr>
              <w:t>密码服务应用接口规范仿真验证</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环境建设及符合性检测工具开发</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项目补助</w:t>
            </w:r>
          </w:p>
        </w:tc>
        <w:tc>
          <w:tcPr>
            <w:tcW w:w="1361"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56"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588"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190"/>
              <w:jc w:val="right"/>
              <w:rPr>
                <w:rFonts w:ascii="Times New Roman" w:hAnsi="Times New Roman" w:cs="Times New Roman" w:eastAsia="Times New Roman" w:hint="default"/>
                <w:sz w:val="18"/>
                <w:szCs w:val="18"/>
              </w:rPr>
            </w:pPr>
            <w:r>
              <w:rPr>
                <w:rFonts w:ascii="Times New Roman"/>
                <w:spacing w:val="-1"/>
                <w:sz w:val="18"/>
              </w:rPr>
              <w:t>200,000.00</w:t>
            </w:r>
          </w:p>
        </w:tc>
        <w:tc>
          <w:tcPr>
            <w:tcW w:w="1429"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2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8" w:type="dxa"/>
            <w:tcBorders>
              <w:top w:val="single" w:sz="8" w:space="0" w:color="000000"/>
              <w:left w:val="nil" w:sz="6" w:space="0" w:color="auto"/>
              <w:bottom w:val="single" w:sz="8" w:space="0" w:color="000000"/>
              <w:right w:val="nil" w:sz="6" w:space="0" w:color="auto"/>
            </w:tcBorders>
          </w:tcPr>
          <w:p>
            <w:pPr/>
          </w:p>
        </w:tc>
        <w:tc>
          <w:tcPr>
            <w:tcW w:w="1554" w:type="dxa"/>
            <w:tcBorders>
              <w:top w:val="single" w:sz="8" w:space="0" w:color="000000"/>
              <w:left w:val="nil" w:sz="6" w:space="0" w:color="auto"/>
              <w:bottom w:val="single" w:sz="8" w:space="0" w:color="000000"/>
              <w:right w:val="nil" w:sz="6" w:space="0" w:color="auto"/>
            </w:tcBorders>
          </w:tcPr>
          <w:p>
            <w:pPr>
              <w:pStyle w:val="TableParagraph"/>
              <w:spacing w:line="316" w:lineRule="auto" w:before="15"/>
              <w:ind w:left="152" w:right="35" w:firstLine="105"/>
              <w:jc w:val="left"/>
              <w:rPr>
                <w:rFonts w:ascii="宋体" w:hAnsi="宋体" w:cs="宋体" w:eastAsia="宋体" w:hint="default"/>
                <w:sz w:val="18"/>
                <w:szCs w:val="18"/>
              </w:rPr>
            </w:pPr>
            <w:r>
              <w:rPr>
                <w:rFonts w:ascii="宋体" w:hAnsi="宋体" w:cs="宋体" w:eastAsia="宋体" w:hint="default"/>
                <w:sz w:val="18"/>
                <w:szCs w:val="18"/>
              </w:rPr>
              <w:t>与资产相关的政 府补助</w:t>
            </w:r>
          </w:p>
        </w:tc>
      </w:tr>
      <w:tr>
        <w:trPr>
          <w:trHeight w:val="660" w:hRule="exact"/>
        </w:trPr>
        <w:tc>
          <w:tcPr>
            <w:tcW w:w="2644"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26" w:right="0"/>
              <w:jc w:val="left"/>
              <w:rPr>
                <w:rFonts w:ascii="宋体" w:hAnsi="宋体" w:cs="宋体" w:eastAsia="宋体" w:hint="default"/>
                <w:sz w:val="18"/>
                <w:szCs w:val="18"/>
              </w:rPr>
            </w:pPr>
            <w:r>
              <w:rPr>
                <w:rFonts w:ascii="宋体" w:hAnsi="宋体" w:cs="宋体" w:eastAsia="宋体" w:hint="default"/>
                <w:sz w:val="18"/>
                <w:szCs w:val="18"/>
              </w:rPr>
              <w:t>北京市教育工作委员会经费补助</w:t>
            </w:r>
          </w:p>
        </w:tc>
        <w:tc>
          <w:tcPr>
            <w:tcW w:w="1361"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56"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588"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190"/>
              <w:jc w:val="right"/>
              <w:rPr>
                <w:rFonts w:ascii="Times New Roman" w:hAnsi="Times New Roman" w:cs="Times New Roman" w:eastAsia="Times New Roman" w:hint="default"/>
                <w:sz w:val="18"/>
                <w:szCs w:val="18"/>
              </w:rPr>
            </w:pPr>
            <w:r>
              <w:rPr>
                <w:rFonts w:ascii="Times New Roman"/>
                <w:spacing w:val="-1"/>
                <w:sz w:val="18"/>
              </w:rPr>
              <w:t>20,000.00</w:t>
            </w:r>
          </w:p>
        </w:tc>
        <w:tc>
          <w:tcPr>
            <w:tcW w:w="1429"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2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8" w:type="dxa"/>
            <w:tcBorders>
              <w:top w:val="single" w:sz="8" w:space="0" w:color="000000"/>
              <w:left w:val="nil" w:sz="6" w:space="0" w:color="auto"/>
              <w:bottom w:val="single" w:sz="8" w:space="0" w:color="000000"/>
              <w:right w:val="nil" w:sz="6" w:space="0" w:color="auto"/>
            </w:tcBorders>
          </w:tcPr>
          <w:p>
            <w:pPr/>
          </w:p>
        </w:tc>
        <w:tc>
          <w:tcPr>
            <w:tcW w:w="1554" w:type="dxa"/>
            <w:tcBorders>
              <w:top w:val="single" w:sz="8" w:space="0" w:color="000000"/>
              <w:left w:val="nil" w:sz="6" w:space="0" w:color="auto"/>
              <w:bottom w:val="single" w:sz="8" w:space="0" w:color="000000"/>
              <w:right w:val="nil" w:sz="6" w:space="0" w:color="auto"/>
            </w:tcBorders>
          </w:tcPr>
          <w:p>
            <w:pPr>
              <w:pStyle w:val="TableParagraph"/>
              <w:spacing w:line="316" w:lineRule="auto" w:before="17"/>
              <w:ind w:left="152" w:right="35" w:firstLine="105"/>
              <w:jc w:val="left"/>
              <w:rPr>
                <w:rFonts w:ascii="宋体" w:hAnsi="宋体" w:cs="宋体" w:eastAsia="宋体" w:hint="default"/>
                <w:sz w:val="18"/>
                <w:szCs w:val="18"/>
              </w:rPr>
            </w:pPr>
            <w:r>
              <w:rPr>
                <w:rFonts w:ascii="宋体" w:hAnsi="宋体" w:cs="宋体" w:eastAsia="宋体" w:hint="default"/>
                <w:sz w:val="18"/>
                <w:szCs w:val="18"/>
              </w:rPr>
              <w:t>与收益相关的政 府补助</w:t>
            </w:r>
          </w:p>
        </w:tc>
      </w:tr>
      <w:tr>
        <w:trPr>
          <w:trHeight w:val="658" w:hRule="exact"/>
        </w:trPr>
        <w:tc>
          <w:tcPr>
            <w:tcW w:w="2644" w:type="dxa"/>
            <w:tcBorders>
              <w:top w:val="single" w:sz="8" w:space="0" w:color="000000"/>
              <w:left w:val="nil" w:sz="6" w:space="0" w:color="auto"/>
              <w:bottom w:val="single" w:sz="8" w:space="0" w:color="000000"/>
              <w:right w:val="nil" w:sz="6" w:space="0" w:color="auto"/>
            </w:tcBorders>
          </w:tcPr>
          <w:p>
            <w:pPr>
              <w:pStyle w:val="TableParagraph"/>
              <w:spacing w:line="300" w:lineRule="auto" w:before="15"/>
              <w:ind w:left="26" w:right="66"/>
              <w:jc w:val="left"/>
              <w:rPr>
                <w:rFonts w:ascii="宋体" w:hAnsi="宋体" w:cs="宋体" w:eastAsia="宋体" w:hint="default"/>
                <w:sz w:val="18"/>
                <w:szCs w:val="18"/>
              </w:rPr>
            </w:pPr>
            <w:r>
              <w:rPr>
                <w:rFonts w:ascii="宋体" w:hAnsi="宋体" w:cs="宋体" w:eastAsia="宋体" w:hint="default"/>
                <w:sz w:val="18"/>
                <w:szCs w:val="18"/>
              </w:rPr>
              <w:t>北京市科学技术委员会</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年北</w:t>
            </w:r>
            <w:r>
              <w:rPr>
                <w:rFonts w:ascii="宋体" w:hAnsi="宋体" w:cs="宋体" w:eastAsia="宋体" w:hint="default"/>
                <w:spacing w:val="-68"/>
                <w:sz w:val="18"/>
                <w:szCs w:val="18"/>
              </w:rPr>
              <w:t> </w:t>
            </w:r>
            <w:r>
              <w:rPr>
                <w:rFonts w:ascii="宋体" w:hAnsi="宋体" w:cs="宋体" w:eastAsia="宋体" w:hint="default"/>
                <w:sz w:val="18"/>
                <w:szCs w:val="18"/>
              </w:rPr>
              <w:t>京市高新技术成果转化项目拨款</w:t>
            </w:r>
          </w:p>
        </w:tc>
        <w:tc>
          <w:tcPr>
            <w:tcW w:w="1361"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56"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588"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18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9"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205"/>
              <w:jc w:val="right"/>
              <w:rPr>
                <w:rFonts w:ascii="Times New Roman" w:hAnsi="Times New Roman" w:cs="Times New Roman" w:eastAsia="Times New Roman" w:hint="default"/>
                <w:sz w:val="18"/>
                <w:szCs w:val="18"/>
              </w:rPr>
            </w:pPr>
            <w:r>
              <w:rPr>
                <w:rFonts w:ascii="Times New Roman"/>
                <w:spacing w:val="-1"/>
                <w:sz w:val="18"/>
              </w:rPr>
              <w:t>700,000.00</w:t>
            </w:r>
          </w:p>
        </w:tc>
        <w:tc>
          <w:tcPr>
            <w:tcW w:w="1078"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52"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554" w:type="dxa"/>
            <w:tcBorders>
              <w:top w:val="single" w:sz="8" w:space="0" w:color="000000"/>
              <w:left w:val="nil" w:sz="6" w:space="0" w:color="auto"/>
              <w:bottom w:val="single" w:sz="8" w:space="0" w:color="000000"/>
              <w:right w:val="nil" w:sz="6" w:space="0" w:color="auto"/>
            </w:tcBorders>
          </w:tcPr>
          <w:p>
            <w:pPr>
              <w:pStyle w:val="TableParagraph"/>
              <w:spacing w:line="316" w:lineRule="auto" w:before="15"/>
              <w:ind w:left="152" w:right="35" w:firstLine="105"/>
              <w:jc w:val="left"/>
              <w:rPr>
                <w:rFonts w:ascii="宋体" w:hAnsi="宋体" w:cs="宋体" w:eastAsia="宋体" w:hint="default"/>
                <w:sz w:val="18"/>
                <w:szCs w:val="18"/>
              </w:rPr>
            </w:pPr>
            <w:r>
              <w:rPr>
                <w:rFonts w:ascii="宋体" w:hAnsi="宋体" w:cs="宋体" w:eastAsia="宋体" w:hint="default"/>
                <w:sz w:val="18"/>
                <w:szCs w:val="18"/>
              </w:rPr>
              <w:t>与收益相关的政 府补助</w:t>
            </w:r>
          </w:p>
        </w:tc>
      </w:tr>
      <w:tr>
        <w:trPr>
          <w:trHeight w:val="661" w:hRule="exact"/>
        </w:trPr>
        <w:tc>
          <w:tcPr>
            <w:tcW w:w="2644" w:type="dxa"/>
            <w:tcBorders>
              <w:top w:val="single" w:sz="8" w:space="0" w:color="000000"/>
              <w:left w:val="nil" w:sz="6" w:space="0" w:color="auto"/>
              <w:bottom w:val="single" w:sz="8" w:space="0" w:color="000000"/>
              <w:right w:val="nil" w:sz="6" w:space="0" w:color="auto"/>
            </w:tcBorders>
          </w:tcPr>
          <w:p>
            <w:pPr>
              <w:pStyle w:val="TableParagraph"/>
              <w:spacing w:line="240" w:lineRule="auto" w:before="18"/>
              <w:ind w:left="26" w:right="0"/>
              <w:jc w:val="left"/>
              <w:rPr>
                <w:rFonts w:ascii="宋体" w:hAnsi="宋体" w:cs="宋体" w:eastAsia="宋体" w:hint="default"/>
                <w:sz w:val="18"/>
                <w:szCs w:val="18"/>
              </w:rPr>
            </w:pPr>
            <w:r>
              <w:rPr>
                <w:rFonts w:ascii="宋体" w:hAnsi="宋体" w:cs="宋体" w:eastAsia="宋体" w:hint="default"/>
                <w:sz w:val="18"/>
                <w:szCs w:val="18"/>
              </w:rPr>
              <w:t>政府其他奖励补贴</w:t>
            </w:r>
          </w:p>
        </w:tc>
        <w:tc>
          <w:tcPr>
            <w:tcW w:w="1361" w:type="dxa"/>
            <w:tcBorders>
              <w:top w:val="single" w:sz="8" w:space="0" w:color="000000"/>
              <w:left w:val="nil" w:sz="6" w:space="0" w:color="auto"/>
              <w:bottom w:val="single" w:sz="8" w:space="0" w:color="000000"/>
              <w:right w:val="nil" w:sz="6" w:space="0" w:color="auto"/>
            </w:tcBorders>
          </w:tcPr>
          <w:p>
            <w:pPr>
              <w:pStyle w:val="TableParagraph"/>
              <w:spacing w:line="240" w:lineRule="auto" w:before="18"/>
              <w:ind w:left="56"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588"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187"/>
              <w:jc w:val="right"/>
              <w:rPr>
                <w:rFonts w:ascii="Times New Roman" w:hAnsi="Times New Roman" w:cs="Times New Roman" w:eastAsia="Times New Roman" w:hint="default"/>
                <w:sz w:val="18"/>
                <w:szCs w:val="18"/>
              </w:rPr>
            </w:pPr>
            <w:r>
              <w:rPr>
                <w:rFonts w:ascii="Times New Roman"/>
                <w:spacing w:val="-1"/>
                <w:sz w:val="18"/>
              </w:rPr>
              <w:t>14,341.22</w:t>
            </w:r>
          </w:p>
        </w:tc>
        <w:tc>
          <w:tcPr>
            <w:tcW w:w="1429"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203"/>
              <w:jc w:val="right"/>
              <w:rPr>
                <w:rFonts w:ascii="Times New Roman" w:hAnsi="Times New Roman" w:cs="Times New Roman" w:eastAsia="Times New Roman" w:hint="default"/>
                <w:sz w:val="18"/>
                <w:szCs w:val="18"/>
              </w:rPr>
            </w:pPr>
            <w:r>
              <w:rPr>
                <w:rFonts w:ascii="Times New Roman"/>
                <w:spacing w:val="-1"/>
                <w:sz w:val="18"/>
              </w:rPr>
              <w:t>233,614.66</w:t>
            </w:r>
          </w:p>
        </w:tc>
        <w:tc>
          <w:tcPr>
            <w:tcW w:w="1078" w:type="dxa"/>
            <w:tcBorders>
              <w:top w:val="single" w:sz="8" w:space="0" w:color="000000"/>
              <w:left w:val="nil" w:sz="6" w:space="0" w:color="auto"/>
              <w:bottom w:val="single" w:sz="8" w:space="0" w:color="000000"/>
              <w:right w:val="nil" w:sz="6" w:space="0" w:color="auto"/>
            </w:tcBorders>
          </w:tcPr>
          <w:p>
            <w:pPr>
              <w:pStyle w:val="TableParagraph"/>
              <w:spacing w:line="240" w:lineRule="auto" w:before="18"/>
              <w:ind w:left="52"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554" w:type="dxa"/>
            <w:tcBorders>
              <w:top w:val="single" w:sz="8" w:space="0" w:color="000000"/>
              <w:left w:val="nil" w:sz="6" w:space="0" w:color="auto"/>
              <w:bottom w:val="single" w:sz="8" w:space="0" w:color="000000"/>
              <w:right w:val="nil" w:sz="6" w:space="0" w:color="auto"/>
            </w:tcBorders>
          </w:tcPr>
          <w:p>
            <w:pPr>
              <w:pStyle w:val="TableParagraph"/>
              <w:spacing w:line="316" w:lineRule="auto" w:before="18"/>
              <w:ind w:left="152" w:right="35" w:firstLine="105"/>
              <w:jc w:val="left"/>
              <w:rPr>
                <w:rFonts w:ascii="宋体" w:hAnsi="宋体" w:cs="宋体" w:eastAsia="宋体" w:hint="default"/>
                <w:sz w:val="18"/>
                <w:szCs w:val="18"/>
              </w:rPr>
            </w:pPr>
            <w:r>
              <w:rPr>
                <w:rFonts w:ascii="宋体" w:hAnsi="宋体" w:cs="宋体" w:eastAsia="宋体" w:hint="default"/>
                <w:sz w:val="18"/>
                <w:szCs w:val="18"/>
              </w:rPr>
              <w:t>与收益相关的政 府补助</w:t>
            </w:r>
          </w:p>
        </w:tc>
      </w:tr>
      <w:tr>
        <w:trPr>
          <w:trHeight w:val="348" w:hRule="exact"/>
        </w:trPr>
        <w:tc>
          <w:tcPr>
            <w:tcW w:w="2644"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61"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3"/>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361" w:type="dxa"/>
            <w:tcBorders>
              <w:top w:val="single" w:sz="8" w:space="0" w:color="000000"/>
              <w:left w:val="nil" w:sz="6" w:space="0" w:color="auto"/>
              <w:bottom w:val="single" w:sz="8" w:space="0" w:color="000000"/>
              <w:right w:val="nil" w:sz="6" w:space="0" w:color="auto"/>
            </w:tcBorders>
          </w:tcPr>
          <w:p>
            <w:pPr/>
          </w:p>
        </w:tc>
        <w:tc>
          <w:tcPr>
            <w:tcW w:w="1588"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right="187"/>
              <w:jc w:val="right"/>
              <w:rPr>
                <w:rFonts w:ascii="Times New Roman" w:hAnsi="Times New Roman" w:cs="Times New Roman" w:eastAsia="Times New Roman" w:hint="default"/>
                <w:sz w:val="18"/>
                <w:szCs w:val="18"/>
              </w:rPr>
            </w:pPr>
            <w:r>
              <w:rPr>
                <w:rFonts w:ascii="Times New Roman"/>
                <w:b/>
                <w:spacing w:val="-1"/>
                <w:sz w:val="18"/>
              </w:rPr>
              <w:t>9,130,805.54</w:t>
            </w:r>
            <w:r>
              <w:rPr>
                <w:rFonts w:ascii="Times New Roman"/>
                <w:spacing w:val="-1"/>
                <w:sz w:val="18"/>
              </w:rPr>
            </w:r>
          </w:p>
        </w:tc>
        <w:tc>
          <w:tcPr>
            <w:tcW w:w="1429"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right="203"/>
              <w:jc w:val="right"/>
              <w:rPr>
                <w:rFonts w:ascii="Times New Roman" w:hAnsi="Times New Roman" w:cs="Times New Roman" w:eastAsia="Times New Roman" w:hint="default"/>
                <w:sz w:val="18"/>
                <w:szCs w:val="18"/>
              </w:rPr>
            </w:pPr>
            <w:r>
              <w:rPr>
                <w:rFonts w:ascii="Times New Roman"/>
                <w:b/>
                <w:spacing w:val="-1"/>
                <w:sz w:val="18"/>
              </w:rPr>
              <w:t>13,748,053.97</w:t>
            </w:r>
            <w:r>
              <w:rPr>
                <w:rFonts w:ascii="Times New Roman"/>
                <w:spacing w:val="-1"/>
                <w:sz w:val="18"/>
              </w:rPr>
            </w:r>
          </w:p>
        </w:tc>
        <w:tc>
          <w:tcPr>
            <w:tcW w:w="1078" w:type="dxa"/>
            <w:tcBorders>
              <w:top w:val="single" w:sz="8" w:space="0" w:color="000000"/>
              <w:left w:val="nil" w:sz="6" w:space="0" w:color="auto"/>
              <w:bottom w:val="single" w:sz="8" w:space="0" w:color="000000"/>
              <w:right w:val="nil" w:sz="6" w:space="0" w:color="auto"/>
            </w:tcBorders>
          </w:tcPr>
          <w:p>
            <w:pPr/>
          </w:p>
        </w:tc>
        <w:tc>
          <w:tcPr>
            <w:tcW w:w="1554"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Heading2"/>
        <w:spacing w:line="240" w:lineRule="auto" w:before="26"/>
        <w:ind w:left="132" w:right="0"/>
        <w:jc w:val="left"/>
        <w:rPr>
          <w:b w:val="0"/>
          <w:bCs w:val="0"/>
        </w:rPr>
      </w:pP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32"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32"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2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168,920,</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941.80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36,582,2</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46.04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21.66%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132,338,6</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95.76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147,709</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,840.10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26,854,55</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7.84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18.18%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120,855,28</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2.26</w:t>
            </w: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0" w:right="0"/>
              <w:jc w:val="center"/>
              <w:rPr>
                <w:rFonts w:ascii="Times New Roman" w:hAnsi="Times New Roman" w:cs="Times New Roman" w:eastAsia="Times New Roman" w:hint="default"/>
                <w:sz w:val="18"/>
                <w:szCs w:val="18"/>
              </w:rPr>
            </w:pPr>
            <w:r>
              <w:rPr>
                <w:rFonts w:ascii="Times New Roman"/>
                <w:sz w:val="18"/>
              </w:rPr>
              <w:t>168,920,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941.80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8" w:right="0"/>
              <w:jc w:val="left"/>
              <w:rPr>
                <w:rFonts w:ascii="Times New Roman" w:hAnsi="Times New Roman" w:cs="Times New Roman" w:eastAsia="Times New Roman" w:hint="default"/>
                <w:sz w:val="18"/>
                <w:szCs w:val="18"/>
              </w:rPr>
            </w:pPr>
            <w:r>
              <w:rPr>
                <w:rFonts w:ascii="Times New Roman"/>
                <w:sz w:val="18"/>
              </w:rPr>
              <w:t>36,582,2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46.04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21.66%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 w:right="0"/>
              <w:jc w:val="left"/>
              <w:rPr>
                <w:rFonts w:ascii="Times New Roman" w:hAnsi="Times New Roman" w:cs="Times New Roman" w:eastAsia="Times New Roman" w:hint="default"/>
                <w:sz w:val="18"/>
                <w:szCs w:val="18"/>
              </w:rPr>
            </w:pPr>
            <w:r>
              <w:rPr>
                <w:rFonts w:ascii="Times New Roman"/>
                <w:sz w:val="18"/>
              </w:rPr>
              <w:t>132,338,6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95.76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8" w:right="0"/>
              <w:jc w:val="left"/>
              <w:rPr>
                <w:rFonts w:ascii="Times New Roman" w:hAnsi="Times New Roman" w:cs="Times New Roman" w:eastAsia="Times New Roman" w:hint="default"/>
                <w:sz w:val="18"/>
                <w:szCs w:val="18"/>
              </w:rPr>
            </w:pPr>
            <w:r>
              <w:rPr>
                <w:rFonts w:ascii="Times New Roman"/>
                <w:sz w:val="18"/>
              </w:rPr>
              <w:t>147,709</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,840.10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2" w:right="0"/>
              <w:jc w:val="left"/>
              <w:rPr>
                <w:rFonts w:ascii="Times New Roman" w:hAnsi="Times New Roman" w:cs="Times New Roman" w:eastAsia="Times New Roman" w:hint="default"/>
                <w:sz w:val="18"/>
                <w:szCs w:val="18"/>
              </w:rPr>
            </w:pPr>
            <w:r>
              <w:rPr>
                <w:rFonts w:ascii="Times New Roman"/>
                <w:sz w:val="18"/>
              </w:rPr>
              <w:t>26,854,55</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7.84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18.18%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8" w:right="0"/>
              <w:jc w:val="left"/>
              <w:rPr>
                <w:rFonts w:ascii="Times New Roman" w:hAnsi="Times New Roman" w:cs="Times New Roman" w:eastAsia="Times New Roman" w:hint="default"/>
                <w:sz w:val="18"/>
                <w:szCs w:val="18"/>
              </w:rPr>
            </w:pPr>
            <w:r>
              <w:rPr>
                <w:rFonts w:ascii="Times New Roman"/>
                <w:sz w:val="18"/>
              </w:rPr>
              <w:t>120,855,28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2.26</w:t>
            </w:r>
          </w:p>
        </w:tc>
      </w:tr>
    </w:tbl>
    <w:p>
      <w:pPr>
        <w:spacing w:after="0" w:line="240" w:lineRule="auto"/>
        <w:jc w:val="left"/>
        <w:rPr>
          <w:rFonts w:ascii="Times New Roman" w:hAnsi="Times New Roman" w:cs="Times New Roman" w:eastAsia="Times New Roman" w:hint="default"/>
          <w:sz w:val="18"/>
          <w:szCs w:val="18"/>
        </w:rPr>
        <w:sectPr>
          <w:pgSz w:w="11910" w:h="16840"/>
          <w:pgMar w:header="867" w:footer="979" w:top="1060" w:bottom="1160" w:left="1000" w:right="1020"/>
        </w:sectPr>
      </w:pPr>
    </w:p>
    <w:p>
      <w:pPr>
        <w:spacing w:before="49"/>
        <w:ind w:left="13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7"/>
        <w:ind w:left="13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39"/>
        <w:ind w:left="13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00" w:right="1020"/>
          <w:cols w:num="2" w:equalWidth="0">
            <w:col w:w="4273" w:space="4556"/>
            <w:col w:w="1061"/>
          </w:cols>
        </w:sectPr>
      </w:pP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9" w:right="0"/>
              <w:jc w:val="left"/>
              <w:rPr>
                <w:rFonts w:ascii="Times New Roman" w:hAnsi="Times New Roman" w:cs="Times New Roman" w:eastAsia="Times New Roman" w:hint="default"/>
                <w:sz w:val="18"/>
                <w:szCs w:val="18"/>
              </w:rPr>
            </w:pPr>
            <w:r>
              <w:rPr>
                <w:rFonts w:ascii="Times New Roman"/>
                <w:sz w:val="18"/>
              </w:rPr>
              <w:t>61,969,363.62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1" w:right="0"/>
              <w:jc w:val="left"/>
              <w:rPr>
                <w:rFonts w:ascii="Times New Roman" w:hAnsi="Times New Roman" w:cs="Times New Roman" w:eastAsia="Times New Roman" w:hint="default"/>
                <w:sz w:val="18"/>
                <w:szCs w:val="18"/>
              </w:rPr>
            </w:pPr>
            <w:r>
              <w:rPr>
                <w:rFonts w:ascii="Times New Roman"/>
                <w:sz w:val="18"/>
              </w:rPr>
              <w:t>3,098,468.17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0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31,262,525.72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3,126,252.57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21,739,283.12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6,521,784.94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14,172,228.69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7,086,114.35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5,899,529.00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4,719,623.20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12,030,002.81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12,030,002.81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147,072,932.96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36,582,246.04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24.87%</w:t>
            </w:r>
          </w:p>
        </w:tc>
      </w:tr>
    </w:tbl>
    <w:p>
      <w:pPr>
        <w:spacing w:line="360" w:lineRule="auto" w:before="49"/>
        <w:ind w:left="112" w:right="547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8"/>
        <w:ind w:left="112" w:right="58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pStyle w:val="BodyText"/>
        <w:spacing w:line="256" w:lineRule="auto" w:before="18"/>
        <w:ind w:right="109" w:firstLine="420"/>
        <w:jc w:val="left"/>
      </w:pPr>
      <w:r>
        <w:rPr/>
        <w:t>采用其他方法计提坏账准备的应收账款为关联组合，期末余额为</w:t>
      </w:r>
      <w:r>
        <w:rPr>
          <w:spacing w:val="-28"/>
        </w:rPr>
        <w:t> </w:t>
      </w:r>
      <w:r>
        <w:rPr>
          <w:rFonts w:ascii="Times New Roman" w:hAnsi="Times New Roman" w:cs="Times New Roman" w:eastAsia="Times New Roman" w:hint="default"/>
        </w:rPr>
        <w:t>21,848,008.84</w:t>
      </w:r>
      <w:r>
        <w:rPr/>
        <w:t>元，历史损失率为零，</w:t>
      </w:r>
      <w:r>
        <w:rPr>
          <w:w w:val="100"/>
        </w:rPr>
        <w:t> </w:t>
      </w:r>
      <w:r>
        <w:rPr/>
        <w:t>根据公司会计政策未计提坏账准备。</w:t>
      </w:r>
    </w:p>
    <w:p>
      <w:pPr>
        <w:spacing w:line="240" w:lineRule="auto" w:before="8"/>
        <w:rPr>
          <w:rFonts w:ascii="宋体" w:hAnsi="宋体" w:cs="宋体" w:eastAsia="宋体" w:hint="default"/>
          <w:sz w:val="24"/>
          <w:szCs w:val="24"/>
        </w:rPr>
      </w:pPr>
    </w:p>
    <w:p>
      <w:pPr>
        <w:pStyle w:val="Heading3"/>
        <w:spacing w:line="240" w:lineRule="auto"/>
        <w:ind w:right="5474"/>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67" w:footer="979" w:top="1060" w:bottom="1160" w:left="1020" w:right="960"/>
        </w:sectPr>
      </w:pPr>
    </w:p>
    <w:p>
      <w:pPr>
        <w:spacing w:line="340" w:lineRule="auto" w:before="44"/>
        <w:ind w:left="112" w:right="-1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9,727,688.20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960"/>
          <w:cols w:num="2" w:equalWidth="0">
            <w:col w:w="6420" w:space="2410"/>
            <w:col w:w="1100"/>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7"/>
        <w:gridCol w:w="3101"/>
        <w:gridCol w:w="3101"/>
      </w:tblGrid>
      <w:tr>
        <w:trPr>
          <w:trHeight w:val="404"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5"/>
        <w:rPr>
          <w:rFonts w:ascii="宋体" w:hAnsi="宋体" w:cs="宋体" w:eastAsia="宋体" w:hint="default"/>
          <w:sz w:val="19"/>
          <w:szCs w:val="19"/>
        </w:rPr>
      </w:pPr>
    </w:p>
    <w:p>
      <w:pPr>
        <w:pStyle w:val="Heading3"/>
        <w:spacing w:line="240" w:lineRule="auto" w:before="36"/>
        <w:ind w:right="5474"/>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spacing w:before="44"/>
        <w:ind w:left="0" w:right="1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0"/>
        <w:ind w:left="112" w:right="5474"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12" w:right="5474"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610" w:lineRule="atLeast" w:before="39"/>
        <w:ind w:left="533" w:right="109"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100"/>
          <w:sz w:val="21"/>
          <w:szCs w:val="21"/>
        </w:rPr>
        <w:t> </w:t>
      </w:r>
      <w:r>
        <w:rPr>
          <w:rFonts w:ascii="宋体" w:hAnsi="宋体" w:cs="宋体" w:eastAsia="宋体" w:hint="default"/>
          <w:spacing w:val="6"/>
          <w:sz w:val="21"/>
          <w:szCs w:val="21"/>
        </w:rPr>
        <w:t>本期按欠款方归集的期末余额前五名金额为</w:t>
      </w:r>
      <w:r>
        <w:rPr>
          <w:rFonts w:ascii="Times New Roman" w:hAnsi="Times New Roman" w:cs="Times New Roman" w:eastAsia="Times New Roman" w:hint="default"/>
          <w:spacing w:val="6"/>
          <w:sz w:val="21"/>
          <w:szCs w:val="21"/>
        </w:rPr>
        <w:t>37,918,593.36</w:t>
      </w:r>
      <w:r>
        <w:rPr>
          <w:rFonts w:ascii="宋体" w:hAnsi="宋体" w:cs="宋体" w:eastAsia="宋体" w:hint="default"/>
          <w:spacing w:val="6"/>
          <w:sz w:val="21"/>
          <w:szCs w:val="21"/>
        </w:rPr>
        <w:t>元，占应收账款期末余额合计数的比例</w:t>
      </w:r>
    </w:p>
    <w:p>
      <w:pPr>
        <w:pStyle w:val="BodyText"/>
        <w:spacing w:line="240" w:lineRule="auto" w:before="21"/>
        <w:ind w:right="109"/>
        <w:jc w:val="left"/>
      </w:pPr>
      <w:r>
        <w:rPr>
          <w:rFonts w:ascii="Times New Roman" w:hAnsi="Times New Roman" w:cs="Times New Roman" w:eastAsia="Times New Roman" w:hint="default"/>
        </w:rPr>
        <w:t>22.44%</w:t>
      </w:r>
      <w:r>
        <w:rPr/>
        <w:t>，相应计提的坏账准备期末余额汇总金额</w:t>
      </w:r>
      <w:r>
        <w:rPr>
          <w:rFonts w:ascii="Times New Roman" w:hAnsi="Times New Roman" w:cs="Times New Roman" w:eastAsia="Times New Roman" w:hint="default"/>
        </w:rPr>
        <w:t>3,365,901.40</w:t>
      </w:r>
      <w:r>
        <w:rPr/>
        <w:t>元。</w:t>
      </w:r>
    </w:p>
    <w:p>
      <w:pPr>
        <w:spacing w:line="240" w:lineRule="auto" w:before="7"/>
        <w:rPr>
          <w:rFonts w:ascii="宋体" w:hAnsi="宋体" w:cs="宋体" w:eastAsia="宋体" w:hint="default"/>
          <w:sz w:val="24"/>
          <w:szCs w:val="24"/>
        </w:rPr>
      </w:pPr>
    </w:p>
    <w:p>
      <w:pPr>
        <w:pStyle w:val="Heading3"/>
        <w:spacing w:line="240" w:lineRule="auto"/>
        <w:ind w:right="5474"/>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9"/>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5"/>
        <w:rPr>
          <w:rFonts w:ascii="宋体" w:hAnsi="宋体" w:cs="宋体" w:eastAsia="宋体" w:hint="default"/>
          <w:b/>
          <w:bCs/>
          <w:sz w:val="26"/>
          <w:szCs w:val="26"/>
        </w:rPr>
      </w:pPr>
    </w:p>
    <w:p>
      <w:pPr>
        <w:spacing w:before="0"/>
        <w:ind w:left="112" w:right="547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160" w:left="1020" w:right="960"/>
        </w:sectPr>
      </w:pPr>
    </w:p>
    <w:p>
      <w:pPr>
        <w:spacing w:line="240" w:lineRule="auto" w:before="13"/>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28,148,1</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21.48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5,695,98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2.01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20.24%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22,452,13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9.47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26,795,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031.66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5,069,182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18.92%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21,725,848.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28,148,1</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21.48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5,695,98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2.01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20.24%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22,452,13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9.47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26,795,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031.66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5,069,182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18.92%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21,725,848.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1020" w:right="920"/>
        </w:sectPr>
      </w:pPr>
    </w:p>
    <w:p>
      <w:pPr>
        <w:spacing w:before="49"/>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9"/>
        <w:ind w:left="11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43"/>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920"/>
          <w:cols w:num="2" w:equalWidth="0">
            <w:col w:w="4433" w:space="4396"/>
            <w:col w:w="1141"/>
          </w:cols>
        </w:sectPr>
      </w:pP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494"/>
        <w:gridCol w:w="2295"/>
        <w:gridCol w:w="2391"/>
        <w:gridCol w:w="2391"/>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6,400,655.08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320,032.75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2,575,181.45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257,518.15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5,471,822.20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1,641,546.66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2,801,772.10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1,400,886.05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792,540.00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634,032.00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1,441,966.40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1,441,966.40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19,483,937.23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5,695,982.01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29.23%</w:t>
            </w:r>
          </w:p>
        </w:tc>
      </w:tr>
    </w:tbl>
    <w:p>
      <w:pPr>
        <w:spacing w:line="360" w:lineRule="auto" w:before="49"/>
        <w:ind w:left="112" w:right="533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7"/>
        <w:ind w:left="112" w:right="5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56" w:lineRule="auto" w:before="83"/>
        <w:ind w:right="0" w:firstLine="420"/>
        <w:jc w:val="left"/>
      </w:pPr>
      <w:r>
        <w:rPr>
          <w:spacing w:val="-5"/>
          <w:w w:val="100"/>
        </w:rPr>
        <w:t>采用其他方法计提坏账准备的其他应收账款为关联组合，期末余额为</w:t>
      </w:r>
      <w:r>
        <w:rPr>
          <w:rFonts w:ascii="Times New Roman" w:hAnsi="Times New Roman" w:cs="Times New Roman" w:eastAsia="Times New Roman" w:hint="default"/>
          <w:spacing w:val="-5"/>
          <w:w w:val="100"/>
        </w:rPr>
        <w:t>8,664,184.25</w:t>
      </w:r>
      <w:r>
        <w:rPr>
          <w:spacing w:val="-5"/>
          <w:w w:val="100"/>
        </w:rPr>
        <w:t>元，历史损失率为零，</w:t>
      </w:r>
      <w:r>
        <w:rPr>
          <w:w w:val="100"/>
        </w:rPr>
        <w:t> </w:t>
      </w:r>
      <w:r>
        <w:rPr/>
        <w:t>根据公司会计政策未计提坏账准备。</w:t>
      </w:r>
    </w:p>
    <w:p>
      <w:pPr>
        <w:spacing w:after="0" w:line="256" w:lineRule="auto"/>
        <w:jc w:val="left"/>
        <w:sectPr>
          <w:type w:val="continuous"/>
          <w:pgSz w:w="11910" w:h="16840"/>
          <w:pgMar w:top="1060" w:bottom="1160" w:left="1020" w:right="920"/>
        </w:sectPr>
      </w:pPr>
    </w:p>
    <w:p>
      <w:pPr>
        <w:spacing w:line="240" w:lineRule="auto" w:before="13"/>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67" w:footer="979" w:top="1060" w:bottom="1160" w:left="1020" w:right="1020"/>
        </w:sectPr>
      </w:pPr>
    </w:p>
    <w:p>
      <w:pPr>
        <w:spacing w:line="338" w:lineRule="auto" w:before="44"/>
        <w:ind w:left="112" w:right="-1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626,799.28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285" w:space="2544"/>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16,071,745.25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20,225,851.90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3,198,102.26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2,946,735.26</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备用金及其他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8,878,273.97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3,622,444.50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28,148,121.48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26,795,031.66</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3"/>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127"/>
        <w:gridCol w:w="1109"/>
        <w:gridCol w:w="1553"/>
        <w:gridCol w:w="1551"/>
        <w:gridCol w:w="1616"/>
        <w:gridCol w:w="1615"/>
      </w:tblGrid>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1"/>
              <w:jc w:val="left"/>
              <w:rPr>
                <w:rFonts w:ascii="宋体" w:hAnsi="宋体" w:cs="宋体" w:eastAsia="宋体" w:hint="default"/>
                <w:sz w:val="18"/>
                <w:szCs w:val="18"/>
              </w:rPr>
            </w:pPr>
            <w:r>
              <w:rPr>
                <w:rFonts w:ascii="宋体" w:hAnsi="宋体" w:cs="宋体" w:eastAsia="宋体" w:hint="default"/>
                <w:sz w:val="18"/>
                <w:szCs w:val="18"/>
              </w:rPr>
              <w:t>北京安信天行科技有限公 司京安信天行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3"/>
              <w:jc w:val="left"/>
              <w:rPr>
                <w:rFonts w:ascii="宋体" w:hAnsi="宋体" w:cs="宋体" w:eastAsia="宋体" w:hint="default"/>
                <w:sz w:val="18"/>
                <w:szCs w:val="18"/>
              </w:rPr>
            </w:pPr>
            <w:r>
              <w:rPr>
                <w:rFonts w:ascii="宋体" w:hAnsi="宋体" w:cs="宋体" w:eastAsia="宋体" w:hint="default"/>
                <w:sz w:val="18"/>
                <w:szCs w:val="18"/>
              </w:rPr>
              <w:t>备用金及其 他</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8,664,184.25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30.78%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11"/>
              <w:jc w:val="left"/>
              <w:rPr>
                <w:rFonts w:ascii="宋体" w:hAnsi="宋体" w:cs="宋体" w:eastAsia="宋体" w:hint="default"/>
                <w:sz w:val="18"/>
                <w:szCs w:val="18"/>
              </w:rPr>
            </w:pPr>
            <w:r>
              <w:rPr>
                <w:rFonts w:ascii="宋体" w:hAnsi="宋体" w:cs="宋体" w:eastAsia="宋体" w:hint="default"/>
                <w:sz w:val="18"/>
                <w:szCs w:val="18"/>
              </w:rPr>
              <w:t>上海普华诚信信息技术有 限公司</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2,930,342.00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 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10.41%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690,587.10</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江苏省设备成套有限公司</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1,923,600.00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577,080.00</w:t>
            </w:r>
          </w:p>
        </w:tc>
      </w:tr>
      <w:tr>
        <w:trPr>
          <w:trHeight w:val="71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1"/>
              <w:jc w:val="left"/>
              <w:rPr>
                <w:rFonts w:ascii="宋体" w:hAnsi="宋体" w:cs="宋体" w:eastAsia="宋体" w:hint="default"/>
                <w:sz w:val="18"/>
                <w:szCs w:val="18"/>
              </w:rPr>
            </w:pPr>
            <w:r>
              <w:rPr>
                <w:rFonts w:ascii="宋体" w:hAnsi="宋体" w:cs="宋体" w:eastAsia="宋体" w:hint="default"/>
                <w:sz w:val="18"/>
                <w:szCs w:val="18"/>
              </w:rPr>
              <w:t>北京万柳置业集团有限公 司</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1,798,407.00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89,920.35</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文化部信息中心</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975,350.25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48,767.51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126"/>
        <w:gridCol w:w="1109"/>
        <w:gridCol w:w="1553"/>
        <w:gridCol w:w="1551"/>
        <w:gridCol w:w="1616"/>
        <w:gridCol w:w="1615"/>
      </w:tblGrid>
      <w:tr>
        <w:trPr>
          <w:trHeight w:val="404"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16,291,883.50</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9" w:right="0"/>
              <w:jc w:val="left"/>
              <w:rPr>
                <w:rFonts w:ascii="Times New Roman" w:hAnsi="Times New Roman" w:cs="Times New Roman" w:eastAsia="Times New Roman" w:hint="default"/>
                <w:sz w:val="18"/>
                <w:szCs w:val="18"/>
              </w:rPr>
            </w:pPr>
            <w:r>
              <w:rPr>
                <w:rFonts w:ascii="Times New Roman"/>
                <w:sz w:val="18"/>
              </w:rPr>
              <w:t>57.88%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8" w:right="0"/>
              <w:jc w:val="left"/>
              <w:rPr>
                <w:rFonts w:ascii="Times New Roman" w:hAnsi="Times New Roman" w:cs="Times New Roman" w:eastAsia="Times New Roman" w:hint="default"/>
                <w:sz w:val="18"/>
                <w:szCs w:val="18"/>
              </w:rPr>
            </w:pPr>
            <w:r>
              <w:rPr>
                <w:rFonts w:ascii="Times New Roman"/>
                <w:sz w:val="18"/>
              </w:rPr>
              <w:t>1,406,354.96</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25"/>
        <w:gridCol w:w="1865"/>
        <w:gridCol w:w="1868"/>
        <w:gridCol w:w="1867"/>
        <w:gridCol w:w="1945"/>
      </w:tblGrid>
      <w:tr>
        <w:trPr>
          <w:trHeight w:val="713"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2" w:right="0"/>
              <w:jc w:val="left"/>
              <w:rPr>
                <w:rFonts w:ascii="Times New Roman" w:hAnsi="Times New Roman" w:cs="Times New Roman" w:eastAsia="Times New Roman" w:hint="default"/>
                <w:sz w:val="18"/>
                <w:szCs w:val="18"/>
              </w:rPr>
            </w:pPr>
            <w:r>
              <w:rPr>
                <w:rFonts w:ascii="Times New Roman"/>
                <w:sz w:val="18"/>
              </w:rPr>
              <w:t>20,000,000.00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20,000,000.00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22,550,000.00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22,550,000.00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20,000,000.00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20,000,000.00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22,550,000.00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22,550,000.00</w:t>
            </w: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安信天行</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8" w:right="0"/>
              <w:jc w:val="left"/>
              <w:rPr>
                <w:rFonts w:ascii="Times New Roman" w:hAnsi="Times New Roman" w:cs="Times New Roman" w:eastAsia="Times New Roman" w:hint="default"/>
                <w:sz w:val="18"/>
                <w:szCs w:val="18"/>
              </w:rPr>
            </w:pPr>
            <w:r>
              <w:rPr>
                <w:rFonts w:ascii="Times New Roman"/>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版信通</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2,550,000.00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8" w:right="0"/>
              <w:jc w:val="left"/>
              <w:rPr>
                <w:rFonts w:ascii="Times New Roman" w:hAnsi="Times New Roman" w:cs="Times New Roman" w:eastAsia="Times New Roman" w:hint="default"/>
                <w:sz w:val="18"/>
                <w:szCs w:val="18"/>
              </w:rPr>
            </w:pPr>
            <w:r>
              <w:rPr>
                <w:rFonts w:ascii="Times New Roman"/>
                <w:sz w:val="18"/>
              </w:rPr>
              <w:t>22,550,000.00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bl>
    <w:p>
      <w:pPr>
        <w:spacing w:after="0" w:line="240" w:lineRule="auto"/>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11"/>
        <w:rPr>
          <w:rFonts w:ascii="宋体" w:hAnsi="宋体" w:cs="宋体" w:eastAsia="宋体" w:hint="default"/>
          <w:sz w:val="28"/>
          <w:szCs w:val="28"/>
        </w:rPr>
      </w:pPr>
    </w:p>
    <w:p>
      <w:pPr>
        <w:spacing w:line="402" w:lineRule="exact"/>
        <w:ind w:left="11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6pt;height:20.150pt;mso-position-horizontal-relative:char;mso-position-vertical-relative:line" type="#_x0000_t202" filled="true" fillcolor="#d2d2d2" stroked="true" strokeweight=".47998pt" strokecolor="#000000">
            <w10:anchorlock/>
            <v:textbox inset="0,0,0,0">
              <w:txbxContent>
                <w:p>
                  <w:pPr>
                    <w:spacing w:before="49"/>
                    <w:ind w:left="22" w:right="0" w:firstLine="0"/>
                    <w:jc w:val="left"/>
                    <w:rPr>
                      <w:rFonts w:ascii="宋体" w:hAnsi="宋体" w:cs="宋体" w:eastAsia="宋体" w:hint="default"/>
                      <w:sz w:val="18"/>
                      <w:szCs w:val="18"/>
                    </w:rPr>
                  </w:pPr>
                  <w:r>
                    <w:rPr>
                      <w:rFonts w:ascii="宋体" w:hAnsi="宋体" w:cs="宋体" w:eastAsia="宋体" w:hint="default"/>
                      <w:sz w:val="18"/>
                      <w:szCs w:val="18"/>
                    </w:rPr>
                    <w:t>二、联营企业</w:t>
                  </w:r>
                </w:p>
              </w:txbxContent>
            </v:textbox>
            <v:fill type="solid"/>
          </v:shape>
        </w:pict>
      </w:r>
      <w:r>
        <w:rPr>
          <w:rFonts w:ascii="宋体" w:hAnsi="宋体" w:cs="宋体" w:eastAsia="宋体" w:hint="default"/>
          <w:position w:val="-7"/>
          <w:sz w:val="20"/>
          <w:szCs w:val="20"/>
        </w:rPr>
      </w:r>
    </w:p>
    <w:p>
      <w:pPr>
        <w:spacing w:line="240" w:lineRule="auto" w:before="11"/>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79" w:right="0"/>
              <w:jc w:val="left"/>
              <w:rPr>
                <w:rFonts w:ascii="Times New Roman" w:hAnsi="Times New Roman" w:cs="Times New Roman" w:eastAsia="Times New Roman" w:hint="default"/>
                <w:sz w:val="18"/>
                <w:szCs w:val="18"/>
              </w:rPr>
            </w:pPr>
            <w:r>
              <w:rPr>
                <w:rFonts w:ascii="Times New Roman"/>
                <w:sz w:val="18"/>
              </w:rPr>
              <w:t>356,024,952.00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56" w:right="0"/>
              <w:jc w:val="left"/>
              <w:rPr>
                <w:rFonts w:ascii="Times New Roman" w:hAnsi="Times New Roman" w:cs="Times New Roman" w:eastAsia="Times New Roman" w:hint="default"/>
                <w:sz w:val="18"/>
                <w:szCs w:val="18"/>
              </w:rPr>
            </w:pPr>
            <w:r>
              <w:rPr>
                <w:rFonts w:ascii="Times New Roman"/>
                <w:sz w:val="18"/>
              </w:rPr>
              <w:t>129,366,540.38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345,061,906.25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142,748,888.28</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1,398,132.47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1,115,704.96</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9" w:right="0"/>
              <w:jc w:val="left"/>
              <w:rPr>
                <w:rFonts w:ascii="Times New Roman" w:hAnsi="Times New Roman" w:cs="Times New Roman" w:eastAsia="Times New Roman" w:hint="default"/>
                <w:sz w:val="18"/>
                <w:szCs w:val="18"/>
              </w:rPr>
            </w:pPr>
            <w:r>
              <w:rPr>
                <w:rFonts w:ascii="Times New Roman"/>
                <w:sz w:val="18"/>
              </w:rPr>
              <w:t>356,024,952.00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129,366,540.38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346,460,038.72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143,864,593.24</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2,976,033.57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2,976,033.57</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0"/>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5"/>
        <w:gridCol w:w="2489"/>
        <w:gridCol w:w="3757"/>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-21,846.96</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固定资产处置损益</w:t>
            </w:r>
          </w:p>
        </w:tc>
      </w:tr>
      <w:tr>
        <w:trPr>
          <w:trHeight w:val="102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248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5,470,413.43</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对外捐赠支出</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16,418,514.04</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对版信通的投资收益及银行理财产品收益</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1,256,190.00</w:t>
            </w:r>
          </w:p>
        </w:tc>
        <w:tc>
          <w:tcPr>
            <w:tcW w:w="37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20,560,890.51</w:t>
            </w:r>
          </w:p>
        </w:tc>
        <w:tc>
          <w:tcPr>
            <w:tcW w:w="3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after="0"/>
        <w:jc w:val="left"/>
        <w:rPr>
          <w:rFonts w:ascii="宋体" w:hAnsi="宋体" w:cs="宋体" w:eastAsia="宋体" w:hint="default"/>
          <w:sz w:val="18"/>
          <w:szCs w:val="18"/>
        </w:rPr>
        <w:sectPr>
          <w:pgSz w:w="11910" w:h="16840"/>
          <w:pgMar w:header="867" w:footer="979" w:top="1060" w:bottom="1160" w:left="1020" w:right="1020"/>
        </w:sectPr>
      </w:pPr>
    </w:p>
    <w:p>
      <w:pPr>
        <w:spacing w:line="240" w:lineRule="auto" w:before="12"/>
        <w:rPr>
          <w:rFonts w:ascii="宋体" w:hAnsi="宋体" w:cs="宋体" w:eastAsia="宋体" w:hint="default"/>
          <w:sz w:val="25"/>
          <w:szCs w:val="25"/>
        </w:rPr>
      </w:pPr>
    </w:p>
    <w:p>
      <w:pPr>
        <w:spacing w:line="300" w:lineRule="auto" w:before="44"/>
        <w:ind w:left="112" w:right="9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663"/>
        <w:gridCol w:w="3082"/>
        <w:gridCol w:w="1913"/>
        <w:gridCol w:w="1913"/>
      </w:tblGrid>
      <w:tr>
        <w:trPr>
          <w:trHeight w:val="206"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w:t>
            </w:r>
          </w:p>
        </w:tc>
      </w:tr>
      <w:tr>
        <w:trPr>
          <w:trHeight w:val="71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0.7961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0.7961</w:t>
            </w:r>
          </w:p>
        </w:tc>
      </w:tr>
    </w:tbl>
    <w:p>
      <w:pPr>
        <w:spacing w:line="240" w:lineRule="auto" w:before="5"/>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59"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67" w:footer="979" w:top="1060" w:bottom="1160" w:left="1020" w:right="1020"/>
        </w:sectPr>
      </w:pPr>
    </w:p>
    <w:p>
      <w:pPr>
        <w:spacing w:line="240" w:lineRule="auto" w:before="11"/>
        <w:rPr>
          <w:rFonts w:ascii="Times New Roman" w:hAnsi="Times New Roman" w:cs="Times New Roman" w:eastAsia="Times New Roman" w:hint="default"/>
          <w:sz w:val="6"/>
          <w:szCs w:val="6"/>
        </w:rPr>
      </w:pPr>
      <w:r>
        <w:rPr/>
        <w:pict>
          <v:shape style="position:absolute;margin-left:8.5pt;margin-top:9.899982pt;width:577.85pt;height:821.9pt;mso-position-horizontal-relative:page;mso-position-vertical-relative:page;z-index:-8307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8"/>
                      <w:szCs w:val="18"/>
                    </w:rPr>
                  </w:pPr>
                </w:p>
                <w:p>
                  <w:pPr>
                    <w:spacing w:before="0"/>
                    <w:ind w:left="0" w:right="949" w:firstLine="0"/>
                    <w:jc w:val="right"/>
                    <w:rPr>
                      <w:rFonts w:ascii="宋体" w:hAnsi="宋体" w:cs="宋体" w:eastAsia="宋体" w:hint="default"/>
                      <w:sz w:val="18"/>
                      <w:szCs w:val="18"/>
                    </w:rPr>
                  </w:pPr>
                  <w:r>
                    <w:rPr>
                      <w:rFonts w:ascii="宋体" w:hAnsi="宋体" w:cs="宋体" w:eastAsia="宋体" w:hint="default"/>
                      <w:sz w:val="18"/>
                      <w:szCs w:val="18"/>
                    </w:rPr>
                    <w:t>北京数字认证股份有限公司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09"/>
                    <w:ind w:left="5" w:right="0" w:firstLine="0"/>
                    <w:jc w:val="center"/>
                    <w:rPr>
                      <w:rFonts w:ascii="宋体" w:hAnsi="宋体" w:cs="宋体" w:eastAsia="宋体" w:hint="default"/>
                      <w:sz w:val="32"/>
                      <w:szCs w:val="32"/>
                    </w:rPr>
                  </w:pPr>
                  <w:bookmarkStart w:name="_bookmark10" w:id="11"/>
                  <w:bookmarkEnd w:id="11"/>
                  <w:r>
                    <w:rPr/>
                  </w:r>
                  <w:r>
                    <w:rPr>
                      <w:rFonts w:ascii="宋体" w:hAnsi="宋体" w:cs="宋体" w:eastAsia="宋体" w:hint="default"/>
                      <w:b/>
                      <w:bCs/>
                      <w:sz w:val="32"/>
                      <w:szCs w:val="32"/>
                    </w:rPr>
                    <w:t>第十二节</w:t>
                  </w:r>
                  <w:r>
                    <w:rPr>
                      <w:rFonts w:ascii="宋体" w:hAnsi="宋体" w:cs="宋体" w:eastAsia="宋体" w:hint="default"/>
                      <w:b/>
                      <w:bCs/>
                      <w:spacing w:val="-6"/>
                      <w:sz w:val="32"/>
                      <w:szCs w:val="32"/>
                    </w:rPr>
                    <w:t> </w:t>
                  </w:r>
                  <w:r>
                    <w:rPr>
                      <w:rFonts w:ascii="宋体" w:hAnsi="宋体" w:cs="宋体" w:eastAsia="宋体" w:hint="default"/>
                      <w:b/>
                      <w:bCs/>
                      <w:sz w:val="32"/>
                      <w:szCs w:val="32"/>
                    </w:rPr>
                    <w:t>备查文件目录</w:t>
                  </w:r>
                  <w:r>
                    <w:rPr>
                      <w:rFonts w:ascii="宋体" w:hAnsi="宋体" w:cs="宋体" w:eastAsia="宋体" w:hint="default"/>
                      <w:sz w:val="32"/>
                      <w:szCs w:val="32"/>
                    </w:rPr>
                  </w:r>
                </w:p>
                <w:p>
                  <w:pPr>
                    <w:spacing w:line="240" w:lineRule="auto" w:before="9"/>
                    <w:rPr>
                      <w:rFonts w:ascii="Times New Roman" w:hAnsi="Times New Roman" w:cs="Times New Roman" w:eastAsia="Times New Roman" w:hint="default"/>
                      <w:sz w:val="46"/>
                      <w:szCs w:val="46"/>
                    </w:rPr>
                  </w:pPr>
                </w:p>
                <w:p>
                  <w:pPr>
                    <w:pStyle w:val="BodyText"/>
                    <w:spacing w:line="240" w:lineRule="auto"/>
                    <w:ind w:left="1383" w:right="0"/>
                    <w:jc w:val="left"/>
                  </w:pPr>
                  <w:r>
                    <w:rPr>
                      <w:rFonts w:ascii="Times New Roman" w:hAnsi="Times New Roman" w:cs="Times New Roman" w:eastAsia="Times New Roman" w:hint="default"/>
                    </w:rPr>
                    <w:t>1</w:t>
                  </w:r>
                  <w:r>
                    <w:rPr/>
                    <w:t>、载有公司负责人、主管会计工作负责人、会计机构负责人签名并盖章的财务报表。</w:t>
                  </w:r>
                </w:p>
                <w:p>
                  <w:pPr>
                    <w:pStyle w:val="BodyText"/>
                    <w:spacing w:line="240" w:lineRule="auto" w:before="141"/>
                    <w:ind w:left="1383" w:right="0"/>
                    <w:jc w:val="left"/>
                  </w:pPr>
                  <w:r>
                    <w:rPr>
                      <w:rFonts w:ascii="Times New Roman" w:hAnsi="Times New Roman" w:cs="Times New Roman" w:eastAsia="Times New Roman" w:hint="default"/>
                    </w:rPr>
                    <w:t>2</w:t>
                  </w:r>
                  <w:r>
                    <w:rPr/>
                    <w:t>、载有会计师事务所盖章、注册会计师签名并盖章的审计报告原件。</w:t>
                  </w:r>
                </w:p>
                <w:p>
                  <w:pPr>
                    <w:pStyle w:val="BodyText"/>
                    <w:spacing w:line="240" w:lineRule="auto" w:before="141"/>
                    <w:ind w:left="1383" w:right="0"/>
                    <w:jc w:val="left"/>
                  </w:pPr>
                  <w:r>
                    <w:rPr>
                      <w:rFonts w:ascii="Times New Roman" w:hAnsi="Times New Roman" w:cs="Times New Roman" w:eastAsia="Times New Roman" w:hint="default"/>
                    </w:rPr>
                    <w:t>3</w:t>
                  </w:r>
                  <w:r>
                    <w:rPr/>
                    <w:t>、报告期内在中国证监会指定网站上公开披露过的所有公司文件的正本及公告的原稿。</w:t>
                  </w:r>
                </w:p>
                <w:p>
                  <w:pPr>
                    <w:pStyle w:val="BodyText"/>
                    <w:spacing w:line="240" w:lineRule="auto" w:before="141"/>
                    <w:ind w:left="1383" w:right="0"/>
                    <w:jc w:val="left"/>
                  </w:pPr>
                  <w:r>
                    <w:rPr>
                      <w:rFonts w:ascii="Times New Roman" w:hAnsi="Times New Roman" w:cs="Times New Roman" w:eastAsia="Times New Roman" w:hint="default"/>
                    </w:rPr>
                    <w:t>4</w:t>
                  </w:r>
                  <w:r>
                    <w:rPr/>
                    <w:t>、经公司法定代表人签名的</w:t>
                  </w:r>
                  <w:r>
                    <w:rPr>
                      <w:rFonts w:ascii="Times New Roman" w:hAnsi="Times New Roman" w:cs="Times New Roman" w:eastAsia="Times New Roman" w:hint="default"/>
                    </w:rPr>
                    <w:t>2017</w:t>
                  </w:r>
                  <w:r>
                    <w:rPr/>
                    <w:t>年年度报告原稿。</w:t>
                  </w: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11"/>
                    <w:rPr>
                      <w:rFonts w:ascii="Times New Roman" w:hAnsi="Times New Roman" w:cs="Times New Roman" w:eastAsia="Times New Roman" w:hint="default"/>
                      <w:sz w:val="31"/>
                      <w:szCs w:val="31"/>
                    </w:rPr>
                  </w:pPr>
                </w:p>
                <w:p>
                  <w:pPr>
                    <w:spacing w:before="0"/>
                    <w:ind w:left="0" w:right="949" w:firstLine="0"/>
                    <w:jc w:val="right"/>
                    <w:rPr>
                      <w:rFonts w:ascii="Times New Roman" w:hAnsi="Times New Roman" w:cs="Times New Roman" w:eastAsia="Times New Roman" w:hint="default"/>
                      <w:sz w:val="18"/>
                      <w:szCs w:val="18"/>
                    </w:rPr>
                  </w:pPr>
                  <w:r>
                    <w:rPr>
                      <w:rFonts w:ascii="Times New Roman"/>
                      <w:sz w:val="18"/>
                    </w:rPr>
                    <w:t>177</w:t>
                  </w:r>
                </w:p>
              </w:txbxContent>
            </v:textbox>
            <w10:wrap type="none"/>
          </v:shape>
        </w:pict>
      </w:r>
    </w:p>
    <w:p>
      <w:pPr>
        <w:spacing w:line="16186" w:lineRule="exact"/>
        <w:ind w:left="11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23"/>
          <w:sz w:val="20"/>
          <w:szCs w:val="20"/>
        </w:rPr>
        <w:drawing>
          <wp:inline distT="0" distB="0" distL="0" distR="0">
            <wp:extent cx="7226547" cy="10278618"/>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3" cstate="print"/>
                    <a:stretch>
                      <a:fillRect/>
                    </a:stretch>
                  </pic:blipFill>
                  <pic:spPr>
                    <a:xfrm>
                      <a:off x="0" y="0"/>
                      <a:ext cx="7226547" cy="10278618"/>
                    </a:xfrm>
                    <a:prstGeom prst="rect">
                      <a:avLst/>
                    </a:prstGeom>
                  </pic:spPr>
                </pic:pic>
              </a:graphicData>
            </a:graphic>
          </wp:inline>
        </w:drawing>
      </w:r>
      <w:r>
        <w:rPr>
          <w:rFonts w:ascii="Times New Roman" w:hAnsi="Times New Roman" w:cs="Times New Roman" w:eastAsia="Times New Roman" w:hint="default"/>
          <w:position w:val="-323"/>
          <w:sz w:val="20"/>
          <w:szCs w:val="20"/>
        </w:rPr>
      </w:r>
    </w:p>
    <w:sectPr>
      <w:headerReference w:type="default" r:id="rId21"/>
      <w:footerReference w:type="default" r:id="rId22"/>
      <w:pgSz w:w="11910" w:h="16840"/>
      <w:pgMar w:header="0" w:footer="0" w:top="100" w:bottom="0" w:left="60" w:right="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8327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32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32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32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32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57</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8326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832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832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832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8327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北京数字认证股份有限公司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4.070007pt;margin-top:42.865608pt;width:195.75pt;height:11.5pt;mso-position-horizontal-relative:page;mso-position-vertical-relative:page;z-index:-8326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北京数字认证股份有限公司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2"/>
    </w:pPr>
    <w:rPr>
      <w:rFonts w:ascii="宋体" w:hAnsi="宋体" w:eastAsia="宋体"/>
      <w:b/>
      <w:bCs/>
      <w:sz w:val="24"/>
      <w:szCs w:val="24"/>
    </w:rPr>
  </w:style>
  <w:style w:styleId="BodyText" w:type="paragraph">
    <w:name w:val="Body Text"/>
    <w:basedOn w:val="Normal"/>
    <w:uiPriority w:val="1"/>
    <w:qFormat/>
    <w:pPr>
      <w:ind w:left="112"/>
    </w:pPr>
    <w:rPr>
      <w:rFonts w:ascii="宋体" w:hAnsi="宋体" w:eastAsia="宋体"/>
      <w:sz w:val="21"/>
      <w:szCs w:val="21"/>
    </w:rPr>
  </w:style>
  <w:style w:styleId="Heading1" w:type="paragraph">
    <w:name w:val="Heading 1"/>
    <w:basedOn w:val="Normal"/>
    <w:uiPriority w:val="1"/>
    <w:qFormat/>
    <w:pPr>
      <w:ind w:left="3550"/>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ind w:left="11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hyperlink" Target="http://www.bjca.org.cn/" TargetMode="External"/><Relationship Id="rId10" Type="http://schemas.openxmlformats.org/officeDocument/2006/relationships/hyperlink" Target="mailto:dongban@bjca.org.cn" TargetMode="Externa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yperlink" Target="http://www.cninfo.com.cn/information/companyinfo_n.html?fulltext%3Fszcn300579)" TargetMode="External"/><Relationship Id="rId14" Type="http://schemas.openxmlformats.org/officeDocument/2006/relationships/image" Target="media/image1.jpeg"/><Relationship Id="rId15" Type="http://schemas.openxmlformats.org/officeDocument/2006/relationships/footer" Target="footer5.xml"/><Relationship Id="rId16" Type="http://schemas.openxmlformats.org/officeDocument/2006/relationships/hyperlink" Target="http://www.cninfo.com.cn/" TargetMode="Externa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eader" Target="header3.xml"/><Relationship Id="rId22" Type="http://schemas.openxmlformats.org/officeDocument/2006/relationships/footer" Target="footer10.xml"/><Relationship Id="rId23"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北京数字认证股份有限公司</dc:creator>
  <dc:title>北京数字认证股份有限公司2017年年度报告全文</dc:title>
  <dcterms:created xsi:type="dcterms:W3CDTF">2020-05-03T01:04:48Z</dcterms:created>
  <dcterms:modified xsi:type="dcterms:W3CDTF">2020-05-03T01:04:48Z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2018-03-28T00:00:00Z</vt:filetime>
  </property>
  <property fmtid="{D5CDD505-2E9C-101B-9397-08002B2CF9AE}" pid="3" name="Creator">
    <vt:lpwstr>Microsoft® Word 2016</vt:lpwstr>
  </property>
  <property fmtid="{D5CDD505-2E9C-101B-9397-08002B2CF9AE}" pid="4" name="LastSaved">
    <vt:filetime>2020-05-02T00:00:00Z</vt:filetime>
  </property>
</Properties>
</file>